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b/>
          <w:color w:val="000000" w:themeColor="text1"/>
          <w:spacing w:val="60"/>
          <w:sz w:val="52"/>
          <w:szCs w:val="52"/>
        </w:rPr>
      </w:pPr>
    </w:p>
    <w:p>
      <w:pPr>
        <w:jc w:val="center"/>
        <w:rPr>
          <w:rFonts w:ascii="FangSong_GB2312" w:eastAsia="FangSong_GB2312"/>
          <w:b/>
          <w:color w:val="000000" w:themeColor="text1"/>
          <w:spacing w:val="60"/>
          <w:sz w:val="52"/>
          <w:szCs w:val="52"/>
        </w:rPr>
      </w:pPr>
      <w:r>
        <w:rPr>
          <w:rFonts w:ascii="FangSong_GB2312" w:eastAsia="FangSong_GB2312"/>
          <w:b/>
          <w:color w:val="000000" w:themeColor="text1"/>
          <w:spacing w:val="60"/>
          <w:sz w:val="52"/>
          <w:szCs w:val="52"/>
        </w:rPr>
        <w:drawing>
          <wp:inline distT="0" distB="0" distL="0" distR="0">
            <wp:extent cx="954405" cy="826770"/>
            <wp:effectExtent l="19050" t="0" r="0" b="0"/>
            <wp:docPr id="1" name="图片 2" descr="6e6de19c402763cb525207235062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6e6de19c402763cb52520723506239f"/>
                    <pic:cNvPicPr>
                      <a:picLocks noChangeAspect="1" noChangeArrowheads="1"/>
                    </pic:cNvPicPr>
                  </pic:nvPicPr>
                  <pic:blipFill>
                    <a:blip r:embed="rId14" cstate="print"/>
                    <a:srcRect/>
                    <a:stretch>
                      <a:fillRect/>
                    </a:stretch>
                  </pic:blipFill>
                  <pic:spPr>
                    <a:xfrm>
                      <a:off x="0" y="0"/>
                      <a:ext cx="954405" cy="826770"/>
                    </a:xfrm>
                    <a:prstGeom prst="rect">
                      <a:avLst/>
                    </a:prstGeom>
                    <a:noFill/>
                    <a:ln w="9525" cmpd="sng">
                      <a:noFill/>
                      <a:miter lim="800000"/>
                      <a:headEnd/>
                      <a:tailEnd/>
                    </a:ln>
                  </pic:spPr>
                </pic:pic>
              </a:graphicData>
            </a:graphic>
          </wp:inline>
        </w:drawing>
      </w:r>
    </w:p>
    <w:p>
      <w:pPr>
        <w:jc w:val="center"/>
        <w:rPr>
          <w:rFonts w:ascii="FangSong_GB2312" w:eastAsia="FangSong_GB2312"/>
          <w:b/>
          <w:color w:val="000000" w:themeColor="text1"/>
          <w:spacing w:val="60"/>
          <w:sz w:val="52"/>
          <w:szCs w:val="52"/>
        </w:rPr>
      </w:pPr>
      <w:r>
        <w:rPr>
          <w:rFonts w:hint="eastAsia" w:ascii="FangSong_GB2312" w:eastAsia="FangSong_GB2312"/>
          <w:b/>
          <w:color w:val="000000" w:themeColor="text1"/>
          <w:spacing w:val="60"/>
          <w:sz w:val="52"/>
          <w:szCs w:val="52"/>
        </w:rPr>
        <w:t>天台县政府采购</w:t>
      </w:r>
    </w:p>
    <w:p>
      <w:pPr>
        <w:jc w:val="center"/>
        <w:rPr>
          <w:rFonts w:ascii="FangSong_GB2312" w:eastAsia="FangSong_GB2312"/>
          <w:b/>
          <w:color w:val="000000" w:themeColor="text1"/>
          <w:spacing w:val="60"/>
          <w:sz w:val="52"/>
          <w:szCs w:val="52"/>
        </w:rPr>
      </w:pPr>
      <w:r>
        <w:rPr>
          <w:rFonts w:hint="eastAsia" w:ascii="FangSong_GB2312" w:eastAsia="FangSong_GB2312"/>
          <w:b/>
          <w:color w:val="000000" w:themeColor="text1"/>
          <w:spacing w:val="60"/>
          <w:sz w:val="52"/>
          <w:szCs w:val="52"/>
        </w:rPr>
        <w:t>公开招标文件</w:t>
      </w:r>
    </w:p>
    <w:p>
      <w:pPr>
        <w:pStyle w:val="8"/>
        <w:ind w:firstLine="0"/>
        <w:jc w:val="center"/>
        <w:rPr>
          <w:rFonts w:ascii="FangSong_GB2312" w:hAnsi="Times New Roman" w:eastAsia="FangSong_GB2312"/>
          <w:color w:val="000000" w:themeColor="text1"/>
          <w:sz w:val="32"/>
          <w:szCs w:val="32"/>
        </w:rPr>
      </w:pPr>
      <w:r>
        <w:rPr>
          <w:rFonts w:hint="eastAsia" w:ascii="FangSong_GB2312" w:hAnsi="Times New Roman" w:eastAsia="FangSong_GB2312"/>
          <w:color w:val="000000" w:themeColor="text1"/>
          <w:sz w:val="32"/>
          <w:szCs w:val="32"/>
        </w:rPr>
        <w:t>（线上电子招投标）</w:t>
      </w:r>
    </w:p>
    <w:p>
      <w:pPr>
        <w:rPr>
          <w:rFonts w:ascii="FangSong_GB2312" w:eastAsia="FangSong_GB2312"/>
          <w:b/>
          <w:color w:val="000000" w:themeColor="text1"/>
          <w:sz w:val="36"/>
          <w:szCs w:val="36"/>
        </w:rPr>
      </w:pPr>
    </w:p>
    <w:p>
      <w:pPr>
        <w:ind w:firstLine="1920" w:firstLineChars="600"/>
        <w:rPr>
          <w:rFonts w:ascii="FangSong_GB2312" w:eastAsia="FangSong_GB2312"/>
          <w:color w:val="000000" w:themeColor="text1"/>
          <w:sz w:val="32"/>
          <w:szCs w:val="32"/>
        </w:rPr>
      </w:pPr>
      <w:r>
        <w:rPr>
          <w:rFonts w:hint="eastAsia" w:ascii="FangSong_GB2312" w:eastAsia="FangSong_GB2312"/>
          <w:color w:val="000000" w:themeColor="text1"/>
          <w:sz w:val="32"/>
          <w:szCs w:val="32"/>
        </w:rPr>
        <w:t xml:space="preserve">项目编号：xzcg-2022-036(招)  </w:t>
      </w:r>
    </w:p>
    <w:p>
      <w:pPr>
        <w:rPr>
          <w:rFonts w:ascii="FangSong_GB2312" w:eastAsia="FangSong_GB2312"/>
          <w:b/>
          <w:color w:val="000000" w:themeColor="text1"/>
          <w:sz w:val="36"/>
          <w:szCs w:val="36"/>
        </w:rPr>
      </w:pPr>
    </w:p>
    <w:p>
      <w:pPr>
        <w:rPr>
          <w:rFonts w:ascii="FangSong_GB2312" w:eastAsia="FangSong_GB2312"/>
          <w:b/>
          <w:color w:val="000000" w:themeColor="text1"/>
          <w:sz w:val="36"/>
          <w:szCs w:val="36"/>
        </w:rPr>
      </w:pPr>
    </w:p>
    <w:p>
      <w:pPr>
        <w:spacing w:line="800" w:lineRule="exact"/>
        <w:ind w:left="1918" w:leftChars="304" w:hanging="1280" w:hangingChars="400"/>
        <w:rPr>
          <w:rFonts w:ascii="FangSong_GB2312" w:eastAsia="FangSong_GB2312"/>
          <w:color w:val="000000" w:themeColor="text1"/>
          <w:sz w:val="32"/>
          <w:szCs w:val="32"/>
        </w:rPr>
      </w:pPr>
      <w:r>
        <w:rPr>
          <w:rFonts w:hint="eastAsia" w:ascii="FangSong_GB2312" w:eastAsia="FangSong_GB2312"/>
          <w:color w:val="000000" w:themeColor="text1"/>
          <w:sz w:val="32"/>
          <w:szCs w:val="32"/>
        </w:rPr>
        <w:t xml:space="preserve">项目名称：天台中学创新实验室和专用教室采购项目     </w:t>
      </w:r>
    </w:p>
    <w:p>
      <w:pPr>
        <w:spacing w:line="800" w:lineRule="exact"/>
        <w:ind w:firstLine="640" w:firstLineChars="200"/>
        <w:rPr>
          <w:rFonts w:ascii="FangSong_GB2312" w:eastAsia="FangSong_GB2312"/>
          <w:color w:val="000000" w:themeColor="text1"/>
          <w:sz w:val="32"/>
          <w:szCs w:val="32"/>
        </w:rPr>
      </w:pPr>
      <w:r>
        <w:rPr>
          <w:rFonts w:hint="eastAsia" w:ascii="FangSong_GB2312" w:eastAsia="FangSong_GB2312"/>
          <w:color w:val="000000" w:themeColor="text1"/>
          <w:sz w:val="32"/>
          <w:szCs w:val="32"/>
        </w:rPr>
        <w:t xml:space="preserve">采购人：  天台中学  </w:t>
      </w:r>
    </w:p>
    <w:p>
      <w:pPr>
        <w:pStyle w:val="35"/>
        <w:rPr>
          <w:color w:val="000000" w:themeColor="text1"/>
        </w:rPr>
      </w:pPr>
    </w:p>
    <w:p>
      <w:pPr>
        <w:pStyle w:val="35"/>
        <w:rPr>
          <w:color w:val="000000" w:themeColor="text1"/>
        </w:rPr>
      </w:pPr>
    </w:p>
    <w:p>
      <w:pPr>
        <w:pStyle w:val="35"/>
        <w:rPr>
          <w:color w:val="000000" w:themeColor="text1"/>
        </w:rPr>
      </w:pPr>
    </w:p>
    <w:p>
      <w:pPr>
        <w:spacing w:line="800" w:lineRule="exact"/>
        <w:ind w:firstLine="640" w:firstLineChars="200"/>
        <w:rPr>
          <w:rFonts w:ascii="FangSong_GB2312" w:eastAsia="FangSong_GB2312"/>
          <w:color w:val="000000" w:themeColor="text1"/>
          <w:sz w:val="32"/>
          <w:szCs w:val="32"/>
          <w:u w:val="single"/>
        </w:rPr>
      </w:pPr>
      <w:r>
        <w:rPr>
          <w:rFonts w:hint="eastAsia" w:eastAsia="FangSong_GB2312"/>
          <w:color w:val="000000" w:themeColor="text1"/>
          <w:sz w:val="32"/>
          <w:szCs w:val="32"/>
        </w:rPr>
        <w:t xml:space="preserve">采购代理单位： </w:t>
      </w:r>
      <w:r>
        <w:rPr>
          <w:rFonts w:hint="eastAsia" w:ascii="FangSong_GB2312" w:eastAsia="FangSong_GB2312"/>
          <w:color w:val="000000" w:themeColor="text1"/>
          <w:sz w:val="32"/>
          <w:szCs w:val="32"/>
        </w:rPr>
        <w:t>浙江祥泽招标代理有限公司</w:t>
      </w:r>
    </w:p>
    <w:p>
      <w:pPr>
        <w:ind w:firstLine="3520" w:firstLineChars="1100"/>
        <w:rPr>
          <w:rFonts w:ascii="FangSong_GB2312" w:eastAsia="FangSong_GB2312"/>
          <w:color w:val="000000" w:themeColor="text1"/>
          <w:sz w:val="32"/>
          <w:szCs w:val="32"/>
        </w:rPr>
      </w:pPr>
      <w:r>
        <w:rPr>
          <w:rFonts w:hint="eastAsia" w:ascii="FangSong_GB2312" w:eastAsia="FangSong_GB2312"/>
          <w:color w:val="000000" w:themeColor="text1"/>
          <w:sz w:val="32"/>
          <w:szCs w:val="32"/>
        </w:rPr>
        <w:t>20</w:t>
      </w:r>
      <w:r>
        <w:rPr>
          <w:rFonts w:ascii="FangSong_GB2312" w:eastAsia="FangSong_GB2312"/>
          <w:color w:val="000000" w:themeColor="text1"/>
          <w:sz w:val="32"/>
          <w:szCs w:val="32"/>
        </w:rPr>
        <w:t>2</w:t>
      </w:r>
      <w:r>
        <w:rPr>
          <w:rFonts w:hint="eastAsia" w:ascii="FangSong_GB2312" w:eastAsia="FangSong_GB2312"/>
          <w:color w:val="000000" w:themeColor="text1"/>
          <w:sz w:val="32"/>
          <w:szCs w:val="32"/>
        </w:rPr>
        <w:t>2年4月</w:t>
      </w:r>
    </w:p>
    <w:p>
      <w:pPr>
        <w:ind w:firstLine="3481" w:firstLineChars="788"/>
        <w:rPr>
          <w:rFonts w:ascii="仿宋" w:hAnsi="仿宋" w:eastAsia="仿宋"/>
          <w:b/>
          <w:color w:val="000000" w:themeColor="text1"/>
          <w:sz w:val="44"/>
          <w:szCs w:val="44"/>
        </w:rPr>
      </w:pPr>
    </w:p>
    <w:p>
      <w:pPr>
        <w:pStyle w:val="2"/>
        <w:rPr>
          <w:color w:val="000000" w:themeColor="text1"/>
        </w:rPr>
      </w:pPr>
    </w:p>
    <w:p>
      <w:pPr>
        <w:ind w:firstLine="3481" w:firstLineChars="788"/>
        <w:rPr>
          <w:rFonts w:ascii="仿宋" w:hAnsi="仿宋" w:eastAsia="仿宋"/>
          <w:b/>
          <w:color w:val="000000" w:themeColor="text1"/>
          <w:sz w:val="44"/>
          <w:szCs w:val="44"/>
        </w:rPr>
      </w:pPr>
      <w:r>
        <w:rPr>
          <w:rFonts w:hint="eastAsia" w:ascii="仿宋" w:hAnsi="仿宋" w:eastAsia="仿宋"/>
          <w:b/>
          <w:color w:val="000000" w:themeColor="text1"/>
          <w:sz w:val="44"/>
          <w:szCs w:val="44"/>
        </w:rPr>
        <w:t>目  录</w:t>
      </w:r>
    </w:p>
    <w:p>
      <w:pPr>
        <w:spacing w:beforeLines="100" w:line="660" w:lineRule="exact"/>
        <w:rPr>
          <w:rFonts w:ascii="仿宋" w:hAnsi="仿宋" w:eastAsia="仿宋"/>
          <w:b/>
          <w:bCs/>
          <w:color w:val="000000" w:themeColor="text1"/>
          <w:sz w:val="28"/>
          <w:szCs w:val="28"/>
        </w:rPr>
      </w:pPr>
      <w:r>
        <w:rPr>
          <w:rFonts w:hint="eastAsia" w:ascii="仿宋" w:hAnsi="仿宋" w:eastAsia="仿宋"/>
          <w:b/>
          <w:bCs/>
          <w:color w:val="000000" w:themeColor="text1"/>
          <w:sz w:val="28"/>
          <w:szCs w:val="28"/>
        </w:rPr>
        <w:t xml:space="preserve">第一章  </w:t>
      </w:r>
      <w:r>
        <w:rPr>
          <w:rFonts w:hint="eastAsia" w:ascii="仿宋" w:hAnsi="仿宋" w:eastAsia="仿宋"/>
          <w:b/>
          <w:color w:val="000000" w:themeColor="text1"/>
          <w:sz w:val="28"/>
          <w:szCs w:val="28"/>
        </w:rPr>
        <w:t xml:space="preserve">招标公告 ………………………………………………………3                       </w:t>
      </w:r>
    </w:p>
    <w:p>
      <w:pPr>
        <w:spacing w:line="660" w:lineRule="exact"/>
        <w:rPr>
          <w:rFonts w:ascii="仿宋" w:hAnsi="仿宋" w:eastAsia="仿宋"/>
          <w:b/>
          <w:bCs/>
          <w:color w:val="000000" w:themeColor="text1"/>
          <w:sz w:val="28"/>
          <w:szCs w:val="28"/>
        </w:rPr>
      </w:pPr>
      <w:r>
        <w:rPr>
          <w:rFonts w:ascii="仿宋" w:hAnsi="仿宋" w:eastAsia="仿宋"/>
          <w:b/>
          <w:bCs/>
          <w:color w:val="000000" w:themeColor="text1"/>
          <w:sz w:val="28"/>
          <w:szCs w:val="28"/>
        </w:rPr>
        <w:t>第</w:t>
      </w:r>
      <w:r>
        <w:rPr>
          <w:rFonts w:hint="eastAsia" w:ascii="仿宋" w:hAnsi="仿宋" w:eastAsia="仿宋"/>
          <w:b/>
          <w:bCs/>
          <w:color w:val="000000" w:themeColor="text1"/>
          <w:sz w:val="28"/>
          <w:szCs w:val="28"/>
        </w:rPr>
        <w:t>二</w:t>
      </w:r>
      <w:r>
        <w:rPr>
          <w:rFonts w:ascii="仿宋" w:hAnsi="仿宋" w:eastAsia="仿宋"/>
          <w:b/>
          <w:bCs/>
          <w:color w:val="000000" w:themeColor="text1"/>
          <w:sz w:val="28"/>
          <w:szCs w:val="28"/>
        </w:rPr>
        <w:t xml:space="preserve">章  </w:t>
      </w:r>
      <w:r>
        <w:rPr>
          <w:rFonts w:hint="eastAsia" w:ascii="仿宋" w:hAnsi="仿宋" w:eastAsia="仿宋"/>
          <w:b/>
          <w:color w:val="000000" w:themeColor="text1"/>
          <w:sz w:val="28"/>
          <w:szCs w:val="28"/>
        </w:rPr>
        <w:t>投标人须知 ……………………………………………………6</w:t>
      </w:r>
    </w:p>
    <w:p>
      <w:pPr>
        <w:spacing w:line="660" w:lineRule="exact"/>
        <w:rPr>
          <w:rFonts w:ascii="仿宋" w:hAnsi="仿宋" w:eastAsia="仿宋"/>
          <w:b/>
          <w:color w:val="000000" w:themeColor="text1"/>
          <w:sz w:val="28"/>
          <w:szCs w:val="28"/>
        </w:rPr>
      </w:pPr>
      <w:r>
        <w:rPr>
          <w:rFonts w:hint="eastAsia" w:ascii="仿宋" w:hAnsi="仿宋" w:eastAsia="仿宋"/>
          <w:b/>
          <w:bCs/>
          <w:color w:val="000000" w:themeColor="text1"/>
          <w:sz w:val="28"/>
          <w:szCs w:val="28"/>
        </w:rPr>
        <w:t xml:space="preserve">第三章  </w:t>
      </w:r>
      <w:r>
        <w:rPr>
          <w:rFonts w:hint="eastAsia" w:ascii="仿宋" w:hAnsi="仿宋" w:eastAsia="仿宋"/>
          <w:b/>
          <w:color w:val="000000" w:themeColor="text1"/>
          <w:sz w:val="28"/>
          <w:szCs w:val="28"/>
        </w:rPr>
        <w:t>合同主要条款 …………………………………………………21</w:t>
      </w:r>
    </w:p>
    <w:p>
      <w:pPr>
        <w:spacing w:line="660" w:lineRule="exact"/>
        <w:rPr>
          <w:rFonts w:ascii="仿宋" w:hAnsi="仿宋" w:eastAsia="仿宋"/>
          <w:b/>
          <w:color w:val="000000" w:themeColor="text1"/>
          <w:sz w:val="28"/>
          <w:szCs w:val="28"/>
        </w:rPr>
      </w:pPr>
      <w:r>
        <w:rPr>
          <w:rFonts w:hint="eastAsia" w:ascii="仿宋" w:hAnsi="仿宋" w:eastAsia="仿宋"/>
          <w:b/>
          <w:bCs/>
          <w:color w:val="000000" w:themeColor="text1"/>
          <w:sz w:val="28"/>
          <w:szCs w:val="28"/>
        </w:rPr>
        <w:t xml:space="preserve">第四章  招标内容及需求 </w:t>
      </w:r>
      <w:r>
        <w:rPr>
          <w:rFonts w:hint="eastAsia" w:ascii="仿宋" w:hAnsi="仿宋" w:eastAsia="仿宋"/>
          <w:b/>
          <w:color w:val="000000" w:themeColor="text1"/>
          <w:sz w:val="28"/>
          <w:szCs w:val="28"/>
        </w:rPr>
        <w:t>………………………………………………25</w:t>
      </w:r>
    </w:p>
    <w:p>
      <w:pPr>
        <w:spacing w:line="660" w:lineRule="exact"/>
        <w:rPr>
          <w:rFonts w:ascii="仿宋" w:hAnsi="仿宋" w:eastAsia="仿宋"/>
          <w:b/>
          <w:color w:val="000000" w:themeColor="text1"/>
          <w:sz w:val="28"/>
          <w:szCs w:val="28"/>
        </w:rPr>
      </w:pPr>
      <w:r>
        <w:rPr>
          <w:rFonts w:hint="eastAsia" w:ascii="仿宋" w:hAnsi="仿宋" w:eastAsia="仿宋"/>
          <w:b/>
          <w:bCs/>
          <w:color w:val="000000" w:themeColor="text1"/>
          <w:sz w:val="28"/>
          <w:szCs w:val="28"/>
        </w:rPr>
        <w:t xml:space="preserve">第五章  评标办法及评分标准 </w:t>
      </w:r>
      <w:r>
        <w:rPr>
          <w:rFonts w:hint="eastAsia" w:ascii="仿宋" w:hAnsi="仿宋" w:eastAsia="仿宋"/>
          <w:b/>
          <w:color w:val="000000" w:themeColor="text1"/>
          <w:sz w:val="28"/>
          <w:szCs w:val="28"/>
        </w:rPr>
        <w:t>…………………………………………341</w:t>
      </w:r>
    </w:p>
    <w:p>
      <w:pPr>
        <w:spacing w:line="660" w:lineRule="exact"/>
        <w:rPr>
          <w:rFonts w:ascii="仿宋" w:hAnsi="仿宋" w:eastAsia="仿宋"/>
          <w:b/>
          <w:color w:val="000000" w:themeColor="text1"/>
          <w:sz w:val="28"/>
          <w:szCs w:val="28"/>
        </w:rPr>
      </w:pPr>
      <w:r>
        <w:rPr>
          <w:rFonts w:ascii="仿宋" w:hAnsi="仿宋" w:eastAsia="仿宋"/>
          <w:b/>
          <w:bCs/>
          <w:color w:val="000000" w:themeColor="text1"/>
          <w:sz w:val="28"/>
          <w:szCs w:val="28"/>
        </w:rPr>
        <w:t>第</w:t>
      </w:r>
      <w:r>
        <w:rPr>
          <w:rFonts w:hint="eastAsia" w:ascii="仿宋" w:hAnsi="仿宋" w:eastAsia="仿宋"/>
          <w:b/>
          <w:bCs/>
          <w:color w:val="000000" w:themeColor="text1"/>
          <w:sz w:val="28"/>
          <w:szCs w:val="28"/>
        </w:rPr>
        <w:t>六</w:t>
      </w:r>
      <w:r>
        <w:rPr>
          <w:rFonts w:ascii="仿宋" w:hAnsi="仿宋" w:eastAsia="仿宋"/>
          <w:b/>
          <w:bCs/>
          <w:color w:val="000000" w:themeColor="text1"/>
          <w:sz w:val="28"/>
          <w:szCs w:val="28"/>
        </w:rPr>
        <w:t>章</w:t>
      </w:r>
      <w:r>
        <w:rPr>
          <w:rFonts w:hint="eastAsia" w:ascii="仿宋" w:hAnsi="仿宋" w:eastAsia="仿宋"/>
          <w:b/>
          <w:bCs/>
          <w:color w:val="000000" w:themeColor="text1"/>
          <w:sz w:val="28"/>
          <w:szCs w:val="28"/>
        </w:rPr>
        <w:t xml:space="preserve">  附件：</w:t>
      </w:r>
      <w:r>
        <w:rPr>
          <w:rFonts w:hint="eastAsia" w:ascii="仿宋" w:hAnsi="仿宋" w:eastAsia="仿宋"/>
          <w:b/>
          <w:color w:val="000000" w:themeColor="text1"/>
          <w:sz w:val="28"/>
          <w:szCs w:val="28"/>
        </w:rPr>
        <w:t>投标文件格式 …………………………………………351</w:t>
      </w:r>
    </w:p>
    <w:p>
      <w:pPr>
        <w:spacing w:line="660" w:lineRule="exact"/>
        <w:jc w:val="center"/>
        <w:rPr>
          <w:rFonts w:ascii="仿宋" w:hAnsi="仿宋" w:eastAsia="仿宋"/>
          <w:b/>
          <w:color w:val="000000" w:themeColor="text1"/>
          <w:szCs w:val="21"/>
        </w:rPr>
      </w:pPr>
    </w:p>
    <w:p>
      <w:pPr>
        <w:spacing w:line="660" w:lineRule="exact"/>
        <w:jc w:val="center"/>
        <w:rPr>
          <w:rFonts w:ascii="仿宋" w:hAnsi="仿宋" w:eastAsia="仿宋"/>
          <w:b/>
          <w:color w:val="000000" w:themeColor="text1"/>
          <w:szCs w:val="21"/>
        </w:rPr>
      </w:pPr>
      <w:r>
        <w:rPr>
          <w:rFonts w:hint="eastAsia" w:ascii="仿宋" w:hAnsi="仿宋" w:eastAsia="仿宋"/>
          <w:b/>
          <w:color w:val="000000" w:themeColor="text1"/>
          <w:szCs w:val="21"/>
        </w:rPr>
        <w:t>共370</w:t>
      </w:r>
      <w:r>
        <w:rPr>
          <w:rFonts w:ascii="仿宋" w:hAnsi="仿宋" w:eastAsia="仿宋"/>
          <w:b/>
          <w:color w:val="000000" w:themeColor="text1"/>
          <w:szCs w:val="21"/>
        </w:rPr>
        <w:t>页</w:t>
      </w:r>
    </w:p>
    <w:p>
      <w:pPr>
        <w:pStyle w:val="35"/>
        <w:rPr>
          <w:rFonts w:ascii="仿宋" w:hAnsi="仿宋" w:eastAsia="仿宋"/>
          <w:color w:val="000000" w:themeColor="text1"/>
        </w:rPr>
      </w:pPr>
    </w:p>
    <w:p>
      <w:pPr>
        <w:pStyle w:val="34"/>
        <w:rPr>
          <w:rFonts w:ascii="仿宋" w:hAnsi="仿宋" w:eastAsia="仿宋"/>
          <w:color w:val="000000" w:themeColor="text1"/>
        </w:rPr>
      </w:pPr>
    </w:p>
    <w:p>
      <w:pPr>
        <w:pStyle w:val="35"/>
        <w:spacing w:line="400" w:lineRule="exact"/>
        <w:ind w:left="0" w:leftChars="0" w:firstLine="0"/>
        <w:rPr>
          <w:rFonts w:ascii="仿宋" w:hAnsi="仿宋" w:eastAsia="仿宋"/>
          <w:color w:val="000000" w:themeColor="text1"/>
          <w:sz w:val="24"/>
          <w:szCs w:val="24"/>
        </w:rPr>
      </w:pPr>
      <w:r>
        <w:rPr>
          <w:rFonts w:hint="eastAsia" w:ascii="仿宋" w:hAnsi="仿宋" w:eastAsia="仿宋"/>
          <w:b/>
          <w:bCs/>
          <w:color w:val="000000" w:themeColor="text1"/>
          <w:sz w:val="24"/>
          <w:szCs w:val="24"/>
        </w:rPr>
        <w:t>注：</w:t>
      </w:r>
      <w:r>
        <w:rPr>
          <w:rFonts w:hint="eastAsia" w:ascii="仿宋" w:hAnsi="仿宋" w:eastAsia="仿宋"/>
          <w:b/>
          <w:bCs/>
          <w:color w:val="000000" w:themeColor="text1"/>
          <w:sz w:val="24"/>
          <w:szCs w:val="24"/>
          <w:u w:val="single"/>
        </w:rPr>
        <w:t>招标文件中部分加“▲”的条款，为招标的实质性要求和条件，着重提醒各投标人注意，并认真查看招标文件中的每一个条款及要求，因误读招标文件而造成的后果，采购人</w:t>
      </w:r>
      <w:r>
        <w:rPr>
          <w:rFonts w:ascii="仿宋" w:hAnsi="仿宋" w:eastAsia="仿宋"/>
          <w:b/>
          <w:bCs/>
          <w:color w:val="000000" w:themeColor="text1"/>
          <w:sz w:val="24"/>
          <w:szCs w:val="24"/>
          <w:u w:val="single"/>
        </w:rPr>
        <w:t>和招标代理机构</w:t>
      </w:r>
      <w:r>
        <w:rPr>
          <w:rFonts w:hint="eastAsia" w:ascii="仿宋" w:hAnsi="仿宋" w:eastAsia="仿宋"/>
          <w:b/>
          <w:bCs/>
          <w:color w:val="000000" w:themeColor="text1"/>
          <w:sz w:val="24"/>
          <w:szCs w:val="24"/>
          <w:u w:val="single"/>
        </w:rPr>
        <w:t>概不负责。</w:t>
      </w:r>
    </w:p>
    <w:p>
      <w:pPr>
        <w:pStyle w:val="28"/>
        <w:rPr>
          <w:color w:val="000000" w:themeColor="text1"/>
        </w:rPr>
      </w:pPr>
    </w:p>
    <w:p>
      <w:pPr>
        <w:pStyle w:val="35"/>
        <w:rPr>
          <w:rFonts w:ascii="仿宋" w:hAnsi="仿宋" w:eastAsia="仿宋"/>
          <w:color w:val="000000" w:themeColor="text1"/>
        </w:rPr>
        <w:sectPr>
          <w:headerReference r:id="rId4" w:type="first"/>
          <w:footerReference r:id="rId6" w:type="first"/>
          <w:headerReference r:id="rId3" w:type="default"/>
          <w:footerReference r:id="rId5" w:type="default"/>
          <w:pgSz w:w="11906" w:h="16838"/>
          <w:pgMar w:top="1701" w:right="1588" w:bottom="1418" w:left="1588" w:header="851" w:footer="992" w:gutter="0"/>
          <w:cols w:space="720" w:num="1"/>
          <w:titlePg/>
          <w:docGrid w:type="lines" w:linePitch="312" w:charSpace="0"/>
        </w:sectPr>
      </w:pPr>
    </w:p>
    <w:p>
      <w:pPr>
        <w:spacing w:afterLines="100" w:line="680" w:lineRule="exact"/>
        <w:ind w:left="601"/>
        <w:jc w:val="center"/>
        <w:rPr>
          <w:rFonts w:ascii="FangSong_GB2312" w:hAnsi="宋体" w:eastAsia="FangSong_GB2312"/>
          <w:color w:val="000000" w:themeColor="text1"/>
          <w:sz w:val="44"/>
          <w:szCs w:val="44"/>
        </w:rPr>
      </w:pPr>
      <w:r>
        <w:rPr>
          <w:rFonts w:hint="eastAsia" w:ascii="仿宋" w:hAnsi="仿宋" w:eastAsia="仿宋"/>
          <w:b/>
          <w:color w:val="000000" w:themeColor="text1"/>
          <w:sz w:val="36"/>
          <w:szCs w:val="44"/>
        </w:rPr>
        <w:t>第一章  招标公告</w:t>
      </w:r>
    </w:p>
    <w:p>
      <w:pPr>
        <w:widowControl/>
        <w:pBdr>
          <w:top w:val="single" w:color="auto" w:sz="4" w:space="1"/>
          <w:left w:val="single" w:color="auto" w:sz="4" w:space="4"/>
          <w:bottom w:val="single" w:color="auto" w:sz="4" w:space="1"/>
          <w:right w:val="single" w:color="auto" w:sz="4" w:space="4"/>
        </w:pBdr>
        <w:shd w:val="clear" w:color="auto" w:fill="FFFFFF"/>
        <w:jc w:val="left"/>
        <w:rPr>
          <w:rFonts w:ascii="微软雅黑" w:hAnsi="微软雅黑" w:eastAsia="微软雅黑" w:cs="宋体"/>
          <w:color w:val="000000" w:themeColor="text1"/>
          <w:kern w:val="0"/>
          <w:sz w:val="28"/>
          <w:szCs w:val="28"/>
        </w:rPr>
      </w:pPr>
      <w:r>
        <w:rPr>
          <w:rFonts w:hint="eastAsia" w:ascii="微软雅黑" w:hAnsi="微软雅黑" w:eastAsia="微软雅黑" w:cs="宋体"/>
          <w:color w:val="000000" w:themeColor="text1"/>
          <w:kern w:val="0"/>
          <w:sz w:val="28"/>
          <w:szCs w:val="28"/>
        </w:rPr>
        <w:t>项目概况</w:t>
      </w:r>
    </w:p>
    <w:p>
      <w:pPr>
        <w:widowControl/>
        <w:pBdr>
          <w:top w:val="single" w:color="auto" w:sz="4" w:space="1"/>
          <w:left w:val="single" w:color="auto" w:sz="4" w:space="4"/>
          <w:bottom w:val="single" w:color="auto" w:sz="4" w:space="1"/>
          <w:right w:val="single" w:color="auto" w:sz="4" w:space="4"/>
        </w:pBdr>
        <w:shd w:val="clear" w:color="auto" w:fill="FFFFFF"/>
        <w:rPr>
          <w:rFonts w:ascii="仿宋" w:hAnsi="仿宋" w:eastAsia="微软雅黑"/>
          <w:b/>
          <w:color w:val="000000" w:themeColor="text1"/>
          <w:sz w:val="36"/>
          <w:szCs w:val="44"/>
        </w:rPr>
      </w:pPr>
      <w:r>
        <w:rPr>
          <w:rFonts w:hint="eastAsia" w:ascii="微软雅黑" w:hAnsi="微软雅黑" w:eastAsia="微软雅黑" w:cs="宋体"/>
          <w:color w:val="000000" w:themeColor="text1"/>
          <w:kern w:val="0"/>
          <w:sz w:val="28"/>
          <w:szCs w:val="28"/>
        </w:rPr>
        <w:t xml:space="preserve">       </w:t>
      </w:r>
      <w:r>
        <w:rPr>
          <w:rFonts w:hint="eastAsia" w:ascii="微软雅黑" w:hAnsi="微软雅黑" w:eastAsia="微软雅黑" w:cs="宋体"/>
          <w:color w:val="000000" w:themeColor="text1"/>
          <w:kern w:val="0"/>
          <w:sz w:val="28"/>
          <w:szCs w:val="28"/>
          <w:u w:val="single"/>
        </w:rPr>
        <w:t>天台中学创新实验室和专用教室采购项目</w:t>
      </w:r>
      <w:r>
        <w:rPr>
          <w:rFonts w:hint="eastAsia" w:ascii="微软雅黑" w:hAnsi="微软雅黑" w:eastAsia="微软雅黑" w:cs="宋体"/>
          <w:color w:val="000000" w:themeColor="text1"/>
          <w:kern w:val="0"/>
          <w:sz w:val="28"/>
          <w:szCs w:val="28"/>
        </w:rPr>
        <w:t>的潜在供应商应在 </w:t>
      </w:r>
      <w:r>
        <w:rPr>
          <w:rFonts w:hint="eastAsia" w:ascii="微软雅黑" w:hAnsi="微软雅黑" w:eastAsia="微软雅黑" w:cs="宋体"/>
          <w:color w:val="000000" w:themeColor="text1"/>
          <w:kern w:val="0"/>
          <w:sz w:val="28"/>
          <w:szCs w:val="28"/>
          <w:u w:val="single"/>
        </w:rPr>
        <w:t>政府采购云平台（www.zcygov.cn） </w:t>
      </w:r>
      <w:r>
        <w:rPr>
          <w:rFonts w:hint="eastAsia" w:ascii="微软雅黑" w:hAnsi="微软雅黑" w:eastAsia="微软雅黑" w:cs="宋体"/>
          <w:color w:val="000000" w:themeColor="text1"/>
          <w:kern w:val="0"/>
          <w:sz w:val="28"/>
          <w:szCs w:val="28"/>
        </w:rPr>
        <w:t>获取（下载）招标文件,并于</w:t>
      </w:r>
      <w:r>
        <w:rPr>
          <w:rFonts w:hint="eastAsia" w:ascii="微软雅黑" w:hAnsi="微软雅黑" w:eastAsia="微软雅黑" w:cs="宋体"/>
          <w:color w:val="000000" w:themeColor="text1"/>
          <w:kern w:val="0"/>
          <w:sz w:val="28"/>
          <w:szCs w:val="28"/>
          <w:u w:val="single"/>
        </w:rPr>
        <w:t xml:space="preserve">2022年 5月 19日14：00 </w:t>
      </w:r>
      <w:r>
        <w:rPr>
          <w:rFonts w:hint="eastAsia" w:ascii="微软雅黑" w:hAnsi="微软雅黑" w:eastAsia="微软雅黑" w:cs="宋体"/>
          <w:color w:val="000000" w:themeColor="text1"/>
          <w:kern w:val="0"/>
          <w:sz w:val="28"/>
          <w:szCs w:val="28"/>
        </w:rPr>
        <w:t>（北京时间）前递交（上传）响应文件。</w:t>
      </w:r>
    </w:p>
    <w:p>
      <w:pPr>
        <w:pStyle w:val="32"/>
        <w:spacing w:before="0" w:beforeAutospacing="0" w:after="0" w:afterAutospacing="0" w:line="420" w:lineRule="exact"/>
        <w:rPr>
          <w:rFonts w:cs="宋体"/>
          <w:color w:val="000000" w:themeColor="text1"/>
        </w:rPr>
      </w:pPr>
      <w:r>
        <w:rPr>
          <w:rFonts w:hint="eastAsia" w:ascii="仿宋" w:hAnsi="仿宋" w:eastAsia="仿宋" w:cs="仿宋"/>
          <w:color w:val="000000" w:themeColor="text1"/>
          <w:sz w:val="27"/>
          <w:szCs w:val="27"/>
          <w:shd w:val="clear" w:color="auto" w:fill="FFFFFF"/>
        </w:rPr>
        <w:t>一、项目基本情况  </w:t>
      </w:r>
      <w:r>
        <w:rPr>
          <w:rFonts w:hint="eastAsia" w:cs="宋体"/>
          <w:color w:val="000000" w:themeColor="text1"/>
          <w:shd w:val="clear" w:color="auto" w:fill="FFFFFF"/>
        </w:rPr>
        <w:t xml:space="preserve">                                        </w:t>
      </w:r>
    </w:p>
    <w:p>
      <w:pPr>
        <w:pStyle w:val="32"/>
        <w:spacing w:before="0" w:beforeAutospacing="0" w:after="0" w:afterAutospacing="0" w:line="420" w:lineRule="exact"/>
        <w:rPr>
          <w:color w:val="000000" w:themeColor="text1"/>
        </w:rPr>
      </w:pPr>
      <w:r>
        <w:rPr>
          <w:rFonts w:hint="eastAsia" w:ascii="仿宋" w:hAnsi="仿宋" w:eastAsia="仿宋" w:cs="仿宋"/>
          <w:color w:val="000000" w:themeColor="text1"/>
          <w:sz w:val="27"/>
          <w:szCs w:val="27"/>
          <w:shd w:val="clear" w:color="auto" w:fill="FFFFFF"/>
        </w:rPr>
        <w:t>    项目编号：xzcg-2022-036(招) </w:t>
      </w:r>
    </w:p>
    <w:p>
      <w:pPr>
        <w:pStyle w:val="32"/>
        <w:spacing w:before="0" w:beforeAutospacing="0" w:after="0" w:afterAutospacing="0" w:line="420" w:lineRule="exact"/>
        <w:rPr>
          <w:rFonts w:eastAsia="仿宋"/>
          <w:color w:val="000000" w:themeColor="text1"/>
        </w:rPr>
      </w:pPr>
      <w:r>
        <w:rPr>
          <w:rFonts w:hint="eastAsia" w:ascii="仿宋" w:hAnsi="仿宋" w:eastAsia="仿宋" w:cs="仿宋"/>
          <w:color w:val="000000" w:themeColor="text1"/>
          <w:sz w:val="27"/>
          <w:szCs w:val="27"/>
          <w:shd w:val="clear" w:color="auto" w:fill="FFFFFF"/>
        </w:rPr>
        <w:t>    项目名称： 天台中学创新实验室和专用教室采购项目</w:t>
      </w:r>
    </w:p>
    <w:p>
      <w:pPr>
        <w:pStyle w:val="32"/>
        <w:spacing w:before="0" w:beforeAutospacing="0" w:after="0" w:afterAutospacing="0" w:line="420" w:lineRule="exact"/>
        <w:rPr>
          <w:rFonts w:eastAsia="仿宋"/>
          <w:color w:val="000000" w:themeColor="text1"/>
        </w:rPr>
      </w:pPr>
      <w:r>
        <w:rPr>
          <w:rFonts w:hint="eastAsia" w:ascii="仿宋" w:hAnsi="仿宋" w:eastAsia="仿宋" w:cs="仿宋"/>
          <w:color w:val="000000" w:themeColor="text1"/>
          <w:sz w:val="27"/>
          <w:szCs w:val="27"/>
          <w:shd w:val="clear" w:color="auto" w:fill="FFFFFF"/>
        </w:rPr>
        <w:t>    预算金额（元）：8450000</w:t>
      </w:r>
    </w:p>
    <w:p>
      <w:pPr>
        <w:pStyle w:val="32"/>
        <w:spacing w:before="0" w:beforeAutospacing="0" w:after="0" w:afterAutospacing="0" w:line="420" w:lineRule="exact"/>
        <w:rPr>
          <w:color w:val="000000" w:themeColor="text1"/>
        </w:rPr>
      </w:pPr>
      <w:r>
        <w:rPr>
          <w:rFonts w:hint="eastAsia" w:ascii="仿宋" w:hAnsi="仿宋" w:eastAsia="仿宋" w:cs="仿宋"/>
          <w:color w:val="000000" w:themeColor="text1"/>
          <w:sz w:val="27"/>
          <w:szCs w:val="27"/>
          <w:shd w:val="clear" w:color="auto" w:fill="FFFFFF"/>
        </w:rPr>
        <w:t>   采购需求：</w:t>
      </w:r>
    </w:p>
    <w:p>
      <w:pPr>
        <w:pStyle w:val="32"/>
        <w:spacing w:before="0" w:beforeAutospacing="0" w:after="0" w:afterAutospacing="0" w:line="420" w:lineRule="exact"/>
        <w:rPr>
          <w:rFonts w:ascii="仿宋" w:hAnsi="仿宋" w:eastAsia="仿宋" w:cs="仿宋"/>
          <w:color w:val="000000" w:themeColor="text1"/>
          <w:sz w:val="27"/>
          <w:szCs w:val="27"/>
          <w:shd w:val="clear" w:color="auto" w:fill="FFFFFF"/>
        </w:rPr>
      </w:pPr>
      <w:r>
        <w:rPr>
          <w:rFonts w:hint="eastAsia" w:ascii="仿宋" w:hAnsi="仿宋" w:eastAsia="仿宋" w:cs="仿宋"/>
          <w:color w:val="000000" w:themeColor="text1"/>
          <w:sz w:val="27"/>
          <w:szCs w:val="27"/>
          <w:shd w:val="clear" w:color="auto" w:fill="FFFFFF"/>
        </w:rPr>
        <w:t xml:space="preserve">   标项一:</w:t>
      </w:r>
      <w:r>
        <w:rPr>
          <w:rFonts w:hint="eastAsia" w:ascii="仿宋" w:hAnsi="仿宋" w:eastAsia="仿宋" w:cs="仿宋"/>
          <w:color w:val="000000" w:themeColor="text1"/>
          <w:sz w:val="27"/>
          <w:szCs w:val="27"/>
          <w:shd w:val="clear" w:color="auto" w:fill="FFFFFF"/>
        </w:rPr>
        <w:br w:type="textWrapping"/>
      </w:r>
      <w:r>
        <w:rPr>
          <w:rFonts w:hint="eastAsia" w:ascii="仿宋" w:hAnsi="仿宋" w:eastAsia="仿宋" w:cs="仿宋"/>
          <w:color w:val="000000" w:themeColor="text1"/>
          <w:sz w:val="27"/>
          <w:szCs w:val="27"/>
          <w:shd w:val="clear" w:color="auto" w:fill="FFFFFF"/>
        </w:rPr>
        <w:t>    标项名称: 天台中学创新实验室和专用教室采购项目 （标项一） </w:t>
      </w:r>
      <w:r>
        <w:rPr>
          <w:rFonts w:hint="eastAsia" w:ascii="仿宋" w:hAnsi="仿宋" w:eastAsia="仿宋" w:cs="仿宋"/>
          <w:color w:val="000000" w:themeColor="text1"/>
          <w:sz w:val="27"/>
          <w:szCs w:val="27"/>
          <w:shd w:val="clear" w:color="auto" w:fill="FFFFFF"/>
        </w:rPr>
        <w:br w:type="textWrapping"/>
      </w:r>
      <w:r>
        <w:rPr>
          <w:rFonts w:hint="eastAsia" w:ascii="仿宋" w:hAnsi="仿宋" w:eastAsia="仿宋" w:cs="仿宋"/>
          <w:color w:val="000000" w:themeColor="text1"/>
          <w:sz w:val="27"/>
          <w:szCs w:val="27"/>
          <w:shd w:val="clear" w:color="auto" w:fill="FFFFFF"/>
        </w:rPr>
        <w:t>    数量: 1批 </w:t>
      </w:r>
      <w:r>
        <w:rPr>
          <w:rFonts w:hint="eastAsia" w:ascii="仿宋" w:hAnsi="仿宋" w:eastAsia="仿宋" w:cs="仿宋"/>
          <w:color w:val="000000" w:themeColor="text1"/>
          <w:sz w:val="27"/>
          <w:szCs w:val="27"/>
          <w:shd w:val="clear" w:color="auto" w:fill="FFFFFF"/>
        </w:rPr>
        <w:br w:type="textWrapping"/>
      </w:r>
      <w:r>
        <w:rPr>
          <w:rFonts w:hint="eastAsia" w:ascii="仿宋" w:hAnsi="仿宋" w:eastAsia="仿宋" w:cs="仿宋"/>
          <w:color w:val="000000" w:themeColor="text1"/>
          <w:sz w:val="27"/>
          <w:szCs w:val="27"/>
          <w:shd w:val="clear" w:color="auto" w:fill="FFFFFF"/>
        </w:rPr>
        <w:t>    预算金额（元）:5200000</w:t>
      </w:r>
    </w:p>
    <w:p>
      <w:pPr>
        <w:pStyle w:val="32"/>
        <w:spacing w:before="0" w:beforeAutospacing="0" w:after="0" w:afterAutospacing="0" w:line="420" w:lineRule="exact"/>
        <w:ind w:firstLine="270" w:firstLineChars="100"/>
        <w:rPr>
          <w:rFonts w:ascii="仿宋" w:hAnsi="仿宋" w:eastAsia="仿宋" w:cs="仿宋"/>
          <w:color w:val="000000" w:themeColor="text1"/>
          <w:sz w:val="27"/>
          <w:szCs w:val="27"/>
          <w:shd w:val="clear" w:color="auto" w:fill="FFFFFF"/>
        </w:rPr>
      </w:pPr>
      <w:r>
        <w:rPr>
          <w:rFonts w:hint="eastAsia" w:ascii="仿宋" w:hAnsi="仿宋" w:eastAsia="仿宋" w:cs="仿宋"/>
          <w:color w:val="000000" w:themeColor="text1"/>
          <w:sz w:val="27"/>
          <w:szCs w:val="27"/>
          <w:shd w:val="clear" w:color="auto" w:fill="FFFFFF"/>
        </w:rPr>
        <w:t>简要规格描述或项目基本概况介绍、用途：天台中学专用教室采购及安装 </w:t>
      </w:r>
    </w:p>
    <w:p>
      <w:pPr>
        <w:pStyle w:val="32"/>
        <w:spacing w:before="0" w:beforeAutospacing="0" w:after="0" w:afterAutospacing="0" w:line="420" w:lineRule="exact"/>
        <w:rPr>
          <w:rFonts w:ascii="仿宋" w:hAnsi="仿宋" w:eastAsia="仿宋" w:cs="仿宋"/>
          <w:color w:val="000000" w:themeColor="text1"/>
          <w:sz w:val="27"/>
          <w:szCs w:val="27"/>
          <w:shd w:val="clear" w:color="auto" w:fill="FFFFFF"/>
        </w:rPr>
      </w:pPr>
      <w:r>
        <w:rPr>
          <w:rFonts w:hint="eastAsia" w:ascii="仿宋" w:hAnsi="仿宋" w:eastAsia="仿宋" w:cs="仿宋"/>
          <w:color w:val="000000" w:themeColor="text1"/>
          <w:sz w:val="27"/>
          <w:szCs w:val="27"/>
          <w:shd w:val="clear" w:color="auto" w:fill="FFFFFF"/>
        </w:rPr>
        <w:t>    标项二:</w:t>
      </w:r>
      <w:r>
        <w:rPr>
          <w:rFonts w:hint="eastAsia" w:ascii="仿宋" w:hAnsi="仿宋" w:eastAsia="仿宋" w:cs="仿宋"/>
          <w:color w:val="000000" w:themeColor="text1"/>
          <w:sz w:val="27"/>
          <w:szCs w:val="27"/>
          <w:shd w:val="clear" w:color="auto" w:fill="FFFFFF"/>
        </w:rPr>
        <w:br w:type="textWrapping"/>
      </w:r>
      <w:r>
        <w:rPr>
          <w:rFonts w:hint="eastAsia" w:ascii="仿宋" w:hAnsi="仿宋" w:eastAsia="仿宋" w:cs="仿宋"/>
          <w:color w:val="000000" w:themeColor="text1"/>
          <w:sz w:val="27"/>
          <w:szCs w:val="27"/>
          <w:shd w:val="clear" w:color="auto" w:fill="FFFFFF"/>
        </w:rPr>
        <w:t>    标项名称: 天台中学创新实验室和专用教室采购项目 （标项二） </w:t>
      </w:r>
      <w:r>
        <w:rPr>
          <w:rFonts w:hint="eastAsia" w:ascii="仿宋" w:hAnsi="仿宋" w:eastAsia="仿宋" w:cs="仿宋"/>
          <w:color w:val="000000" w:themeColor="text1"/>
          <w:sz w:val="27"/>
          <w:szCs w:val="27"/>
          <w:shd w:val="clear" w:color="auto" w:fill="FFFFFF"/>
        </w:rPr>
        <w:br w:type="textWrapping"/>
      </w:r>
      <w:r>
        <w:rPr>
          <w:rFonts w:hint="eastAsia" w:ascii="仿宋" w:hAnsi="仿宋" w:eastAsia="仿宋" w:cs="仿宋"/>
          <w:color w:val="000000" w:themeColor="text1"/>
          <w:sz w:val="27"/>
          <w:szCs w:val="27"/>
          <w:shd w:val="clear" w:color="auto" w:fill="FFFFFF"/>
        </w:rPr>
        <w:t>    数量: 1批 </w:t>
      </w:r>
      <w:r>
        <w:rPr>
          <w:rFonts w:hint="eastAsia" w:ascii="仿宋" w:hAnsi="仿宋" w:eastAsia="仿宋" w:cs="仿宋"/>
          <w:color w:val="000000" w:themeColor="text1"/>
          <w:sz w:val="27"/>
          <w:szCs w:val="27"/>
          <w:shd w:val="clear" w:color="auto" w:fill="FFFFFF"/>
        </w:rPr>
        <w:br w:type="textWrapping"/>
      </w:r>
      <w:r>
        <w:rPr>
          <w:rFonts w:hint="eastAsia" w:ascii="仿宋" w:hAnsi="仿宋" w:eastAsia="仿宋" w:cs="仿宋"/>
          <w:color w:val="000000" w:themeColor="text1"/>
          <w:sz w:val="27"/>
          <w:szCs w:val="27"/>
          <w:shd w:val="clear" w:color="auto" w:fill="FFFFFF"/>
        </w:rPr>
        <w:t>    预算金额（元）:3250000</w:t>
      </w:r>
    </w:p>
    <w:p>
      <w:pPr>
        <w:pStyle w:val="32"/>
        <w:spacing w:before="0" w:beforeAutospacing="0" w:after="0" w:afterAutospacing="0" w:line="420" w:lineRule="exact"/>
        <w:ind w:firstLine="270" w:firstLineChars="100"/>
        <w:rPr>
          <w:rFonts w:ascii="仿宋" w:hAnsi="仿宋" w:eastAsia="仿宋" w:cs="仿宋"/>
          <w:color w:val="000000" w:themeColor="text1"/>
          <w:sz w:val="27"/>
          <w:szCs w:val="27"/>
          <w:shd w:val="clear" w:color="auto" w:fill="FFFFFF"/>
        </w:rPr>
      </w:pPr>
      <w:r>
        <w:rPr>
          <w:rFonts w:hint="eastAsia" w:ascii="仿宋" w:hAnsi="仿宋" w:eastAsia="仿宋" w:cs="仿宋"/>
          <w:color w:val="000000" w:themeColor="text1"/>
          <w:sz w:val="27"/>
          <w:szCs w:val="27"/>
          <w:shd w:val="clear" w:color="auto" w:fill="FFFFFF"/>
        </w:rPr>
        <w:t>简要规格描述或项目基本概况介绍、用途：天台中学学科教室有关智能化设备采购 </w:t>
      </w:r>
    </w:p>
    <w:p>
      <w:pPr>
        <w:pStyle w:val="32"/>
        <w:spacing w:before="0" w:beforeAutospacing="0" w:after="0" w:afterAutospacing="0" w:line="420" w:lineRule="exact"/>
        <w:rPr>
          <w:color w:val="000000" w:themeColor="text1"/>
        </w:rPr>
      </w:pPr>
      <w:r>
        <w:rPr>
          <w:rFonts w:hint="eastAsia" w:ascii="仿宋" w:hAnsi="仿宋" w:eastAsia="仿宋" w:cs="仿宋"/>
          <w:color w:val="000000" w:themeColor="text1"/>
          <w:sz w:val="27"/>
          <w:szCs w:val="27"/>
          <w:shd w:val="clear" w:color="auto" w:fill="FFFFFF"/>
        </w:rPr>
        <w:t>合同履约期限：详见招标文件</w:t>
      </w:r>
    </w:p>
    <w:p>
      <w:pPr>
        <w:pStyle w:val="32"/>
        <w:spacing w:before="0" w:beforeAutospacing="0" w:after="0" w:afterAutospacing="0" w:line="420" w:lineRule="exact"/>
        <w:rPr>
          <w:color w:val="000000" w:themeColor="text1"/>
        </w:rPr>
      </w:pPr>
      <w:r>
        <w:rPr>
          <w:rFonts w:hint="eastAsia" w:ascii="仿宋" w:hAnsi="仿宋" w:eastAsia="仿宋" w:cs="仿宋"/>
          <w:color w:val="000000" w:themeColor="text1"/>
          <w:sz w:val="27"/>
          <w:szCs w:val="27"/>
          <w:shd w:val="clear" w:color="auto" w:fill="FFFFFF"/>
        </w:rPr>
        <w:t>    本项目（否）接受联合体投标。</w:t>
      </w:r>
    </w:p>
    <w:p>
      <w:pPr>
        <w:pStyle w:val="32"/>
        <w:spacing w:before="0" w:beforeAutospacing="0" w:after="0" w:afterAutospacing="0" w:line="420" w:lineRule="exact"/>
        <w:rPr>
          <w:color w:val="000000" w:themeColor="text1"/>
        </w:rPr>
      </w:pPr>
      <w:r>
        <w:rPr>
          <w:rStyle w:val="39"/>
          <w:rFonts w:hint="eastAsia" w:ascii="仿宋" w:hAnsi="仿宋" w:eastAsia="仿宋" w:cs="仿宋"/>
          <w:color w:val="000000" w:themeColor="text1"/>
          <w:shd w:val="clear" w:color="auto" w:fill="FFFFFF"/>
        </w:rPr>
        <w:t>二、申请人的资格要求：</w:t>
      </w:r>
    </w:p>
    <w:p>
      <w:pPr>
        <w:pStyle w:val="32"/>
        <w:spacing w:before="0" w:beforeAutospacing="0" w:after="0" w:afterAutospacing="0" w:line="420" w:lineRule="exact"/>
        <w:rPr>
          <w:color w:val="000000" w:themeColor="text1"/>
        </w:rPr>
      </w:pPr>
      <w:r>
        <w:rPr>
          <w:rFonts w:hint="eastAsia" w:ascii="仿宋" w:hAnsi="仿宋" w:eastAsia="仿宋" w:cs="仿宋"/>
          <w:color w:val="000000" w:themeColor="text1"/>
          <w:sz w:val="27"/>
          <w:szCs w:val="27"/>
          <w:shd w:val="clear" w:color="auto" w:fill="FFFFFF"/>
        </w:rPr>
        <w:t>    1.满足《中华人民共和国政府采购法》第二十二条规定；未被“信用中国”（www.creditchina.gov.cn)、中国政府采购网（www.ccgp.gov.cn）列入失信被执行人、重大税收违法案件当事人名单、政府采购严重违法失信行为记录名单。</w:t>
      </w:r>
    </w:p>
    <w:p>
      <w:pPr>
        <w:pStyle w:val="32"/>
        <w:spacing w:before="0" w:beforeAutospacing="0" w:after="0" w:afterAutospacing="0" w:line="420" w:lineRule="exact"/>
        <w:rPr>
          <w:color w:val="000000" w:themeColor="text1"/>
        </w:rPr>
      </w:pPr>
      <w:r>
        <w:rPr>
          <w:rFonts w:hint="eastAsia" w:ascii="仿宋" w:hAnsi="仿宋" w:eastAsia="仿宋" w:cs="仿宋"/>
          <w:color w:val="000000" w:themeColor="text1"/>
          <w:sz w:val="27"/>
          <w:szCs w:val="27"/>
          <w:shd w:val="clear" w:color="auto" w:fill="FFFFFF"/>
        </w:rPr>
        <w:t>    2.落实政府采购政策需满足的资格要求：标项二供应商为中小企业/小微企业  </w:t>
      </w:r>
    </w:p>
    <w:p>
      <w:pPr>
        <w:pStyle w:val="32"/>
        <w:spacing w:before="0" w:beforeAutospacing="0" w:after="0" w:afterAutospacing="0" w:line="420" w:lineRule="exact"/>
        <w:rPr>
          <w:color w:val="000000" w:themeColor="text1"/>
        </w:rPr>
      </w:pPr>
      <w:r>
        <w:rPr>
          <w:rFonts w:hint="eastAsia" w:ascii="仿宋" w:hAnsi="仿宋" w:eastAsia="仿宋" w:cs="仿宋"/>
          <w:color w:val="000000" w:themeColor="text1"/>
          <w:sz w:val="27"/>
          <w:szCs w:val="27"/>
          <w:shd w:val="clear" w:color="auto" w:fill="FFFFFF"/>
        </w:rPr>
        <w:t>    3.本项目的特定资格要求：无 </w:t>
      </w:r>
    </w:p>
    <w:p>
      <w:pPr>
        <w:pStyle w:val="32"/>
        <w:shd w:val="clear" w:color="auto" w:fill="FFFFFF"/>
        <w:spacing w:before="0" w:beforeAutospacing="0" w:after="0" w:afterAutospacing="0" w:line="420" w:lineRule="exact"/>
        <w:jc w:val="both"/>
        <w:rPr>
          <w:rFonts w:cs="宋体"/>
          <w:color w:val="000000" w:themeColor="text1"/>
        </w:rPr>
      </w:pPr>
      <w:r>
        <w:rPr>
          <w:rStyle w:val="39"/>
          <w:rFonts w:hint="eastAsia" w:cs="宋体"/>
          <w:color w:val="000000" w:themeColor="text1"/>
          <w:sz w:val="27"/>
          <w:szCs w:val="27"/>
          <w:shd w:val="clear" w:color="auto" w:fill="FFFFFF"/>
        </w:rPr>
        <w:t>三、获取招标文件</w:t>
      </w:r>
      <w:r>
        <w:rPr>
          <w:rFonts w:hint="eastAsia" w:cs="宋体"/>
          <w:color w:val="000000" w:themeColor="text1"/>
          <w:shd w:val="clear" w:color="auto" w:fill="FFFFFF"/>
        </w:rPr>
        <w:t> </w:t>
      </w:r>
    </w:p>
    <w:p>
      <w:pPr>
        <w:pStyle w:val="32"/>
        <w:spacing w:before="0" w:beforeAutospacing="0" w:after="0" w:afterAutospacing="0" w:line="420" w:lineRule="exact"/>
        <w:ind w:left="270" w:hanging="270" w:hangingChars="100"/>
        <w:rPr>
          <w:color w:val="000000" w:themeColor="text1"/>
        </w:rPr>
      </w:pPr>
      <w:r>
        <w:rPr>
          <w:rFonts w:hint="eastAsia" w:ascii="仿宋" w:hAnsi="仿宋" w:eastAsia="仿宋" w:cs="仿宋"/>
          <w:color w:val="000000" w:themeColor="text1"/>
          <w:sz w:val="27"/>
          <w:szCs w:val="27"/>
          <w:shd w:val="clear" w:color="auto" w:fill="FFFFFF"/>
        </w:rPr>
        <w:t>    时间：2022年 4月29日至2022年5月19日，每天上午00:00至12:00 ，下午12:00至23:59（北京时间，线上获取法定节假日均可，线下获取文件法定节假日除外）</w:t>
      </w:r>
    </w:p>
    <w:p>
      <w:pPr>
        <w:pStyle w:val="32"/>
        <w:spacing w:before="0" w:beforeAutospacing="0" w:after="0" w:afterAutospacing="0" w:line="420" w:lineRule="exact"/>
        <w:rPr>
          <w:color w:val="000000" w:themeColor="text1"/>
        </w:rPr>
      </w:pPr>
      <w:r>
        <w:rPr>
          <w:rFonts w:hint="eastAsia" w:ascii="仿宋" w:hAnsi="仿宋" w:eastAsia="仿宋" w:cs="仿宋"/>
          <w:color w:val="000000" w:themeColor="text1"/>
          <w:sz w:val="27"/>
          <w:szCs w:val="27"/>
          <w:shd w:val="clear" w:color="auto" w:fill="FFFFFF"/>
        </w:rPr>
        <w:t>    地点（网址）：在政府采购云平台（www.zcygov.cn） </w:t>
      </w:r>
    </w:p>
    <w:p>
      <w:pPr>
        <w:pStyle w:val="32"/>
        <w:spacing w:before="0" w:beforeAutospacing="0" w:after="0" w:afterAutospacing="0" w:line="420" w:lineRule="exact"/>
        <w:rPr>
          <w:color w:val="000000" w:themeColor="text1"/>
        </w:rPr>
      </w:pPr>
      <w:r>
        <w:rPr>
          <w:rFonts w:hint="eastAsia" w:ascii="仿宋" w:hAnsi="仿宋" w:eastAsia="仿宋" w:cs="仿宋"/>
          <w:color w:val="000000" w:themeColor="text1"/>
          <w:sz w:val="27"/>
          <w:szCs w:val="27"/>
          <w:shd w:val="clear" w:color="auto" w:fill="FFFFFF"/>
        </w:rPr>
        <w:t>    方式：自主获取 </w:t>
      </w:r>
    </w:p>
    <w:p>
      <w:pPr>
        <w:pStyle w:val="32"/>
        <w:spacing w:before="0" w:beforeAutospacing="0" w:after="0" w:afterAutospacing="0" w:line="420" w:lineRule="exact"/>
        <w:rPr>
          <w:color w:val="000000" w:themeColor="text1"/>
        </w:rPr>
      </w:pPr>
      <w:r>
        <w:rPr>
          <w:rFonts w:hint="eastAsia" w:ascii="仿宋" w:hAnsi="仿宋" w:eastAsia="仿宋" w:cs="仿宋"/>
          <w:color w:val="000000" w:themeColor="text1"/>
          <w:sz w:val="27"/>
          <w:szCs w:val="27"/>
          <w:shd w:val="clear" w:color="auto" w:fill="FFFFFF"/>
        </w:rPr>
        <w:t>    售价（元）：0</w:t>
      </w:r>
      <w:r>
        <w:rPr>
          <w:rFonts w:hint="eastAsia" w:ascii="仿宋" w:hAnsi="仿宋" w:eastAsia="仿宋" w:cs="仿宋"/>
          <w:color w:val="000000" w:themeColor="text1"/>
          <w:shd w:val="clear" w:color="auto" w:fill="FFFFFF"/>
        </w:rPr>
        <w:t> </w:t>
      </w:r>
    </w:p>
    <w:p>
      <w:pPr>
        <w:pStyle w:val="32"/>
        <w:shd w:val="clear" w:color="auto" w:fill="FFFFFF"/>
        <w:spacing w:before="0" w:beforeAutospacing="0" w:after="0" w:afterAutospacing="0" w:line="420" w:lineRule="exact"/>
        <w:jc w:val="both"/>
        <w:rPr>
          <w:rFonts w:cs="宋体"/>
          <w:color w:val="000000" w:themeColor="text1"/>
        </w:rPr>
      </w:pPr>
      <w:r>
        <w:rPr>
          <w:rStyle w:val="39"/>
          <w:rFonts w:hint="eastAsia" w:cs="宋体"/>
          <w:color w:val="000000" w:themeColor="text1"/>
          <w:sz w:val="27"/>
          <w:szCs w:val="27"/>
          <w:shd w:val="clear" w:color="auto" w:fill="FFFFFF"/>
        </w:rPr>
        <w:t>四、提交投标文件截止时间、开标时间和地点</w:t>
      </w:r>
    </w:p>
    <w:p>
      <w:pPr>
        <w:pStyle w:val="32"/>
        <w:spacing w:before="0" w:beforeAutospacing="0" w:after="0" w:afterAutospacing="0" w:line="420" w:lineRule="exact"/>
        <w:rPr>
          <w:color w:val="000000" w:themeColor="text1"/>
        </w:rPr>
      </w:pPr>
      <w:r>
        <w:rPr>
          <w:rFonts w:hint="eastAsia" w:ascii="仿宋" w:hAnsi="仿宋" w:eastAsia="仿宋" w:cs="仿宋"/>
          <w:color w:val="000000" w:themeColor="text1"/>
          <w:sz w:val="27"/>
          <w:szCs w:val="27"/>
          <w:shd w:val="clear" w:color="auto" w:fill="FFFFFF"/>
        </w:rPr>
        <w:t>    提交投标文件截止时间：2022年5月 19日14:00（北京时间）</w:t>
      </w:r>
    </w:p>
    <w:p>
      <w:pPr>
        <w:pStyle w:val="32"/>
        <w:spacing w:before="0" w:beforeAutospacing="0" w:after="0" w:afterAutospacing="0" w:line="420" w:lineRule="exact"/>
        <w:rPr>
          <w:color w:val="000000" w:themeColor="text1"/>
        </w:rPr>
      </w:pPr>
      <w:r>
        <w:rPr>
          <w:rFonts w:hint="eastAsia" w:ascii="仿宋" w:hAnsi="仿宋" w:eastAsia="仿宋" w:cs="仿宋"/>
          <w:color w:val="000000" w:themeColor="text1"/>
          <w:sz w:val="27"/>
          <w:szCs w:val="27"/>
          <w:shd w:val="clear" w:color="auto" w:fill="FFFFFF"/>
        </w:rPr>
        <w:t>    投标地点（网址）：在政府采购云平台（www.zcygov.cn）</w:t>
      </w:r>
      <w:r>
        <w:rPr>
          <w:rFonts w:hint="eastAsia" w:ascii="仿宋" w:hAnsi="仿宋" w:eastAsia="仿宋" w:cs="仿宋"/>
          <w:color w:val="000000" w:themeColor="text1"/>
          <w:shd w:val="clear" w:color="auto" w:fill="FFFFFF"/>
        </w:rPr>
        <w:t> </w:t>
      </w:r>
    </w:p>
    <w:p>
      <w:pPr>
        <w:pStyle w:val="32"/>
        <w:spacing w:before="0" w:beforeAutospacing="0" w:after="0" w:afterAutospacing="0" w:line="420" w:lineRule="exact"/>
        <w:rPr>
          <w:rFonts w:eastAsia="仿宋"/>
          <w:color w:val="000000" w:themeColor="text1"/>
        </w:rPr>
      </w:pPr>
      <w:r>
        <w:rPr>
          <w:rFonts w:hint="eastAsia" w:ascii="仿宋" w:hAnsi="仿宋" w:eastAsia="仿宋" w:cs="仿宋"/>
          <w:color w:val="000000" w:themeColor="text1"/>
          <w:sz w:val="27"/>
          <w:szCs w:val="27"/>
          <w:shd w:val="clear" w:color="auto" w:fill="FFFFFF"/>
        </w:rPr>
        <w:t>    开标时间：2022年5月 19日14:00（北京时间）</w:t>
      </w:r>
    </w:p>
    <w:p>
      <w:pPr>
        <w:pStyle w:val="32"/>
        <w:spacing w:before="0" w:beforeAutospacing="0" w:after="0" w:afterAutospacing="0" w:line="420" w:lineRule="exact"/>
        <w:rPr>
          <w:color w:val="000000" w:themeColor="text1"/>
        </w:rPr>
      </w:pPr>
      <w:r>
        <w:rPr>
          <w:rFonts w:hint="eastAsia" w:ascii="仿宋" w:hAnsi="仿宋" w:eastAsia="仿宋" w:cs="仿宋"/>
          <w:color w:val="000000" w:themeColor="text1"/>
          <w:sz w:val="27"/>
          <w:szCs w:val="27"/>
          <w:shd w:val="clear" w:color="auto" w:fill="FFFFFF"/>
        </w:rPr>
        <w:t>    开标地点（网址）：天台县公共资源交易中心（天台县始丰街道玉龙路1号行政大楼B楼一楼东侧开标大厅）</w:t>
      </w:r>
      <w:r>
        <w:rPr>
          <w:rFonts w:hint="eastAsia" w:ascii="仿宋" w:hAnsi="仿宋" w:eastAsia="仿宋" w:cs="仿宋"/>
          <w:color w:val="000000" w:themeColor="text1"/>
          <w:shd w:val="clear" w:color="auto" w:fill="FFFFFF"/>
        </w:rPr>
        <w:t>  </w:t>
      </w:r>
    </w:p>
    <w:p>
      <w:pPr>
        <w:pStyle w:val="32"/>
        <w:shd w:val="clear" w:color="auto" w:fill="FFFFFF"/>
        <w:spacing w:before="0" w:beforeAutospacing="0" w:after="0" w:afterAutospacing="0" w:line="420" w:lineRule="exact"/>
        <w:jc w:val="both"/>
        <w:rPr>
          <w:rFonts w:cs="宋体"/>
          <w:color w:val="000000" w:themeColor="text1"/>
        </w:rPr>
      </w:pPr>
      <w:r>
        <w:rPr>
          <w:rStyle w:val="39"/>
          <w:rFonts w:hint="eastAsia" w:cs="宋体"/>
          <w:color w:val="000000" w:themeColor="text1"/>
          <w:sz w:val="27"/>
          <w:szCs w:val="27"/>
          <w:shd w:val="clear" w:color="auto" w:fill="FFFFFF"/>
        </w:rPr>
        <w:t>五、公告期限</w:t>
      </w:r>
      <w:r>
        <w:rPr>
          <w:rFonts w:hint="eastAsia" w:cs="宋体"/>
          <w:color w:val="000000" w:themeColor="text1"/>
          <w:shd w:val="clear" w:color="auto" w:fill="FFFFFF"/>
        </w:rPr>
        <w:t> </w:t>
      </w:r>
    </w:p>
    <w:p>
      <w:pPr>
        <w:pStyle w:val="32"/>
        <w:shd w:val="clear" w:color="auto" w:fill="FFFFFF"/>
        <w:spacing w:before="0" w:beforeAutospacing="0" w:after="0" w:afterAutospacing="0" w:line="420" w:lineRule="exact"/>
        <w:rPr>
          <w:rFonts w:cs="宋体"/>
          <w:color w:val="000000" w:themeColor="text1"/>
          <w:sz w:val="22"/>
          <w:szCs w:val="22"/>
        </w:rPr>
      </w:pPr>
      <w:r>
        <w:rPr>
          <w:rFonts w:ascii="仿宋" w:hAnsi="仿宋" w:eastAsia="仿宋" w:cs="仿宋"/>
          <w:color w:val="000000" w:themeColor="text1"/>
          <w:sz w:val="27"/>
          <w:szCs w:val="27"/>
          <w:shd w:val="clear" w:color="auto" w:fill="FFFFFF"/>
        </w:rPr>
        <w:t>    自本公告发布之日起5个工作日。</w:t>
      </w:r>
    </w:p>
    <w:p>
      <w:pPr>
        <w:pStyle w:val="32"/>
        <w:shd w:val="clear" w:color="auto" w:fill="FFFFFF"/>
        <w:spacing w:before="0" w:beforeAutospacing="0" w:after="0" w:afterAutospacing="0" w:line="420" w:lineRule="exact"/>
        <w:jc w:val="both"/>
        <w:rPr>
          <w:rFonts w:cs="宋体"/>
          <w:color w:val="000000" w:themeColor="text1"/>
        </w:rPr>
      </w:pPr>
      <w:r>
        <w:rPr>
          <w:rStyle w:val="39"/>
          <w:rFonts w:hint="eastAsia" w:cs="宋体"/>
          <w:color w:val="000000" w:themeColor="text1"/>
          <w:sz w:val="27"/>
          <w:szCs w:val="27"/>
          <w:shd w:val="clear" w:color="auto" w:fill="FFFFFF"/>
        </w:rPr>
        <w:t>六、其他补充事宜</w:t>
      </w:r>
    </w:p>
    <w:p>
      <w:pPr>
        <w:pStyle w:val="32"/>
        <w:shd w:val="clear" w:color="auto" w:fill="FFFFFF"/>
        <w:spacing w:before="0" w:beforeAutospacing="0" w:after="0" w:afterAutospacing="0" w:line="420" w:lineRule="exact"/>
        <w:rPr>
          <w:rFonts w:cs="宋体"/>
          <w:color w:val="000000" w:themeColor="text1"/>
        </w:rPr>
      </w:pPr>
      <w:r>
        <w:rPr>
          <w:rFonts w:hint="eastAsia" w:ascii="仿宋" w:hAnsi="仿宋" w:eastAsia="仿宋" w:cs="仿宋"/>
          <w:color w:val="000000" w:themeColor="text1"/>
          <w:sz w:val="27"/>
          <w:szCs w:val="27"/>
          <w:shd w:val="clear" w:color="auto" w:fill="FFFFFF"/>
        </w:rPr>
        <w:t>    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r>
        <w:rPr>
          <w:rFonts w:hint="eastAsia" w:ascii="仿宋" w:hAnsi="仿宋" w:eastAsia="仿宋" w:cs="仿宋"/>
          <w:color w:val="000000" w:themeColor="text1"/>
          <w:sz w:val="27"/>
          <w:szCs w:val="27"/>
          <w:shd w:val="clear" w:color="auto" w:fill="FFFFFF"/>
        </w:rPr>
        <w:br w:type="textWrapping"/>
      </w:r>
      <w:r>
        <w:rPr>
          <w:rFonts w:hint="eastAsia" w:ascii="仿宋" w:hAnsi="仿宋" w:eastAsia="仿宋" w:cs="仿宋"/>
          <w:color w:val="000000" w:themeColor="text1"/>
          <w:sz w:val="27"/>
          <w:szCs w:val="27"/>
          <w:shd w:val="clear" w:color="auto" w:fill="FFFFFF"/>
        </w:rPr>
        <w:t>    2.其他事项：无  </w:t>
      </w:r>
    </w:p>
    <w:p>
      <w:pPr>
        <w:pStyle w:val="8"/>
        <w:spacing w:line="420" w:lineRule="exact"/>
        <w:ind w:firstLine="0"/>
        <w:rPr>
          <w:rStyle w:val="39"/>
          <w:rFonts w:hAnsi="宋体" w:cs="宋体"/>
          <w:color w:val="000000" w:themeColor="text1"/>
          <w:kern w:val="0"/>
          <w:sz w:val="27"/>
          <w:szCs w:val="27"/>
          <w:shd w:val="clear" w:color="auto" w:fill="FFFFFF"/>
        </w:rPr>
      </w:pPr>
      <w:r>
        <w:rPr>
          <w:rStyle w:val="39"/>
          <w:rFonts w:hint="eastAsia" w:hAnsi="宋体" w:cs="宋体"/>
          <w:color w:val="000000" w:themeColor="text1"/>
          <w:kern w:val="0"/>
          <w:sz w:val="27"/>
          <w:szCs w:val="27"/>
          <w:shd w:val="clear" w:color="auto" w:fill="FFFFFF"/>
        </w:rPr>
        <w:t>七、不见面开标直播</w:t>
      </w:r>
    </w:p>
    <w:p>
      <w:pPr>
        <w:pStyle w:val="8"/>
        <w:spacing w:line="420" w:lineRule="exact"/>
        <w:ind w:firstLine="480"/>
        <w:rPr>
          <w:rFonts w:ascii="仿宋" w:hAnsi="仿宋" w:eastAsia="仿宋" w:cs="仿宋"/>
          <w:color w:val="000000" w:themeColor="text1"/>
          <w:kern w:val="0"/>
          <w:sz w:val="27"/>
          <w:szCs w:val="27"/>
          <w:shd w:val="clear" w:color="auto" w:fill="FFFFFF"/>
        </w:rPr>
      </w:pPr>
      <w:r>
        <w:rPr>
          <w:rFonts w:hint="eastAsia" w:ascii="仿宋" w:hAnsi="仿宋" w:eastAsia="仿宋" w:cs="仿宋"/>
          <w:color w:val="000000" w:themeColor="text1"/>
          <w:kern w:val="0"/>
          <w:sz w:val="27"/>
          <w:szCs w:val="27"/>
          <w:shd w:val="clear" w:color="auto" w:fill="FFFFFF"/>
        </w:rPr>
        <w:t>本项目开评标环节实行全流程电子化，采取不见面钉钉直播开标。各供应商授权代表可通过【祥泽招标开标直播】xzcg-2022-036（招）钉钉群（群号：35627104）进行直播观看：①供应商下载钉钉app软件，并注册账户；②注册成功后，扫描附件二维码进入本项目直播群；入群时需填写公司名字和姓名进行认证，代理机构工作人员统一于开标前30分钟内进行审核通过，请各供应商于递交投标文件截止时间前完成入群认证；③在项目规定的开标时间、开标场所通过该钉钉群直播本项目开标，请供应商准时参加。④若供应商未及时参加本项目钉钉群直播的，事后不得对投标文件的现场开启等开标过程提出异议。</w:t>
      </w:r>
    </w:p>
    <w:p>
      <w:pPr>
        <w:pStyle w:val="32"/>
        <w:shd w:val="clear" w:color="auto" w:fill="FFFFFF"/>
        <w:spacing w:before="0" w:beforeAutospacing="0" w:after="0" w:afterAutospacing="0" w:line="420" w:lineRule="exact"/>
        <w:jc w:val="both"/>
        <w:rPr>
          <w:rFonts w:cs="宋体"/>
          <w:color w:val="000000" w:themeColor="text1"/>
        </w:rPr>
      </w:pPr>
      <w:r>
        <w:rPr>
          <w:rStyle w:val="39"/>
          <w:rFonts w:hint="eastAsia" w:cs="宋体"/>
          <w:color w:val="000000" w:themeColor="text1"/>
          <w:sz w:val="27"/>
          <w:szCs w:val="27"/>
          <w:shd w:val="clear" w:color="auto" w:fill="FFFFFF"/>
        </w:rPr>
        <w:t>八、对本次采购提出询问、质疑、投诉，请按以下方式联系</w:t>
      </w:r>
    </w:p>
    <w:p>
      <w:pPr>
        <w:pStyle w:val="32"/>
        <w:spacing w:before="0" w:beforeAutospacing="0" w:after="0" w:afterAutospacing="0" w:line="420" w:lineRule="exact"/>
        <w:rPr>
          <w:color w:val="000000" w:themeColor="text1"/>
        </w:rPr>
      </w:pPr>
      <w:r>
        <w:rPr>
          <w:rFonts w:hint="eastAsia" w:ascii="仿宋" w:hAnsi="仿宋" w:eastAsia="仿宋" w:cs="仿宋"/>
          <w:color w:val="000000" w:themeColor="text1"/>
          <w:sz w:val="27"/>
          <w:szCs w:val="27"/>
          <w:shd w:val="clear" w:color="auto" w:fill="FFFFFF"/>
        </w:rPr>
        <w:t>    1.采购人信息</w:t>
      </w:r>
    </w:p>
    <w:p>
      <w:pPr>
        <w:pStyle w:val="32"/>
        <w:spacing w:before="0" w:beforeAutospacing="0" w:after="0" w:afterAutospacing="0" w:line="420" w:lineRule="exact"/>
        <w:rPr>
          <w:rFonts w:ascii="仿宋" w:hAnsi="仿宋" w:eastAsia="仿宋" w:cs="仿宋"/>
          <w:color w:val="000000" w:themeColor="text1"/>
          <w:sz w:val="27"/>
          <w:szCs w:val="27"/>
          <w:shd w:val="clear" w:color="auto" w:fill="FFFFFF"/>
        </w:rPr>
      </w:pPr>
      <w:r>
        <w:rPr>
          <w:rFonts w:hint="eastAsia" w:ascii="仿宋" w:hAnsi="仿宋" w:eastAsia="仿宋" w:cs="仿宋"/>
          <w:color w:val="000000" w:themeColor="text1"/>
          <w:sz w:val="27"/>
          <w:szCs w:val="27"/>
          <w:shd w:val="clear" w:color="auto" w:fill="FFFFFF"/>
        </w:rPr>
        <w:t>    名    称：天台中学</w:t>
      </w:r>
    </w:p>
    <w:p>
      <w:pPr>
        <w:pStyle w:val="32"/>
        <w:spacing w:before="0" w:beforeAutospacing="0" w:after="0" w:afterAutospacing="0" w:line="420" w:lineRule="exact"/>
        <w:rPr>
          <w:rFonts w:ascii="仿宋" w:hAnsi="仿宋" w:eastAsia="仿宋" w:cs="仿宋"/>
          <w:color w:val="000000" w:themeColor="text1"/>
          <w:sz w:val="27"/>
          <w:szCs w:val="27"/>
          <w:shd w:val="clear" w:color="auto" w:fill="FFFFFF"/>
        </w:rPr>
      </w:pPr>
      <w:r>
        <w:rPr>
          <w:rFonts w:hint="eastAsia" w:ascii="仿宋" w:hAnsi="仿宋" w:eastAsia="仿宋" w:cs="仿宋"/>
          <w:color w:val="000000" w:themeColor="text1"/>
          <w:sz w:val="27"/>
          <w:szCs w:val="27"/>
          <w:shd w:val="clear" w:color="auto" w:fill="FFFFFF"/>
        </w:rPr>
        <w:t>    地    址： 浙江省台州市天台县英才路1号</w:t>
      </w:r>
    </w:p>
    <w:p>
      <w:pPr>
        <w:pStyle w:val="32"/>
        <w:spacing w:before="0" w:beforeAutospacing="0" w:after="0" w:afterAutospacing="0" w:line="420" w:lineRule="exact"/>
        <w:ind w:firstLine="540" w:firstLineChars="200"/>
        <w:rPr>
          <w:rFonts w:ascii="仿宋" w:hAnsi="仿宋" w:eastAsia="仿宋" w:cs="仿宋"/>
          <w:color w:val="000000" w:themeColor="text1"/>
          <w:sz w:val="27"/>
          <w:szCs w:val="27"/>
          <w:shd w:val="clear" w:color="auto" w:fill="FFFFFF"/>
        </w:rPr>
      </w:pPr>
      <w:r>
        <w:rPr>
          <w:rFonts w:hint="eastAsia" w:ascii="仿宋" w:hAnsi="仿宋" w:eastAsia="仿宋" w:cs="仿宋"/>
          <w:color w:val="000000" w:themeColor="text1"/>
          <w:sz w:val="27"/>
          <w:szCs w:val="27"/>
          <w:shd w:val="clear" w:color="auto" w:fill="FFFFFF"/>
        </w:rPr>
        <w:t xml:space="preserve">项目联系人（询问）：王华荣   项目联系方式（询问）：13968579399 </w:t>
      </w:r>
    </w:p>
    <w:p>
      <w:pPr>
        <w:pStyle w:val="32"/>
        <w:spacing w:before="0" w:beforeAutospacing="0" w:after="0" w:afterAutospacing="0" w:line="420" w:lineRule="exact"/>
        <w:ind w:firstLine="540" w:firstLineChars="200"/>
        <w:rPr>
          <w:rFonts w:ascii="仿宋" w:hAnsi="仿宋" w:eastAsia="仿宋" w:cs="仿宋"/>
          <w:color w:val="000000" w:themeColor="text1"/>
          <w:sz w:val="27"/>
          <w:szCs w:val="27"/>
          <w:shd w:val="clear" w:color="auto" w:fill="FFFFFF"/>
        </w:rPr>
      </w:pPr>
      <w:r>
        <w:rPr>
          <w:rFonts w:hint="eastAsia" w:ascii="仿宋" w:hAnsi="仿宋" w:eastAsia="仿宋" w:cs="仿宋"/>
          <w:color w:val="000000" w:themeColor="text1"/>
          <w:sz w:val="27"/>
          <w:szCs w:val="27"/>
          <w:shd w:val="clear" w:color="auto" w:fill="FFFFFF"/>
        </w:rPr>
        <w:t xml:space="preserve">质疑联系人： 王华荣    质疑联系方式： 13968579399 </w:t>
      </w:r>
    </w:p>
    <w:p>
      <w:pPr>
        <w:pStyle w:val="32"/>
        <w:spacing w:before="0" w:beforeAutospacing="0" w:after="0" w:afterAutospacing="0" w:line="420" w:lineRule="exact"/>
        <w:ind w:firstLine="270" w:firstLineChars="100"/>
        <w:rPr>
          <w:color w:val="000000" w:themeColor="text1"/>
        </w:rPr>
      </w:pPr>
      <w:r>
        <w:rPr>
          <w:rFonts w:hint="eastAsia" w:ascii="仿宋" w:hAnsi="仿宋" w:eastAsia="仿宋" w:cs="仿宋"/>
          <w:color w:val="000000" w:themeColor="text1"/>
          <w:sz w:val="27"/>
          <w:szCs w:val="27"/>
          <w:shd w:val="clear" w:color="auto" w:fill="FFFFFF"/>
        </w:rPr>
        <w:t xml:space="preserve">   2.采购代理机构信息  </w:t>
      </w:r>
      <w:r>
        <w:rPr>
          <w:rFonts w:hint="eastAsia" w:ascii="仿宋" w:hAnsi="仿宋" w:eastAsia="仿宋" w:cs="仿宋"/>
          <w:color w:val="000000" w:themeColor="text1"/>
          <w:shd w:val="clear" w:color="auto" w:fill="FFFFFF"/>
        </w:rPr>
        <w:t xml:space="preserve">          </w:t>
      </w:r>
    </w:p>
    <w:p>
      <w:pPr>
        <w:pStyle w:val="32"/>
        <w:spacing w:before="0" w:beforeAutospacing="0" w:after="0" w:afterAutospacing="0" w:line="420" w:lineRule="exact"/>
        <w:rPr>
          <w:color w:val="000000" w:themeColor="text1"/>
        </w:rPr>
      </w:pPr>
      <w:r>
        <w:rPr>
          <w:rFonts w:hint="eastAsia" w:ascii="仿宋" w:hAnsi="仿宋" w:eastAsia="仿宋" w:cs="仿宋"/>
          <w:color w:val="000000" w:themeColor="text1"/>
          <w:sz w:val="27"/>
          <w:szCs w:val="27"/>
          <w:shd w:val="clear" w:color="auto" w:fill="FFFFFF"/>
        </w:rPr>
        <w:t>    名    称：浙江祥泽招标代理有限公司 </w:t>
      </w:r>
      <w:r>
        <w:rPr>
          <w:rFonts w:hint="eastAsia" w:ascii="仿宋" w:hAnsi="仿宋" w:eastAsia="仿宋" w:cs="仿宋"/>
          <w:color w:val="000000" w:themeColor="text1"/>
          <w:shd w:val="clear" w:color="auto" w:fill="FFFFFF"/>
        </w:rPr>
        <w:t>            </w:t>
      </w:r>
    </w:p>
    <w:p>
      <w:pPr>
        <w:pStyle w:val="32"/>
        <w:spacing w:before="0" w:beforeAutospacing="0" w:after="0" w:afterAutospacing="0" w:line="420" w:lineRule="exact"/>
        <w:rPr>
          <w:color w:val="000000" w:themeColor="text1"/>
        </w:rPr>
      </w:pPr>
      <w:r>
        <w:rPr>
          <w:rFonts w:hint="eastAsia" w:ascii="仿宋" w:hAnsi="仿宋" w:eastAsia="仿宋" w:cs="仿宋"/>
          <w:color w:val="000000" w:themeColor="text1"/>
          <w:sz w:val="27"/>
          <w:szCs w:val="27"/>
          <w:shd w:val="clear" w:color="auto" w:fill="FFFFFF"/>
        </w:rPr>
        <w:t>    地    址：天台县始丰街道西演茅村14巷39号</w:t>
      </w:r>
      <w:r>
        <w:rPr>
          <w:rFonts w:hint="eastAsia" w:ascii="仿宋" w:hAnsi="仿宋" w:eastAsia="仿宋" w:cs="仿宋"/>
          <w:color w:val="000000" w:themeColor="text1"/>
          <w:shd w:val="clear" w:color="auto" w:fill="FFFFFF"/>
        </w:rPr>
        <w:t>            </w:t>
      </w:r>
    </w:p>
    <w:p>
      <w:pPr>
        <w:pStyle w:val="32"/>
        <w:spacing w:before="0" w:beforeAutospacing="0" w:after="0" w:afterAutospacing="0" w:line="420" w:lineRule="exact"/>
        <w:rPr>
          <w:color w:val="000000" w:themeColor="text1"/>
        </w:rPr>
      </w:pPr>
      <w:r>
        <w:rPr>
          <w:rFonts w:hint="eastAsia" w:ascii="仿宋" w:hAnsi="仿宋" w:eastAsia="仿宋" w:cs="仿宋"/>
          <w:color w:val="000000" w:themeColor="text1"/>
          <w:sz w:val="27"/>
          <w:szCs w:val="27"/>
          <w:shd w:val="clear" w:color="auto" w:fill="FFFFFF"/>
        </w:rPr>
        <w:t>    传    真：0576-83868598 </w:t>
      </w:r>
      <w:r>
        <w:rPr>
          <w:rFonts w:hint="eastAsia" w:ascii="仿宋" w:hAnsi="仿宋" w:eastAsia="仿宋" w:cs="仿宋"/>
          <w:color w:val="000000" w:themeColor="text1"/>
          <w:shd w:val="clear" w:color="auto" w:fill="FFFFFF"/>
        </w:rPr>
        <w:t>            </w:t>
      </w:r>
    </w:p>
    <w:p>
      <w:pPr>
        <w:pStyle w:val="32"/>
        <w:spacing w:before="0" w:beforeAutospacing="0" w:after="0" w:afterAutospacing="0" w:line="420" w:lineRule="exact"/>
        <w:ind w:firstLine="420"/>
        <w:rPr>
          <w:rFonts w:ascii="仿宋" w:hAnsi="仿宋" w:eastAsia="仿宋" w:cs="仿宋"/>
          <w:color w:val="000000" w:themeColor="text1"/>
          <w:sz w:val="27"/>
          <w:szCs w:val="27"/>
          <w:shd w:val="clear" w:color="auto" w:fill="FFFFFF"/>
        </w:rPr>
      </w:pPr>
      <w:r>
        <w:rPr>
          <w:rFonts w:hint="eastAsia" w:ascii="仿宋" w:hAnsi="仿宋" w:eastAsia="仿宋" w:cs="仿宋"/>
          <w:color w:val="000000" w:themeColor="text1"/>
          <w:sz w:val="27"/>
          <w:szCs w:val="27"/>
          <w:shd w:val="clear" w:color="auto" w:fill="FFFFFF"/>
        </w:rPr>
        <w:t> 项目联系人（询问）：庞雅晴  项目联系方式（询问）：18257632485</w:t>
      </w:r>
    </w:p>
    <w:p>
      <w:pPr>
        <w:pStyle w:val="32"/>
        <w:spacing w:before="0" w:beforeAutospacing="0" w:after="0" w:afterAutospacing="0" w:line="420" w:lineRule="exact"/>
        <w:ind w:firstLine="685" w:firstLineChars="254"/>
        <w:rPr>
          <w:rFonts w:eastAsia="仿宋"/>
          <w:color w:val="000000" w:themeColor="text1"/>
        </w:rPr>
      </w:pPr>
      <w:r>
        <w:rPr>
          <w:rFonts w:hint="eastAsia" w:ascii="仿宋" w:hAnsi="仿宋" w:eastAsia="仿宋" w:cs="仿宋"/>
          <w:color w:val="000000" w:themeColor="text1"/>
          <w:sz w:val="27"/>
          <w:szCs w:val="27"/>
          <w:shd w:val="clear" w:color="auto" w:fill="FFFFFF"/>
        </w:rPr>
        <w:t xml:space="preserve">质疑联系人：王薇芳  </w:t>
      </w:r>
      <w:r>
        <w:rPr>
          <w:rFonts w:hint="eastAsia" w:ascii="仿宋" w:hAnsi="仿宋" w:eastAsia="仿宋" w:cs="仿宋"/>
          <w:color w:val="000000" w:themeColor="text1"/>
          <w:shd w:val="clear" w:color="auto" w:fill="FFFFFF"/>
        </w:rPr>
        <w:t xml:space="preserve">      </w:t>
      </w:r>
      <w:r>
        <w:rPr>
          <w:rFonts w:hint="eastAsia" w:ascii="仿宋" w:hAnsi="仿宋" w:eastAsia="仿宋" w:cs="仿宋"/>
          <w:color w:val="000000" w:themeColor="text1"/>
          <w:sz w:val="27"/>
          <w:szCs w:val="27"/>
          <w:shd w:val="clear" w:color="auto" w:fill="FFFFFF"/>
        </w:rPr>
        <w:t xml:space="preserve">质疑联系方式：18257632485 </w:t>
      </w:r>
    </w:p>
    <w:p>
      <w:pPr>
        <w:pStyle w:val="32"/>
        <w:spacing w:before="0" w:beforeAutospacing="0" w:after="0" w:afterAutospacing="0" w:line="420" w:lineRule="exact"/>
        <w:ind w:firstLine="420"/>
        <w:rPr>
          <w:color w:val="000000" w:themeColor="text1"/>
        </w:rPr>
      </w:pPr>
      <w:r>
        <w:rPr>
          <w:rFonts w:hint="eastAsia" w:ascii="仿宋" w:hAnsi="仿宋" w:eastAsia="仿宋" w:cs="仿宋"/>
          <w:color w:val="000000" w:themeColor="text1"/>
          <w:sz w:val="27"/>
          <w:szCs w:val="27"/>
          <w:shd w:val="clear" w:color="auto" w:fill="FFFFFF"/>
        </w:rPr>
        <w:t>　3.同级政府采购监督管理部门</w:t>
      </w:r>
      <w:r>
        <w:rPr>
          <w:rFonts w:hint="eastAsia" w:ascii="仿宋" w:hAnsi="仿宋" w:eastAsia="仿宋" w:cs="仿宋"/>
          <w:color w:val="000000" w:themeColor="text1"/>
          <w:shd w:val="clear" w:color="auto" w:fill="FFFFFF"/>
        </w:rPr>
        <w:t>            </w:t>
      </w:r>
    </w:p>
    <w:p>
      <w:pPr>
        <w:pStyle w:val="32"/>
        <w:spacing w:before="0" w:beforeAutospacing="0" w:after="0" w:afterAutospacing="0" w:line="420" w:lineRule="exact"/>
        <w:rPr>
          <w:color w:val="000000" w:themeColor="text1"/>
        </w:rPr>
      </w:pPr>
      <w:r>
        <w:rPr>
          <w:rFonts w:hint="eastAsia" w:ascii="仿宋" w:hAnsi="仿宋" w:eastAsia="仿宋" w:cs="仿宋"/>
          <w:color w:val="000000" w:themeColor="text1"/>
          <w:sz w:val="27"/>
          <w:szCs w:val="27"/>
          <w:shd w:val="clear" w:color="auto" w:fill="FFFFFF"/>
        </w:rPr>
        <w:t>    名    称：天台县财政局 </w:t>
      </w:r>
      <w:r>
        <w:rPr>
          <w:rFonts w:hint="eastAsia" w:ascii="仿宋" w:hAnsi="仿宋" w:eastAsia="仿宋" w:cs="仿宋"/>
          <w:color w:val="000000" w:themeColor="text1"/>
          <w:shd w:val="clear" w:color="auto" w:fill="FFFFFF"/>
        </w:rPr>
        <w:t>            </w:t>
      </w:r>
    </w:p>
    <w:p>
      <w:pPr>
        <w:pStyle w:val="32"/>
        <w:spacing w:before="0" w:beforeAutospacing="0" w:after="0" w:afterAutospacing="0" w:line="420" w:lineRule="exact"/>
        <w:rPr>
          <w:color w:val="000000" w:themeColor="text1"/>
        </w:rPr>
      </w:pPr>
      <w:r>
        <w:rPr>
          <w:rFonts w:hint="eastAsia" w:ascii="仿宋" w:hAnsi="仿宋" w:eastAsia="仿宋" w:cs="仿宋"/>
          <w:color w:val="000000" w:themeColor="text1"/>
          <w:sz w:val="27"/>
          <w:szCs w:val="27"/>
          <w:shd w:val="clear" w:color="auto" w:fill="FFFFFF"/>
        </w:rPr>
        <w:t>    地    址：天台县飞鹤路189号 </w:t>
      </w:r>
      <w:r>
        <w:rPr>
          <w:rFonts w:hint="eastAsia" w:ascii="仿宋" w:hAnsi="仿宋" w:eastAsia="仿宋" w:cs="仿宋"/>
          <w:color w:val="000000" w:themeColor="text1"/>
          <w:shd w:val="clear" w:color="auto" w:fill="FFFFFF"/>
        </w:rPr>
        <w:t>       </w:t>
      </w:r>
    </w:p>
    <w:p>
      <w:pPr>
        <w:pStyle w:val="32"/>
        <w:spacing w:before="0" w:beforeAutospacing="0" w:after="0" w:afterAutospacing="0" w:line="420" w:lineRule="exact"/>
        <w:rPr>
          <w:color w:val="000000" w:themeColor="text1"/>
        </w:rPr>
      </w:pPr>
      <w:r>
        <w:rPr>
          <w:rFonts w:hint="eastAsia" w:ascii="仿宋" w:hAnsi="仿宋" w:eastAsia="仿宋" w:cs="仿宋"/>
          <w:color w:val="000000" w:themeColor="text1"/>
          <w:sz w:val="27"/>
          <w:szCs w:val="27"/>
          <w:shd w:val="clear" w:color="auto" w:fill="FFFFFF"/>
        </w:rPr>
        <w:t>    联系人 ：王女士</w:t>
      </w:r>
      <w:r>
        <w:rPr>
          <w:rFonts w:hint="eastAsia" w:ascii="仿宋" w:hAnsi="仿宋" w:eastAsia="仿宋" w:cs="仿宋"/>
          <w:color w:val="000000" w:themeColor="text1"/>
          <w:shd w:val="clear" w:color="auto" w:fill="FFFFFF"/>
        </w:rPr>
        <w:t xml:space="preserve">     </w:t>
      </w:r>
      <w:r>
        <w:rPr>
          <w:rFonts w:hint="eastAsia" w:ascii="仿宋" w:hAnsi="仿宋" w:eastAsia="仿宋" w:cs="仿宋"/>
          <w:color w:val="000000" w:themeColor="text1"/>
          <w:sz w:val="27"/>
          <w:szCs w:val="27"/>
          <w:shd w:val="clear" w:color="auto" w:fill="FFFFFF"/>
        </w:rPr>
        <w:t>监督投诉电话：0576-89353856</w:t>
      </w:r>
      <w:r>
        <w:rPr>
          <w:rFonts w:hint="eastAsia" w:ascii="仿宋" w:hAnsi="仿宋" w:eastAsia="仿宋" w:cs="仿宋"/>
          <w:color w:val="000000" w:themeColor="text1"/>
          <w:shd w:val="clear" w:color="auto" w:fill="FFFFFF"/>
        </w:rPr>
        <w:t xml:space="preserve">        </w:t>
      </w:r>
    </w:p>
    <w:p>
      <w:pPr>
        <w:snapToGrid w:val="0"/>
        <w:spacing w:line="420" w:lineRule="exact"/>
        <w:ind w:firstLine="542" w:firstLineChars="200"/>
        <w:rPr>
          <w:rStyle w:val="39"/>
          <w:rFonts w:ascii="宋体" w:hAnsi="宋体" w:cs="宋体"/>
          <w:color w:val="000000" w:themeColor="text1"/>
          <w:kern w:val="0"/>
          <w:sz w:val="27"/>
          <w:szCs w:val="27"/>
          <w:shd w:val="clear" w:color="auto" w:fill="FFFFFF"/>
        </w:rPr>
      </w:pPr>
      <w:bookmarkStart w:id="0" w:name="_Toc123628875"/>
      <w:r>
        <w:rPr>
          <w:rStyle w:val="39"/>
          <w:rFonts w:hint="eastAsia" w:ascii="宋体" w:hAnsi="宋体" w:cs="宋体"/>
          <w:color w:val="000000" w:themeColor="text1"/>
          <w:kern w:val="0"/>
          <w:sz w:val="27"/>
          <w:szCs w:val="27"/>
          <w:shd w:val="clear" w:color="auto" w:fill="FFFFFF"/>
        </w:rPr>
        <w:t>九、 其余事项：</w:t>
      </w:r>
    </w:p>
    <w:p>
      <w:pPr>
        <w:pStyle w:val="35"/>
        <w:spacing w:line="420" w:lineRule="exact"/>
        <w:ind w:left="600" w:leftChars="0" w:firstLine="0"/>
        <w:rPr>
          <w:rFonts w:ascii="仿宋" w:hAnsi="仿宋" w:eastAsia="仿宋" w:cs="Arial"/>
          <w:color w:val="000000" w:themeColor="text1"/>
          <w:sz w:val="28"/>
          <w:szCs w:val="28"/>
        </w:rPr>
      </w:pPr>
      <w:r>
        <w:rPr>
          <w:rFonts w:hint="eastAsia" w:ascii="仿宋" w:hAnsi="仿宋" w:eastAsia="仿宋" w:cs="Arial"/>
          <w:color w:val="000000" w:themeColor="text1"/>
          <w:sz w:val="28"/>
          <w:szCs w:val="28"/>
        </w:rPr>
        <w:t>中标供应商如有融资需要，可使用以下银行的政采贷服务。</w:t>
      </w:r>
    </w:p>
    <w:tbl>
      <w:tblPr>
        <w:tblStyle w:val="36"/>
        <w:tblpPr w:leftFromText="180" w:rightFromText="180" w:vertAnchor="text" w:horzAnchor="page" w:tblpX="1807" w:tblpY="41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7"/>
        <w:gridCol w:w="1881"/>
        <w:gridCol w:w="1146"/>
        <w:gridCol w:w="2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7" w:type="dxa"/>
          </w:tcPr>
          <w:p>
            <w:pPr>
              <w:pStyle w:val="35"/>
              <w:ind w:left="0" w:leftChars="0" w:firstLine="0"/>
              <w:jc w:val="center"/>
              <w:rPr>
                <w:rFonts w:ascii="仿宋" w:hAnsi="仿宋" w:eastAsia="仿宋" w:cs="Arial"/>
                <w:color w:val="000000" w:themeColor="text1"/>
                <w:sz w:val="28"/>
                <w:szCs w:val="28"/>
              </w:rPr>
            </w:pPr>
            <w:r>
              <w:rPr>
                <w:rFonts w:hint="eastAsia" w:ascii="仿宋" w:hAnsi="仿宋" w:eastAsia="仿宋" w:cs="Arial"/>
                <w:color w:val="000000" w:themeColor="text1"/>
                <w:sz w:val="28"/>
                <w:szCs w:val="28"/>
              </w:rPr>
              <w:t>银行</w:t>
            </w:r>
          </w:p>
        </w:tc>
        <w:tc>
          <w:tcPr>
            <w:tcW w:w="1881" w:type="dxa"/>
          </w:tcPr>
          <w:p>
            <w:pPr>
              <w:pStyle w:val="35"/>
              <w:ind w:left="0" w:leftChars="0" w:firstLine="0"/>
              <w:jc w:val="center"/>
              <w:rPr>
                <w:rFonts w:ascii="仿宋" w:hAnsi="仿宋" w:eastAsia="仿宋" w:cs="Arial"/>
                <w:color w:val="000000" w:themeColor="text1"/>
                <w:sz w:val="28"/>
                <w:szCs w:val="28"/>
              </w:rPr>
            </w:pPr>
            <w:r>
              <w:rPr>
                <w:rFonts w:hint="eastAsia" w:ascii="仿宋" w:hAnsi="仿宋" w:eastAsia="仿宋" w:cs="Arial"/>
                <w:color w:val="000000" w:themeColor="text1"/>
                <w:sz w:val="28"/>
                <w:szCs w:val="28"/>
              </w:rPr>
              <w:t>贷款年利率</w:t>
            </w:r>
          </w:p>
        </w:tc>
        <w:tc>
          <w:tcPr>
            <w:tcW w:w="1146" w:type="dxa"/>
          </w:tcPr>
          <w:p>
            <w:pPr>
              <w:pStyle w:val="35"/>
              <w:ind w:left="0" w:leftChars="0" w:firstLine="0"/>
              <w:jc w:val="center"/>
              <w:rPr>
                <w:rFonts w:ascii="仿宋" w:hAnsi="仿宋" w:eastAsia="仿宋" w:cs="Arial"/>
                <w:color w:val="000000" w:themeColor="text1"/>
                <w:sz w:val="28"/>
                <w:szCs w:val="28"/>
              </w:rPr>
            </w:pPr>
            <w:r>
              <w:rPr>
                <w:rFonts w:hint="eastAsia" w:ascii="仿宋" w:hAnsi="仿宋" w:eastAsia="仿宋" w:cs="Arial"/>
                <w:color w:val="000000" w:themeColor="text1"/>
                <w:sz w:val="28"/>
                <w:szCs w:val="28"/>
              </w:rPr>
              <w:t>联系人</w:t>
            </w:r>
          </w:p>
        </w:tc>
        <w:tc>
          <w:tcPr>
            <w:tcW w:w="2242" w:type="dxa"/>
          </w:tcPr>
          <w:p>
            <w:pPr>
              <w:pStyle w:val="35"/>
              <w:ind w:left="0" w:leftChars="0" w:firstLine="0"/>
              <w:jc w:val="center"/>
              <w:rPr>
                <w:rFonts w:ascii="仿宋" w:hAnsi="仿宋" w:eastAsia="仿宋" w:cs="Arial"/>
                <w:color w:val="000000" w:themeColor="text1"/>
                <w:sz w:val="28"/>
                <w:szCs w:val="28"/>
              </w:rPr>
            </w:pPr>
            <w:r>
              <w:rPr>
                <w:rFonts w:hint="eastAsia" w:ascii="仿宋" w:hAnsi="仿宋" w:eastAsia="仿宋" w:cs="Arial"/>
                <w:color w:val="000000" w:themeColor="text1"/>
                <w:sz w:val="28"/>
                <w:szCs w:val="28"/>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7" w:type="dxa"/>
          </w:tcPr>
          <w:p>
            <w:pPr>
              <w:pStyle w:val="35"/>
              <w:ind w:left="0" w:leftChars="0" w:firstLine="0"/>
              <w:jc w:val="center"/>
              <w:rPr>
                <w:rFonts w:ascii="仿宋" w:hAnsi="仿宋" w:eastAsia="仿宋" w:cs="Arial"/>
                <w:color w:val="000000" w:themeColor="text1"/>
                <w:sz w:val="24"/>
                <w:szCs w:val="24"/>
              </w:rPr>
            </w:pPr>
            <w:r>
              <w:rPr>
                <w:rFonts w:hint="eastAsia" w:ascii="仿宋" w:hAnsi="仿宋" w:eastAsia="仿宋" w:cs="Arial"/>
                <w:color w:val="000000" w:themeColor="text1"/>
                <w:sz w:val="24"/>
                <w:szCs w:val="24"/>
              </w:rPr>
              <w:t>中国农业银行股份有限公司天台县支行</w:t>
            </w:r>
          </w:p>
        </w:tc>
        <w:tc>
          <w:tcPr>
            <w:tcW w:w="1881" w:type="dxa"/>
          </w:tcPr>
          <w:p>
            <w:pPr>
              <w:pStyle w:val="35"/>
              <w:ind w:left="0" w:leftChars="0" w:firstLine="0"/>
              <w:jc w:val="center"/>
              <w:rPr>
                <w:rFonts w:ascii="仿宋" w:hAnsi="仿宋" w:eastAsia="仿宋" w:cs="Arial"/>
                <w:color w:val="000000" w:themeColor="text1"/>
                <w:sz w:val="24"/>
                <w:szCs w:val="24"/>
              </w:rPr>
            </w:pPr>
            <w:r>
              <w:rPr>
                <w:rFonts w:hint="eastAsia" w:ascii="仿宋" w:hAnsi="仿宋" w:eastAsia="仿宋" w:cs="Arial"/>
                <w:color w:val="000000" w:themeColor="text1"/>
                <w:sz w:val="24"/>
                <w:szCs w:val="24"/>
              </w:rPr>
              <w:t>3.8%起</w:t>
            </w:r>
          </w:p>
        </w:tc>
        <w:tc>
          <w:tcPr>
            <w:tcW w:w="1146" w:type="dxa"/>
          </w:tcPr>
          <w:p>
            <w:pPr>
              <w:pStyle w:val="35"/>
              <w:ind w:left="0" w:leftChars="0" w:firstLine="0"/>
              <w:jc w:val="center"/>
              <w:rPr>
                <w:rFonts w:ascii="仿宋" w:hAnsi="仿宋" w:eastAsia="仿宋" w:cs="Arial"/>
                <w:color w:val="000000" w:themeColor="text1"/>
                <w:sz w:val="24"/>
                <w:szCs w:val="24"/>
              </w:rPr>
            </w:pPr>
            <w:r>
              <w:rPr>
                <w:rFonts w:hint="eastAsia" w:ascii="仿宋" w:hAnsi="仿宋" w:eastAsia="仿宋" w:cs="Arial"/>
                <w:color w:val="000000" w:themeColor="text1"/>
                <w:sz w:val="24"/>
                <w:szCs w:val="24"/>
              </w:rPr>
              <w:t>章泳</w:t>
            </w:r>
          </w:p>
        </w:tc>
        <w:tc>
          <w:tcPr>
            <w:tcW w:w="2242" w:type="dxa"/>
          </w:tcPr>
          <w:p>
            <w:pPr>
              <w:pStyle w:val="35"/>
              <w:ind w:left="0" w:leftChars="0" w:firstLine="0"/>
              <w:jc w:val="center"/>
              <w:rPr>
                <w:rFonts w:ascii="仿宋" w:hAnsi="仿宋" w:eastAsia="仿宋" w:cs="Arial"/>
                <w:color w:val="000000" w:themeColor="text1"/>
                <w:sz w:val="24"/>
                <w:szCs w:val="24"/>
              </w:rPr>
            </w:pPr>
            <w:r>
              <w:rPr>
                <w:rFonts w:hint="eastAsia" w:ascii="仿宋" w:hAnsi="仿宋" w:eastAsia="仿宋" w:cs="Arial"/>
                <w:color w:val="000000" w:themeColor="text1"/>
                <w:sz w:val="24"/>
                <w:szCs w:val="24"/>
              </w:rPr>
              <w:t>18267658216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7" w:type="dxa"/>
          </w:tcPr>
          <w:p>
            <w:pPr>
              <w:pStyle w:val="35"/>
              <w:ind w:left="0" w:leftChars="0" w:firstLine="0"/>
              <w:jc w:val="center"/>
              <w:rPr>
                <w:rFonts w:ascii="仿宋" w:hAnsi="仿宋" w:eastAsia="仿宋" w:cs="Arial"/>
                <w:color w:val="000000" w:themeColor="text1"/>
                <w:sz w:val="24"/>
                <w:szCs w:val="24"/>
              </w:rPr>
            </w:pPr>
            <w:r>
              <w:rPr>
                <w:rFonts w:hint="eastAsia" w:ascii="仿宋" w:hAnsi="仿宋" w:eastAsia="仿宋" w:cs="Arial"/>
                <w:color w:val="000000" w:themeColor="text1"/>
                <w:sz w:val="24"/>
                <w:szCs w:val="24"/>
              </w:rPr>
              <w:t>中国建设银行天台支行</w:t>
            </w:r>
          </w:p>
        </w:tc>
        <w:tc>
          <w:tcPr>
            <w:tcW w:w="1881" w:type="dxa"/>
          </w:tcPr>
          <w:p>
            <w:pPr>
              <w:pStyle w:val="35"/>
              <w:ind w:left="0" w:leftChars="0" w:firstLine="0"/>
              <w:jc w:val="center"/>
              <w:rPr>
                <w:rFonts w:ascii="仿宋" w:hAnsi="仿宋" w:eastAsia="仿宋" w:cs="Arial"/>
                <w:color w:val="000000" w:themeColor="text1"/>
                <w:sz w:val="24"/>
                <w:szCs w:val="24"/>
              </w:rPr>
            </w:pPr>
            <w:r>
              <w:rPr>
                <w:rFonts w:hint="eastAsia" w:ascii="仿宋" w:hAnsi="仿宋" w:eastAsia="仿宋" w:cs="Arial"/>
                <w:color w:val="000000" w:themeColor="text1"/>
                <w:sz w:val="24"/>
                <w:szCs w:val="24"/>
              </w:rPr>
              <w:t>3.35%起</w:t>
            </w:r>
          </w:p>
        </w:tc>
        <w:tc>
          <w:tcPr>
            <w:tcW w:w="1146" w:type="dxa"/>
          </w:tcPr>
          <w:p>
            <w:pPr>
              <w:pStyle w:val="35"/>
              <w:ind w:left="0" w:leftChars="0" w:firstLine="0"/>
              <w:jc w:val="center"/>
              <w:rPr>
                <w:rFonts w:ascii="仿宋" w:hAnsi="仿宋" w:eastAsia="仿宋" w:cs="Arial"/>
                <w:color w:val="000000" w:themeColor="text1"/>
                <w:sz w:val="24"/>
                <w:szCs w:val="24"/>
              </w:rPr>
            </w:pPr>
            <w:r>
              <w:rPr>
                <w:rFonts w:hint="eastAsia" w:ascii="仿宋" w:hAnsi="仿宋" w:eastAsia="仿宋" w:cs="Arial"/>
                <w:color w:val="000000" w:themeColor="text1"/>
                <w:sz w:val="24"/>
                <w:szCs w:val="24"/>
              </w:rPr>
              <w:t>蒋晓峰</w:t>
            </w:r>
          </w:p>
        </w:tc>
        <w:tc>
          <w:tcPr>
            <w:tcW w:w="2242" w:type="dxa"/>
          </w:tcPr>
          <w:p>
            <w:pPr>
              <w:pStyle w:val="35"/>
              <w:ind w:left="0" w:leftChars="0" w:firstLine="0"/>
              <w:jc w:val="center"/>
              <w:rPr>
                <w:rFonts w:ascii="仿宋" w:hAnsi="仿宋" w:eastAsia="仿宋" w:cs="Arial"/>
                <w:color w:val="000000" w:themeColor="text1"/>
                <w:sz w:val="24"/>
                <w:szCs w:val="24"/>
              </w:rPr>
            </w:pPr>
            <w:r>
              <w:rPr>
                <w:rFonts w:hint="eastAsia" w:ascii="仿宋" w:hAnsi="仿宋" w:eastAsia="仿宋" w:cs="Arial"/>
                <w:color w:val="000000" w:themeColor="text1"/>
                <w:sz w:val="24"/>
                <w:szCs w:val="24"/>
              </w:rPr>
              <w:t>13968595968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7" w:type="dxa"/>
          </w:tcPr>
          <w:p>
            <w:pPr>
              <w:pStyle w:val="35"/>
              <w:ind w:left="0" w:leftChars="0" w:firstLine="0"/>
              <w:jc w:val="center"/>
              <w:rPr>
                <w:rFonts w:ascii="仿宋" w:hAnsi="仿宋" w:eastAsia="仿宋" w:cs="Arial"/>
                <w:color w:val="000000" w:themeColor="text1"/>
                <w:sz w:val="24"/>
                <w:szCs w:val="24"/>
              </w:rPr>
            </w:pPr>
            <w:r>
              <w:rPr>
                <w:rFonts w:hint="eastAsia" w:ascii="仿宋" w:hAnsi="仿宋" w:eastAsia="仿宋" w:cs="Arial"/>
                <w:color w:val="000000" w:themeColor="text1"/>
                <w:sz w:val="24"/>
                <w:szCs w:val="24"/>
              </w:rPr>
              <w:t>中国工商银行股份有限公司天台支行</w:t>
            </w:r>
          </w:p>
        </w:tc>
        <w:tc>
          <w:tcPr>
            <w:tcW w:w="1881" w:type="dxa"/>
          </w:tcPr>
          <w:p>
            <w:pPr>
              <w:pStyle w:val="35"/>
              <w:ind w:left="0" w:leftChars="0" w:firstLine="0"/>
              <w:jc w:val="center"/>
              <w:rPr>
                <w:rFonts w:ascii="仿宋" w:hAnsi="仿宋" w:eastAsia="仿宋" w:cs="Arial"/>
                <w:color w:val="000000" w:themeColor="text1"/>
                <w:sz w:val="24"/>
                <w:szCs w:val="24"/>
              </w:rPr>
            </w:pPr>
            <w:r>
              <w:rPr>
                <w:rFonts w:hint="eastAsia" w:ascii="仿宋" w:hAnsi="仿宋" w:eastAsia="仿宋" w:cs="Arial"/>
                <w:color w:val="000000" w:themeColor="text1"/>
                <w:sz w:val="24"/>
                <w:szCs w:val="24"/>
              </w:rPr>
              <w:t>4.5%起</w:t>
            </w:r>
          </w:p>
        </w:tc>
        <w:tc>
          <w:tcPr>
            <w:tcW w:w="1146" w:type="dxa"/>
          </w:tcPr>
          <w:p>
            <w:pPr>
              <w:pStyle w:val="35"/>
              <w:ind w:left="0" w:leftChars="0" w:firstLine="0"/>
              <w:jc w:val="center"/>
              <w:rPr>
                <w:rFonts w:ascii="仿宋" w:hAnsi="仿宋" w:eastAsia="仿宋" w:cs="Arial"/>
                <w:color w:val="000000" w:themeColor="text1"/>
                <w:sz w:val="24"/>
                <w:szCs w:val="24"/>
              </w:rPr>
            </w:pPr>
            <w:r>
              <w:rPr>
                <w:rFonts w:hint="eastAsia" w:ascii="仿宋" w:hAnsi="仿宋" w:eastAsia="仿宋" w:cs="Arial"/>
                <w:color w:val="000000" w:themeColor="text1"/>
                <w:sz w:val="24"/>
                <w:szCs w:val="24"/>
              </w:rPr>
              <w:t xml:space="preserve">洪文强  </w:t>
            </w:r>
          </w:p>
        </w:tc>
        <w:tc>
          <w:tcPr>
            <w:tcW w:w="2242" w:type="dxa"/>
          </w:tcPr>
          <w:p>
            <w:pPr>
              <w:pStyle w:val="35"/>
              <w:ind w:left="0" w:leftChars="0" w:firstLine="0"/>
              <w:jc w:val="center"/>
              <w:rPr>
                <w:rFonts w:ascii="仿宋" w:hAnsi="仿宋" w:eastAsia="仿宋" w:cs="Arial"/>
                <w:color w:val="000000" w:themeColor="text1"/>
                <w:sz w:val="24"/>
                <w:szCs w:val="24"/>
              </w:rPr>
            </w:pPr>
            <w:r>
              <w:rPr>
                <w:rFonts w:hint="eastAsia" w:ascii="仿宋" w:hAnsi="仿宋" w:eastAsia="仿宋" w:cs="Arial"/>
                <w:color w:val="000000" w:themeColor="text1"/>
                <w:sz w:val="24"/>
                <w:szCs w:val="24"/>
              </w:rPr>
              <w:t>0576-83815605</w:t>
            </w:r>
          </w:p>
        </w:tc>
      </w:tr>
    </w:tbl>
    <w:p>
      <w:pPr>
        <w:spacing w:line="360" w:lineRule="exact"/>
        <w:rPr>
          <w:rFonts w:ascii="仿宋" w:hAnsi="仿宋" w:eastAsia="仿宋"/>
          <w:color w:val="000000" w:themeColor="text1"/>
          <w:spacing w:val="-8"/>
          <w:sz w:val="24"/>
        </w:rPr>
      </w:pPr>
    </w:p>
    <w:p>
      <w:pPr>
        <w:spacing w:line="400" w:lineRule="exact"/>
        <w:rPr>
          <w:rFonts w:ascii="仿宋" w:hAnsi="仿宋" w:eastAsia="仿宋" w:cs="Arial"/>
          <w:color w:val="000000" w:themeColor="text1"/>
          <w:sz w:val="28"/>
          <w:szCs w:val="28"/>
        </w:rPr>
      </w:pPr>
      <w:r>
        <w:rPr>
          <w:rFonts w:hint="eastAsia" w:ascii="仿宋" w:hAnsi="仿宋" w:eastAsia="仿宋" w:cs="Arial"/>
          <w:color w:val="000000" w:themeColor="text1"/>
          <w:sz w:val="28"/>
          <w:szCs w:val="28"/>
        </w:rPr>
        <w:t>中标供应商如有融资需要，可使用以下银行的履约保函业务服务。</w:t>
      </w:r>
    </w:p>
    <w:tbl>
      <w:tblPr>
        <w:tblStyle w:val="36"/>
        <w:tblpPr w:leftFromText="180" w:rightFromText="180" w:vertAnchor="text" w:horzAnchor="page" w:tblpX="1807" w:tblpY="41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7"/>
        <w:gridCol w:w="1887"/>
        <w:gridCol w:w="2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337" w:type="dxa"/>
          </w:tcPr>
          <w:p>
            <w:pPr>
              <w:pStyle w:val="35"/>
              <w:ind w:left="0" w:leftChars="0" w:firstLine="0"/>
              <w:jc w:val="center"/>
              <w:rPr>
                <w:rFonts w:ascii="仿宋" w:hAnsi="仿宋" w:eastAsia="仿宋" w:cs="Arial"/>
                <w:color w:val="000000" w:themeColor="text1"/>
                <w:sz w:val="28"/>
                <w:szCs w:val="28"/>
              </w:rPr>
            </w:pPr>
            <w:r>
              <w:rPr>
                <w:rFonts w:hint="eastAsia" w:ascii="仿宋" w:hAnsi="仿宋" w:eastAsia="仿宋" w:cs="Arial"/>
                <w:color w:val="000000" w:themeColor="text1"/>
                <w:sz w:val="28"/>
                <w:szCs w:val="28"/>
              </w:rPr>
              <w:t>银行</w:t>
            </w:r>
          </w:p>
        </w:tc>
        <w:tc>
          <w:tcPr>
            <w:tcW w:w="1887" w:type="dxa"/>
          </w:tcPr>
          <w:p>
            <w:pPr>
              <w:pStyle w:val="35"/>
              <w:ind w:left="0" w:leftChars="0" w:firstLine="0"/>
              <w:jc w:val="center"/>
              <w:rPr>
                <w:rFonts w:ascii="仿宋" w:hAnsi="仿宋" w:eastAsia="仿宋" w:cs="Arial"/>
                <w:color w:val="000000" w:themeColor="text1"/>
                <w:sz w:val="28"/>
                <w:szCs w:val="28"/>
              </w:rPr>
            </w:pPr>
            <w:r>
              <w:rPr>
                <w:rFonts w:hint="eastAsia" w:ascii="仿宋" w:hAnsi="仿宋" w:eastAsia="仿宋" w:cs="Arial"/>
                <w:color w:val="000000" w:themeColor="text1"/>
                <w:sz w:val="28"/>
                <w:szCs w:val="28"/>
              </w:rPr>
              <w:t>联系人</w:t>
            </w:r>
          </w:p>
        </w:tc>
        <w:tc>
          <w:tcPr>
            <w:tcW w:w="2475" w:type="dxa"/>
          </w:tcPr>
          <w:p>
            <w:pPr>
              <w:pStyle w:val="35"/>
              <w:ind w:left="0" w:leftChars="0" w:firstLine="0"/>
              <w:jc w:val="center"/>
              <w:rPr>
                <w:rFonts w:ascii="仿宋" w:hAnsi="仿宋" w:eastAsia="仿宋" w:cs="Arial"/>
                <w:color w:val="000000" w:themeColor="text1"/>
                <w:sz w:val="28"/>
                <w:szCs w:val="28"/>
              </w:rPr>
            </w:pPr>
            <w:r>
              <w:rPr>
                <w:rFonts w:hint="eastAsia" w:ascii="仿宋" w:hAnsi="仿宋" w:eastAsia="仿宋" w:cs="Arial"/>
                <w:color w:val="000000" w:themeColor="text1"/>
                <w:sz w:val="28"/>
                <w:szCs w:val="28"/>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7" w:type="dxa"/>
          </w:tcPr>
          <w:p>
            <w:pPr>
              <w:pStyle w:val="35"/>
              <w:ind w:left="0" w:leftChars="0" w:firstLine="0"/>
              <w:jc w:val="center"/>
              <w:rPr>
                <w:rFonts w:ascii="仿宋" w:hAnsi="仿宋" w:eastAsia="仿宋" w:cs="Arial"/>
                <w:color w:val="000000" w:themeColor="text1"/>
                <w:sz w:val="24"/>
                <w:szCs w:val="24"/>
              </w:rPr>
            </w:pPr>
            <w:r>
              <w:rPr>
                <w:rFonts w:hint="eastAsia" w:ascii="仿宋" w:hAnsi="仿宋" w:eastAsia="仿宋" w:cs="Arial"/>
                <w:color w:val="000000" w:themeColor="text1"/>
                <w:sz w:val="24"/>
                <w:szCs w:val="24"/>
              </w:rPr>
              <w:t>中国农业银行股份有限公司天台县支行</w:t>
            </w:r>
          </w:p>
        </w:tc>
        <w:tc>
          <w:tcPr>
            <w:tcW w:w="1887" w:type="dxa"/>
          </w:tcPr>
          <w:p>
            <w:pPr>
              <w:pStyle w:val="35"/>
              <w:ind w:left="0" w:leftChars="0" w:firstLine="0"/>
              <w:jc w:val="center"/>
              <w:rPr>
                <w:rFonts w:ascii="仿宋" w:hAnsi="仿宋" w:eastAsia="仿宋" w:cs="Arial"/>
                <w:color w:val="000000" w:themeColor="text1"/>
                <w:sz w:val="24"/>
                <w:szCs w:val="24"/>
              </w:rPr>
            </w:pPr>
            <w:r>
              <w:rPr>
                <w:rFonts w:hint="eastAsia" w:ascii="仿宋" w:hAnsi="仿宋" w:eastAsia="仿宋" w:cs="Arial"/>
                <w:color w:val="000000" w:themeColor="text1"/>
                <w:sz w:val="24"/>
                <w:szCs w:val="24"/>
              </w:rPr>
              <w:t>章泳</w:t>
            </w:r>
          </w:p>
        </w:tc>
        <w:tc>
          <w:tcPr>
            <w:tcW w:w="2475" w:type="dxa"/>
          </w:tcPr>
          <w:p>
            <w:pPr>
              <w:pStyle w:val="35"/>
              <w:ind w:left="0" w:leftChars="0" w:firstLine="0"/>
              <w:jc w:val="center"/>
              <w:rPr>
                <w:rFonts w:ascii="仿宋" w:hAnsi="仿宋" w:eastAsia="仿宋" w:cs="Arial"/>
                <w:color w:val="000000" w:themeColor="text1"/>
                <w:sz w:val="24"/>
                <w:szCs w:val="24"/>
              </w:rPr>
            </w:pPr>
            <w:r>
              <w:rPr>
                <w:rFonts w:hint="eastAsia" w:ascii="仿宋" w:hAnsi="仿宋" w:eastAsia="仿宋" w:cs="Arial"/>
                <w:color w:val="000000" w:themeColor="text1"/>
                <w:sz w:val="24"/>
                <w:szCs w:val="24"/>
              </w:rPr>
              <w:t>18267658216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7" w:type="dxa"/>
          </w:tcPr>
          <w:p>
            <w:pPr>
              <w:pStyle w:val="35"/>
              <w:ind w:left="0" w:leftChars="0" w:firstLine="0"/>
              <w:jc w:val="center"/>
              <w:rPr>
                <w:rFonts w:ascii="仿宋" w:hAnsi="仿宋" w:eastAsia="仿宋" w:cs="Arial"/>
                <w:color w:val="000000" w:themeColor="text1"/>
                <w:sz w:val="24"/>
                <w:szCs w:val="24"/>
              </w:rPr>
            </w:pPr>
            <w:r>
              <w:rPr>
                <w:rFonts w:hint="eastAsia" w:ascii="仿宋" w:hAnsi="仿宋" w:eastAsia="仿宋" w:cs="Arial"/>
                <w:color w:val="000000" w:themeColor="text1"/>
                <w:sz w:val="24"/>
                <w:szCs w:val="24"/>
              </w:rPr>
              <w:t>中国建设银行股份有限公司天台支行</w:t>
            </w:r>
          </w:p>
        </w:tc>
        <w:tc>
          <w:tcPr>
            <w:tcW w:w="1887" w:type="dxa"/>
          </w:tcPr>
          <w:p>
            <w:pPr>
              <w:pStyle w:val="35"/>
              <w:ind w:left="0" w:leftChars="0" w:firstLine="0"/>
              <w:jc w:val="center"/>
              <w:rPr>
                <w:rFonts w:ascii="仿宋" w:hAnsi="仿宋" w:eastAsia="仿宋" w:cs="Arial"/>
                <w:color w:val="000000" w:themeColor="text1"/>
                <w:sz w:val="24"/>
                <w:szCs w:val="24"/>
              </w:rPr>
            </w:pPr>
            <w:r>
              <w:rPr>
                <w:rFonts w:hint="eastAsia" w:ascii="仿宋" w:hAnsi="仿宋" w:eastAsia="仿宋" w:cs="Arial"/>
                <w:color w:val="000000" w:themeColor="text1"/>
                <w:sz w:val="24"/>
                <w:szCs w:val="24"/>
              </w:rPr>
              <w:t>葛宇凡</w:t>
            </w:r>
          </w:p>
        </w:tc>
        <w:tc>
          <w:tcPr>
            <w:tcW w:w="2475" w:type="dxa"/>
          </w:tcPr>
          <w:p>
            <w:pPr>
              <w:pStyle w:val="35"/>
              <w:ind w:left="0" w:leftChars="0" w:firstLine="0"/>
              <w:jc w:val="center"/>
              <w:rPr>
                <w:rFonts w:ascii="仿宋" w:hAnsi="仿宋" w:eastAsia="仿宋" w:cs="Arial"/>
                <w:color w:val="000000" w:themeColor="text1"/>
                <w:sz w:val="24"/>
                <w:szCs w:val="24"/>
              </w:rPr>
            </w:pPr>
            <w:r>
              <w:rPr>
                <w:rFonts w:hint="eastAsia" w:ascii="仿宋" w:hAnsi="仿宋" w:eastAsia="仿宋" w:cs="Arial"/>
                <w:color w:val="000000" w:themeColor="text1"/>
                <w:sz w:val="24"/>
                <w:szCs w:val="24"/>
              </w:rPr>
              <w:t>18252002669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7" w:type="dxa"/>
          </w:tcPr>
          <w:p>
            <w:pPr>
              <w:pStyle w:val="35"/>
              <w:ind w:left="0" w:leftChars="0" w:firstLine="0"/>
              <w:jc w:val="center"/>
              <w:rPr>
                <w:rFonts w:ascii="仿宋" w:hAnsi="仿宋" w:eastAsia="仿宋" w:cs="Arial"/>
                <w:color w:val="000000" w:themeColor="text1"/>
                <w:sz w:val="24"/>
                <w:szCs w:val="24"/>
              </w:rPr>
            </w:pPr>
            <w:r>
              <w:rPr>
                <w:rFonts w:hint="eastAsia" w:ascii="仿宋" w:hAnsi="仿宋" w:eastAsia="仿宋" w:cs="Arial"/>
                <w:color w:val="000000" w:themeColor="text1"/>
                <w:sz w:val="24"/>
                <w:szCs w:val="24"/>
              </w:rPr>
              <w:t>中国工商银行股份有限公司天台支行</w:t>
            </w:r>
          </w:p>
        </w:tc>
        <w:tc>
          <w:tcPr>
            <w:tcW w:w="1887" w:type="dxa"/>
          </w:tcPr>
          <w:p>
            <w:pPr>
              <w:pStyle w:val="35"/>
              <w:ind w:left="0" w:leftChars="0" w:firstLine="0"/>
              <w:jc w:val="center"/>
              <w:rPr>
                <w:rFonts w:ascii="仿宋" w:hAnsi="仿宋" w:eastAsia="仿宋" w:cs="Arial"/>
                <w:color w:val="000000" w:themeColor="text1"/>
                <w:sz w:val="24"/>
                <w:szCs w:val="24"/>
              </w:rPr>
            </w:pPr>
            <w:r>
              <w:rPr>
                <w:rFonts w:hint="eastAsia" w:ascii="仿宋" w:hAnsi="仿宋" w:eastAsia="仿宋" w:cs="Arial"/>
                <w:color w:val="000000" w:themeColor="text1"/>
                <w:sz w:val="24"/>
                <w:szCs w:val="24"/>
              </w:rPr>
              <w:t>洪文强</w:t>
            </w:r>
          </w:p>
        </w:tc>
        <w:tc>
          <w:tcPr>
            <w:tcW w:w="2475" w:type="dxa"/>
          </w:tcPr>
          <w:p>
            <w:pPr>
              <w:pStyle w:val="35"/>
              <w:ind w:left="0" w:leftChars="0" w:firstLine="0"/>
              <w:jc w:val="center"/>
              <w:rPr>
                <w:rFonts w:ascii="仿宋" w:hAnsi="仿宋" w:eastAsia="仿宋" w:cs="Arial"/>
                <w:color w:val="000000" w:themeColor="text1"/>
                <w:sz w:val="24"/>
                <w:szCs w:val="24"/>
              </w:rPr>
            </w:pPr>
            <w:r>
              <w:rPr>
                <w:rFonts w:hint="eastAsia" w:ascii="仿宋" w:hAnsi="仿宋" w:eastAsia="仿宋" w:cs="Arial"/>
                <w:color w:val="000000" w:themeColor="text1"/>
                <w:sz w:val="24"/>
                <w:szCs w:val="24"/>
              </w:rPr>
              <w:t>0576-83815605</w:t>
            </w:r>
          </w:p>
        </w:tc>
      </w:tr>
    </w:tbl>
    <w:p>
      <w:pPr>
        <w:adjustRightInd w:val="0"/>
        <w:spacing w:beforeLines="50" w:afterLines="100" w:line="400" w:lineRule="exact"/>
        <w:jc w:val="center"/>
        <w:rPr>
          <w:rFonts w:ascii="仿宋" w:hAnsi="仿宋" w:eastAsia="仿宋"/>
          <w:b/>
          <w:bCs/>
          <w:color w:val="000000" w:themeColor="text1"/>
          <w:sz w:val="36"/>
          <w:szCs w:val="36"/>
        </w:rPr>
      </w:pPr>
    </w:p>
    <w:p>
      <w:pPr>
        <w:adjustRightInd w:val="0"/>
        <w:spacing w:beforeLines="50" w:afterLines="100" w:line="400" w:lineRule="exact"/>
        <w:jc w:val="center"/>
        <w:rPr>
          <w:rFonts w:ascii="仿宋" w:hAnsi="仿宋" w:eastAsia="仿宋"/>
          <w:b/>
          <w:bCs/>
          <w:color w:val="000000" w:themeColor="text1"/>
          <w:sz w:val="36"/>
          <w:szCs w:val="36"/>
        </w:rPr>
      </w:pPr>
    </w:p>
    <w:p>
      <w:pPr>
        <w:adjustRightInd w:val="0"/>
        <w:spacing w:beforeLines="50" w:afterLines="100" w:line="400" w:lineRule="exact"/>
        <w:jc w:val="center"/>
        <w:rPr>
          <w:rFonts w:ascii="仿宋" w:hAnsi="仿宋" w:eastAsia="仿宋"/>
          <w:b/>
          <w:bCs/>
          <w:color w:val="000000" w:themeColor="text1"/>
          <w:sz w:val="36"/>
          <w:szCs w:val="36"/>
        </w:rPr>
      </w:pPr>
      <w:r>
        <w:rPr>
          <w:rFonts w:hint="eastAsia" w:ascii="仿宋" w:hAnsi="仿宋" w:eastAsia="仿宋"/>
          <w:b/>
          <w:bCs/>
          <w:color w:val="000000" w:themeColor="text1"/>
          <w:sz w:val="36"/>
          <w:szCs w:val="36"/>
        </w:rPr>
        <w:t>第二章  投标人须知</w:t>
      </w:r>
    </w:p>
    <w:p>
      <w:pPr>
        <w:pStyle w:val="20"/>
        <w:spacing w:line="400" w:lineRule="exact"/>
        <w:jc w:val="center"/>
        <w:rPr>
          <w:rFonts w:ascii="仿宋" w:hAnsi="仿宋" w:eastAsia="仿宋"/>
          <w:color w:val="000000" w:themeColor="text1"/>
          <w:sz w:val="32"/>
        </w:rPr>
      </w:pPr>
      <w:r>
        <w:rPr>
          <w:rFonts w:ascii="仿宋" w:hAnsi="仿宋" w:eastAsia="仿宋"/>
          <w:b/>
          <w:bCs/>
          <w:color w:val="000000" w:themeColor="text1"/>
          <w:sz w:val="32"/>
        </w:rPr>
        <w:t>投标人须知前附表</w:t>
      </w:r>
      <w:bookmarkEnd w:id="0"/>
    </w:p>
    <w:tbl>
      <w:tblPr>
        <w:tblStyle w:val="3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340"/>
        <w:gridCol w:w="6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vAlign w:val="center"/>
          </w:tcPr>
          <w:p>
            <w:pPr>
              <w:pStyle w:val="20"/>
              <w:spacing w:line="280" w:lineRule="exact"/>
              <w:rPr>
                <w:rFonts w:ascii="仿宋" w:hAnsi="仿宋" w:eastAsia="仿宋"/>
                <w:color w:val="000000" w:themeColor="text1"/>
                <w:spacing w:val="-20"/>
                <w:sz w:val="24"/>
                <w:szCs w:val="24"/>
              </w:rPr>
            </w:pPr>
            <w:r>
              <w:rPr>
                <w:rFonts w:ascii="仿宋" w:hAnsi="仿宋" w:eastAsia="仿宋"/>
                <w:color w:val="000000" w:themeColor="text1"/>
                <w:spacing w:val="-20"/>
                <w:sz w:val="24"/>
                <w:szCs w:val="24"/>
              </w:rPr>
              <w:t>序号</w:t>
            </w:r>
          </w:p>
        </w:tc>
        <w:tc>
          <w:tcPr>
            <w:tcW w:w="2340" w:type="dxa"/>
            <w:vAlign w:val="center"/>
          </w:tcPr>
          <w:p>
            <w:pPr>
              <w:pStyle w:val="20"/>
              <w:spacing w:line="420" w:lineRule="exact"/>
              <w:jc w:val="center"/>
              <w:rPr>
                <w:rFonts w:ascii="仿宋" w:hAnsi="仿宋" w:eastAsia="仿宋"/>
                <w:color w:val="000000" w:themeColor="text1"/>
                <w:sz w:val="24"/>
                <w:szCs w:val="24"/>
              </w:rPr>
            </w:pPr>
            <w:r>
              <w:rPr>
                <w:rFonts w:ascii="仿宋" w:hAnsi="仿宋" w:eastAsia="仿宋"/>
                <w:color w:val="000000" w:themeColor="text1"/>
                <w:sz w:val="24"/>
                <w:szCs w:val="24"/>
              </w:rPr>
              <w:t>条 款 名 称</w:t>
            </w:r>
          </w:p>
        </w:tc>
        <w:tc>
          <w:tcPr>
            <w:tcW w:w="6300" w:type="dxa"/>
            <w:vAlign w:val="center"/>
          </w:tcPr>
          <w:p>
            <w:pPr>
              <w:pStyle w:val="20"/>
              <w:spacing w:line="420" w:lineRule="exact"/>
              <w:jc w:val="center"/>
              <w:rPr>
                <w:rFonts w:ascii="仿宋" w:hAnsi="仿宋" w:eastAsia="仿宋"/>
                <w:color w:val="000000" w:themeColor="text1"/>
                <w:spacing w:val="-20"/>
                <w:sz w:val="24"/>
                <w:szCs w:val="24"/>
              </w:rPr>
            </w:pPr>
            <w:r>
              <w:rPr>
                <w:rFonts w:ascii="仿宋" w:hAnsi="仿宋" w:eastAsia="仿宋"/>
                <w:color w:val="000000" w:themeColor="text1"/>
                <w:spacing w:val="-20"/>
                <w:sz w:val="24"/>
                <w:szCs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vAlign w:val="center"/>
          </w:tcPr>
          <w:p>
            <w:pPr>
              <w:pStyle w:val="20"/>
              <w:spacing w:line="280" w:lineRule="exact"/>
              <w:jc w:val="center"/>
              <w:rPr>
                <w:rFonts w:ascii="仿宋" w:hAnsi="仿宋" w:eastAsia="仿宋"/>
                <w:color w:val="000000" w:themeColor="text1"/>
                <w:sz w:val="24"/>
                <w:szCs w:val="24"/>
              </w:rPr>
            </w:pPr>
            <w:r>
              <w:rPr>
                <w:rFonts w:ascii="仿宋" w:hAnsi="仿宋" w:eastAsia="仿宋"/>
                <w:color w:val="000000" w:themeColor="text1"/>
                <w:sz w:val="24"/>
                <w:szCs w:val="24"/>
              </w:rPr>
              <w:t>1</w:t>
            </w:r>
          </w:p>
        </w:tc>
        <w:tc>
          <w:tcPr>
            <w:tcW w:w="2340" w:type="dxa"/>
            <w:vAlign w:val="center"/>
          </w:tcPr>
          <w:p>
            <w:pPr>
              <w:pStyle w:val="20"/>
              <w:spacing w:line="420" w:lineRule="exact"/>
              <w:rPr>
                <w:rFonts w:ascii="仿宋" w:hAnsi="仿宋" w:eastAsia="仿宋"/>
                <w:color w:val="000000" w:themeColor="text1"/>
                <w:sz w:val="24"/>
                <w:szCs w:val="24"/>
              </w:rPr>
            </w:pPr>
            <w:r>
              <w:rPr>
                <w:rFonts w:ascii="仿宋" w:hAnsi="仿宋" w:eastAsia="仿宋"/>
                <w:color w:val="000000" w:themeColor="text1"/>
                <w:sz w:val="24"/>
                <w:szCs w:val="24"/>
              </w:rPr>
              <w:t>采购人</w:t>
            </w:r>
          </w:p>
        </w:tc>
        <w:tc>
          <w:tcPr>
            <w:tcW w:w="6300" w:type="dxa"/>
            <w:vAlign w:val="center"/>
          </w:tcPr>
          <w:p>
            <w:pPr>
              <w:pStyle w:val="20"/>
              <w:spacing w:line="420" w:lineRule="exact"/>
              <w:rPr>
                <w:rFonts w:ascii="仿宋" w:hAnsi="仿宋" w:eastAsia="仿宋"/>
                <w:color w:val="000000" w:themeColor="text1"/>
                <w:sz w:val="24"/>
                <w:szCs w:val="24"/>
              </w:rPr>
            </w:pPr>
            <w:r>
              <w:rPr>
                <w:rFonts w:hint="eastAsia" w:ascii="仿宋" w:hAnsi="仿宋" w:eastAsia="仿宋"/>
                <w:color w:val="000000" w:themeColor="text1"/>
                <w:sz w:val="24"/>
              </w:rPr>
              <w:t>天台中学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720" w:type="dxa"/>
            <w:vAlign w:val="center"/>
          </w:tcPr>
          <w:p>
            <w:pPr>
              <w:pStyle w:val="20"/>
              <w:spacing w:line="420" w:lineRule="exact"/>
              <w:jc w:val="center"/>
              <w:rPr>
                <w:rFonts w:ascii="仿宋" w:hAnsi="仿宋" w:eastAsia="仿宋"/>
                <w:color w:val="000000" w:themeColor="text1"/>
                <w:sz w:val="24"/>
                <w:szCs w:val="24"/>
              </w:rPr>
            </w:pPr>
            <w:r>
              <w:rPr>
                <w:rFonts w:ascii="仿宋" w:hAnsi="仿宋" w:eastAsia="仿宋"/>
                <w:color w:val="000000" w:themeColor="text1"/>
                <w:sz w:val="24"/>
                <w:szCs w:val="24"/>
              </w:rPr>
              <w:t>2</w:t>
            </w:r>
          </w:p>
        </w:tc>
        <w:tc>
          <w:tcPr>
            <w:tcW w:w="2340" w:type="dxa"/>
            <w:vAlign w:val="center"/>
          </w:tcPr>
          <w:p>
            <w:pPr>
              <w:pStyle w:val="20"/>
              <w:spacing w:line="420" w:lineRule="exact"/>
              <w:rPr>
                <w:rFonts w:ascii="仿宋" w:hAnsi="仿宋" w:eastAsia="仿宋"/>
                <w:color w:val="000000" w:themeColor="text1"/>
                <w:sz w:val="24"/>
                <w:szCs w:val="24"/>
              </w:rPr>
            </w:pPr>
            <w:r>
              <w:rPr>
                <w:rFonts w:ascii="仿宋" w:hAnsi="仿宋" w:eastAsia="仿宋"/>
                <w:color w:val="000000" w:themeColor="text1"/>
                <w:sz w:val="24"/>
                <w:szCs w:val="24"/>
              </w:rPr>
              <w:t>项目名称</w:t>
            </w:r>
          </w:p>
        </w:tc>
        <w:tc>
          <w:tcPr>
            <w:tcW w:w="6300" w:type="dxa"/>
            <w:vAlign w:val="center"/>
          </w:tcPr>
          <w:p>
            <w:pPr>
              <w:pStyle w:val="20"/>
              <w:spacing w:line="420" w:lineRule="exact"/>
              <w:rPr>
                <w:rFonts w:ascii="仿宋" w:hAnsi="仿宋" w:eastAsia="仿宋"/>
                <w:color w:val="000000" w:themeColor="text1"/>
                <w:sz w:val="24"/>
                <w:szCs w:val="24"/>
              </w:rPr>
            </w:pPr>
            <w:r>
              <w:rPr>
                <w:rFonts w:hint="eastAsia" w:ascii="仿宋" w:hAnsi="仿宋" w:eastAsia="仿宋"/>
                <w:color w:val="000000" w:themeColor="text1"/>
                <w:sz w:val="24"/>
                <w:szCs w:val="24"/>
              </w:rPr>
              <w:t xml:space="preserve">天台中学创新实验室和专用教室采购项目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720" w:type="dxa"/>
            <w:vAlign w:val="center"/>
          </w:tcPr>
          <w:p>
            <w:pPr>
              <w:pStyle w:val="20"/>
              <w:spacing w:line="420" w:lineRule="exact"/>
              <w:jc w:val="center"/>
              <w:rPr>
                <w:rFonts w:ascii="仿宋" w:hAnsi="仿宋" w:eastAsia="仿宋"/>
                <w:color w:val="000000" w:themeColor="text1"/>
                <w:sz w:val="24"/>
                <w:szCs w:val="24"/>
              </w:rPr>
            </w:pPr>
            <w:r>
              <w:rPr>
                <w:rFonts w:ascii="仿宋" w:hAnsi="仿宋" w:eastAsia="仿宋"/>
                <w:color w:val="000000" w:themeColor="text1"/>
                <w:sz w:val="24"/>
                <w:szCs w:val="24"/>
              </w:rPr>
              <w:t>3</w:t>
            </w:r>
          </w:p>
        </w:tc>
        <w:tc>
          <w:tcPr>
            <w:tcW w:w="2340" w:type="dxa"/>
            <w:vAlign w:val="center"/>
          </w:tcPr>
          <w:p>
            <w:pPr>
              <w:pStyle w:val="20"/>
              <w:spacing w:line="420" w:lineRule="exact"/>
              <w:rPr>
                <w:rFonts w:ascii="仿宋" w:hAnsi="仿宋" w:eastAsia="仿宋"/>
                <w:color w:val="000000" w:themeColor="text1"/>
                <w:sz w:val="24"/>
                <w:szCs w:val="24"/>
              </w:rPr>
            </w:pPr>
            <w:r>
              <w:rPr>
                <w:rFonts w:hint="eastAsia" w:ascii="仿宋" w:hAnsi="仿宋" w:eastAsia="仿宋"/>
                <w:color w:val="000000" w:themeColor="text1"/>
                <w:sz w:val="24"/>
                <w:szCs w:val="24"/>
              </w:rPr>
              <w:t>采购方</w:t>
            </w:r>
            <w:r>
              <w:rPr>
                <w:rFonts w:ascii="仿宋" w:hAnsi="仿宋" w:eastAsia="仿宋"/>
                <w:color w:val="000000" w:themeColor="text1"/>
                <w:sz w:val="24"/>
                <w:szCs w:val="24"/>
              </w:rPr>
              <w:t>式</w:t>
            </w:r>
          </w:p>
        </w:tc>
        <w:tc>
          <w:tcPr>
            <w:tcW w:w="6300" w:type="dxa"/>
            <w:vAlign w:val="center"/>
          </w:tcPr>
          <w:p>
            <w:pPr>
              <w:pStyle w:val="20"/>
              <w:spacing w:line="420" w:lineRule="exact"/>
              <w:rPr>
                <w:rFonts w:ascii="仿宋" w:hAnsi="仿宋" w:eastAsia="仿宋"/>
                <w:color w:val="000000" w:themeColor="text1"/>
                <w:sz w:val="24"/>
                <w:szCs w:val="24"/>
              </w:rPr>
            </w:pPr>
            <w:r>
              <w:rPr>
                <w:rFonts w:ascii="仿宋" w:hAnsi="仿宋" w:eastAsia="仿宋"/>
                <w:color w:val="000000" w:themeColor="text1"/>
                <w:sz w:val="24"/>
                <w:szCs w:val="24"/>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720" w:type="dxa"/>
            <w:vAlign w:val="center"/>
          </w:tcPr>
          <w:p>
            <w:pPr>
              <w:pStyle w:val="20"/>
              <w:spacing w:line="420" w:lineRule="exact"/>
              <w:jc w:val="center"/>
              <w:rPr>
                <w:rFonts w:ascii="仿宋" w:hAnsi="仿宋" w:eastAsia="仿宋"/>
                <w:color w:val="000000" w:themeColor="text1"/>
                <w:sz w:val="24"/>
                <w:szCs w:val="24"/>
              </w:rPr>
            </w:pPr>
            <w:r>
              <w:rPr>
                <w:rFonts w:hint="eastAsia" w:ascii="仿宋" w:hAnsi="仿宋" w:eastAsia="仿宋"/>
                <w:color w:val="000000" w:themeColor="text1"/>
                <w:sz w:val="24"/>
                <w:szCs w:val="24"/>
              </w:rPr>
              <w:t>4</w:t>
            </w:r>
          </w:p>
        </w:tc>
        <w:tc>
          <w:tcPr>
            <w:tcW w:w="2340" w:type="dxa"/>
            <w:vAlign w:val="center"/>
          </w:tcPr>
          <w:p>
            <w:pPr>
              <w:pStyle w:val="20"/>
              <w:spacing w:line="420" w:lineRule="exact"/>
              <w:rPr>
                <w:rFonts w:ascii="仿宋" w:hAnsi="仿宋" w:eastAsia="仿宋"/>
                <w:color w:val="000000" w:themeColor="text1"/>
                <w:sz w:val="24"/>
                <w:szCs w:val="24"/>
              </w:rPr>
            </w:pPr>
            <w:r>
              <w:rPr>
                <w:rFonts w:hint="eastAsia" w:ascii="仿宋" w:hAnsi="仿宋" w:eastAsia="仿宋"/>
                <w:color w:val="000000" w:themeColor="text1"/>
                <w:sz w:val="24"/>
                <w:szCs w:val="24"/>
              </w:rPr>
              <w:t>采购预算</w:t>
            </w:r>
          </w:p>
        </w:tc>
        <w:tc>
          <w:tcPr>
            <w:tcW w:w="6300" w:type="dxa"/>
            <w:vAlign w:val="center"/>
          </w:tcPr>
          <w:p>
            <w:pPr>
              <w:pStyle w:val="20"/>
              <w:spacing w:line="420" w:lineRule="exact"/>
              <w:rPr>
                <w:rFonts w:ascii="仿宋" w:hAnsi="仿宋" w:eastAsia="仿宋"/>
                <w:color w:val="000000" w:themeColor="text1"/>
                <w:sz w:val="24"/>
                <w:szCs w:val="24"/>
              </w:rPr>
            </w:pPr>
            <w:r>
              <w:rPr>
                <w:rFonts w:hint="eastAsia" w:ascii="仿宋" w:hAnsi="仿宋" w:eastAsia="仿宋"/>
                <w:color w:val="000000" w:themeColor="text1"/>
                <w:sz w:val="24"/>
                <w:szCs w:val="24"/>
              </w:rPr>
              <w:t>标项一：5200000元</w:t>
            </w:r>
          </w:p>
          <w:p>
            <w:pPr>
              <w:pStyle w:val="20"/>
              <w:spacing w:line="420" w:lineRule="exact"/>
              <w:rPr>
                <w:color w:val="000000" w:themeColor="text1"/>
              </w:rPr>
            </w:pPr>
            <w:r>
              <w:rPr>
                <w:rFonts w:hint="eastAsia" w:ascii="仿宋" w:hAnsi="仿宋" w:eastAsia="仿宋"/>
                <w:color w:val="000000" w:themeColor="text1"/>
                <w:sz w:val="24"/>
                <w:szCs w:val="24"/>
              </w:rPr>
              <w:t>标项二：3250000元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720" w:type="dxa"/>
            <w:vAlign w:val="center"/>
          </w:tcPr>
          <w:p>
            <w:pPr>
              <w:pStyle w:val="20"/>
              <w:spacing w:line="420" w:lineRule="exact"/>
              <w:jc w:val="center"/>
              <w:rPr>
                <w:rFonts w:ascii="仿宋" w:hAnsi="仿宋" w:eastAsia="仿宋"/>
                <w:color w:val="000000" w:themeColor="text1"/>
                <w:sz w:val="24"/>
                <w:szCs w:val="24"/>
              </w:rPr>
            </w:pPr>
            <w:r>
              <w:rPr>
                <w:rFonts w:hint="eastAsia" w:ascii="仿宋" w:hAnsi="仿宋" w:eastAsia="仿宋"/>
                <w:color w:val="000000" w:themeColor="text1"/>
                <w:sz w:val="24"/>
                <w:szCs w:val="24"/>
              </w:rPr>
              <w:t>5</w:t>
            </w:r>
          </w:p>
        </w:tc>
        <w:tc>
          <w:tcPr>
            <w:tcW w:w="2340" w:type="dxa"/>
            <w:vAlign w:val="center"/>
          </w:tcPr>
          <w:p>
            <w:pPr>
              <w:pStyle w:val="20"/>
              <w:spacing w:line="420" w:lineRule="exact"/>
              <w:rPr>
                <w:rFonts w:ascii="仿宋" w:hAnsi="仿宋" w:eastAsia="仿宋"/>
                <w:color w:val="000000" w:themeColor="text1"/>
                <w:sz w:val="24"/>
                <w:szCs w:val="24"/>
              </w:rPr>
            </w:pPr>
            <w:r>
              <w:rPr>
                <w:rFonts w:hint="eastAsia" w:ascii="仿宋" w:hAnsi="仿宋" w:eastAsia="仿宋"/>
                <w:color w:val="000000" w:themeColor="text1"/>
                <w:sz w:val="24"/>
                <w:szCs w:val="24"/>
              </w:rPr>
              <w:t>交货期</w:t>
            </w:r>
          </w:p>
        </w:tc>
        <w:tc>
          <w:tcPr>
            <w:tcW w:w="6300" w:type="dxa"/>
            <w:vAlign w:val="center"/>
          </w:tcPr>
          <w:p>
            <w:pPr>
              <w:pStyle w:val="20"/>
              <w:spacing w:line="420" w:lineRule="exact"/>
              <w:rPr>
                <w:rFonts w:ascii="仿宋" w:hAnsi="仿宋" w:eastAsia="仿宋"/>
                <w:color w:val="000000" w:themeColor="text1"/>
                <w:sz w:val="24"/>
                <w:szCs w:val="24"/>
              </w:rPr>
            </w:pPr>
            <w:r>
              <w:rPr>
                <w:rFonts w:hint="eastAsia" w:ascii="仿宋" w:hAnsi="仿宋" w:eastAsia="仿宋"/>
                <w:color w:val="000000" w:themeColor="text1"/>
                <w:sz w:val="24"/>
                <w:szCs w:val="24"/>
              </w:rPr>
              <w:t>详见招标文件第四章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720" w:type="dxa"/>
            <w:vAlign w:val="center"/>
          </w:tcPr>
          <w:p>
            <w:pPr>
              <w:pStyle w:val="20"/>
              <w:spacing w:line="420" w:lineRule="exact"/>
              <w:jc w:val="center"/>
              <w:rPr>
                <w:rFonts w:ascii="仿宋" w:hAnsi="仿宋" w:eastAsia="仿宋"/>
                <w:color w:val="000000" w:themeColor="text1"/>
                <w:sz w:val="24"/>
                <w:szCs w:val="24"/>
              </w:rPr>
            </w:pPr>
            <w:r>
              <w:rPr>
                <w:rFonts w:hint="eastAsia" w:ascii="仿宋" w:hAnsi="仿宋" w:eastAsia="仿宋"/>
                <w:color w:val="000000" w:themeColor="text1"/>
                <w:sz w:val="24"/>
                <w:szCs w:val="24"/>
              </w:rPr>
              <w:t>6</w:t>
            </w:r>
          </w:p>
        </w:tc>
        <w:tc>
          <w:tcPr>
            <w:tcW w:w="2340" w:type="dxa"/>
            <w:vAlign w:val="center"/>
          </w:tcPr>
          <w:p>
            <w:pPr>
              <w:pStyle w:val="20"/>
              <w:spacing w:line="420" w:lineRule="exact"/>
              <w:rPr>
                <w:rFonts w:ascii="仿宋" w:hAnsi="仿宋" w:eastAsia="仿宋"/>
                <w:color w:val="000000" w:themeColor="text1"/>
                <w:sz w:val="24"/>
                <w:szCs w:val="24"/>
              </w:rPr>
            </w:pPr>
            <w:r>
              <w:rPr>
                <w:rFonts w:hint="eastAsia" w:ascii="仿宋" w:hAnsi="仿宋" w:eastAsia="仿宋"/>
                <w:color w:val="000000" w:themeColor="text1"/>
                <w:sz w:val="24"/>
                <w:szCs w:val="24"/>
              </w:rPr>
              <w:t>交货</w:t>
            </w:r>
            <w:r>
              <w:rPr>
                <w:rFonts w:ascii="仿宋" w:hAnsi="仿宋" w:eastAsia="仿宋"/>
                <w:color w:val="000000" w:themeColor="text1"/>
                <w:sz w:val="24"/>
                <w:szCs w:val="24"/>
              </w:rPr>
              <w:t>地点</w:t>
            </w:r>
          </w:p>
        </w:tc>
        <w:tc>
          <w:tcPr>
            <w:tcW w:w="6300" w:type="dxa"/>
            <w:vAlign w:val="center"/>
          </w:tcPr>
          <w:p>
            <w:pPr>
              <w:pStyle w:val="20"/>
              <w:spacing w:line="420" w:lineRule="exact"/>
              <w:rPr>
                <w:rFonts w:ascii="仿宋" w:hAnsi="仿宋" w:eastAsia="仿宋"/>
                <w:color w:val="000000" w:themeColor="text1"/>
                <w:sz w:val="24"/>
                <w:szCs w:val="24"/>
              </w:rPr>
            </w:pPr>
            <w:r>
              <w:rPr>
                <w:rFonts w:hint="eastAsia" w:ascii="仿宋" w:hAnsi="仿宋" w:eastAsia="仿宋"/>
                <w:color w:val="000000" w:themeColor="text1"/>
                <w:sz w:val="24"/>
                <w:szCs w:val="24"/>
              </w:rPr>
              <w:t>采购人</w:t>
            </w:r>
            <w:r>
              <w:rPr>
                <w:rFonts w:ascii="仿宋" w:hAnsi="仿宋" w:eastAsia="仿宋"/>
                <w:color w:val="000000" w:themeColor="text1"/>
                <w:sz w:val="24"/>
                <w:szCs w:val="24"/>
              </w:rPr>
              <w:t>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720" w:type="dxa"/>
            <w:vAlign w:val="center"/>
          </w:tcPr>
          <w:p>
            <w:pPr>
              <w:pStyle w:val="20"/>
              <w:spacing w:line="420" w:lineRule="exact"/>
              <w:jc w:val="center"/>
              <w:rPr>
                <w:rFonts w:ascii="仿宋" w:hAnsi="仿宋" w:eastAsia="仿宋"/>
                <w:color w:val="000000" w:themeColor="text1"/>
                <w:sz w:val="24"/>
                <w:szCs w:val="24"/>
              </w:rPr>
            </w:pPr>
            <w:r>
              <w:rPr>
                <w:rFonts w:hint="eastAsia" w:ascii="仿宋" w:hAnsi="仿宋" w:eastAsia="仿宋"/>
                <w:color w:val="000000" w:themeColor="text1"/>
                <w:sz w:val="24"/>
                <w:szCs w:val="24"/>
              </w:rPr>
              <w:t>7</w:t>
            </w:r>
          </w:p>
        </w:tc>
        <w:tc>
          <w:tcPr>
            <w:tcW w:w="2340" w:type="dxa"/>
            <w:vAlign w:val="center"/>
          </w:tcPr>
          <w:p>
            <w:pPr>
              <w:pStyle w:val="20"/>
              <w:spacing w:line="420" w:lineRule="exact"/>
              <w:rPr>
                <w:rFonts w:ascii="仿宋" w:hAnsi="仿宋" w:eastAsia="仿宋"/>
                <w:color w:val="000000" w:themeColor="text1"/>
                <w:sz w:val="24"/>
                <w:szCs w:val="24"/>
              </w:rPr>
            </w:pPr>
            <w:r>
              <w:rPr>
                <w:rFonts w:ascii="仿宋" w:hAnsi="仿宋" w:eastAsia="仿宋"/>
                <w:color w:val="000000" w:themeColor="text1"/>
                <w:sz w:val="24"/>
                <w:szCs w:val="24"/>
              </w:rPr>
              <w:t>付款方式</w:t>
            </w:r>
          </w:p>
        </w:tc>
        <w:tc>
          <w:tcPr>
            <w:tcW w:w="6300" w:type="dxa"/>
            <w:vAlign w:val="center"/>
          </w:tcPr>
          <w:p>
            <w:pPr>
              <w:pStyle w:val="20"/>
              <w:spacing w:line="420" w:lineRule="exact"/>
              <w:rPr>
                <w:rFonts w:ascii="仿宋" w:hAnsi="仿宋" w:eastAsia="仿宋"/>
                <w:color w:val="000000" w:themeColor="text1"/>
                <w:sz w:val="24"/>
                <w:szCs w:val="24"/>
              </w:rPr>
            </w:pPr>
            <w:r>
              <w:rPr>
                <w:rFonts w:hint="eastAsia" w:ascii="仿宋" w:hAnsi="仿宋" w:eastAsia="仿宋"/>
                <w:color w:val="000000" w:themeColor="text1"/>
                <w:sz w:val="24"/>
                <w:szCs w:val="24"/>
              </w:rPr>
              <w:t>详见招标文件第四章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720" w:type="dxa"/>
            <w:vAlign w:val="center"/>
          </w:tcPr>
          <w:p>
            <w:pPr>
              <w:pStyle w:val="20"/>
              <w:spacing w:line="420" w:lineRule="exact"/>
              <w:jc w:val="center"/>
              <w:rPr>
                <w:rFonts w:ascii="仿宋" w:hAnsi="仿宋" w:eastAsia="仿宋"/>
                <w:color w:val="000000" w:themeColor="text1"/>
                <w:sz w:val="24"/>
                <w:szCs w:val="24"/>
              </w:rPr>
            </w:pPr>
            <w:r>
              <w:rPr>
                <w:rFonts w:hint="eastAsia" w:ascii="仿宋" w:hAnsi="仿宋" w:eastAsia="仿宋"/>
                <w:color w:val="000000" w:themeColor="text1"/>
                <w:sz w:val="24"/>
                <w:szCs w:val="24"/>
              </w:rPr>
              <w:t>8</w:t>
            </w:r>
          </w:p>
        </w:tc>
        <w:tc>
          <w:tcPr>
            <w:tcW w:w="2340" w:type="dxa"/>
            <w:vAlign w:val="center"/>
          </w:tcPr>
          <w:p>
            <w:pPr>
              <w:pStyle w:val="20"/>
              <w:spacing w:line="420" w:lineRule="exact"/>
              <w:rPr>
                <w:rFonts w:ascii="仿宋" w:hAnsi="仿宋" w:eastAsia="仿宋"/>
                <w:color w:val="000000" w:themeColor="text1"/>
                <w:sz w:val="24"/>
                <w:szCs w:val="24"/>
              </w:rPr>
            </w:pPr>
            <w:r>
              <w:rPr>
                <w:rFonts w:ascii="仿宋" w:hAnsi="仿宋" w:eastAsia="仿宋"/>
                <w:color w:val="000000" w:themeColor="text1"/>
                <w:sz w:val="24"/>
                <w:szCs w:val="24"/>
              </w:rPr>
              <w:t>开标地点</w:t>
            </w:r>
          </w:p>
        </w:tc>
        <w:tc>
          <w:tcPr>
            <w:tcW w:w="6300" w:type="dxa"/>
            <w:vAlign w:val="center"/>
          </w:tcPr>
          <w:p>
            <w:pPr>
              <w:pStyle w:val="20"/>
              <w:spacing w:line="420" w:lineRule="exact"/>
              <w:rPr>
                <w:rFonts w:ascii="仿宋" w:hAnsi="仿宋" w:eastAsia="仿宋"/>
                <w:color w:val="000000" w:themeColor="text1"/>
                <w:spacing w:val="-20"/>
                <w:sz w:val="24"/>
                <w:szCs w:val="24"/>
              </w:rPr>
            </w:pPr>
            <w:r>
              <w:rPr>
                <w:rFonts w:ascii="仿宋" w:hAnsi="仿宋" w:eastAsia="仿宋"/>
                <w:color w:val="000000" w:themeColor="text1"/>
                <w:spacing w:val="-20"/>
                <w:sz w:val="24"/>
                <w:szCs w:val="24"/>
              </w:rPr>
              <w:t>天台县始丰街道玉龙路1号行政大楼B区一楼东侧开标大厅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7" w:hRule="atLeast"/>
        </w:trPr>
        <w:tc>
          <w:tcPr>
            <w:tcW w:w="720" w:type="dxa"/>
            <w:vAlign w:val="center"/>
          </w:tcPr>
          <w:p>
            <w:pPr>
              <w:pStyle w:val="20"/>
              <w:spacing w:line="420" w:lineRule="exact"/>
              <w:jc w:val="center"/>
              <w:rPr>
                <w:rFonts w:ascii="仿宋" w:hAnsi="仿宋" w:eastAsia="仿宋"/>
                <w:color w:val="000000" w:themeColor="text1"/>
                <w:sz w:val="24"/>
                <w:szCs w:val="24"/>
              </w:rPr>
            </w:pPr>
            <w:r>
              <w:rPr>
                <w:rFonts w:hint="eastAsia" w:ascii="仿宋" w:hAnsi="仿宋" w:eastAsia="仿宋"/>
                <w:color w:val="000000" w:themeColor="text1"/>
                <w:sz w:val="24"/>
                <w:szCs w:val="24"/>
              </w:rPr>
              <w:t>9</w:t>
            </w:r>
          </w:p>
        </w:tc>
        <w:tc>
          <w:tcPr>
            <w:tcW w:w="2340" w:type="dxa"/>
            <w:vAlign w:val="center"/>
          </w:tcPr>
          <w:p>
            <w:pPr>
              <w:pStyle w:val="20"/>
              <w:spacing w:line="420" w:lineRule="exact"/>
              <w:rPr>
                <w:rFonts w:ascii="仿宋" w:hAnsi="仿宋" w:eastAsia="仿宋"/>
                <w:color w:val="000000" w:themeColor="text1"/>
                <w:sz w:val="24"/>
                <w:szCs w:val="24"/>
              </w:rPr>
            </w:pPr>
            <w:r>
              <w:rPr>
                <w:rFonts w:ascii="仿宋" w:hAnsi="仿宋" w:eastAsia="仿宋"/>
                <w:color w:val="000000" w:themeColor="text1"/>
                <w:sz w:val="24"/>
                <w:szCs w:val="24"/>
              </w:rPr>
              <w:t>投标有效期</w:t>
            </w:r>
          </w:p>
        </w:tc>
        <w:tc>
          <w:tcPr>
            <w:tcW w:w="6300" w:type="dxa"/>
            <w:vAlign w:val="center"/>
          </w:tcPr>
          <w:p>
            <w:pPr>
              <w:pStyle w:val="20"/>
              <w:spacing w:line="420" w:lineRule="exact"/>
              <w:rPr>
                <w:rFonts w:ascii="仿宋" w:hAnsi="仿宋" w:eastAsia="仿宋"/>
                <w:color w:val="000000" w:themeColor="text1"/>
                <w:sz w:val="24"/>
                <w:szCs w:val="24"/>
              </w:rPr>
            </w:pPr>
            <w:r>
              <w:rPr>
                <w:rFonts w:ascii="仿宋" w:hAnsi="仿宋" w:eastAsia="仿宋"/>
                <w:color w:val="000000" w:themeColor="text1"/>
                <w:sz w:val="24"/>
                <w:szCs w:val="24"/>
              </w:rPr>
              <w:t>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720" w:type="dxa"/>
            <w:vAlign w:val="center"/>
          </w:tcPr>
          <w:p>
            <w:pPr>
              <w:pStyle w:val="20"/>
              <w:spacing w:line="420" w:lineRule="exact"/>
              <w:jc w:val="center"/>
              <w:rPr>
                <w:rFonts w:ascii="仿宋" w:hAnsi="仿宋" w:eastAsia="仿宋"/>
                <w:color w:val="000000" w:themeColor="text1"/>
                <w:sz w:val="24"/>
                <w:szCs w:val="24"/>
              </w:rPr>
            </w:pPr>
            <w:r>
              <w:rPr>
                <w:rFonts w:hint="eastAsia" w:ascii="仿宋" w:hAnsi="仿宋" w:eastAsia="仿宋"/>
                <w:color w:val="000000" w:themeColor="text1"/>
                <w:sz w:val="24"/>
                <w:szCs w:val="24"/>
              </w:rPr>
              <w:t>1</w:t>
            </w:r>
            <w:r>
              <w:rPr>
                <w:rFonts w:ascii="仿宋" w:hAnsi="仿宋" w:eastAsia="仿宋"/>
                <w:color w:val="000000" w:themeColor="text1"/>
                <w:sz w:val="24"/>
                <w:szCs w:val="24"/>
              </w:rPr>
              <w:t>0</w:t>
            </w:r>
          </w:p>
        </w:tc>
        <w:tc>
          <w:tcPr>
            <w:tcW w:w="2340" w:type="dxa"/>
            <w:vAlign w:val="center"/>
          </w:tcPr>
          <w:p>
            <w:pPr>
              <w:pStyle w:val="20"/>
              <w:spacing w:line="420" w:lineRule="exact"/>
              <w:rPr>
                <w:rFonts w:ascii="仿宋" w:hAnsi="仿宋" w:eastAsia="仿宋"/>
                <w:color w:val="000000" w:themeColor="text1"/>
                <w:spacing w:val="-20"/>
                <w:sz w:val="24"/>
                <w:szCs w:val="24"/>
              </w:rPr>
            </w:pPr>
            <w:r>
              <w:rPr>
                <w:rFonts w:ascii="仿宋" w:hAnsi="仿宋" w:eastAsia="仿宋"/>
                <w:color w:val="000000" w:themeColor="text1"/>
                <w:spacing w:val="-20"/>
                <w:sz w:val="24"/>
                <w:szCs w:val="24"/>
              </w:rPr>
              <w:t>投标报价币种及单位</w:t>
            </w:r>
          </w:p>
        </w:tc>
        <w:tc>
          <w:tcPr>
            <w:tcW w:w="6300" w:type="dxa"/>
            <w:vAlign w:val="center"/>
          </w:tcPr>
          <w:p>
            <w:pPr>
              <w:pStyle w:val="20"/>
              <w:spacing w:line="400" w:lineRule="exact"/>
              <w:rPr>
                <w:rFonts w:ascii="仿宋" w:hAnsi="仿宋" w:eastAsia="仿宋"/>
                <w:color w:val="000000" w:themeColor="text1"/>
                <w:spacing w:val="-20"/>
                <w:sz w:val="24"/>
                <w:szCs w:val="24"/>
              </w:rPr>
            </w:pPr>
            <w:r>
              <w:rPr>
                <w:rFonts w:ascii="仿宋" w:hAnsi="仿宋" w:eastAsia="仿宋"/>
                <w:color w:val="000000" w:themeColor="text1"/>
                <w:spacing w:val="-20"/>
                <w:sz w:val="24"/>
                <w:szCs w:val="24"/>
              </w:rPr>
              <w:t>人民币</w:t>
            </w:r>
            <w:r>
              <w:rPr>
                <w:rFonts w:hint="eastAsia" w:ascii="仿宋" w:hAnsi="仿宋" w:eastAsia="仿宋"/>
                <w:color w:val="000000" w:themeColor="text1"/>
                <w:spacing w:val="-20"/>
                <w:sz w:val="24"/>
                <w:szCs w:val="24"/>
              </w:rPr>
              <w:t>、</w:t>
            </w:r>
            <w:r>
              <w:rPr>
                <w:rFonts w:ascii="仿宋" w:hAnsi="仿宋" w:eastAsia="仿宋"/>
                <w:color w:val="000000" w:themeColor="text1"/>
                <w:spacing w:val="-20"/>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5" w:hRule="atLeast"/>
        </w:trPr>
        <w:tc>
          <w:tcPr>
            <w:tcW w:w="720" w:type="dxa"/>
            <w:vAlign w:val="center"/>
          </w:tcPr>
          <w:p>
            <w:pPr>
              <w:pStyle w:val="20"/>
              <w:spacing w:line="420" w:lineRule="exact"/>
              <w:jc w:val="center"/>
              <w:rPr>
                <w:rFonts w:ascii="仿宋" w:hAnsi="仿宋" w:eastAsia="仿宋"/>
                <w:color w:val="000000" w:themeColor="text1"/>
                <w:sz w:val="24"/>
                <w:szCs w:val="24"/>
              </w:rPr>
            </w:pPr>
            <w:r>
              <w:rPr>
                <w:rFonts w:ascii="仿宋" w:hAnsi="仿宋" w:eastAsia="仿宋"/>
                <w:color w:val="000000" w:themeColor="text1"/>
                <w:sz w:val="24"/>
                <w:szCs w:val="24"/>
              </w:rPr>
              <w:t>11</w:t>
            </w:r>
          </w:p>
        </w:tc>
        <w:tc>
          <w:tcPr>
            <w:tcW w:w="2340" w:type="dxa"/>
            <w:vAlign w:val="center"/>
          </w:tcPr>
          <w:p>
            <w:pPr>
              <w:spacing w:line="360" w:lineRule="auto"/>
              <w:jc w:val="center"/>
              <w:rPr>
                <w:rFonts w:ascii="仿宋" w:hAnsi="仿宋" w:eastAsia="仿宋"/>
                <w:color w:val="000000" w:themeColor="text1"/>
                <w:spacing w:val="-20"/>
                <w:sz w:val="24"/>
                <w:szCs w:val="20"/>
              </w:rPr>
            </w:pPr>
            <w:r>
              <w:rPr>
                <w:rFonts w:hint="eastAsia" w:ascii="仿宋" w:hAnsi="仿宋" w:eastAsia="仿宋"/>
                <w:color w:val="000000" w:themeColor="text1"/>
                <w:spacing w:val="-20"/>
                <w:sz w:val="24"/>
                <w:szCs w:val="20"/>
              </w:rPr>
              <w:t>电子投标要求</w:t>
            </w:r>
          </w:p>
        </w:tc>
        <w:tc>
          <w:tcPr>
            <w:tcW w:w="6300" w:type="dxa"/>
            <w:vAlign w:val="center"/>
          </w:tcPr>
          <w:p>
            <w:pPr>
              <w:spacing w:line="360" w:lineRule="auto"/>
              <w:rPr>
                <w:rFonts w:ascii="仿宋" w:hAnsi="仿宋" w:eastAsia="仿宋"/>
                <w:color w:val="000000" w:themeColor="text1"/>
                <w:spacing w:val="-20"/>
                <w:sz w:val="24"/>
                <w:szCs w:val="20"/>
              </w:rPr>
            </w:pPr>
            <w:r>
              <w:rPr>
                <w:rFonts w:hint="eastAsia" w:ascii="仿宋" w:hAnsi="仿宋" w:eastAsia="仿宋"/>
                <w:color w:val="000000" w:themeColor="text1"/>
                <w:spacing w:val="-20"/>
                <w:sz w:val="24"/>
                <w:szCs w:val="20"/>
              </w:rPr>
              <w:t>投标人须按照采购文件和电子交易平台的要求编制并加密电子投标文件。截止时间：北京时间202</w:t>
            </w:r>
            <w:r>
              <w:rPr>
                <w:rFonts w:ascii="仿宋" w:hAnsi="仿宋" w:eastAsia="仿宋"/>
                <w:color w:val="000000" w:themeColor="text1"/>
                <w:spacing w:val="-20"/>
                <w:sz w:val="24"/>
                <w:szCs w:val="20"/>
              </w:rPr>
              <w:t>2</w:t>
            </w:r>
            <w:r>
              <w:rPr>
                <w:rFonts w:hint="eastAsia" w:ascii="仿宋" w:hAnsi="仿宋" w:eastAsia="仿宋"/>
                <w:color w:val="000000" w:themeColor="text1"/>
                <w:spacing w:val="-20"/>
                <w:sz w:val="24"/>
                <w:szCs w:val="20"/>
              </w:rPr>
              <w:t>年  5月  19日 14:00</w:t>
            </w:r>
          </w:p>
          <w:p>
            <w:pPr>
              <w:pStyle w:val="35"/>
              <w:spacing w:line="360" w:lineRule="auto"/>
              <w:ind w:left="0" w:leftChars="0" w:firstLine="0"/>
              <w:jc w:val="left"/>
              <w:rPr>
                <w:rFonts w:ascii="仿宋" w:hAnsi="仿宋" w:eastAsia="仿宋" w:cs="宋体"/>
                <w:color w:val="000000" w:themeColor="text1"/>
                <w:spacing w:val="-20"/>
                <w:sz w:val="24"/>
                <w:szCs w:val="20"/>
              </w:rPr>
            </w:pPr>
            <w:r>
              <w:rPr>
                <w:rFonts w:ascii="仿宋" w:hAnsi="仿宋" w:eastAsia="仿宋" w:cs="宋体"/>
                <w:color w:val="000000" w:themeColor="text1"/>
                <w:spacing w:val="-20"/>
                <w:sz w:val="24"/>
                <w:szCs w:val="20"/>
              </w:rPr>
              <w:t>投标人应当在投标截止时间前完成投标文件的传输递交，并可以补充、修改或者撤回电子投标文件。补充或者修改电子投标文件的，应当先行撤回原文件，补充、修改后重新传输递交。投标截止时间前未完成传输的，视为撤回电子投标文件。逾期上传的投标文件恕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720" w:type="dxa"/>
            <w:vAlign w:val="center"/>
          </w:tcPr>
          <w:p>
            <w:pPr>
              <w:pStyle w:val="20"/>
              <w:spacing w:line="420" w:lineRule="exact"/>
              <w:jc w:val="center"/>
              <w:rPr>
                <w:rFonts w:ascii="仿宋" w:hAnsi="仿宋" w:eastAsia="仿宋"/>
                <w:color w:val="000000" w:themeColor="text1"/>
                <w:sz w:val="24"/>
                <w:szCs w:val="24"/>
              </w:rPr>
            </w:pPr>
            <w:r>
              <w:rPr>
                <w:rFonts w:hint="eastAsia" w:ascii="仿宋" w:hAnsi="仿宋" w:eastAsia="仿宋"/>
                <w:color w:val="000000" w:themeColor="text1"/>
                <w:sz w:val="24"/>
                <w:szCs w:val="24"/>
              </w:rPr>
              <w:t>12</w:t>
            </w:r>
          </w:p>
        </w:tc>
        <w:tc>
          <w:tcPr>
            <w:tcW w:w="2340" w:type="dxa"/>
            <w:vAlign w:val="center"/>
          </w:tcPr>
          <w:p>
            <w:pPr>
              <w:spacing w:line="360" w:lineRule="auto"/>
              <w:jc w:val="center"/>
              <w:rPr>
                <w:rFonts w:ascii="仿宋" w:hAnsi="仿宋" w:eastAsia="仿宋"/>
                <w:color w:val="000000" w:themeColor="text1"/>
                <w:spacing w:val="-20"/>
                <w:sz w:val="24"/>
                <w:szCs w:val="20"/>
              </w:rPr>
            </w:pPr>
            <w:r>
              <w:rPr>
                <w:rFonts w:hint="eastAsia" w:ascii="仿宋" w:hAnsi="仿宋" w:eastAsia="仿宋"/>
                <w:color w:val="000000" w:themeColor="text1"/>
                <w:spacing w:val="-20"/>
                <w:sz w:val="24"/>
                <w:szCs w:val="20"/>
              </w:rPr>
              <w:t>备份电子投标</w:t>
            </w:r>
          </w:p>
          <w:p>
            <w:pPr>
              <w:spacing w:line="360" w:lineRule="auto"/>
              <w:jc w:val="center"/>
              <w:rPr>
                <w:rFonts w:ascii="仿宋" w:hAnsi="仿宋" w:eastAsia="仿宋"/>
                <w:color w:val="000000" w:themeColor="text1"/>
                <w:spacing w:val="-20"/>
                <w:sz w:val="24"/>
                <w:szCs w:val="20"/>
              </w:rPr>
            </w:pPr>
            <w:r>
              <w:rPr>
                <w:rFonts w:hint="eastAsia" w:ascii="仿宋" w:hAnsi="仿宋" w:eastAsia="仿宋"/>
                <w:color w:val="000000" w:themeColor="text1"/>
                <w:spacing w:val="-20"/>
                <w:sz w:val="24"/>
                <w:szCs w:val="20"/>
              </w:rPr>
              <w:t>文件递交</w:t>
            </w:r>
          </w:p>
        </w:tc>
        <w:tc>
          <w:tcPr>
            <w:tcW w:w="6300" w:type="dxa"/>
            <w:vAlign w:val="center"/>
          </w:tcPr>
          <w:p>
            <w:pPr>
              <w:widowControl/>
              <w:spacing w:before="60" w:after="60" w:line="360" w:lineRule="exact"/>
              <w:ind w:left="61" w:leftChars="29" w:right="60" w:firstLine="360" w:firstLineChars="150"/>
              <w:jc w:val="left"/>
              <w:rPr>
                <w:rFonts w:ascii="仿宋" w:hAnsi="仿宋" w:eastAsia="仿宋"/>
                <w:color w:val="000000" w:themeColor="text1"/>
                <w:sz w:val="24"/>
              </w:rPr>
            </w:pPr>
            <w:r>
              <w:rPr>
                <w:rFonts w:hint="eastAsia" w:ascii="仿宋" w:hAnsi="仿宋" w:eastAsia="仿宋" w:cs="仿宋"/>
                <w:color w:val="000000" w:themeColor="text1"/>
                <w:sz w:val="24"/>
              </w:rPr>
              <w:t xml:space="preserve">于2022年 </w:t>
            </w:r>
            <w:r>
              <w:rPr>
                <w:rFonts w:hint="eastAsia" w:ascii="仿宋" w:hAnsi="仿宋" w:eastAsia="仿宋"/>
                <w:color w:val="000000" w:themeColor="text1"/>
                <w:kern w:val="0"/>
                <w:sz w:val="24"/>
              </w:rPr>
              <w:t>5 月 19日 11时</w:t>
            </w:r>
            <w:r>
              <w:rPr>
                <w:rFonts w:hint="eastAsia" w:ascii="仿宋" w:hAnsi="仿宋" w:eastAsia="仿宋" w:cs="Arial"/>
                <w:color w:val="000000" w:themeColor="text1"/>
                <w:sz w:val="24"/>
              </w:rPr>
              <w:t>00分前请</w:t>
            </w:r>
            <w:r>
              <w:rPr>
                <w:rFonts w:hint="eastAsia" w:ascii="仿宋" w:hAnsi="仿宋" w:eastAsia="仿宋"/>
                <w:color w:val="000000" w:themeColor="text1"/>
                <w:kern w:val="0"/>
                <w:sz w:val="24"/>
              </w:rPr>
              <w:t>将备份电子响应文件以邮寄的方式送达招标代理机构</w:t>
            </w:r>
            <w:r>
              <w:rPr>
                <w:rFonts w:hint="eastAsia" w:ascii="仿宋" w:hAnsi="仿宋" w:eastAsia="仿宋"/>
                <w:color w:val="000000" w:themeColor="text1"/>
                <w:sz w:val="24"/>
              </w:rPr>
              <w:t>联系人,联系</w:t>
            </w:r>
            <w:r>
              <w:rPr>
                <w:rFonts w:ascii="仿宋" w:hAnsi="仿宋" w:eastAsia="仿宋" w:cs="仿宋"/>
                <w:color w:val="000000" w:themeColor="text1"/>
                <w:sz w:val="24"/>
              </w:rPr>
              <w:t>地址：浙江天台县西演茅村</w:t>
            </w:r>
            <w:r>
              <w:rPr>
                <w:rFonts w:hint="eastAsia" w:ascii="仿宋" w:hAnsi="仿宋" w:eastAsia="仿宋" w:cs="仿宋"/>
                <w:color w:val="000000" w:themeColor="text1"/>
                <w:sz w:val="24"/>
              </w:rPr>
              <w:t>14巷39号，</w:t>
            </w:r>
            <w:r>
              <w:rPr>
                <w:rFonts w:hint="eastAsia" w:ascii="仿宋" w:hAnsi="仿宋" w:eastAsia="仿宋" w:cs="Arial"/>
                <w:color w:val="000000" w:themeColor="text1"/>
                <w:sz w:val="24"/>
              </w:rPr>
              <w:t>接收人：庞雅晴，电话：18257632485</w:t>
            </w:r>
            <w:r>
              <w:rPr>
                <w:rFonts w:hint="eastAsia" w:ascii="仿宋" w:hAnsi="仿宋" w:eastAsia="仿宋"/>
                <w:color w:val="000000" w:themeColor="text1"/>
                <w:kern w:val="0"/>
                <w:sz w:val="24"/>
              </w:rPr>
              <w:t>，（备份电子文件单独</w:t>
            </w:r>
            <w:r>
              <w:rPr>
                <w:rFonts w:hint="eastAsia" w:ascii="仿宋" w:hAnsi="仿宋" w:eastAsia="仿宋" w:cs="宋体"/>
                <w:color w:val="000000" w:themeColor="text1"/>
                <w:sz w:val="24"/>
              </w:rPr>
              <w:t>密封包装，包装</w:t>
            </w:r>
            <w:r>
              <w:rPr>
                <w:rFonts w:hint="eastAsia" w:ascii="仿宋" w:hAnsi="仿宋" w:eastAsia="仿宋" w:cs="宋体"/>
                <w:b/>
                <w:bCs/>
                <w:color w:val="000000" w:themeColor="text1"/>
                <w:sz w:val="24"/>
              </w:rPr>
              <w:t>（内或外）</w:t>
            </w:r>
            <w:r>
              <w:rPr>
                <w:rFonts w:hint="eastAsia" w:ascii="仿宋" w:hAnsi="仿宋" w:eastAsia="仿宋" w:cs="宋体"/>
                <w:color w:val="000000" w:themeColor="text1"/>
                <w:sz w:val="24"/>
              </w:rPr>
              <w:t>封口应加盖单位公章，封口处应由响应授权人用记号笔签字，外包装上需写明编号、项目名称及响应公司全称。</w:t>
            </w:r>
            <w:r>
              <w:rPr>
                <w:rFonts w:hint="eastAsia" w:ascii="仿宋" w:hAnsi="仿宋" w:eastAsia="仿宋"/>
                <w:color w:val="000000" w:themeColor="text1"/>
                <w:kern w:val="0"/>
                <w:sz w:val="24"/>
              </w:rPr>
              <w:t>逾期或不符合规定的响应文件恕不接受。邮寄</w:t>
            </w:r>
            <w:r>
              <w:rPr>
                <w:rFonts w:ascii="仿宋" w:hAnsi="仿宋" w:eastAsia="仿宋"/>
                <w:color w:val="000000" w:themeColor="text1"/>
                <w:kern w:val="0"/>
                <w:sz w:val="24"/>
              </w:rPr>
              <w:t>的</w:t>
            </w:r>
            <w:r>
              <w:rPr>
                <w:rFonts w:hint="eastAsia" w:ascii="仿宋" w:hAnsi="仿宋" w:eastAsia="仿宋"/>
                <w:color w:val="000000" w:themeColor="text1"/>
                <w:kern w:val="0"/>
                <w:sz w:val="24"/>
              </w:rPr>
              <w:t>备份</w:t>
            </w:r>
            <w:r>
              <w:rPr>
                <w:rFonts w:ascii="仿宋" w:hAnsi="仿宋" w:eastAsia="仿宋"/>
                <w:color w:val="000000" w:themeColor="text1"/>
                <w:kern w:val="0"/>
                <w:sz w:val="24"/>
              </w:rPr>
              <w:t>电子</w:t>
            </w:r>
            <w:r>
              <w:rPr>
                <w:rFonts w:hint="eastAsia" w:ascii="仿宋" w:hAnsi="仿宋" w:eastAsia="仿宋"/>
                <w:color w:val="000000" w:themeColor="text1"/>
                <w:kern w:val="0"/>
                <w:sz w:val="24"/>
              </w:rPr>
              <w:t>文件</w:t>
            </w:r>
            <w:r>
              <w:rPr>
                <w:rFonts w:ascii="仿宋" w:hAnsi="仿宋" w:eastAsia="仿宋"/>
                <w:color w:val="000000" w:themeColor="text1"/>
                <w:kern w:val="0"/>
                <w:sz w:val="24"/>
              </w:rPr>
              <w:t>不予退回。</w:t>
            </w:r>
          </w:p>
          <w:p>
            <w:pPr>
              <w:pStyle w:val="8"/>
              <w:spacing w:line="360" w:lineRule="exact"/>
              <w:rPr>
                <w:rFonts w:ascii="仿宋" w:hAnsi="仿宋" w:eastAsia="仿宋" w:cs="Arial"/>
                <w:color w:val="000000" w:themeColor="text1"/>
                <w:sz w:val="24"/>
                <w:szCs w:val="24"/>
              </w:rPr>
            </w:pPr>
            <w:r>
              <w:rPr>
                <w:rFonts w:hint="eastAsia" w:ascii="仿宋" w:hAnsi="仿宋" w:eastAsia="仿宋" w:cs="Arial"/>
                <w:color w:val="000000" w:themeColor="text1"/>
                <w:sz w:val="24"/>
                <w:szCs w:val="24"/>
              </w:rPr>
              <w:t>在投标截止时间前以电子邮件方式提供备份投标文件（即后缀格式为.bfbs的加密标书，下同）1份（接收人邮箱：</w:t>
            </w:r>
            <w:r>
              <w:rPr>
                <w:rFonts w:ascii="仿宋" w:hAnsi="仿宋" w:eastAsia="仿宋" w:cs="Arial"/>
                <w:color w:val="000000" w:themeColor="text1"/>
                <w:sz w:val="24"/>
                <w:szCs w:val="24"/>
              </w:rPr>
              <w:t>1018307255@qq.com</w:t>
            </w:r>
            <w:r>
              <w:rPr>
                <w:rFonts w:hint="eastAsia" w:ascii="仿宋" w:hAnsi="仿宋" w:eastAsia="仿宋" w:cs="Arial"/>
                <w:color w:val="000000" w:themeColor="text1"/>
                <w:sz w:val="24"/>
                <w:szCs w:val="24"/>
              </w:rPr>
              <w:t>，接收人：庞雅晴，电话：18257632485），备份投标文件须打包压缩并加密，压缩包命名为“××单位备份投标文件”，邮件内容还须后附授权委托书（附件二），加密密码由供应商自行保管。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vAlign w:val="center"/>
          </w:tcPr>
          <w:p>
            <w:pPr>
              <w:pStyle w:val="20"/>
              <w:spacing w:line="420" w:lineRule="exact"/>
              <w:jc w:val="center"/>
              <w:rPr>
                <w:rFonts w:ascii="仿宋" w:hAnsi="仿宋" w:eastAsia="仿宋"/>
                <w:color w:val="000000" w:themeColor="text1"/>
                <w:sz w:val="24"/>
                <w:szCs w:val="24"/>
              </w:rPr>
            </w:pPr>
            <w:r>
              <w:rPr>
                <w:rFonts w:ascii="仿宋" w:hAnsi="仿宋" w:eastAsia="仿宋"/>
                <w:color w:val="000000" w:themeColor="text1"/>
                <w:sz w:val="24"/>
                <w:szCs w:val="24"/>
              </w:rPr>
              <w:t>1</w:t>
            </w:r>
            <w:r>
              <w:rPr>
                <w:rFonts w:hint="eastAsia" w:ascii="仿宋" w:hAnsi="仿宋" w:eastAsia="仿宋"/>
                <w:color w:val="000000" w:themeColor="text1"/>
                <w:sz w:val="24"/>
                <w:szCs w:val="24"/>
              </w:rPr>
              <w:t>3</w:t>
            </w:r>
          </w:p>
        </w:tc>
        <w:tc>
          <w:tcPr>
            <w:tcW w:w="2340" w:type="dxa"/>
            <w:vAlign w:val="center"/>
          </w:tcPr>
          <w:p>
            <w:pPr>
              <w:pStyle w:val="20"/>
              <w:spacing w:line="420" w:lineRule="exact"/>
              <w:rPr>
                <w:rFonts w:ascii="仿宋" w:hAnsi="仿宋" w:eastAsia="仿宋"/>
                <w:color w:val="000000" w:themeColor="text1"/>
                <w:sz w:val="24"/>
                <w:szCs w:val="24"/>
              </w:rPr>
            </w:pPr>
            <w:r>
              <w:rPr>
                <w:rFonts w:ascii="仿宋" w:hAnsi="仿宋" w:eastAsia="仿宋"/>
                <w:color w:val="000000" w:themeColor="text1"/>
                <w:sz w:val="24"/>
                <w:szCs w:val="24"/>
              </w:rPr>
              <w:t>评标办法</w:t>
            </w:r>
          </w:p>
        </w:tc>
        <w:tc>
          <w:tcPr>
            <w:tcW w:w="6300" w:type="dxa"/>
            <w:vAlign w:val="center"/>
          </w:tcPr>
          <w:p>
            <w:pPr>
              <w:pStyle w:val="20"/>
              <w:spacing w:line="420" w:lineRule="exact"/>
              <w:rPr>
                <w:rFonts w:ascii="仿宋" w:hAnsi="仿宋" w:eastAsia="仿宋"/>
                <w:color w:val="000000" w:themeColor="text1"/>
                <w:spacing w:val="-6"/>
                <w:sz w:val="24"/>
                <w:szCs w:val="24"/>
              </w:rPr>
            </w:pPr>
            <w:r>
              <w:rPr>
                <w:rFonts w:ascii="仿宋" w:hAnsi="仿宋" w:eastAsia="仿宋"/>
                <w:color w:val="000000" w:themeColor="text1"/>
                <w:spacing w:val="-6"/>
                <w:sz w:val="24"/>
                <w:szCs w:val="24"/>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vAlign w:val="center"/>
          </w:tcPr>
          <w:p>
            <w:pPr>
              <w:pStyle w:val="20"/>
              <w:spacing w:line="420" w:lineRule="exact"/>
              <w:jc w:val="center"/>
              <w:rPr>
                <w:rFonts w:ascii="仿宋" w:hAnsi="仿宋" w:eastAsia="仿宋"/>
                <w:color w:val="000000" w:themeColor="text1"/>
                <w:sz w:val="24"/>
                <w:szCs w:val="24"/>
              </w:rPr>
            </w:pPr>
            <w:r>
              <w:rPr>
                <w:rFonts w:ascii="仿宋" w:hAnsi="仿宋" w:eastAsia="仿宋"/>
                <w:color w:val="000000" w:themeColor="text1"/>
                <w:sz w:val="24"/>
                <w:szCs w:val="24"/>
              </w:rPr>
              <w:t>1</w:t>
            </w:r>
            <w:r>
              <w:rPr>
                <w:rFonts w:hint="eastAsia" w:ascii="仿宋" w:hAnsi="仿宋" w:eastAsia="仿宋"/>
                <w:color w:val="000000" w:themeColor="text1"/>
                <w:sz w:val="24"/>
                <w:szCs w:val="24"/>
              </w:rPr>
              <w:t>4</w:t>
            </w:r>
          </w:p>
        </w:tc>
        <w:tc>
          <w:tcPr>
            <w:tcW w:w="2340" w:type="dxa"/>
            <w:vAlign w:val="center"/>
          </w:tcPr>
          <w:p>
            <w:pPr>
              <w:pStyle w:val="20"/>
              <w:spacing w:line="420" w:lineRule="exact"/>
              <w:rPr>
                <w:rFonts w:ascii="仿宋" w:hAnsi="仿宋" w:eastAsia="仿宋"/>
                <w:color w:val="000000" w:themeColor="text1"/>
                <w:sz w:val="24"/>
                <w:szCs w:val="24"/>
              </w:rPr>
            </w:pPr>
            <w:r>
              <w:rPr>
                <w:rFonts w:ascii="仿宋" w:hAnsi="仿宋" w:eastAsia="仿宋"/>
                <w:color w:val="000000" w:themeColor="text1"/>
                <w:sz w:val="24"/>
                <w:szCs w:val="24"/>
              </w:rPr>
              <w:t>评标结果公示</w:t>
            </w:r>
          </w:p>
        </w:tc>
        <w:tc>
          <w:tcPr>
            <w:tcW w:w="6300" w:type="dxa"/>
            <w:vAlign w:val="center"/>
          </w:tcPr>
          <w:p>
            <w:pPr>
              <w:spacing w:line="400" w:lineRule="exact"/>
              <w:rPr>
                <w:rFonts w:ascii="仿宋" w:hAnsi="仿宋" w:eastAsia="仿宋"/>
                <w:color w:val="000000" w:themeColor="text1"/>
                <w:spacing w:val="-6"/>
                <w:sz w:val="24"/>
              </w:rPr>
            </w:pPr>
            <w:r>
              <w:rPr>
                <w:rFonts w:hint="eastAsia" w:ascii="仿宋" w:hAnsi="仿宋" w:eastAsia="仿宋"/>
                <w:color w:val="000000" w:themeColor="text1"/>
                <w:spacing w:val="-6"/>
                <w:sz w:val="24"/>
              </w:rPr>
              <w:t>浙江政府采购网</w:t>
            </w:r>
            <w:r>
              <w:rPr>
                <w:rFonts w:ascii="仿宋" w:hAnsi="仿宋" w:eastAsia="仿宋"/>
                <w:color w:val="000000" w:themeColor="text1"/>
                <w:spacing w:val="-6"/>
                <w:sz w:val="24"/>
              </w:rPr>
              <w:t>：http://www.zjzfcg.gov.cn</w:t>
            </w:r>
          </w:p>
          <w:p>
            <w:pPr>
              <w:spacing w:line="400" w:lineRule="exact"/>
              <w:rPr>
                <w:rFonts w:ascii="仿宋" w:hAnsi="仿宋" w:eastAsia="仿宋"/>
                <w:color w:val="000000" w:themeColor="text1"/>
                <w:spacing w:val="-6"/>
                <w:sz w:val="24"/>
              </w:rPr>
            </w:pPr>
            <w:r>
              <w:rPr>
                <w:rFonts w:hint="eastAsia" w:ascii="仿宋" w:hAnsi="仿宋" w:eastAsia="仿宋"/>
                <w:color w:val="000000" w:themeColor="text1"/>
                <w:spacing w:val="-6"/>
                <w:sz w:val="24"/>
              </w:rPr>
              <w:t>天台县公共资源交易中心网：</w:t>
            </w:r>
            <w:r>
              <w:rPr>
                <w:color w:val="000000" w:themeColor="text1"/>
              </w:rPr>
              <w:fldChar w:fldCharType="begin"/>
            </w:r>
            <w:r>
              <w:rPr>
                <w:color w:val="000000" w:themeColor="text1"/>
              </w:rPr>
              <w:instrText xml:space="preserve"> HYPERLINK "http://www.ttzbtbzx.gov.cn" </w:instrText>
            </w:r>
            <w:r>
              <w:rPr>
                <w:color w:val="000000" w:themeColor="text1"/>
              </w:rPr>
              <w:fldChar w:fldCharType="separate"/>
            </w:r>
            <w:r>
              <w:rPr>
                <w:rFonts w:hint="eastAsia" w:ascii="仿宋" w:hAnsi="仿宋" w:eastAsia="仿宋"/>
                <w:color w:val="000000" w:themeColor="text1"/>
                <w:spacing w:val="-6"/>
                <w:sz w:val="24"/>
              </w:rPr>
              <w:t>http://www.zjtt.gov.cn/col/col1229397624/index.html</w:t>
            </w:r>
            <w:r>
              <w:rPr>
                <w:rFonts w:hint="eastAsia" w:ascii="仿宋" w:hAnsi="仿宋" w:eastAsia="仿宋"/>
                <w:color w:val="000000" w:themeColor="text1"/>
                <w:spacing w:val="-6"/>
                <w:sz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vAlign w:val="center"/>
          </w:tcPr>
          <w:p>
            <w:pPr>
              <w:pStyle w:val="20"/>
              <w:spacing w:line="420" w:lineRule="exact"/>
              <w:jc w:val="center"/>
              <w:rPr>
                <w:rFonts w:ascii="仿宋" w:hAnsi="仿宋" w:eastAsia="仿宋"/>
                <w:color w:val="000000" w:themeColor="text1"/>
                <w:sz w:val="24"/>
                <w:szCs w:val="24"/>
              </w:rPr>
            </w:pPr>
            <w:r>
              <w:rPr>
                <w:rFonts w:ascii="仿宋" w:hAnsi="仿宋" w:eastAsia="仿宋"/>
                <w:color w:val="000000" w:themeColor="text1"/>
                <w:sz w:val="24"/>
                <w:szCs w:val="24"/>
              </w:rPr>
              <w:t>1</w:t>
            </w:r>
            <w:r>
              <w:rPr>
                <w:rFonts w:hint="eastAsia" w:ascii="仿宋" w:hAnsi="仿宋" w:eastAsia="仿宋"/>
                <w:color w:val="000000" w:themeColor="text1"/>
                <w:sz w:val="24"/>
                <w:szCs w:val="24"/>
              </w:rPr>
              <w:t>5</w:t>
            </w:r>
          </w:p>
        </w:tc>
        <w:tc>
          <w:tcPr>
            <w:tcW w:w="2340" w:type="dxa"/>
            <w:vAlign w:val="center"/>
          </w:tcPr>
          <w:p>
            <w:pPr>
              <w:pStyle w:val="20"/>
              <w:spacing w:line="420" w:lineRule="exact"/>
              <w:rPr>
                <w:rFonts w:ascii="仿宋" w:hAnsi="仿宋" w:eastAsia="仿宋"/>
                <w:color w:val="000000" w:themeColor="text1"/>
                <w:sz w:val="24"/>
                <w:szCs w:val="24"/>
              </w:rPr>
            </w:pPr>
            <w:r>
              <w:rPr>
                <w:rFonts w:ascii="仿宋" w:hAnsi="仿宋" w:eastAsia="仿宋"/>
                <w:color w:val="000000" w:themeColor="text1"/>
                <w:sz w:val="24"/>
                <w:szCs w:val="24"/>
              </w:rPr>
              <w:t>履约保证金</w:t>
            </w:r>
          </w:p>
        </w:tc>
        <w:tc>
          <w:tcPr>
            <w:tcW w:w="6300" w:type="dxa"/>
            <w:vAlign w:val="center"/>
          </w:tcPr>
          <w:p>
            <w:pPr>
              <w:spacing w:line="400" w:lineRule="exact"/>
              <w:rPr>
                <w:rFonts w:ascii="仿宋" w:hAnsi="仿宋" w:eastAsia="仿宋"/>
                <w:color w:val="000000" w:themeColor="text1"/>
                <w:spacing w:val="-6"/>
                <w:sz w:val="24"/>
              </w:rPr>
            </w:pPr>
            <w:r>
              <w:rPr>
                <w:rFonts w:ascii="仿宋" w:hAnsi="仿宋" w:eastAsia="仿宋"/>
                <w:color w:val="000000" w:themeColor="text1"/>
                <w:spacing w:val="-6"/>
                <w:sz w:val="24"/>
              </w:rPr>
              <w:t>中标供应商在</w:t>
            </w:r>
            <w:r>
              <w:rPr>
                <w:rFonts w:hint="eastAsia" w:ascii="仿宋" w:hAnsi="仿宋" w:eastAsia="仿宋"/>
                <w:color w:val="000000" w:themeColor="text1"/>
                <w:spacing w:val="-6"/>
                <w:sz w:val="24"/>
              </w:rPr>
              <w:t>收到中标通知书</w:t>
            </w:r>
            <w:r>
              <w:rPr>
                <w:rFonts w:ascii="仿宋" w:hAnsi="仿宋" w:eastAsia="仿宋"/>
                <w:color w:val="000000" w:themeColor="text1"/>
                <w:spacing w:val="-6"/>
                <w:sz w:val="24"/>
              </w:rPr>
              <w:t>3</w:t>
            </w:r>
            <w:r>
              <w:rPr>
                <w:rFonts w:hint="eastAsia" w:ascii="仿宋" w:hAnsi="仿宋" w:eastAsia="仿宋"/>
                <w:color w:val="000000" w:themeColor="text1"/>
                <w:spacing w:val="-6"/>
                <w:sz w:val="24"/>
              </w:rPr>
              <w:t>天内向采购人</w:t>
            </w:r>
            <w:r>
              <w:rPr>
                <w:rFonts w:ascii="仿宋" w:hAnsi="仿宋" w:eastAsia="仿宋"/>
                <w:color w:val="000000" w:themeColor="text1"/>
                <w:spacing w:val="-6"/>
                <w:sz w:val="24"/>
              </w:rPr>
              <w:t>交纳</w:t>
            </w:r>
            <w:r>
              <w:rPr>
                <w:rFonts w:hint="eastAsia" w:ascii="仿宋" w:hAnsi="仿宋" w:eastAsia="仿宋"/>
                <w:color w:val="000000" w:themeColor="text1"/>
                <w:spacing w:val="-6"/>
                <w:sz w:val="24"/>
              </w:rPr>
              <w:t>中标价2.5%的履约保证金（鼓励以银行、保险公司出具的履约保函形式提交；若以电汇、银行转账方式提交的，必须转到采购人的指定账户），</w:t>
            </w:r>
            <w:r>
              <w:rPr>
                <w:rFonts w:hint="eastAsia" w:ascii="FangSong_GB2312" w:eastAsia="FangSong_GB2312"/>
                <w:color w:val="000000" w:themeColor="text1"/>
                <w:spacing w:val="-6"/>
                <w:sz w:val="24"/>
              </w:rPr>
              <w:t>在项目最终验收合格</w:t>
            </w:r>
            <w:r>
              <w:rPr>
                <w:rFonts w:ascii="FangSong_GB2312" w:eastAsia="FangSong_GB2312"/>
                <w:color w:val="000000" w:themeColor="text1"/>
                <w:spacing w:val="-6"/>
                <w:sz w:val="24"/>
              </w:rPr>
              <w:t>后</w:t>
            </w:r>
            <w:r>
              <w:rPr>
                <w:rFonts w:hint="eastAsia" w:ascii="FangSong_GB2312" w:eastAsia="FangSong_GB2312"/>
                <w:color w:val="000000" w:themeColor="text1"/>
                <w:spacing w:val="-6"/>
                <w:sz w:val="24"/>
              </w:rPr>
              <w:t>7</w:t>
            </w:r>
            <w:r>
              <w:rPr>
                <w:rFonts w:ascii="FangSong_GB2312" w:eastAsia="FangSong_GB2312"/>
                <w:color w:val="000000" w:themeColor="text1"/>
                <w:spacing w:val="-6"/>
                <w:sz w:val="24"/>
              </w:rPr>
              <w:t>个工作日内无息退还</w:t>
            </w:r>
            <w:r>
              <w:rPr>
                <w:rFonts w:hint="eastAsia" w:ascii="FangSong_GB2312" w:eastAsia="FangSong_GB2312"/>
                <w:color w:val="000000" w:themeColor="text1"/>
                <w:spacing w:val="-6"/>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720" w:type="dxa"/>
            <w:vAlign w:val="center"/>
          </w:tcPr>
          <w:p>
            <w:pPr>
              <w:pStyle w:val="20"/>
              <w:spacing w:line="420" w:lineRule="exact"/>
              <w:jc w:val="center"/>
              <w:rPr>
                <w:rFonts w:ascii="仿宋" w:hAnsi="仿宋" w:eastAsia="仿宋"/>
                <w:color w:val="000000" w:themeColor="text1"/>
                <w:sz w:val="24"/>
                <w:szCs w:val="24"/>
              </w:rPr>
            </w:pPr>
            <w:r>
              <w:rPr>
                <w:rFonts w:ascii="仿宋" w:hAnsi="仿宋" w:eastAsia="仿宋"/>
                <w:color w:val="000000" w:themeColor="text1"/>
                <w:sz w:val="24"/>
                <w:szCs w:val="24"/>
              </w:rPr>
              <w:t>1</w:t>
            </w:r>
            <w:r>
              <w:rPr>
                <w:rFonts w:hint="eastAsia" w:ascii="仿宋" w:hAnsi="仿宋" w:eastAsia="仿宋"/>
                <w:color w:val="000000" w:themeColor="text1"/>
                <w:sz w:val="24"/>
                <w:szCs w:val="24"/>
              </w:rPr>
              <w:t>6</w:t>
            </w:r>
          </w:p>
        </w:tc>
        <w:tc>
          <w:tcPr>
            <w:tcW w:w="2340" w:type="dxa"/>
            <w:vAlign w:val="center"/>
          </w:tcPr>
          <w:p>
            <w:pPr>
              <w:pStyle w:val="20"/>
              <w:spacing w:line="420" w:lineRule="exact"/>
              <w:rPr>
                <w:rFonts w:ascii="仿宋" w:hAnsi="仿宋" w:eastAsia="仿宋"/>
                <w:color w:val="000000" w:themeColor="text1"/>
                <w:sz w:val="24"/>
                <w:szCs w:val="24"/>
              </w:rPr>
            </w:pPr>
            <w:r>
              <w:rPr>
                <w:rFonts w:ascii="仿宋" w:hAnsi="仿宋" w:eastAsia="仿宋"/>
                <w:color w:val="000000" w:themeColor="text1"/>
                <w:sz w:val="24"/>
                <w:szCs w:val="24"/>
              </w:rPr>
              <w:t>签订合同</w:t>
            </w:r>
          </w:p>
        </w:tc>
        <w:tc>
          <w:tcPr>
            <w:tcW w:w="6300" w:type="dxa"/>
            <w:vAlign w:val="center"/>
          </w:tcPr>
          <w:p>
            <w:pPr>
              <w:pStyle w:val="20"/>
              <w:spacing w:line="420" w:lineRule="exact"/>
              <w:rPr>
                <w:rFonts w:ascii="仿宋" w:hAnsi="仿宋" w:eastAsia="仿宋"/>
                <w:color w:val="000000" w:themeColor="text1"/>
                <w:spacing w:val="-6"/>
                <w:sz w:val="24"/>
                <w:szCs w:val="24"/>
              </w:rPr>
            </w:pPr>
            <w:r>
              <w:rPr>
                <w:rFonts w:ascii="仿宋" w:hAnsi="仿宋" w:eastAsia="仿宋"/>
                <w:color w:val="000000" w:themeColor="text1"/>
                <w:spacing w:val="-6"/>
                <w:sz w:val="24"/>
                <w:szCs w:val="24"/>
              </w:rPr>
              <w:t>在</w:t>
            </w:r>
            <w:r>
              <w:rPr>
                <w:rFonts w:hint="eastAsia" w:ascii="仿宋" w:hAnsi="仿宋" w:eastAsia="仿宋"/>
                <w:color w:val="000000" w:themeColor="text1"/>
                <w:spacing w:val="-6"/>
                <w:sz w:val="24"/>
                <w:szCs w:val="24"/>
              </w:rPr>
              <w:t>收到</w:t>
            </w:r>
            <w:r>
              <w:rPr>
                <w:rFonts w:ascii="仿宋" w:hAnsi="仿宋" w:eastAsia="仿宋"/>
                <w:color w:val="000000" w:themeColor="text1"/>
                <w:spacing w:val="-6"/>
                <w:sz w:val="24"/>
                <w:szCs w:val="24"/>
              </w:rPr>
              <w:t>中标通知书后</w:t>
            </w:r>
            <w:r>
              <w:rPr>
                <w:rFonts w:hint="eastAsia" w:ascii="仿宋" w:hAnsi="仿宋" w:eastAsia="仿宋"/>
                <w:color w:val="000000" w:themeColor="text1"/>
                <w:spacing w:val="-6"/>
                <w:sz w:val="24"/>
                <w:szCs w:val="24"/>
              </w:rPr>
              <w:t>7</w:t>
            </w:r>
            <w:r>
              <w:rPr>
                <w:rFonts w:ascii="仿宋" w:hAnsi="仿宋" w:eastAsia="仿宋"/>
                <w:color w:val="000000" w:themeColor="text1"/>
                <w:spacing w:val="-6"/>
                <w:sz w:val="24"/>
                <w:szCs w:val="24"/>
              </w:rPr>
              <w:t>天内与采购人签订合同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vAlign w:val="center"/>
          </w:tcPr>
          <w:p>
            <w:pPr>
              <w:pStyle w:val="20"/>
              <w:spacing w:line="420" w:lineRule="exact"/>
              <w:jc w:val="center"/>
              <w:rPr>
                <w:rFonts w:ascii="仿宋" w:hAnsi="仿宋" w:eastAsia="仿宋"/>
                <w:color w:val="000000" w:themeColor="text1"/>
                <w:sz w:val="24"/>
                <w:szCs w:val="24"/>
              </w:rPr>
            </w:pPr>
            <w:r>
              <w:rPr>
                <w:rFonts w:hint="eastAsia" w:ascii="仿宋" w:hAnsi="仿宋" w:eastAsia="仿宋"/>
                <w:color w:val="000000" w:themeColor="text1"/>
                <w:sz w:val="24"/>
                <w:szCs w:val="24"/>
              </w:rPr>
              <w:t>17</w:t>
            </w:r>
          </w:p>
        </w:tc>
        <w:tc>
          <w:tcPr>
            <w:tcW w:w="2340" w:type="dxa"/>
            <w:vAlign w:val="center"/>
          </w:tcPr>
          <w:p>
            <w:pPr>
              <w:autoSpaceDE w:val="0"/>
              <w:autoSpaceDN w:val="0"/>
              <w:adjustRightInd w:val="0"/>
              <w:spacing w:line="360" w:lineRule="auto"/>
              <w:rPr>
                <w:rFonts w:ascii="仿宋" w:hAnsi="仿宋" w:eastAsia="仿宋"/>
                <w:color w:val="000000" w:themeColor="text1"/>
                <w:spacing w:val="-6"/>
                <w:sz w:val="24"/>
              </w:rPr>
            </w:pPr>
            <w:r>
              <w:rPr>
                <w:rFonts w:hint="eastAsia" w:ascii="仿宋" w:hAnsi="仿宋" w:eastAsia="仿宋"/>
                <w:color w:val="000000" w:themeColor="text1"/>
                <w:spacing w:val="-6"/>
                <w:sz w:val="24"/>
              </w:rPr>
              <w:t>实质性条款</w:t>
            </w:r>
          </w:p>
        </w:tc>
        <w:tc>
          <w:tcPr>
            <w:tcW w:w="6300" w:type="dxa"/>
            <w:vAlign w:val="center"/>
          </w:tcPr>
          <w:p>
            <w:pPr>
              <w:rPr>
                <w:rFonts w:ascii="仿宋" w:hAnsi="仿宋" w:eastAsia="仿宋"/>
                <w:color w:val="000000" w:themeColor="text1"/>
                <w:spacing w:val="-6"/>
                <w:sz w:val="24"/>
              </w:rPr>
            </w:pPr>
            <w:r>
              <w:rPr>
                <w:rFonts w:hint="eastAsia" w:ascii="仿宋" w:hAnsi="仿宋" w:eastAsia="仿宋"/>
                <w:color w:val="000000" w:themeColor="text1"/>
                <w:spacing w:val="-6"/>
                <w:sz w:val="24"/>
              </w:rPr>
              <w:t>带“▲”的条款是实质性条款，投标文件须作出实质性响应，否则作无效投标处理。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vAlign w:val="center"/>
          </w:tcPr>
          <w:p>
            <w:pPr>
              <w:pStyle w:val="20"/>
              <w:spacing w:line="420" w:lineRule="exact"/>
              <w:jc w:val="center"/>
              <w:rPr>
                <w:rFonts w:ascii="仿宋" w:hAnsi="仿宋" w:eastAsia="仿宋"/>
                <w:color w:val="000000" w:themeColor="text1"/>
                <w:sz w:val="24"/>
                <w:szCs w:val="24"/>
              </w:rPr>
            </w:pPr>
            <w:r>
              <w:rPr>
                <w:rFonts w:hint="eastAsia" w:ascii="仿宋" w:hAnsi="仿宋" w:eastAsia="仿宋"/>
                <w:color w:val="000000" w:themeColor="text1"/>
                <w:sz w:val="24"/>
                <w:szCs w:val="24"/>
              </w:rPr>
              <w:t>18</w:t>
            </w:r>
          </w:p>
        </w:tc>
        <w:tc>
          <w:tcPr>
            <w:tcW w:w="2340" w:type="dxa"/>
            <w:vAlign w:val="center"/>
          </w:tcPr>
          <w:p>
            <w:pPr>
              <w:pStyle w:val="20"/>
              <w:spacing w:line="420" w:lineRule="exact"/>
              <w:rPr>
                <w:rFonts w:ascii="仿宋" w:hAnsi="仿宋" w:eastAsia="仿宋"/>
                <w:color w:val="000000" w:themeColor="text1"/>
                <w:sz w:val="24"/>
                <w:szCs w:val="24"/>
              </w:rPr>
            </w:pPr>
            <w:r>
              <w:rPr>
                <w:rFonts w:hint="eastAsia" w:ascii="FangSong_GB2312" w:eastAsia="FangSong_GB2312"/>
                <w:color w:val="000000" w:themeColor="text1"/>
                <w:spacing w:val="-6"/>
                <w:sz w:val="24"/>
                <w:szCs w:val="24"/>
              </w:rPr>
              <w:t>需要落实的政府采购政策</w:t>
            </w:r>
          </w:p>
        </w:tc>
        <w:tc>
          <w:tcPr>
            <w:tcW w:w="6300" w:type="dxa"/>
            <w:vAlign w:val="center"/>
          </w:tcPr>
          <w:p>
            <w:pPr>
              <w:jc w:val="left"/>
              <w:rPr>
                <w:rFonts w:ascii="FangSong_GB2312" w:hAnsi="Courier New" w:eastAsia="FangSong_GB2312"/>
                <w:color w:val="000000" w:themeColor="text1"/>
                <w:spacing w:val="-6"/>
                <w:szCs w:val="21"/>
                <w:u w:val="single"/>
              </w:rPr>
            </w:pPr>
            <w:r>
              <w:rPr>
                <w:rFonts w:hint="eastAsia" w:ascii="FangSong_GB2312" w:hAnsi="Courier New" w:eastAsia="FangSong_GB2312"/>
                <w:color w:val="000000" w:themeColor="text1"/>
                <w:spacing w:val="-6"/>
                <w:szCs w:val="21"/>
              </w:rPr>
              <w:t>采购标的对应的中小企业划分标准所属行业：</w:t>
            </w:r>
            <w:r>
              <w:rPr>
                <w:rFonts w:hint="eastAsia" w:ascii="FangSong_GB2312" w:hAnsi="Courier New" w:eastAsia="FangSong_GB2312"/>
                <w:color w:val="000000" w:themeColor="text1"/>
                <w:spacing w:val="-6"/>
                <w:szCs w:val="21"/>
                <w:u w:val="single"/>
              </w:rPr>
              <w:t>其他未列明行业；</w:t>
            </w:r>
          </w:p>
          <w:p>
            <w:pPr>
              <w:pStyle w:val="20"/>
              <w:spacing w:line="360" w:lineRule="auto"/>
              <w:rPr>
                <w:rFonts w:ascii="仿宋" w:hAnsi="仿宋" w:eastAsia="仿宋"/>
                <w:color w:val="000000" w:themeColor="text1"/>
                <w:spacing w:val="-6"/>
                <w:sz w:val="24"/>
                <w:szCs w:val="24"/>
              </w:rPr>
            </w:pPr>
            <w:r>
              <w:rPr>
                <w:rFonts w:hint="eastAsia" w:ascii="FangSong_GB2312" w:eastAsia="FangSong_GB2312"/>
                <w:color w:val="000000" w:themeColor="text1"/>
                <w:spacing w:val="-6"/>
                <w:sz w:val="24"/>
                <w:szCs w:val="24"/>
              </w:rPr>
              <w:t>本项目依法落实政府采购小微企业、监狱企业、残疾人福利性单位价格扣除扶持政策和节能产品、环境标志产品政府采购实施相关规定，详见采购文件第五章评标办法。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5" w:hRule="atLeast"/>
        </w:trPr>
        <w:tc>
          <w:tcPr>
            <w:tcW w:w="720" w:type="dxa"/>
            <w:vAlign w:val="center"/>
          </w:tcPr>
          <w:p>
            <w:pPr>
              <w:pStyle w:val="20"/>
              <w:spacing w:line="420" w:lineRule="exact"/>
              <w:jc w:val="center"/>
              <w:rPr>
                <w:rFonts w:ascii="仿宋" w:hAnsi="仿宋" w:eastAsia="仿宋"/>
                <w:color w:val="000000" w:themeColor="text1"/>
                <w:sz w:val="24"/>
                <w:szCs w:val="24"/>
              </w:rPr>
            </w:pPr>
            <w:r>
              <w:rPr>
                <w:rFonts w:hint="eastAsia" w:ascii="仿宋" w:hAnsi="仿宋" w:eastAsia="仿宋"/>
                <w:color w:val="000000" w:themeColor="text1"/>
                <w:sz w:val="24"/>
                <w:szCs w:val="24"/>
              </w:rPr>
              <w:t>19</w:t>
            </w:r>
          </w:p>
        </w:tc>
        <w:tc>
          <w:tcPr>
            <w:tcW w:w="2340" w:type="dxa"/>
            <w:vAlign w:val="center"/>
          </w:tcPr>
          <w:p>
            <w:pPr>
              <w:adjustRightInd w:val="0"/>
              <w:snapToGrid w:val="0"/>
              <w:jc w:val="left"/>
              <w:rPr>
                <w:rFonts w:ascii="FangSong_GB2312" w:hAnsi="Courier New" w:eastAsia="FangSong_GB2312"/>
                <w:color w:val="000000" w:themeColor="text1"/>
                <w:spacing w:val="-6"/>
                <w:sz w:val="24"/>
              </w:rPr>
            </w:pPr>
            <w:r>
              <w:rPr>
                <w:rFonts w:hint="eastAsia" w:ascii="FangSong_GB2312" w:hAnsi="Courier New" w:eastAsia="FangSong_GB2312"/>
                <w:color w:val="000000" w:themeColor="text1"/>
                <w:spacing w:val="-6"/>
                <w:sz w:val="24"/>
              </w:rPr>
              <w:t>是否专门面向</w:t>
            </w:r>
          </w:p>
          <w:p>
            <w:pPr>
              <w:adjustRightInd w:val="0"/>
              <w:snapToGrid w:val="0"/>
              <w:spacing w:line="360" w:lineRule="auto"/>
              <w:rPr>
                <w:rFonts w:ascii="FangSong_GB2312" w:hAnsi="Courier New" w:eastAsia="FangSong_GB2312"/>
                <w:color w:val="000000" w:themeColor="text1"/>
                <w:spacing w:val="-6"/>
                <w:sz w:val="24"/>
              </w:rPr>
            </w:pPr>
            <w:r>
              <w:rPr>
                <w:rFonts w:hint="eastAsia" w:ascii="FangSong_GB2312" w:hAnsi="Courier New" w:eastAsia="FangSong_GB2312"/>
                <w:color w:val="000000" w:themeColor="text1"/>
                <w:spacing w:val="-6"/>
                <w:sz w:val="24"/>
              </w:rPr>
              <w:t>中小企业采购</w:t>
            </w:r>
          </w:p>
        </w:tc>
        <w:tc>
          <w:tcPr>
            <w:tcW w:w="6300" w:type="dxa"/>
            <w:vAlign w:val="center"/>
          </w:tcPr>
          <w:p>
            <w:pPr>
              <w:pStyle w:val="20"/>
              <w:snapToGrid w:val="0"/>
              <w:spacing w:line="360" w:lineRule="auto"/>
              <w:rPr>
                <w:rFonts w:ascii="FangSong_GB2312" w:eastAsia="FangSong_GB2312"/>
                <w:color w:val="000000" w:themeColor="text1"/>
                <w:spacing w:val="-6"/>
                <w:sz w:val="24"/>
                <w:szCs w:val="24"/>
              </w:rPr>
            </w:pPr>
            <w:r>
              <w:rPr>
                <w:rFonts w:hint="eastAsia" w:ascii="FangSong_GB2312" w:eastAsia="FangSong_GB2312"/>
                <w:color w:val="000000" w:themeColor="text1"/>
                <w:spacing w:val="-6"/>
                <w:sz w:val="24"/>
                <w:szCs w:val="24"/>
              </w:rPr>
              <w:t>标项一：否；标项二：是。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720" w:type="dxa"/>
            <w:vAlign w:val="center"/>
          </w:tcPr>
          <w:p>
            <w:pPr>
              <w:pStyle w:val="20"/>
              <w:spacing w:line="420" w:lineRule="exact"/>
              <w:jc w:val="center"/>
              <w:rPr>
                <w:rFonts w:ascii="仿宋" w:hAnsi="仿宋" w:eastAsia="仿宋"/>
                <w:color w:val="000000" w:themeColor="text1"/>
                <w:sz w:val="24"/>
                <w:szCs w:val="24"/>
              </w:rPr>
            </w:pPr>
            <w:r>
              <w:rPr>
                <w:rFonts w:hint="eastAsia" w:ascii="仿宋" w:hAnsi="仿宋" w:eastAsia="仿宋"/>
                <w:color w:val="000000" w:themeColor="text1"/>
                <w:sz w:val="24"/>
                <w:szCs w:val="24"/>
              </w:rPr>
              <w:t>20</w:t>
            </w:r>
          </w:p>
        </w:tc>
        <w:tc>
          <w:tcPr>
            <w:tcW w:w="2340" w:type="dxa"/>
            <w:vAlign w:val="center"/>
          </w:tcPr>
          <w:p>
            <w:pPr>
              <w:pStyle w:val="20"/>
              <w:spacing w:line="420" w:lineRule="exact"/>
              <w:rPr>
                <w:rFonts w:ascii="FangSong_GB2312" w:eastAsia="FangSong_GB2312"/>
                <w:color w:val="000000" w:themeColor="text1"/>
                <w:spacing w:val="-6"/>
                <w:sz w:val="24"/>
                <w:szCs w:val="24"/>
              </w:rPr>
            </w:pPr>
            <w:r>
              <w:rPr>
                <w:rFonts w:hint="eastAsia" w:ascii="FangSong_GB2312" w:eastAsia="FangSong_GB2312"/>
                <w:color w:val="000000" w:themeColor="text1"/>
                <w:spacing w:val="-6"/>
                <w:sz w:val="24"/>
                <w:szCs w:val="24"/>
              </w:rPr>
              <w:t>支持中小企业</w:t>
            </w:r>
          </w:p>
        </w:tc>
        <w:tc>
          <w:tcPr>
            <w:tcW w:w="6300" w:type="dxa"/>
            <w:vAlign w:val="center"/>
          </w:tcPr>
          <w:p>
            <w:pPr>
              <w:adjustRightInd w:val="0"/>
              <w:snapToGrid w:val="0"/>
              <w:spacing w:line="320" w:lineRule="exact"/>
              <w:rPr>
                <w:rFonts w:ascii="仿宋" w:hAnsi="仿宋" w:eastAsia="仿宋" w:cs="仿宋"/>
                <w:color w:val="000000" w:themeColor="text1"/>
                <w:sz w:val="24"/>
              </w:rPr>
            </w:pPr>
            <w:r>
              <w:rPr>
                <w:rFonts w:hint="eastAsia" w:ascii="仿宋" w:hAnsi="仿宋" w:eastAsia="仿宋" w:cs="仿宋"/>
                <w:color w:val="000000" w:themeColor="text1"/>
                <w:sz w:val="24"/>
              </w:rPr>
              <w:t>说明：1.（1）中小企业</w:t>
            </w:r>
          </w:p>
          <w:p>
            <w:pPr>
              <w:adjustRightInd w:val="0"/>
              <w:snapToGrid w:val="0"/>
              <w:spacing w:line="32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中小企业是指在中华人民共和国境内依法设立，依据国务院批准的中小企业划分标准确定的中型企业、小型企业和微型企业，但与大企业的负责人为同一人，或者与大企业存在直接控股、管理关系的除外。</w:t>
            </w:r>
          </w:p>
          <w:p>
            <w:pPr>
              <w:adjustRightInd w:val="0"/>
              <w:snapToGrid w:val="0"/>
              <w:spacing w:line="32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符合中小企业划分标准的个体工商户，在政府采购活动中视同中小企业。</w:t>
            </w:r>
          </w:p>
          <w:p>
            <w:pPr>
              <w:adjustRightInd w:val="0"/>
              <w:snapToGrid w:val="0"/>
              <w:spacing w:line="320" w:lineRule="exact"/>
              <w:ind w:firstLine="482" w:firstLineChars="200"/>
              <w:rPr>
                <w:rFonts w:ascii="仿宋" w:hAnsi="仿宋" w:eastAsia="仿宋" w:cs="仿宋"/>
                <w:b/>
                <w:bCs/>
                <w:color w:val="000000" w:themeColor="text1"/>
                <w:sz w:val="24"/>
              </w:rPr>
            </w:pPr>
            <w:r>
              <w:rPr>
                <w:rFonts w:hint="eastAsia" w:ascii="仿宋" w:hAnsi="仿宋" w:eastAsia="仿宋" w:cs="仿宋"/>
                <w:b/>
                <w:bCs/>
                <w:color w:val="000000" w:themeColor="text1"/>
                <w:sz w:val="24"/>
              </w:rPr>
              <w:t>在服务采购项目中，服务由中小企业承接，即提供服务的人员为中小企业依照《中华人民共和国劳动合同法》订立劳动合同的从业人员。可享受相关中小企业扶持政策。</w:t>
            </w:r>
          </w:p>
          <w:p>
            <w:pPr>
              <w:adjustRightInd w:val="0"/>
              <w:snapToGrid w:val="0"/>
              <w:spacing w:line="32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以联合体形式参加政府采购活动，联合体各方均为中小企业的，联合体视同中小企业。其中，联合体各方均为小微企业的，联合体视同小微企业。</w:t>
            </w:r>
          </w:p>
          <w:p>
            <w:pPr>
              <w:adjustRightInd w:val="0"/>
              <w:snapToGrid w:val="0"/>
              <w:spacing w:line="320" w:lineRule="exact"/>
              <w:ind w:firstLine="482" w:firstLineChars="200"/>
              <w:rPr>
                <w:rFonts w:ascii="仿宋" w:hAnsi="仿宋" w:eastAsia="仿宋" w:cs="仿宋"/>
                <w:color w:val="000000" w:themeColor="text1"/>
                <w:sz w:val="24"/>
              </w:rPr>
            </w:pPr>
            <w:r>
              <w:rPr>
                <w:rFonts w:hint="eastAsia" w:ascii="仿宋" w:hAnsi="仿宋" w:eastAsia="仿宋" w:cs="仿宋"/>
                <w:b/>
                <w:bCs/>
                <w:color w:val="000000" w:themeColor="text1"/>
                <w:sz w:val="24"/>
              </w:rPr>
              <w:t>投标文件中须同时出具《政府采购促进中小企业发展管理办法》【财库（2020）46号】规定的《中小企业声明函》，否则不得享受价格扣除</w:t>
            </w:r>
            <w:r>
              <w:rPr>
                <w:rFonts w:hint="eastAsia" w:ascii="仿宋" w:hAnsi="仿宋" w:eastAsia="仿宋" w:cs="仿宋"/>
                <w:color w:val="000000" w:themeColor="text1"/>
                <w:sz w:val="24"/>
              </w:rPr>
              <w:t>。</w:t>
            </w:r>
          </w:p>
          <w:p>
            <w:pPr>
              <w:adjustRightInd w:val="0"/>
              <w:snapToGrid w:val="0"/>
              <w:spacing w:line="320" w:lineRule="exact"/>
              <w:rPr>
                <w:rFonts w:ascii="仿宋" w:hAnsi="仿宋" w:eastAsia="仿宋" w:cs="仿宋"/>
                <w:color w:val="000000" w:themeColor="text1"/>
                <w:sz w:val="24"/>
              </w:rPr>
            </w:pPr>
            <w:r>
              <w:rPr>
                <w:rFonts w:hint="eastAsia" w:ascii="仿宋" w:hAnsi="仿宋" w:eastAsia="仿宋" w:cs="仿宋"/>
                <w:color w:val="000000" w:themeColor="text1"/>
                <w:sz w:val="24"/>
              </w:rPr>
              <w:t>（2）残疾人福利性单位</w:t>
            </w:r>
          </w:p>
          <w:p>
            <w:pPr>
              <w:adjustRightInd w:val="0"/>
              <w:snapToGrid w:val="0"/>
              <w:spacing w:line="32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符合《关于促进残疾人就业政府采购政策的通知》（财库〔2017〕141号）规定的条件并提供提供《残疾人福利性单位声明函》的残疾人福利性单位视同小型、微型企业；</w:t>
            </w:r>
          </w:p>
          <w:p>
            <w:pPr>
              <w:adjustRightInd w:val="0"/>
              <w:snapToGrid w:val="0"/>
              <w:spacing w:line="320" w:lineRule="exact"/>
              <w:rPr>
                <w:rFonts w:ascii="仿宋" w:hAnsi="仿宋" w:eastAsia="仿宋" w:cs="仿宋"/>
                <w:color w:val="000000" w:themeColor="text1"/>
                <w:sz w:val="24"/>
              </w:rPr>
            </w:pPr>
            <w:r>
              <w:rPr>
                <w:rFonts w:hint="eastAsia" w:ascii="仿宋" w:hAnsi="仿宋" w:eastAsia="仿宋" w:cs="仿宋"/>
                <w:color w:val="000000" w:themeColor="text1"/>
                <w:sz w:val="24"/>
              </w:rPr>
              <w:t>（3）监狱企业</w:t>
            </w:r>
          </w:p>
          <w:p>
            <w:pPr>
              <w:adjustRightInd w:val="0"/>
              <w:snapToGrid w:val="0"/>
              <w:spacing w:line="320" w:lineRule="exact"/>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根据《关于政府采购支持监狱企业发展有关问题的通知》（财库[2014]68号）的规定，供应商提供由省级以上监狱管理局、戒毒管理局（含新疆生产建设兵团）出具的属于监狱企业证明文件的，视同为小型和微型企业。</w:t>
            </w:r>
          </w:p>
          <w:p>
            <w:pPr>
              <w:adjustRightInd w:val="0"/>
              <w:snapToGrid w:val="0"/>
              <w:spacing w:line="320" w:lineRule="exact"/>
              <w:rPr>
                <w:rFonts w:ascii="FangSong_GB2312" w:eastAsia="FangSong_GB2312"/>
                <w:color w:val="000000" w:themeColor="text1"/>
                <w:spacing w:val="-6"/>
                <w:sz w:val="24"/>
              </w:rPr>
            </w:pPr>
            <w:r>
              <w:rPr>
                <w:rFonts w:hint="eastAsia" w:ascii="仿宋" w:hAnsi="仿宋" w:eastAsia="仿宋" w:cs="仿宋"/>
                <w:b/>
                <w:bCs/>
                <w:color w:val="000000" w:themeColor="text1"/>
                <w:sz w:val="24"/>
              </w:rPr>
              <w:t xml:space="preserve">2.价格扣除： </w:t>
            </w:r>
            <w:r>
              <w:rPr>
                <w:rFonts w:hint="eastAsia" w:ascii="仿宋" w:hAnsi="仿宋" w:eastAsia="仿宋" w:cs="仿宋"/>
                <w:b/>
                <w:snapToGrid w:val="0"/>
                <w:color w:val="000000" w:themeColor="text1"/>
                <w:kern w:val="0"/>
                <w:sz w:val="24"/>
              </w:rPr>
              <w:t>本项目对符合规定的小微企业（含小型企业）报价给予</w:t>
            </w:r>
            <w:r>
              <w:rPr>
                <w:rFonts w:hint="eastAsia" w:ascii="仿宋" w:hAnsi="仿宋" w:eastAsia="仿宋" w:cs="仿宋"/>
                <w:b/>
                <w:snapToGrid w:val="0"/>
                <w:color w:val="000000" w:themeColor="text1"/>
                <w:kern w:val="0"/>
                <w:sz w:val="24"/>
                <w:u w:val="single"/>
              </w:rPr>
              <w:t>10%</w:t>
            </w:r>
            <w:r>
              <w:rPr>
                <w:rFonts w:hint="eastAsia" w:ascii="仿宋" w:hAnsi="仿宋" w:eastAsia="仿宋" w:cs="仿宋"/>
                <w:b/>
                <w:snapToGrid w:val="0"/>
                <w:color w:val="000000" w:themeColor="text1"/>
                <w:kern w:val="0"/>
                <w:sz w:val="24"/>
              </w:rPr>
              <w:t>的扣除。</w:t>
            </w:r>
          </w:p>
        </w:tc>
      </w:tr>
    </w:tbl>
    <w:p>
      <w:pPr>
        <w:spacing w:beforeLines="50"/>
        <w:jc w:val="center"/>
        <w:rPr>
          <w:rFonts w:ascii="仿宋" w:hAnsi="仿宋" w:eastAsia="仿宋"/>
          <w:b/>
          <w:color w:val="000000" w:themeColor="text1"/>
          <w:sz w:val="32"/>
          <w:szCs w:val="32"/>
        </w:rPr>
      </w:pPr>
      <w:bookmarkStart w:id="1" w:name="_Toc123628879"/>
      <w:r>
        <w:rPr>
          <w:rFonts w:hint="eastAsia" w:ascii="仿宋" w:hAnsi="仿宋" w:eastAsia="仿宋"/>
          <w:b/>
          <w:color w:val="000000" w:themeColor="text1"/>
          <w:sz w:val="32"/>
          <w:szCs w:val="32"/>
        </w:rPr>
        <w:t>第一节  招标文件</w:t>
      </w:r>
      <w:bookmarkEnd w:id="1"/>
    </w:p>
    <w:p>
      <w:pPr>
        <w:pStyle w:val="20"/>
        <w:spacing w:line="400" w:lineRule="exact"/>
        <w:ind w:firstLine="413" w:firstLineChars="147"/>
        <w:rPr>
          <w:rFonts w:ascii="仿宋" w:hAnsi="仿宋" w:eastAsia="仿宋"/>
          <w:b/>
          <w:bCs/>
          <w:color w:val="000000" w:themeColor="text1"/>
          <w:sz w:val="28"/>
          <w:szCs w:val="28"/>
        </w:rPr>
      </w:pPr>
      <w:r>
        <w:rPr>
          <w:rFonts w:ascii="仿宋" w:hAnsi="仿宋" w:eastAsia="仿宋"/>
          <w:b/>
          <w:bCs/>
          <w:color w:val="000000" w:themeColor="text1"/>
          <w:sz w:val="28"/>
          <w:szCs w:val="28"/>
        </w:rPr>
        <w:t>1．招标文件的组成</w:t>
      </w:r>
    </w:p>
    <w:p>
      <w:pPr>
        <w:pStyle w:val="20"/>
        <w:spacing w:line="400" w:lineRule="exact"/>
        <w:ind w:firstLine="240" w:firstLineChars="100"/>
        <w:rPr>
          <w:rFonts w:ascii="仿宋" w:hAnsi="仿宋" w:eastAsia="仿宋"/>
          <w:b/>
          <w:bCs/>
          <w:color w:val="000000" w:themeColor="text1"/>
          <w:sz w:val="28"/>
          <w:szCs w:val="28"/>
        </w:rPr>
      </w:pPr>
      <w:r>
        <w:rPr>
          <w:rFonts w:ascii="仿宋" w:hAnsi="仿宋" w:eastAsia="仿宋"/>
          <w:color w:val="000000" w:themeColor="text1"/>
          <w:sz w:val="24"/>
        </w:rPr>
        <w:t>1.1 招标文件由以下部分组成：</w:t>
      </w:r>
    </w:p>
    <w:p>
      <w:pPr>
        <w:pStyle w:val="20"/>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第一章 招标公告</w:t>
      </w:r>
    </w:p>
    <w:p>
      <w:pPr>
        <w:pStyle w:val="20"/>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第二章 投标人须知</w:t>
      </w:r>
    </w:p>
    <w:p>
      <w:pPr>
        <w:pStyle w:val="20"/>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第三章 合同主要条款</w:t>
      </w:r>
    </w:p>
    <w:p>
      <w:pPr>
        <w:pStyle w:val="20"/>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第四章 招标内容及需求</w:t>
      </w:r>
    </w:p>
    <w:p>
      <w:pPr>
        <w:pStyle w:val="20"/>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第五章 评标办法及评</w:t>
      </w:r>
      <w:r>
        <w:rPr>
          <w:rFonts w:hint="eastAsia" w:ascii="仿宋" w:hAnsi="仿宋" w:eastAsia="仿宋"/>
          <w:color w:val="000000" w:themeColor="text1"/>
          <w:sz w:val="24"/>
        </w:rPr>
        <w:t>分</w:t>
      </w:r>
      <w:r>
        <w:rPr>
          <w:rFonts w:ascii="仿宋" w:hAnsi="仿宋" w:eastAsia="仿宋"/>
          <w:color w:val="000000" w:themeColor="text1"/>
          <w:sz w:val="24"/>
        </w:rPr>
        <w:t>标准</w:t>
      </w:r>
    </w:p>
    <w:p>
      <w:pPr>
        <w:pStyle w:val="20"/>
        <w:spacing w:line="400" w:lineRule="exact"/>
        <w:ind w:firstLine="480" w:firstLineChars="200"/>
        <w:rPr>
          <w:rFonts w:ascii="仿宋" w:hAnsi="仿宋" w:eastAsia="仿宋"/>
          <w:color w:val="000000" w:themeColor="text1"/>
          <w:sz w:val="24"/>
        </w:rPr>
      </w:pPr>
      <w:r>
        <w:rPr>
          <w:rFonts w:ascii="仿宋" w:hAnsi="仿宋" w:eastAsia="仿宋"/>
          <w:color w:val="000000" w:themeColor="text1"/>
          <w:sz w:val="24"/>
        </w:rPr>
        <w:t>第六章 附件：投标文件格式</w:t>
      </w:r>
    </w:p>
    <w:p>
      <w:pPr>
        <w:pStyle w:val="2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rPr>
        <w:t>1.2 本招标文件的解释权属</w:t>
      </w:r>
      <w:r>
        <w:rPr>
          <w:rFonts w:ascii="仿宋" w:hAnsi="仿宋" w:eastAsia="仿宋"/>
          <w:i/>
          <w:color w:val="000000" w:themeColor="text1"/>
          <w:sz w:val="24"/>
        </w:rPr>
        <w:t>采购人</w:t>
      </w:r>
      <w:r>
        <w:rPr>
          <w:rFonts w:ascii="仿宋" w:hAnsi="仿宋" w:eastAsia="仿宋"/>
          <w:color w:val="000000" w:themeColor="text1"/>
          <w:sz w:val="24"/>
        </w:rPr>
        <w:t>和</w:t>
      </w:r>
      <w:r>
        <w:rPr>
          <w:rFonts w:hint="eastAsia" w:ascii="仿宋" w:hAnsi="仿宋" w:eastAsia="仿宋"/>
          <w:color w:val="000000" w:themeColor="text1"/>
          <w:sz w:val="24"/>
        </w:rPr>
        <w:t>采购代理机构</w:t>
      </w:r>
    </w:p>
    <w:p>
      <w:pPr>
        <w:pStyle w:val="20"/>
        <w:spacing w:beforeLines="50" w:line="400" w:lineRule="exact"/>
        <w:ind w:firstLine="413" w:firstLineChars="147"/>
        <w:jc w:val="left"/>
        <w:rPr>
          <w:rFonts w:ascii="仿宋" w:hAnsi="仿宋" w:eastAsia="仿宋"/>
          <w:bCs/>
          <w:color w:val="000000" w:themeColor="text1"/>
          <w:sz w:val="28"/>
          <w:szCs w:val="28"/>
        </w:rPr>
      </w:pPr>
      <w:r>
        <w:rPr>
          <w:rFonts w:ascii="仿宋" w:hAnsi="仿宋" w:eastAsia="仿宋"/>
          <w:b/>
          <w:bCs/>
          <w:color w:val="000000" w:themeColor="text1"/>
          <w:sz w:val="28"/>
          <w:szCs w:val="28"/>
        </w:rPr>
        <w:t>2．招标文件的澄清、修改和补充</w:t>
      </w:r>
    </w:p>
    <w:p>
      <w:pPr>
        <w:pStyle w:val="20"/>
        <w:snapToGrid w:val="0"/>
        <w:spacing w:line="400" w:lineRule="exact"/>
        <w:ind w:firstLine="240" w:firstLineChars="100"/>
        <w:rPr>
          <w:rFonts w:ascii="仿宋" w:hAnsi="仿宋" w:eastAsia="仿宋"/>
          <w:color w:val="000000" w:themeColor="text1"/>
          <w:sz w:val="24"/>
        </w:rPr>
      </w:pPr>
      <w:bookmarkStart w:id="2" w:name="_Toc123628880"/>
      <w:r>
        <w:rPr>
          <w:rFonts w:hint="eastAsia" w:ascii="仿宋" w:hAnsi="仿宋" w:eastAsia="仿宋"/>
          <w:color w:val="000000" w:themeColor="text1"/>
          <w:sz w:val="24"/>
        </w:rPr>
        <w:t>2.1供应商认为招标文件使自己的权益受到损害的，可以自收到招标文件之日（获取截止日之后收到招标文件的，以获取截止日为准）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w:t>
      </w:r>
    </w:p>
    <w:p>
      <w:pPr>
        <w:pStyle w:val="20"/>
        <w:snapToGrid w:val="0"/>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 xml:space="preserve">2.2采购代理机构可视采购具体情况对已发出的招标文件进行必要的澄清、修改或者补充。澄清、修改或者补充的内容可能影响投标文件编制的，应当在投标截止时间至少15日前，在原公告发布媒体上发布澄清公告，澄清或者修改的内容为招标文件的组成部分；不足15日的，应当顺延提交投标文件的截止时间。 </w:t>
      </w:r>
    </w:p>
    <w:p>
      <w:pPr>
        <w:pStyle w:val="20"/>
        <w:snapToGrid w:val="0"/>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2.3投标人在规定的时间内未对招标文件提出疑问、质疑或要求澄清的，将视其为无异议。</w:t>
      </w:r>
    </w:p>
    <w:p>
      <w:pPr>
        <w:spacing w:beforeLines="50" w:line="400" w:lineRule="exact"/>
        <w:jc w:val="center"/>
        <w:rPr>
          <w:rFonts w:ascii="仿宋" w:hAnsi="仿宋" w:eastAsia="仿宋"/>
          <w:b/>
          <w:color w:val="000000" w:themeColor="text1"/>
          <w:sz w:val="32"/>
          <w:szCs w:val="32"/>
        </w:rPr>
      </w:pPr>
      <w:r>
        <w:rPr>
          <w:rFonts w:ascii="仿宋" w:hAnsi="仿宋" w:eastAsia="仿宋"/>
          <w:b/>
          <w:color w:val="000000" w:themeColor="text1"/>
          <w:sz w:val="32"/>
          <w:szCs w:val="32"/>
        </w:rPr>
        <w:t>第</w:t>
      </w:r>
      <w:r>
        <w:rPr>
          <w:rFonts w:hint="eastAsia" w:ascii="仿宋" w:hAnsi="仿宋" w:eastAsia="仿宋"/>
          <w:b/>
          <w:color w:val="000000" w:themeColor="text1"/>
          <w:sz w:val="32"/>
          <w:szCs w:val="32"/>
        </w:rPr>
        <w:t>二</w:t>
      </w:r>
      <w:r>
        <w:rPr>
          <w:rFonts w:ascii="仿宋" w:hAnsi="仿宋" w:eastAsia="仿宋"/>
          <w:b/>
          <w:color w:val="000000" w:themeColor="text1"/>
          <w:sz w:val="32"/>
          <w:szCs w:val="32"/>
        </w:rPr>
        <w:t>节投标文件</w:t>
      </w:r>
      <w:bookmarkEnd w:id="2"/>
    </w:p>
    <w:p>
      <w:pPr>
        <w:pStyle w:val="20"/>
        <w:spacing w:beforeLines="50" w:line="400" w:lineRule="exact"/>
        <w:ind w:firstLine="413" w:firstLineChars="147"/>
        <w:rPr>
          <w:rFonts w:ascii="仿宋" w:hAnsi="仿宋" w:eastAsia="仿宋"/>
          <w:b/>
          <w:color w:val="000000" w:themeColor="text1"/>
          <w:sz w:val="28"/>
          <w:szCs w:val="28"/>
        </w:rPr>
      </w:pPr>
      <w:r>
        <w:rPr>
          <w:rFonts w:ascii="仿宋" w:hAnsi="仿宋" w:eastAsia="仿宋"/>
          <w:b/>
          <w:color w:val="000000" w:themeColor="text1"/>
          <w:sz w:val="28"/>
          <w:szCs w:val="28"/>
        </w:rPr>
        <w:t>3. 投标文件的要求</w:t>
      </w:r>
    </w:p>
    <w:p>
      <w:pPr>
        <w:pStyle w:val="20"/>
        <w:spacing w:line="400" w:lineRule="exact"/>
        <w:ind w:firstLine="241" w:firstLineChars="100"/>
        <w:rPr>
          <w:rFonts w:ascii="仿宋" w:hAnsi="仿宋" w:eastAsia="仿宋"/>
          <w:b/>
          <w:color w:val="000000" w:themeColor="text1"/>
          <w:sz w:val="24"/>
          <w:szCs w:val="24"/>
        </w:rPr>
      </w:pPr>
      <w:r>
        <w:rPr>
          <w:rFonts w:ascii="仿宋" w:hAnsi="仿宋" w:eastAsia="仿宋"/>
          <w:b/>
          <w:color w:val="000000" w:themeColor="text1"/>
          <w:sz w:val="24"/>
          <w:szCs w:val="24"/>
        </w:rPr>
        <w:t>3.1</w:t>
      </w:r>
      <w:r>
        <w:rPr>
          <w:rFonts w:hint="eastAsia" w:ascii="仿宋" w:hAnsi="仿宋" w:eastAsia="仿宋"/>
          <w:b/>
          <w:color w:val="000000" w:themeColor="text1"/>
          <w:sz w:val="24"/>
          <w:szCs w:val="24"/>
        </w:rPr>
        <w:t>投标文件的形式：</w:t>
      </w:r>
    </w:p>
    <w:p>
      <w:pPr>
        <w:tabs>
          <w:tab w:val="left" w:pos="900"/>
        </w:tabs>
        <w:spacing w:line="430" w:lineRule="exact"/>
        <w:ind w:firstLine="241" w:firstLineChars="100"/>
        <w:rPr>
          <w:rFonts w:ascii="仿宋" w:hAnsi="仿宋" w:eastAsia="仿宋" w:cs="Arial"/>
          <w:b/>
          <w:color w:val="000000" w:themeColor="text1"/>
          <w:sz w:val="24"/>
        </w:rPr>
      </w:pPr>
      <w:r>
        <w:rPr>
          <w:rFonts w:hint="eastAsia" w:ascii="仿宋" w:hAnsi="仿宋" w:eastAsia="仿宋" w:cs="Arial"/>
          <w:b/>
          <w:color w:val="000000" w:themeColor="text1"/>
          <w:sz w:val="24"/>
        </w:rPr>
        <w:t>3.</w:t>
      </w:r>
      <w:r>
        <w:rPr>
          <w:rFonts w:ascii="仿宋" w:hAnsi="仿宋" w:eastAsia="仿宋" w:cs="Arial"/>
          <w:b/>
          <w:color w:val="000000" w:themeColor="text1"/>
          <w:sz w:val="24"/>
        </w:rPr>
        <w:t>1</w:t>
      </w:r>
      <w:r>
        <w:rPr>
          <w:rFonts w:hint="eastAsia" w:ascii="仿宋" w:hAnsi="仿宋" w:eastAsia="仿宋" w:cs="Arial"/>
          <w:b/>
          <w:color w:val="000000" w:themeColor="text1"/>
          <w:sz w:val="24"/>
        </w:rPr>
        <w:t>.1投标文件为电子投标文件。投标文件均由资格文件、商务技术文件、报价文件组成。供应商应通过“政采云电子交易客户端”，并按“政采云供应商项目采购-电子招投标操作指南”及本招标文件要求制作、加密并递交。</w:t>
      </w:r>
    </w:p>
    <w:p>
      <w:pPr>
        <w:tabs>
          <w:tab w:val="left" w:pos="900"/>
        </w:tabs>
        <w:spacing w:line="430" w:lineRule="exact"/>
        <w:rPr>
          <w:rFonts w:ascii="仿宋" w:hAnsi="仿宋" w:eastAsia="仿宋" w:cs="Arial"/>
          <w:color w:val="000000" w:themeColor="text1"/>
          <w:sz w:val="24"/>
        </w:rPr>
      </w:pPr>
      <w:r>
        <w:rPr>
          <w:rFonts w:hint="eastAsia" w:ascii="仿宋" w:hAnsi="仿宋" w:eastAsia="仿宋" w:cs="Arial"/>
          <w:color w:val="000000" w:themeColor="text1"/>
          <w:sz w:val="24"/>
        </w:rPr>
        <w:t>3.</w:t>
      </w:r>
      <w:r>
        <w:rPr>
          <w:rFonts w:ascii="仿宋" w:hAnsi="仿宋" w:eastAsia="仿宋" w:cs="Arial"/>
          <w:color w:val="000000" w:themeColor="text1"/>
          <w:sz w:val="24"/>
        </w:rPr>
        <w:t>1</w:t>
      </w:r>
      <w:r>
        <w:rPr>
          <w:rFonts w:hint="eastAsia" w:ascii="仿宋" w:hAnsi="仿宋" w:eastAsia="仿宋" w:cs="Arial"/>
          <w:color w:val="000000" w:themeColor="text1"/>
          <w:sz w:val="24"/>
        </w:rPr>
        <w:t>.2“电子投标文件”是指通过“政采云电子交易客户端”完成投标文件编制后生成并加密的数据电文形式的加密标书,加密标书文件后缀格式为.jmbs。</w:t>
      </w:r>
    </w:p>
    <w:p>
      <w:pPr>
        <w:tabs>
          <w:tab w:val="left" w:pos="900"/>
        </w:tabs>
        <w:spacing w:line="430" w:lineRule="exact"/>
        <w:rPr>
          <w:rFonts w:ascii="仿宋" w:hAnsi="仿宋" w:eastAsia="仿宋" w:cs="Arial"/>
          <w:color w:val="000000" w:themeColor="text1"/>
          <w:sz w:val="24"/>
        </w:rPr>
      </w:pPr>
      <w:r>
        <w:rPr>
          <w:rFonts w:hint="eastAsia" w:ascii="仿宋" w:hAnsi="仿宋" w:eastAsia="仿宋" w:cs="Arial"/>
          <w:color w:val="000000" w:themeColor="text1"/>
          <w:sz w:val="24"/>
        </w:rPr>
        <w:t>3.</w:t>
      </w:r>
      <w:r>
        <w:rPr>
          <w:rFonts w:ascii="仿宋" w:hAnsi="仿宋" w:eastAsia="仿宋" w:cs="Arial"/>
          <w:color w:val="000000" w:themeColor="text1"/>
          <w:sz w:val="24"/>
        </w:rPr>
        <w:t>1</w:t>
      </w:r>
      <w:r>
        <w:rPr>
          <w:rFonts w:hint="eastAsia" w:ascii="仿宋" w:hAnsi="仿宋" w:eastAsia="仿宋" w:cs="Arial"/>
          <w:color w:val="000000" w:themeColor="text1"/>
          <w:sz w:val="24"/>
        </w:rPr>
        <w:t>.3“备份投标文件”是指与“加密标书”同时生成的数据电文形式的电子文件（备份标书），备份标书文件后缀格式为.bfbs,其他方式编制的备份响应文件视为无效备份响应文件。</w:t>
      </w:r>
    </w:p>
    <w:p>
      <w:pPr>
        <w:tabs>
          <w:tab w:val="left" w:pos="900"/>
        </w:tabs>
        <w:spacing w:line="430" w:lineRule="exact"/>
        <w:rPr>
          <w:rFonts w:ascii="仿宋" w:hAnsi="仿宋" w:eastAsia="仿宋" w:cs="Arial"/>
          <w:b/>
          <w:color w:val="000000" w:themeColor="text1"/>
          <w:sz w:val="24"/>
        </w:rPr>
      </w:pPr>
      <w:r>
        <w:rPr>
          <w:rFonts w:hint="eastAsia" w:ascii="仿宋" w:hAnsi="仿宋" w:eastAsia="仿宋" w:cs="Arial"/>
          <w:b/>
          <w:color w:val="000000" w:themeColor="text1"/>
          <w:sz w:val="24"/>
        </w:rPr>
        <w:t>3.</w:t>
      </w:r>
      <w:r>
        <w:rPr>
          <w:rFonts w:ascii="仿宋" w:hAnsi="仿宋" w:eastAsia="仿宋" w:cs="Arial"/>
          <w:b/>
          <w:color w:val="000000" w:themeColor="text1"/>
          <w:sz w:val="24"/>
        </w:rPr>
        <w:t>1</w:t>
      </w:r>
      <w:r>
        <w:rPr>
          <w:rFonts w:hint="eastAsia" w:ascii="仿宋" w:hAnsi="仿宋" w:eastAsia="仿宋" w:cs="Arial"/>
          <w:b/>
          <w:color w:val="000000" w:themeColor="text1"/>
          <w:sz w:val="24"/>
        </w:rPr>
        <w:t>.4电子投标文件中所须加盖公章部分均采用CA签章。目前CA签章不支持法定代表人或授权代表签字信息，投标文件中要求供应商法定代表人或授权代表签字的地方，须供应商先打印纸质文件并由法定代表人或授权代表签字后，再上传PDF格式文件。</w:t>
      </w:r>
      <w:r>
        <w:rPr>
          <w:rFonts w:hint="eastAsia" w:ascii="仿宋" w:hAnsi="仿宋" w:eastAsia="仿宋" w:cs="Arial"/>
          <w:b/>
          <w:bCs/>
          <w:color w:val="000000" w:themeColor="text1"/>
          <w:sz w:val="24"/>
        </w:rPr>
        <w:t>电子签章操作指南详见《政府采购项目电子交易管理操作指南-供应商》。</w:t>
      </w:r>
    </w:p>
    <w:p>
      <w:pPr>
        <w:tabs>
          <w:tab w:val="left" w:pos="360"/>
        </w:tabs>
        <w:spacing w:line="460" w:lineRule="exact"/>
        <w:rPr>
          <w:rFonts w:ascii="仿宋" w:hAnsi="仿宋" w:eastAsia="仿宋" w:cs="Arial"/>
          <w:b/>
          <w:color w:val="000000" w:themeColor="text1"/>
          <w:sz w:val="24"/>
        </w:rPr>
      </w:pPr>
      <w:r>
        <w:rPr>
          <w:rFonts w:ascii="仿宋" w:hAnsi="仿宋" w:eastAsia="仿宋" w:cs="Arial"/>
          <w:b/>
          <w:color w:val="000000" w:themeColor="text1"/>
          <w:sz w:val="24"/>
        </w:rPr>
        <w:t>3.2</w:t>
      </w:r>
      <w:r>
        <w:rPr>
          <w:rFonts w:hint="eastAsia" w:ascii="仿宋" w:hAnsi="仿宋" w:eastAsia="仿宋" w:cs="Arial"/>
          <w:b/>
          <w:color w:val="000000" w:themeColor="text1"/>
          <w:sz w:val="24"/>
        </w:rPr>
        <w:t xml:space="preserve"> 备份投标文件</w:t>
      </w:r>
    </w:p>
    <w:p>
      <w:pPr>
        <w:tabs>
          <w:tab w:val="left" w:pos="530"/>
          <w:tab w:val="left" w:pos="709"/>
          <w:tab w:val="left" w:pos="900"/>
        </w:tabs>
        <w:spacing w:line="430" w:lineRule="exact"/>
        <w:rPr>
          <w:rStyle w:val="42"/>
          <w:rFonts w:ascii="仿宋" w:hAnsi="仿宋" w:eastAsia="仿宋"/>
          <w:bCs/>
          <w:color w:val="000000" w:themeColor="text1"/>
          <w:sz w:val="24"/>
        </w:rPr>
      </w:pPr>
      <w:r>
        <w:rPr>
          <w:rFonts w:ascii="仿宋" w:hAnsi="仿宋" w:eastAsia="仿宋"/>
          <w:color w:val="000000" w:themeColor="text1"/>
          <w:sz w:val="24"/>
        </w:rPr>
        <w:t>3.2.1</w:t>
      </w:r>
      <w:r>
        <w:rPr>
          <w:rFonts w:hint="eastAsia" w:ascii="仿宋" w:hAnsi="仿宋" w:eastAsia="仿宋" w:cs="Arial"/>
          <w:bCs/>
          <w:color w:val="000000" w:themeColor="text1"/>
          <w:sz w:val="24"/>
        </w:rPr>
        <w:t>投标人在系统里上传好加密标书后，将</w:t>
      </w:r>
      <w:r>
        <w:rPr>
          <w:rFonts w:ascii="仿宋" w:hAnsi="仿宋" w:eastAsia="仿宋" w:cs="Arial"/>
          <w:bCs/>
          <w:color w:val="000000" w:themeColor="text1"/>
          <w:sz w:val="24"/>
        </w:rPr>
        <w:t>系统生成的</w:t>
      </w:r>
      <w:r>
        <w:rPr>
          <w:rFonts w:hint="eastAsia" w:ascii="仿宋" w:hAnsi="仿宋" w:eastAsia="仿宋" w:cs="Arial"/>
          <w:bCs/>
          <w:color w:val="000000" w:themeColor="text1"/>
          <w:sz w:val="24"/>
        </w:rPr>
        <w:t>备份电子投标文件按</w:t>
      </w:r>
      <w:r>
        <w:rPr>
          <w:rFonts w:ascii="仿宋" w:hAnsi="仿宋" w:eastAsia="仿宋" w:cs="Arial"/>
          <w:bCs/>
          <w:color w:val="000000" w:themeColor="text1"/>
          <w:sz w:val="24"/>
        </w:rPr>
        <w:t>招标文件前附表规定提交</w:t>
      </w:r>
      <w:r>
        <w:rPr>
          <w:rFonts w:hint="eastAsia" w:ascii="仿宋" w:hAnsi="仿宋" w:eastAsia="仿宋" w:cs="Arial"/>
          <w:bCs/>
          <w:color w:val="000000" w:themeColor="text1"/>
          <w:sz w:val="24"/>
        </w:rPr>
        <w:t>。</w:t>
      </w:r>
    </w:p>
    <w:p>
      <w:pPr>
        <w:tabs>
          <w:tab w:val="left" w:pos="530"/>
          <w:tab w:val="left" w:pos="709"/>
          <w:tab w:val="left" w:pos="900"/>
        </w:tabs>
        <w:spacing w:line="430" w:lineRule="exact"/>
        <w:rPr>
          <w:rStyle w:val="42"/>
          <w:rFonts w:ascii="仿宋" w:hAnsi="仿宋" w:eastAsia="仿宋" w:cs="Arial"/>
          <w:color w:val="000000" w:themeColor="text1"/>
          <w:sz w:val="24"/>
          <w:u w:val="none"/>
        </w:rPr>
      </w:pPr>
      <w:r>
        <w:rPr>
          <w:rStyle w:val="42"/>
          <w:rFonts w:hint="eastAsia" w:ascii="仿宋" w:hAnsi="仿宋" w:eastAsia="仿宋" w:cs="Arial"/>
          <w:color w:val="000000" w:themeColor="text1"/>
          <w:sz w:val="24"/>
          <w:u w:val="none"/>
        </w:rPr>
        <w:t>3.</w:t>
      </w:r>
      <w:r>
        <w:rPr>
          <w:rStyle w:val="42"/>
          <w:rFonts w:ascii="仿宋" w:hAnsi="仿宋" w:eastAsia="仿宋" w:cs="Arial"/>
          <w:color w:val="000000" w:themeColor="text1"/>
          <w:sz w:val="24"/>
          <w:u w:val="none"/>
        </w:rPr>
        <w:t>2</w:t>
      </w:r>
      <w:r>
        <w:rPr>
          <w:rStyle w:val="42"/>
          <w:rFonts w:hint="eastAsia" w:ascii="仿宋" w:hAnsi="仿宋" w:eastAsia="仿宋" w:cs="Arial"/>
          <w:color w:val="000000" w:themeColor="text1"/>
          <w:sz w:val="24"/>
          <w:u w:val="none"/>
        </w:rPr>
        <w:t>.2当通过“政府采购云平台”上传递交的“电子投标文件”无法按时解密且投标人递交了“备份投标文件”时，由招标代理机构将备份投标文件为依据上传至政采云系统。 当通过“政府采购云平台”上传递交的“电子投标应文件”已按时解密的，“备份投标文件”自动失效。</w:t>
      </w:r>
      <w:r>
        <w:rPr>
          <w:rStyle w:val="42"/>
          <w:rFonts w:hint="eastAsia" w:ascii="仿宋" w:hAnsi="仿宋" w:eastAsia="仿宋" w:cs="Arial"/>
          <w:b/>
          <w:color w:val="000000" w:themeColor="text1"/>
          <w:sz w:val="24"/>
          <w:u w:val="none"/>
        </w:rPr>
        <w:t>投标人仅递交备份投标文件的，投标无效。</w:t>
      </w:r>
    </w:p>
    <w:p>
      <w:pPr>
        <w:tabs>
          <w:tab w:val="left" w:pos="530"/>
          <w:tab w:val="left" w:pos="709"/>
          <w:tab w:val="left" w:pos="900"/>
        </w:tabs>
        <w:spacing w:line="430" w:lineRule="exact"/>
        <w:rPr>
          <w:rStyle w:val="42"/>
          <w:rFonts w:ascii="仿宋" w:hAnsi="仿宋" w:eastAsia="仿宋"/>
          <w:bCs/>
          <w:color w:val="000000" w:themeColor="text1"/>
          <w:sz w:val="24"/>
          <w:u w:val="none"/>
        </w:rPr>
      </w:pPr>
      <w:r>
        <w:rPr>
          <w:rStyle w:val="42"/>
          <w:rFonts w:hint="eastAsia" w:ascii="仿宋" w:hAnsi="仿宋" w:eastAsia="仿宋" w:cs="Arial"/>
          <w:color w:val="000000" w:themeColor="text1"/>
          <w:sz w:val="24"/>
          <w:u w:val="none"/>
        </w:rPr>
        <w:t>3.</w:t>
      </w:r>
      <w:r>
        <w:rPr>
          <w:rStyle w:val="42"/>
          <w:rFonts w:ascii="仿宋" w:hAnsi="仿宋" w:eastAsia="仿宋" w:cs="Arial"/>
          <w:color w:val="000000" w:themeColor="text1"/>
          <w:sz w:val="24"/>
          <w:u w:val="none"/>
        </w:rPr>
        <w:t>2</w:t>
      </w:r>
      <w:r>
        <w:rPr>
          <w:rStyle w:val="42"/>
          <w:rFonts w:hint="eastAsia" w:ascii="仿宋" w:hAnsi="仿宋" w:eastAsia="仿宋" w:cs="Arial"/>
          <w:color w:val="000000" w:themeColor="text1"/>
          <w:sz w:val="24"/>
          <w:u w:val="none"/>
        </w:rPr>
        <w:t>.3供应商需保证上传的电子响应文件与提交的备份响应文件必须同时生成且内容完全一致；</w:t>
      </w:r>
    </w:p>
    <w:p>
      <w:pPr>
        <w:tabs>
          <w:tab w:val="left" w:pos="360"/>
        </w:tabs>
        <w:spacing w:line="460" w:lineRule="exact"/>
        <w:rPr>
          <w:rFonts w:ascii="仿宋" w:hAnsi="仿宋" w:eastAsia="仿宋" w:cs="Arial"/>
          <w:b/>
          <w:color w:val="000000" w:themeColor="text1"/>
          <w:sz w:val="24"/>
          <w:u w:val="single"/>
        </w:rPr>
      </w:pPr>
      <w:r>
        <w:rPr>
          <w:rFonts w:hint="eastAsia" w:ascii="仿宋" w:hAnsi="仿宋" w:eastAsia="仿宋" w:cs="Arial"/>
          <w:color w:val="000000" w:themeColor="text1"/>
          <w:sz w:val="24"/>
        </w:rPr>
        <w:t>3.</w:t>
      </w:r>
      <w:r>
        <w:rPr>
          <w:rFonts w:ascii="仿宋" w:hAnsi="仿宋" w:eastAsia="仿宋" w:cs="Arial"/>
          <w:color w:val="000000" w:themeColor="text1"/>
          <w:sz w:val="24"/>
        </w:rPr>
        <w:t>3</w:t>
      </w:r>
      <w:r>
        <w:rPr>
          <w:rFonts w:hint="eastAsia" w:ascii="仿宋" w:hAnsi="仿宋" w:eastAsia="仿宋" w:cs="Arial"/>
          <w:color w:val="000000" w:themeColor="text1"/>
          <w:sz w:val="24"/>
        </w:rPr>
        <w:t>投标人应当在投标截止时间前完成电子投标文件的传输递交，并可以补充、修改或者撤回电子投标文件。补充或者修改电子投标文件的，应当先行撤回原文件，补充、修改后重新传输递交。</w:t>
      </w:r>
    </w:p>
    <w:p>
      <w:pPr>
        <w:tabs>
          <w:tab w:val="left" w:pos="360"/>
        </w:tabs>
        <w:spacing w:line="460" w:lineRule="exact"/>
        <w:rPr>
          <w:rFonts w:ascii="仿宋" w:hAnsi="仿宋" w:eastAsia="仿宋" w:cs="Arial"/>
          <w:b/>
          <w:color w:val="000000" w:themeColor="text1"/>
          <w:sz w:val="24"/>
        </w:rPr>
      </w:pPr>
      <w:r>
        <w:rPr>
          <w:rFonts w:hint="eastAsia" w:ascii="仿宋" w:hAnsi="仿宋" w:eastAsia="仿宋" w:cs="Arial"/>
          <w:b/>
          <w:color w:val="000000" w:themeColor="text1"/>
          <w:sz w:val="24"/>
        </w:rPr>
        <w:t>3.</w:t>
      </w:r>
      <w:r>
        <w:rPr>
          <w:rFonts w:ascii="仿宋" w:hAnsi="仿宋" w:eastAsia="仿宋" w:cs="Arial"/>
          <w:b/>
          <w:color w:val="000000" w:themeColor="text1"/>
          <w:sz w:val="24"/>
        </w:rPr>
        <w:t>4</w:t>
      </w:r>
      <w:r>
        <w:rPr>
          <w:rFonts w:hint="eastAsia" w:ascii="仿宋" w:hAnsi="仿宋" w:eastAsia="仿宋" w:cs="Arial"/>
          <w:b/>
          <w:color w:val="000000" w:themeColor="text1"/>
          <w:sz w:val="24"/>
        </w:rPr>
        <w:t>▲投标截止时间前未完成传输的，视为撤回投标文件。投标、响应截止时间后送达的投标、响应文件，将被政采云平台拒收。</w:t>
      </w:r>
    </w:p>
    <w:p>
      <w:pPr>
        <w:tabs>
          <w:tab w:val="left" w:pos="360"/>
        </w:tabs>
        <w:spacing w:line="460" w:lineRule="exact"/>
        <w:rPr>
          <w:rFonts w:ascii="仿宋" w:hAnsi="仿宋" w:eastAsia="仿宋" w:cs="Arial"/>
          <w:b/>
          <w:color w:val="000000" w:themeColor="text1"/>
          <w:sz w:val="24"/>
        </w:rPr>
      </w:pPr>
      <w:r>
        <w:rPr>
          <w:rFonts w:hint="eastAsia" w:ascii="仿宋" w:hAnsi="仿宋" w:eastAsia="仿宋"/>
          <w:b/>
          <w:bCs/>
          <w:color w:val="000000" w:themeColor="text1"/>
          <w:sz w:val="24"/>
        </w:rPr>
        <w:t>3.</w:t>
      </w:r>
      <w:r>
        <w:rPr>
          <w:rFonts w:ascii="仿宋" w:hAnsi="仿宋" w:eastAsia="仿宋"/>
          <w:b/>
          <w:bCs/>
          <w:color w:val="000000" w:themeColor="text1"/>
          <w:sz w:val="24"/>
        </w:rPr>
        <w:t>5</w:t>
      </w:r>
      <w:r>
        <w:rPr>
          <w:rFonts w:hint="eastAsia" w:ascii="仿宋" w:hAnsi="仿宋" w:eastAsia="仿宋"/>
          <w:b/>
          <w:bCs/>
          <w:color w:val="000000" w:themeColor="text1"/>
          <w:sz w:val="24"/>
        </w:rPr>
        <w:t>▲</w:t>
      </w:r>
      <w:r>
        <w:rPr>
          <w:rFonts w:hint="eastAsia" w:ascii="仿宋" w:hAnsi="仿宋" w:eastAsia="仿宋" w:cs="Arial"/>
          <w:b/>
          <w:color w:val="000000" w:themeColor="text1"/>
          <w:sz w:val="24"/>
        </w:rPr>
        <w:t>投标人务必按时自行解密，规定时间内解密失败且经异常处理但政采云电子交易系统仍未能识别备份投标文件的投标文件作无效响应处理。</w:t>
      </w:r>
    </w:p>
    <w:p>
      <w:pPr>
        <w:tabs>
          <w:tab w:val="left" w:pos="360"/>
        </w:tabs>
        <w:spacing w:line="460" w:lineRule="exact"/>
        <w:rPr>
          <w:rFonts w:ascii="仿宋" w:hAnsi="仿宋" w:eastAsia="仿宋" w:cs="Arial"/>
          <w:b/>
          <w:color w:val="000000" w:themeColor="text1"/>
          <w:sz w:val="24"/>
        </w:rPr>
      </w:pPr>
      <w:r>
        <w:rPr>
          <w:rFonts w:hint="eastAsia" w:ascii="仿宋" w:hAnsi="仿宋" w:eastAsia="仿宋" w:cs="新宋体"/>
          <w:b/>
          <w:color w:val="000000" w:themeColor="text1"/>
          <w:kern w:val="0"/>
          <w:sz w:val="24"/>
        </w:rPr>
        <w:t>3.</w:t>
      </w:r>
      <w:r>
        <w:rPr>
          <w:rFonts w:ascii="仿宋" w:hAnsi="仿宋" w:eastAsia="仿宋" w:cs="新宋体"/>
          <w:b/>
          <w:color w:val="000000" w:themeColor="text1"/>
          <w:kern w:val="0"/>
          <w:sz w:val="24"/>
        </w:rPr>
        <w:t>6</w:t>
      </w:r>
      <w:r>
        <w:rPr>
          <w:rFonts w:hint="eastAsia" w:ascii="仿宋" w:hAnsi="仿宋" w:eastAsia="仿宋" w:cs="Arial"/>
          <w:b/>
          <w:color w:val="000000" w:themeColor="text1"/>
          <w:sz w:val="24"/>
        </w:rPr>
        <w:t>本项目要求投标人提供的联系方式（手机号码、联系邮箱、联系地址），均以法定代表人声明书或法定代表人授权委托书上注明的联系方式为准，投标人必须保障其联系方式保持畅通。否则由此造成的后果均有投标人自行承担。</w:t>
      </w:r>
    </w:p>
    <w:p>
      <w:pPr>
        <w:pStyle w:val="2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rPr>
        <w:t>3.7 投标文件格式应按本招标文件第六章格式要求编制，不得对招标文件格式进行增删更改，否则按无效标处理。</w:t>
      </w:r>
    </w:p>
    <w:p>
      <w:pPr>
        <w:pStyle w:val="2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rPr>
        <w:t xml:space="preserve">3.8对招标文件格式可更改的例外情况：招标文件第六章附件格式要求中明确规定表格中行数不够用时可按相同格式增加行数，其他一切内容和格式不得更改。  </w:t>
      </w:r>
    </w:p>
    <w:p>
      <w:pPr>
        <w:pStyle w:val="20"/>
        <w:spacing w:beforeLines="50" w:line="340" w:lineRule="exact"/>
        <w:ind w:firstLine="413" w:firstLineChars="147"/>
        <w:rPr>
          <w:rFonts w:ascii="仿宋" w:hAnsi="仿宋" w:eastAsia="仿宋"/>
          <w:b/>
          <w:bCs/>
          <w:color w:val="000000" w:themeColor="text1"/>
          <w:sz w:val="28"/>
          <w:szCs w:val="28"/>
        </w:rPr>
      </w:pPr>
      <w:r>
        <w:rPr>
          <w:rFonts w:ascii="仿宋" w:hAnsi="仿宋" w:eastAsia="仿宋"/>
          <w:b/>
          <w:color w:val="000000" w:themeColor="text1"/>
          <w:sz w:val="28"/>
          <w:szCs w:val="28"/>
        </w:rPr>
        <w:t xml:space="preserve">4. </w:t>
      </w:r>
      <w:r>
        <w:rPr>
          <w:rFonts w:ascii="仿宋" w:hAnsi="仿宋" w:eastAsia="仿宋"/>
          <w:b/>
          <w:bCs/>
          <w:color w:val="000000" w:themeColor="text1"/>
          <w:sz w:val="28"/>
          <w:szCs w:val="28"/>
        </w:rPr>
        <w:t>投标文件的组成</w:t>
      </w:r>
    </w:p>
    <w:p>
      <w:pPr>
        <w:pStyle w:val="20"/>
        <w:spacing w:line="340" w:lineRule="exact"/>
        <w:ind w:firstLine="236" w:firstLineChars="98"/>
        <w:rPr>
          <w:rFonts w:ascii="仿宋" w:hAnsi="仿宋" w:eastAsia="仿宋"/>
          <w:b/>
          <w:color w:val="000000" w:themeColor="text1"/>
          <w:sz w:val="24"/>
        </w:rPr>
      </w:pPr>
      <w:r>
        <w:rPr>
          <w:rFonts w:ascii="仿宋" w:hAnsi="仿宋" w:eastAsia="仿宋"/>
          <w:b/>
          <w:color w:val="000000" w:themeColor="text1"/>
          <w:sz w:val="24"/>
        </w:rPr>
        <w:t>4.1 投标文件由</w:t>
      </w:r>
      <w:r>
        <w:rPr>
          <w:rFonts w:hint="eastAsia" w:ascii="仿宋" w:hAnsi="仿宋" w:eastAsia="仿宋"/>
          <w:b/>
          <w:color w:val="000000" w:themeColor="text1"/>
          <w:sz w:val="24"/>
        </w:rPr>
        <w:t>资格文件</w:t>
      </w:r>
      <w:r>
        <w:rPr>
          <w:rFonts w:ascii="仿宋" w:hAnsi="仿宋" w:eastAsia="仿宋"/>
          <w:b/>
          <w:color w:val="000000" w:themeColor="text1"/>
          <w:sz w:val="24"/>
        </w:rPr>
        <w:t>、</w:t>
      </w:r>
      <w:r>
        <w:rPr>
          <w:rFonts w:hint="eastAsia" w:ascii="仿宋" w:hAnsi="仿宋" w:eastAsia="仿宋"/>
          <w:b/>
          <w:color w:val="000000" w:themeColor="text1"/>
          <w:sz w:val="24"/>
        </w:rPr>
        <w:t>商务技术文件</w:t>
      </w:r>
      <w:r>
        <w:rPr>
          <w:rFonts w:ascii="仿宋" w:hAnsi="仿宋" w:eastAsia="仿宋"/>
          <w:b/>
          <w:color w:val="000000" w:themeColor="text1"/>
          <w:sz w:val="24"/>
        </w:rPr>
        <w:t>、报价文件三部</w:t>
      </w:r>
      <w:r>
        <w:rPr>
          <w:rFonts w:hint="eastAsia" w:ascii="仿宋" w:hAnsi="仿宋" w:eastAsia="仿宋"/>
          <w:b/>
          <w:color w:val="000000" w:themeColor="text1"/>
          <w:sz w:val="24"/>
        </w:rPr>
        <w:t>分</w:t>
      </w:r>
      <w:r>
        <w:rPr>
          <w:rFonts w:ascii="仿宋" w:hAnsi="仿宋" w:eastAsia="仿宋"/>
          <w:b/>
          <w:color w:val="000000" w:themeColor="text1"/>
          <w:sz w:val="24"/>
        </w:rPr>
        <w:t>组成。</w:t>
      </w:r>
    </w:p>
    <w:p>
      <w:pPr>
        <w:pStyle w:val="20"/>
        <w:spacing w:line="400" w:lineRule="exact"/>
        <w:ind w:firstLine="239" w:firstLineChars="99"/>
        <w:rPr>
          <w:color w:val="000000" w:themeColor="text1"/>
        </w:rPr>
      </w:pPr>
      <w:r>
        <w:rPr>
          <w:rFonts w:hint="eastAsia" w:ascii="仿宋" w:hAnsi="仿宋" w:eastAsia="仿宋"/>
          <w:b/>
          <w:color w:val="000000" w:themeColor="text1"/>
          <w:sz w:val="24"/>
        </w:rPr>
        <w:t>4.2 ▲资格文件包括（标项一） ：</w:t>
      </w:r>
    </w:p>
    <w:tbl>
      <w:tblPr>
        <w:tblStyle w:val="36"/>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796"/>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17" w:type="dxa"/>
            <w:vAlign w:val="center"/>
          </w:tcPr>
          <w:p>
            <w:pPr>
              <w:overflowPunct w:val="0"/>
              <w:spacing w:line="430" w:lineRule="exact"/>
              <w:jc w:val="center"/>
              <w:rPr>
                <w:rFonts w:ascii="仿宋" w:hAnsi="仿宋" w:eastAsia="仿宋" w:cs="新宋体"/>
                <w:b/>
                <w:color w:val="000000" w:themeColor="text1"/>
                <w:sz w:val="22"/>
                <w:szCs w:val="22"/>
              </w:rPr>
            </w:pPr>
            <w:r>
              <w:rPr>
                <w:rFonts w:hint="eastAsia" w:ascii="仿宋" w:hAnsi="仿宋" w:eastAsia="仿宋" w:cs="新宋体"/>
                <w:b/>
                <w:color w:val="000000" w:themeColor="text1"/>
                <w:sz w:val="22"/>
                <w:szCs w:val="22"/>
              </w:rPr>
              <w:t>序号</w:t>
            </w:r>
          </w:p>
        </w:tc>
        <w:tc>
          <w:tcPr>
            <w:tcW w:w="7796" w:type="dxa"/>
            <w:vAlign w:val="center"/>
          </w:tcPr>
          <w:p>
            <w:pPr>
              <w:overflowPunct w:val="0"/>
              <w:spacing w:line="430" w:lineRule="exact"/>
              <w:jc w:val="center"/>
              <w:rPr>
                <w:rFonts w:ascii="仿宋" w:hAnsi="仿宋" w:eastAsia="仿宋" w:cs="新宋体"/>
                <w:b/>
                <w:color w:val="000000" w:themeColor="text1"/>
                <w:sz w:val="22"/>
                <w:szCs w:val="22"/>
              </w:rPr>
            </w:pPr>
            <w:r>
              <w:rPr>
                <w:rFonts w:hint="eastAsia" w:ascii="仿宋" w:hAnsi="仿宋" w:eastAsia="仿宋" w:cs="新宋体"/>
                <w:b/>
                <w:color w:val="000000" w:themeColor="text1"/>
                <w:sz w:val="22"/>
                <w:szCs w:val="22"/>
              </w:rPr>
              <w:t>内 容</w:t>
            </w:r>
          </w:p>
        </w:tc>
        <w:tc>
          <w:tcPr>
            <w:tcW w:w="1241" w:type="dxa"/>
            <w:vAlign w:val="center"/>
          </w:tcPr>
          <w:p>
            <w:pPr>
              <w:overflowPunct w:val="0"/>
              <w:spacing w:line="430" w:lineRule="exact"/>
              <w:jc w:val="center"/>
              <w:rPr>
                <w:rFonts w:ascii="仿宋" w:hAnsi="仿宋" w:eastAsia="仿宋" w:cs="新宋体"/>
                <w:b/>
                <w:color w:val="000000" w:themeColor="text1"/>
                <w:sz w:val="22"/>
                <w:szCs w:val="22"/>
              </w:rPr>
            </w:pPr>
            <w:r>
              <w:rPr>
                <w:rFonts w:hint="eastAsia" w:ascii="仿宋" w:hAnsi="仿宋" w:eastAsia="仿宋" w:cs="新宋体"/>
                <w:b/>
                <w:color w:val="000000" w:themeColor="text1"/>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17"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1</w:t>
            </w:r>
          </w:p>
        </w:tc>
        <w:tc>
          <w:tcPr>
            <w:tcW w:w="7796" w:type="dxa"/>
            <w:vAlign w:val="center"/>
          </w:tcPr>
          <w:p>
            <w:pPr>
              <w:rPr>
                <w:rFonts w:ascii="仿宋" w:hAnsi="仿宋" w:eastAsia="仿宋" w:cs="新宋体"/>
                <w:bCs/>
                <w:color w:val="000000" w:themeColor="text1"/>
                <w:sz w:val="22"/>
                <w:szCs w:val="22"/>
              </w:rPr>
            </w:pPr>
            <w:r>
              <w:rPr>
                <w:rFonts w:hint="eastAsia" w:ascii="仿宋" w:hAnsi="仿宋" w:eastAsia="仿宋"/>
                <w:b/>
                <w:color w:val="000000" w:themeColor="text1"/>
                <w:sz w:val="24"/>
                <w:szCs w:val="20"/>
              </w:rPr>
              <w:t>有效的单位法人证书或营业执照</w:t>
            </w:r>
          </w:p>
        </w:tc>
        <w:tc>
          <w:tcPr>
            <w:tcW w:w="1241" w:type="dxa"/>
            <w:vAlign w:val="center"/>
          </w:tcPr>
          <w:p>
            <w:pPr>
              <w:overflowPunct w:val="0"/>
              <w:spacing w:line="430" w:lineRule="exact"/>
              <w:jc w:val="center"/>
              <w:rPr>
                <w:rFonts w:ascii="仿宋" w:hAnsi="仿宋" w:eastAsia="仿宋" w:cs="新宋体"/>
                <w:b/>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9" w:hRule="atLeast"/>
        </w:trPr>
        <w:tc>
          <w:tcPr>
            <w:tcW w:w="817"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2</w:t>
            </w:r>
          </w:p>
        </w:tc>
        <w:tc>
          <w:tcPr>
            <w:tcW w:w="7796" w:type="dxa"/>
            <w:vAlign w:val="center"/>
          </w:tcPr>
          <w:p>
            <w:pPr>
              <w:pStyle w:val="35"/>
              <w:spacing w:line="340" w:lineRule="exact"/>
              <w:ind w:left="0" w:leftChars="0" w:firstLine="0"/>
              <w:rPr>
                <w:rFonts w:ascii="仿宋" w:hAnsi="仿宋" w:eastAsia="仿宋"/>
                <w:b/>
                <w:color w:val="000000" w:themeColor="text1"/>
                <w:sz w:val="24"/>
                <w:szCs w:val="20"/>
              </w:rPr>
            </w:pPr>
            <w:r>
              <w:rPr>
                <w:rFonts w:hint="eastAsia" w:ascii="仿宋" w:hAnsi="仿宋" w:eastAsia="仿宋"/>
                <w:b/>
                <w:color w:val="000000" w:themeColor="text1"/>
                <w:sz w:val="24"/>
                <w:szCs w:val="20"/>
              </w:rPr>
              <w:t>财务状况报告：</w:t>
            </w:r>
          </w:p>
          <w:p>
            <w:pPr>
              <w:pStyle w:val="35"/>
              <w:spacing w:line="340" w:lineRule="exact"/>
              <w:ind w:left="0" w:leftChars="0" w:firstLine="0"/>
              <w:rPr>
                <w:rFonts w:ascii="仿宋" w:hAnsi="仿宋" w:eastAsia="仿宋"/>
                <w:b/>
                <w:color w:val="000000" w:themeColor="text1"/>
                <w:sz w:val="24"/>
                <w:szCs w:val="20"/>
              </w:rPr>
            </w:pPr>
            <w:r>
              <w:rPr>
                <w:rFonts w:hint="eastAsia" w:ascii="仿宋" w:hAnsi="仿宋" w:eastAsia="仿宋"/>
                <w:b/>
                <w:color w:val="000000" w:themeColor="text1"/>
                <w:sz w:val="24"/>
                <w:szCs w:val="20"/>
              </w:rPr>
              <w:t>说明：投标人上年度能全面清晰的反映财务状况的财务报表材料（包括损益表、资产负债表等资料）。若成立时间不足 1 年的，则提供从成立之日起至今的符合本项前款规定的财务报表资料；新成立的公司，提供相关情况说明材料</w:t>
            </w:r>
          </w:p>
        </w:tc>
        <w:tc>
          <w:tcPr>
            <w:tcW w:w="1241" w:type="dxa"/>
            <w:vAlign w:val="center"/>
          </w:tcPr>
          <w:p>
            <w:pPr>
              <w:jc w:val="center"/>
              <w:rPr>
                <w:rFonts w:ascii="仿宋" w:hAnsi="仿宋" w:eastAsia="仿宋" w:cs="新宋体"/>
                <w:bCs/>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17"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3</w:t>
            </w:r>
          </w:p>
        </w:tc>
        <w:tc>
          <w:tcPr>
            <w:tcW w:w="7796" w:type="dxa"/>
            <w:vAlign w:val="center"/>
          </w:tcPr>
          <w:p>
            <w:pPr>
              <w:rPr>
                <w:rFonts w:ascii="仿宋" w:hAnsi="仿宋" w:eastAsia="仿宋" w:cs="新宋体"/>
                <w:bCs/>
                <w:color w:val="000000" w:themeColor="text1"/>
                <w:sz w:val="22"/>
                <w:szCs w:val="22"/>
              </w:rPr>
            </w:pPr>
            <w:r>
              <w:rPr>
                <w:rFonts w:hint="eastAsia" w:ascii="仿宋" w:hAnsi="仿宋" w:eastAsia="仿宋"/>
                <w:b/>
                <w:color w:val="000000" w:themeColor="text1"/>
                <w:sz w:val="24"/>
                <w:szCs w:val="20"/>
              </w:rPr>
              <w:t>具有履行合同所必须的设备和专业技术能力的承诺函</w:t>
            </w:r>
          </w:p>
        </w:tc>
        <w:tc>
          <w:tcPr>
            <w:tcW w:w="1241" w:type="dxa"/>
            <w:vAlign w:val="center"/>
          </w:tcPr>
          <w:p>
            <w:pPr>
              <w:spacing w:line="400" w:lineRule="exact"/>
              <w:jc w:val="center"/>
              <w:rPr>
                <w:rFonts w:ascii="仿宋" w:hAnsi="仿宋" w:eastAsia="仿宋"/>
                <w:color w:val="000000" w:themeColor="text1"/>
                <w:sz w:val="22"/>
                <w:szCs w:val="22"/>
              </w:rPr>
            </w:pPr>
            <w:r>
              <w:rPr>
                <w:rFonts w:hint="eastAsia" w:ascii="仿宋" w:hAnsi="仿宋" w:eastAsia="仿宋"/>
                <w:b/>
                <w:color w:val="000000" w:themeColor="text1"/>
                <w:sz w:val="24"/>
                <w:szCs w:val="20"/>
              </w:rPr>
              <w:t>附件九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4</w:t>
            </w:r>
          </w:p>
        </w:tc>
        <w:tc>
          <w:tcPr>
            <w:tcW w:w="7796" w:type="dxa"/>
            <w:vAlign w:val="center"/>
          </w:tcPr>
          <w:p>
            <w:pPr>
              <w:pStyle w:val="35"/>
              <w:spacing w:line="340" w:lineRule="exact"/>
              <w:ind w:left="0" w:leftChars="0" w:firstLine="0"/>
              <w:rPr>
                <w:rFonts w:ascii="仿宋" w:hAnsi="仿宋" w:eastAsia="仿宋"/>
                <w:b/>
                <w:color w:val="000000" w:themeColor="text1"/>
                <w:sz w:val="24"/>
                <w:szCs w:val="20"/>
              </w:rPr>
            </w:pPr>
            <w:r>
              <w:rPr>
                <w:rFonts w:hint="eastAsia" w:ascii="仿宋" w:hAnsi="仿宋" w:eastAsia="仿宋"/>
                <w:b/>
                <w:color w:val="000000" w:themeColor="text1"/>
                <w:sz w:val="24"/>
                <w:szCs w:val="20"/>
              </w:rPr>
              <w:t>纳税证明材料及社保缴纳证明材料：</w:t>
            </w:r>
          </w:p>
          <w:p>
            <w:pPr>
              <w:pStyle w:val="35"/>
              <w:spacing w:line="340" w:lineRule="exact"/>
              <w:ind w:left="0" w:leftChars="0" w:firstLine="0"/>
              <w:rPr>
                <w:rFonts w:ascii="仿宋" w:hAnsi="仿宋" w:eastAsia="仿宋"/>
                <w:b/>
                <w:color w:val="000000" w:themeColor="text1"/>
                <w:sz w:val="24"/>
                <w:szCs w:val="20"/>
              </w:rPr>
            </w:pPr>
            <w:r>
              <w:rPr>
                <w:rFonts w:hint="eastAsia" w:ascii="仿宋" w:hAnsi="仿宋" w:eastAsia="仿宋"/>
                <w:b/>
                <w:color w:val="000000" w:themeColor="text1"/>
                <w:sz w:val="24"/>
                <w:szCs w:val="20"/>
              </w:rPr>
              <w:t>说明：提供投标截止时间前 3 个月内任意一个月的依法纳税证明材料。</w:t>
            </w:r>
          </w:p>
          <w:p>
            <w:pPr>
              <w:pStyle w:val="35"/>
              <w:spacing w:line="340" w:lineRule="exact"/>
              <w:ind w:left="0" w:leftChars="0" w:firstLine="0"/>
              <w:rPr>
                <w:rFonts w:ascii="仿宋" w:hAnsi="仿宋" w:eastAsia="仿宋"/>
                <w:b/>
                <w:color w:val="000000" w:themeColor="text1"/>
                <w:sz w:val="24"/>
                <w:szCs w:val="20"/>
              </w:rPr>
            </w:pPr>
            <w:r>
              <w:rPr>
                <w:rFonts w:hint="eastAsia" w:ascii="仿宋" w:hAnsi="仿宋" w:eastAsia="仿宋"/>
                <w:b/>
                <w:color w:val="000000" w:themeColor="text1"/>
                <w:sz w:val="24"/>
                <w:szCs w:val="20"/>
              </w:rPr>
              <w:t>提供投标截止时间前 3 个月内任意一个月的社保缴纳证明材料。</w:t>
            </w:r>
          </w:p>
        </w:tc>
        <w:tc>
          <w:tcPr>
            <w:tcW w:w="1241" w:type="dxa"/>
            <w:vAlign w:val="center"/>
          </w:tcPr>
          <w:p>
            <w:pPr>
              <w:spacing w:line="400" w:lineRule="exact"/>
              <w:jc w:val="center"/>
              <w:rPr>
                <w:rFonts w:ascii="仿宋" w:hAnsi="仿宋" w:eastAsia="仿宋"/>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17"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5</w:t>
            </w:r>
          </w:p>
        </w:tc>
        <w:tc>
          <w:tcPr>
            <w:tcW w:w="7796" w:type="dxa"/>
            <w:vAlign w:val="center"/>
          </w:tcPr>
          <w:p>
            <w:pPr>
              <w:rPr>
                <w:rFonts w:ascii="仿宋" w:hAnsi="仿宋" w:eastAsia="仿宋" w:cs="新宋体"/>
                <w:bCs/>
                <w:color w:val="000000" w:themeColor="text1"/>
                <w:sz w:val="22"/>
                <w:szCs w:val="22"/>
              </w:rPr>
            </w:pPr>
            <w:r>
              <w:rPr>
                <w:rFonts w:hint="eastAsia" w:ascii="仿宋" w:hAnsi="仿宋" w:eastAsia="仿宋"/>
                <w:b/>
                <w:color w:val="000000" w:themeColor="text1"/>
                <w:sz w:val="24"/>
                <w:szCs w:val="20"/>
              </w:rPr>
              <w:t>参加政府采购活动前三年内，在经营活动中没有重大违法记录的承诺函</w:t>
            </w:r>
          </w:p>
        </w:tc>
        <w:tc>
          <w:tcPr>
            <w:tcW w:w="1241" w:type="dxa"/>
            <w:vAlign w:val="center"/>
          </w:tcPr>
          <w:p>
            <w:pPr>
              <w:spacing w:line="400" w:lineRule="exact"/>
              <w:jc w:val="center"/>
              <w:rPr>
                <w:rFonts w:ascii="仿宋" w:hAnsi="仿宋" w:eastAsia="仿宋"/>
                <w:color w:val="000000" w:themeColor="text1"/>
                <w:sz w:val="22"/>
                <w:szCs w:val="22"/>
              </w:rPr>
            </w:pPr>
            <w:r>
              <w:rPr>
                <w:rFonts w:hint="eastAsia" w:ascii="仿宋" w:hAnsi="仿宋" w:eastAsia="仿宋"/>
                <w:b/>
                <w:color w:val="000000" w:themeColor="text1"/>
                <w:sz w:val="24"/>
                <w:szCs w:val="20"/>
              </w:rPr>
              <w:t>附件十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6</w:t>
            </w:r>
          </w:p>
        </w:tc>
        <w:tc>
          <w:tcPr>
            <w:tcW w:w="7796" w:type="dxa"/>
            <w:vAlign w:val="center"/>
          </w:tcPr>
          <w:p>
            <w:pPr>
              <w:rPr>
                <w:rFonts w:ascii="仿宋" w:hAnsi="仿宋" w:eastAsia="仿宋" w:cs="新宋体"/>
                <w:bCs/>
                <w:color w:val="000000" w:themeColor="text1"/>
                <w:sz w:val="22"/>
                <w:szCs w:val="22"/>
              </w:rPr>
            </w:pPr>
            <w:r>
              <w:rPr>
                <w:rFonts w:hint="eastAsia" w:ascii="仿宋" w:hAnsi="仿宋" w:eastAsia="仿宋"/>
                <w:b/>
                <w:color w:val="000000" w:themeColor="text1"/>
                <w:sz w:val="24"/>
                <w:szCs w:val="20"/>
              </w:rPr>
              <w:t>未被列入失信被执行人名单、重大税收违法案件当事人名单、政府采购严重违法失信行为记录名单的承诺函</w:t>
            </w:r>
          </w:p>
        </w:tc>
        <w:tc>
          <w:tcPr>
            <w:tcW w:w="1241" w:type="dxa"/>
            <w:vAlign w:val="center"/>
          </w:tcPr>
          <w:p>
            <w:pPr>
              <w:spacing w:line="400" w:lineRule="exact"/>
              <w:jc w:val="center"/>
              <w:rPr>
                <w:rFonts w:ascii="仿宋" w:hAnsi="仿宋" w:eastAsia="仿宋" w:cs="新宋体"/>
                <w:bCs/>
                <w:color w:val="000000" w:themeColor="text1"/>
                <w:sz w:val="22"/>
                <w:szCs w:val="22"/>
              </w:rPr>
            </w:pPr>
            <w:r>
              <w:rPr>
                <w:rFonts w:hint="eastAsia" w:ascii="仿宋" w:hAnsi="仿宋" w:eastAsia="仿宋"/>
                <w:b/>
                <w:color w:val="000000" w:themeColor="text1"/>
                <w:sz w:val="24"/>
                <w:szCs w:val="20"/>
              </w:rPr>
              <w:t>附件十一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17"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7</w:t>
            </w:r>
          </w:p>
        </w:tc>
        <w:tc>
          <w:tcPr>
            <w:tcW w:w="7796" w:type="dxa"/>
            <w:vAlign w:val="center"/>
          </w:tcPr>
          <w:p>
            <w:pPr>
              <w:rPr>
                <w:rFonts w:ascii="仿宋" w:hAnsi="仿宋" w:eastAsia="仿宋" w:cs="新宋体"/>
                <w:bCs/>
                <w:color w:val="000000" w:themeColor="text1"/>
                <w:sz w:val="22"/>
                <w:szCs w:val="22"/>
              </w:rPr>
            </w:pPr>
            <w:r>
              <w:rPr>
                <w:rFonts w:hint="eastAsia" w:ascii="仿宋" w:hAnsi="仿宋" w:eastAsia="仿宋"/>
                <w:b/>
                <w:color w:val="000000" w:themeColor="text1"/>
                <w:sz w:val="24"/>
                <w:szCs w:val="20"/>
              </w:rPr>
              <w:t>供应商认为需提供的其他证明资料</w:t>
            </w:r>
          </w:p>
        </w:tc>
        <w:tc>
          <w:tcPr>
            <w:tcW w:w="1241" w:type="dxa"/>
            <w:vAlign w:val="center"/>
          </w:tcPr>
          <w:p>
            <w:pPr>
              <w:spacing w:line="400" w:lineRule="exact"/>
              <w:jc w:val="center"/>
              <w:rPr>
                <w:rFonts w:ascii="仿宋" w:hAnsi="仿宋" w:eastAsia="仿宋" w:cs="新宋体"/>
                <w:bCs/>
                <w:color w:val="000000" w:themeColor="text1"/>
                <w:sz w:val="22"/>
                <w:szCs w:val="22"/>
              </w:rPr>
            </w:pPr>
          </w:p>
        </w:tc>
      </w:tr>
    </w:tbl>
    <w:p>
      <w:pPr>
        <w:pStyle w:val="20"/>
        <w:spacing w:line="400" w:lineRule="exact"/>
        <w:ind w:firstLine="239" w:firstLineChars="99"/>
        <w:rPr>
          <w:color w:val="000000" w:themeColor="text1"/>
        </w:rPr>
      </w:pPr>
      <w:r>
        <w:rPr>
          <w:rFonts w:hint="eastAsia" w:ascii="仿宋" w:hAnsi="仿宋" w:eastAsia="仿宋"/>
          <w:b/>
          <w:color w:val="000000" w:themeColor="text1"/>
          <w:sz w:val="24"/>
        </w:rPr>
        <w:t>4.3▲资格文件包括（标项二） ：</w:t>
      </w:r>
    </w:p>
    <w:tbl>
      <w:tblPr>
        <w:tblStyle w:val="36"/>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796"/>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17" w:type="dxa"/>
            <w:vAlign w:val="center"/>
          </w:tcPr>
          <w:p>
            <w:pPr>
              <w:overflowPunct w:val="0"/>
              <w:spacing w:line="430" w:lineRule="exact"/>
              <w:jc w:val="center"/>
              <w:rPr>
                <w:rFonts w:ascii="仿宋" w:hAnsi="仿宋" w:eastAsia="仿宋" w:cs="新宋体"/>
                <w:b/>
                <w:color w:val="000000" w:themeColor="text1"/>
                <w:sz w:val="22"/>
                <w:szCs w:val="22"/>
              </w:rPr>
            </w:pPr>
            <w:r>
              <w:rPr>
                <w:rFonts w:hint="eastAsia" w:ascii="仿宋" w:hAnsi="仿宋" w:eastAsia="仿宋" w:cs="新宋体"/>
                <w:b/>
                <w:color w:val="000000" w:themeColor="text1"/>
                <w:sz w:val="22"/>
                <w:szCs w:val="22"/>
              </w:rPr>
              <w:t>序号</w:t>
            </w:r>
          </w:p>
        </w:tc>
        <w:tc>
          <w:tcPr>
            <w:tcW w:w="7796" w:type="dxa"/>
            <w:vAlign w:val="center"/>
          </w:tcPr>
          <w:p>
            <w:pPr>
              <w:overflowPunct w:val="0"/>
              <w:spacing w:line="430" w:lineRule="exact"/>
              <w:jc w:val="center"/>
              <w:rPr>
                <w:rFonts w:ascii="仿宋" w:hAnsi="仿宋" w:eastAsia="仿宋" w:cs="新宋体"/>
                <w:b/>
                <w:color w:val="000000" w:themeColor="text1"/>
                <w:sz w:val="22"/>
                <w:szCs w:val="22"/>
              </w:rPr>
            </w:pPr>
            <w:r>
              <w:rPr>
                <w:rFonts w:hint="eastAsia" w:ascii="仿宋" w:hAnsi="仿宋" w:eastAsia="仿宋" w:cs="新宋体"/>
                <w:b/>
                <w:color w:val="000000" w:themeColor="text1"/>
                <w:sz w:val="22"/>
                <w:szCs w:val="22"/>
              </w:rPr>
              <w:t>内 容</w:t>
            </w:r>
          </w:p>
        </w:tc>
        <w:tc>
          <w:tcPr>
            <w:tcW w:w="1241" w:type="dxa"/>
            <w:vAlign w:val="center"/>
          </w:tcPr>
          <w:p>
            <w:pPr>
              <w:overflowPunct w:val="0"/>
              <w:spacing w:line="430" w:lineRule="exact"/>
              <w:jc w:val="center"/>
              <w:rPr>
                <w:rFonts w:ascii="仿宋" w:hAnsi="仿宋" w:eastAsia="仿宋" w:cs="新宋体"/>
                <w:b/>
                <w:color w:val="000000" w:themeColor="text1"/>
                <w:sz w:val="22"/>
                <w:szCs w:val="22"/>
              </w:rPr>
            </w:pPr>
            <w:r>
              <w:rPr>
                <w:rFonts w:hint="eastAsia" w:ascii="仿宋" w:hAnsi="仿宋" w:eastAsia="仿宋" w:cs="新宋体"/>
                <w:b/>
                <w:color w:val="000000" w:themeColor="text1"/>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17"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1</w:t>
            </w:r>
          </w:p>
        </w:tc>
        <w:tc>
          <w:tcPr>
            <w:tcW w:w="7796" w:type="dxa"/>
            <w:vAlign w:val="center"/>
          </w:tcPr>
          <w:p>
            <w:pPr>
              <w:rPr>
                <w:rFonts w:ascii="仿宋" w:hAnsi="仿宋" w:eastAsia="仿宋" w:cs="新宋体"/>
                <w:bCs/>
                <w:color w:val="000000" w:themeColor="text1"/>
                <w:sz w:val="22"/>
                <w:szCs w:val="22"/>
              </w:rPr>
            </w:pPr>
            <w:r>
              <w:rPr>
                <w:rFonts w:hint="eastAsia" w:ascii="仿宋" w:hAnsi="仿宋" w:eastAsia="仿宋"/>
                <w:b/>
                <w:color w:val="000000" w:themeColor="text1"/>
                <w:sz w:val="24"/>
                <w:szCs w:val="20"/>
              </w:rPr>
              <w:t>有效的单位法人证书或营业执照</w:t>
            </w:r>
          </w:p>
        </w:tc>
        <w:tc>
          <w:tcPr>
            <w:tcW w:w="1241" w:type="dxa"/>
            <w:vAlign w:val="center"/>
          </w:tcPr>
          <w:p>
            <w:pPr>
              <w:overflowPunct w:val="0"/>
              <w:spacing w:line="430" w:lineRule="exact"/>
              <w:jc w:val="center"/>
              <w:rPr>
                <w:rFonts w:ascii="仿宋" w:hAnsi="仿宋" w:eastAsia="仿宋" w:cs="新宋体"/>
                <w:b/>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9" w:hRule="atLeast"/>
        </w:trPr>
        <w:tc>
          <w:tcPr>
            <w:tcW w:w="817"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2</w:t>
            </w:r>
          </w:p>
        </w:tc>
        <w:tc>
          <w:tcPr>
            <w:tcW w:w="7796" w:type="dxa"/>
            <w:vAlign w:val="center"/>
          </w:tcPr>
          <w:p>
            <w:pPr>
              <w:pStyle w:val="35"/>
              <w:spacing w:line="340" w:lineRule="exact"/>
              <w:ind w:left="0" w:leftChars="0" w:firstLine="0"/>
              <w:rPr>
                <w:rFonts w:ascii="仿宋" w:hAnsi="仿宋" w:eastAsia="仿宋"/>
                <w:b/>
                <w:color w:val="000000" w:themeColor="text1"/>
                <w:sz w:val="24"/>
                <w:szCs w:val="20"/>
              </w:rPr>
            </w:pPr>
            <w:r>
              <w:rPr>
                <w:rFonts w:hint="eastAsia" w:ascii="仿宋" w:hAnsi="仿宋" w:eastAsia="仿宋"/>
                <w:b/>
                <w:color w:val="000000" w:themeColor="text1"/>
                <w:sz w:val="24"/>
                <w:szCs w:val="20"/>
              </w:rPr>
              <w:t>财务状况报告：</w:t>
            </w:r>
          </w:p>
          <w:p>
            <w:pPr>
              <w:pStyle w:val="35"/>
              <w:spacing w:line="340" w:lineRule="exact"/>
              <w:ind w:left="0" w:leftChars="0" w:firstLine="0"/>
              <w:rPr>
                <w:rFonts w:ascii="仿宋" w:hAnsi="仿宋" w:eastAsia="仿宋"/>
                <w:b/>
                <w:color w:val="000000" w:themeColor="text1"/>
                <w:sz w:val="24"/>
                <w:szCs w:val="20"/>
              </w:rPr>
            </w:pPr>
            <w:r>
              <w:rPr>
                <w:rFonts w:hint="eastAsia" w:ascii="仿宋" w:hAnsi="仿宋" w:eastAsia="仿宋"/>
                <w:b/>
                <w:color w:val="000000" w:themeColor="text1"/>
                <w:sz w:val="24"/>
                <w:szCs w:val="20"/>
              </w:rPr>
              <w:t>说明：投标人上年度能全面清晰的反映财务状况的财务报表材料（包括损益表、资产负债表等资料）。若成立时间不足 1 年的，则提供从成立之日起至今的符合本项前款规定的财务报表资料；新成立的公司，提供相关情况说明材料</w:t>
            </w:r>
          </w:p>
        </w:tc>
        <w:tc>
          <w:tcPr>
            <w:tcW w:w="1241" w:type="dxa"/>
            <w:vAlign w:val="center"/>
          </w:tcPr>
          <w:p>
            <w:pPr>
              <w:jc w:val="center"/>
              <w:rPr>
                <w:rFonts w:ascii="仿宋" w:hAnsi="仿宋" w:eastAsia="仿宋" w:cs="新宋体"/>
                <w:bCs/>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17"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3</w:t>
            </w:r>
          </w:p>
        </w:tc>
        <w:tc>
          <w:tcPr>
            <w:tcW w:w="7796" w:type="dxa"/>
            <w:vAlign w:val="center"/>
          </w:tcPr>
          <w:p>
            <w:pPr>
              <w:rPr>
                <w:rFonts w:ascii="仿宋" w:hAnsi="仿宋" w:eastAsia="仿宋" w:cs="新宋体"/>
                <w:bCs/>
                <w:color w:val="000000" w:themeColor="text1"/>
                <w:sz w:val="22"/>
                <w:szCs w:val="22"/>
              </w:rPr>
            </w:pPr>
            <w:r>
              <w:rPr>
                <w:rFonts w:hint="eastAsia" w:ascii="仿宋" w:hAnsi="仿宋" w:eastAsia="仿宋"/>
                <w:b/>
                <w:color w:val="000000" w:themeColor="text1"/>
                <w:sz w:val="24"/>
                <w:szCs w:val="20"/>
              </w:rPr>
              <w:t>具有履行合同所必须的设备和专业技术能力的承诺函</w:t>
            </w:r>
          </w:p>
        </w:tc>
        <w:tc>
          <w:tcPr>
            <w:tcW w:w="1241" w:type="dxa"/>
            <w:vAlign w:val="center"/>
          </w:tcPr>
          <w:p>
            <w:pPr>
              <w:spacing w:line="400" w:lineRule="exact"/>
              <w:jc w:val="center"/>
              <w:rPr>
                <w:rFonts w:ascii="仿宋" w:hAnsi="仿宋" w:eastAsia="仿宋"/>
                <w:color w:val="000000" w:themeColor="text1"/>
                <w:sz w:val="22"/>
                <w:szCs w:val="22"/>
              </w:rPr>
            </w:pPr>
            <w:r>
              <w:rPr>
                <w:rFonts w:hint="eastAsia" w:ascii="仿宋" w:hAnsi="仿宋" w:eastAsia="仿宋"/>
                <w:b/>
                <w:color w:val="000000" w:themeColor="text1"/>
                <w:sz w:val="24"/>
                <w:szCs w:val="20"/>
              </w:rPr>
              <w:t>附件九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4</w:t>
            </w:r>
          </w:p>
        </w:tc>
        <w:tc>
          <w:tcPr>
            <w:tcW w:w="7796" w:type="dxa"/>
            <w:vAlign w:val="center"/>
          </w:tcPr>
          <w:p>
            <w:pPr>
              <w:pStyle w:val="35"/>
              <w:spacing w:line="340" w:lineRule="exact"/>
              <w:ind w:left="0" w:leftChars="0" w:firstLine="0"/>
              <w:rPr>
                <w:rFonts w:ascii="仿宋" w:hAnsi="仿宋" w:eastAsia="仿宋"/>
                <w:b/>
                <w:color w:val="000000" w:themeColor="text1"/>
                <w:sz w:val="24"/>
                <w:szCs w:val="20"/>
              </w:rPr>
            </w:pPr>
            <w:r>
              <w:rPr>
                <w:rFonts w:hint="eastAsia" w:ascii="仿宋" w:hAnsi="仿宋" w:eastAsia="仿宋"/>
                <w:b/>
                <w:color w:val="000000" w:themeColor="text1"/>
                <w:sz w:val="24"/>
                <w:szCs w:val="20"/>
              </w:rPr>
              <w:t>纳税证明材料及社保缴纳证明材料：</w:t>
            </w:r>
          </w:p>
          <w:p>
            <w:pPr>
              <w:pStyle w:val="35"/>
              <w:spacing w:line="340" w:lineRule="exact"/>
              <w:ind w:left="0" w:leftChars="0" w:firstLine="0"/>
              <w:rPr>
                <w:rFonts w:ascii="仿宋" w:hAnsi="仿宋" w:eastAsia="仿宋"/>
                <w:b/>
                <w:color w:val="000000" w:themeColor="text1"/>
                <w:sz w:val="24"/>
                <w:szCs w:val="20"/>
              </w:rPr>
            </w:pPr>
            <w:r>
              <w:rPr>
                <w:rFonts w:hint="eastAsia" w:ascii="仿宋" w:hAnsi="仿宋" w:eastAsia="仿宋"/>
                <w:b/>
                <w:color w:val="000000" w:themeColor="text1"/>
                <w:sz w:val="24"/>
                <w:szCs w:val="20"/>
              </w:rPr>
              <w:t>说明：提供投标截止时间前 3 个月内任意一个月的依法纳税证明材料。</w:t>
            </w:r>
          </w:p>
          <w:p>
            <w:pPr>
              <w:pStyle w:val="35"/>
              <w:spacing w:line="340" w:lineRule="exact"/>
              <w:ind w:left="0" w:leftChars="0" w:firstLine="0"/>
              <w:rPr>
                <w:rFonts w:ascii="仿宋" w:hAnsi="仿宋" w:eastAsia="仿宋"/>
                <w:b/>
                <w:color w:val="000000" w:themeColor="text1"/>
                <w:sz w:val="24"/>
                <w:szCs w:val="20"/>
              </w:rPr>
            </w:pPr>
            <w:r>
              <w:rPr>
                <w:rFonts w:hint="eastAsia" w:ascii="仿宋" w:hAnsi="仿宋" w:eastAsia="仿宋"/>
                <w:b/>
                <w:color w:val="000000" w:themeColor="text1"/>
                <w:sz w:val="24"/>
                <w:szCs w:val="20"/>
              </w:rPr>
              <w:t>提供投标截止时间前 3 个月内任意一个月的社保缴纳证明材料。</w:t>
            </w:r>
          </w:p>
        </w:tc>
        <w:tc>
          <w:tcPr>
            <w:tcW w:w="1241" w:type="dxa"/>
            <w:vAlign w:val="center"/>
          </w:tcPr>
          <w:p>
            <w:pPr>
              <w:spacing w:line="400" w:lineRule="exact"/>
              <w:jc w:val="center"/>
              <w:rPr>
                <w:rFonts w:ascii="仿宋" w:hAnsi="仿宋" w:eastAsia="仿宋"/>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17"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5</w:t>
            </w:r>
          </w:p>
        </w:tc>
        <w:tc>
          <w:tcPr>
            <w:tcW w:w="7796" w:type="dxa"/>
            <w:vAlign w:val="center"/>
          </w:tcPr>
          <w:p>
            <w:pPr>
              <w:rPr>
                <w:rFonts w:ascii="仿宋" w:hAnsi="仿宋" w:eastAsia="仿宋" w:cs="新宋体"/>
                <w:bCs/>
                <w:color w:val="000000" w:themeColor="text1"/>
                <w:sz w:val="22"/>
                <w:szCs w:val="22"/>
              </w:rPr>
            </w:pPr>
            <w:r>
              <w:rPr>
                <w:rFonts w:hint="eastAsia" w:ascii="仿宋" w:hAnsi="仿宋" w:eastAsia="仿宋"/>
                <w:b/>
                <w:color w:val="000000" w:themeColor="text1"/>
                <w:sz w:val="24"/>
                <w:szCs w:val="20"/>
              </w:rPr>
              <w:t>参加政府采购活动前三年内，在经营活动中没有重大违法记录的承诺函</w:t>
            </w:r>
          </w:p>
        </w:tc>
        <w:tc>
          <w:tcPr>
            <w:tcW w:w="1241" w:type="dxa"/>
            <w:vAlign w:val="center"/>
          </w:tcPr>
          <w:p>
            <w:pPr>
              <w:spacing w:line="400" w:lineRule="exact"/>
              <w:jc w:val="center"/>
              <w:rPr>
                <w:rFonts w:ascii="仿宋" w:hAnsi="仿宋" w:eastAsia="仿宋"/>
                <w:color w:val="000000" w:themeColor="text1"/>
                <w:sz w:val="22"/>
                <w:szCs w:val="22"/>
              </w:rPr>
            </w:pPr>
            <w:r>
              <w:rPr>
                <w:rFonts w:hint="eastAsia" w:ascii="仿宋" w:hAnsi="仿宋" w:eastAsia="仿宋"/>
                <w:b/>
                <w:color w:val="000000" w:themeColor="text1"/>
                <w:sz w:val="24"/>
                <w:szCs w:val="20"/>
              </w:rPr>
              <w:t>附件十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6</w:t>
            </w:r>
          </w:p>
        </w:tc>
        <w:tc>
          <w:tcPr>
            <w:tcW w:w="7796" w:type="dxa"/>
            <w:vAlign w:val="center"/>
          </w:tcPr>
          <w:p>
            <w:pPr>
              <w:rPr>
                <w:rFonts w:ascii="仿宋" w:hAnsi="仿宋" w:eastAsia="仿宋" w:cs="新宋体"/>
                <w:bCs/>
                <w:color w:val="000000" w:themeColor="text1"/>
                <w:sz w:val="22"/>
                <w:szCs w:val="22"/>
              </w:rPr>
            </w:pPr>
            <w:r>
              <w:rPr>
                <w:rFonts w:hint="eastAsia" w:ascii="仿宋" w:hAnsi="仿宋" w:eastAsia="仿宋"/>
                <w:b/>
                <w:color w:val="000000" w:themeColor="text1"/>
                <w:sz w:val="24"/>
                <w:szCs w:val="20"/>
              </w:rPr>
              <w:t>未被列入失信被执行人名单、重大税收违法案件当事人名单、政府采购严重违法失信行为记录名单的承诺函</w:t>
            </w:r>
          </w:p>
        </w:tc>
        <w:tc>
          <w:tcPr>
            <w:tcW w:w="1241" w:type="dxa"/>
            <w:vAlign w:val="center"/>
          </w:tcPr>
          <w:p>
            <w:pPr>
              <w:spacing w:line="400" w:lineRule="exact"/>
              <w:jc w:val="center"/>
              <w:rPr>
                <w:rFonts w:ascii="仿宋" w:hAnsi="仿宋" w:eastAsia="仿宋" w:cs="新宋体"/>
                <w:bCs/>
                <w:color w:val="000000" w:themeColor="text1"/>
                <w:sz w:val="22"/>
                <w:szCs w:val="22"/>
              </w:rPr>
            </w:pPr>
            <w:r>
              <w:rPr>
                <w:rFonts w:hint="eastAsia" w:ascii="仿宋" w:hAnsi="仿宋" w:eastAsia="仿宋"/>
                <w:b/>
                <w:color w:val="000000" w:themeColor="text1"/>
                <w:sz w:val="24"/>
                <w:szCs w:val="20"/>
              </w:rPr>
              <w:t>附件十一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7</w:t>
            </w:r>
          </w:p>
        </w:tc>
        <w:tc>
          <w:tcPr>
            <w:tcW w:w="7796" w:type="dxa"/>
            <w:vAlign w:val="center"/>
          </w:tcPr>
          <w:p>
            <w:pPr>
              <w:rPr>
                <w:rFonts w:ascii="仿宋" w:hAnsi="仿宋" w:eastAsia="仿宋"/>
                <w:b/>
                <w:color w:val="000000" w:themeColor="text1"/>
                <w:sz w:val="24"/>
                <w:szCs w:val="20"/>
              </w:rPr>
            </w:pPr>
            <w:r>
              <w:rPr>
                <w:rFonts w:hint="eastAsia" w:ascii="仿宋" w:hAnsi="仿宋" w:eastAsia="仿宋"/>
                <w:b/>
                <w:color w:val="000000" w:themeColor="text1"/>
                <w:sz w:val="24"/>
                <w:szCs w:val="20"/>
              </w:rPr>
              <w:t>供应商为中小企业/小微企业：</w:t>
            </w:r>
          </w:p>
          <w:p>
            <w:pPr>
              <w:rPr>
                <w:color w:val="000000" w:themeColor="text1"/>
              </w:rPr>
            </w:pPr>
            <w:r>
              <w:rPr>
                <w:rFonts w:hint="eastAsia" w:ascii="仿宋" w:hAnsi="仿宋" w:eastAsia="仿宋"/>
                <w:b/>
                <w:color w:val="000000" w:themeColor="text1"/>
                <w:sz w:val="24"/>
                <w:szCs w:val="20"/>
              </w:rPr>
              <w:t>请根据要求单独上传《中小企业声明函》</w:t>
            </w:r>
          </w:p>
        </w:tc>
        <w:tc>
          <w:tcPr>
            <w:tcW w:w="1241" w:type="dxa"/>
            <w:vAlign w:val="center"/>
          </w:tcPr>
          <w:p>
            <w:pPr>
              <w:spacing w:line="400" w:lineRule="exact"/>
              <w:jc w:val="center"/>
              <w:rPr>
                <w:rFonts w:ascii="仿宋" w:hAnsi="仿宋" w:eastAsia="仿宋"/>
                <w:b/>
                <w:color w:val="000000" w:themeColor="text1"/>
                <w:sz w:val="24"/>
                <w:szCs w:val="20"/>
              </w:rPr>
            </w:pPr>
            <w:r>
              <w:rPr>
                <w:rFonts w:hint="eastAsia" w:ascii="仿宋" w:hAnsi="仿宋" w:eastAsia="仿宋"/>
                <w:b/>
                <w:color w:val="000000" w:themeColor="text1"/>
                <w:sz w:val="24"/>
                <w:szCs w:val="20"/>
              </w:rPr>
              <w:t>附件七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17"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8</w:t>
            </w:r>
          </w:p>
        </w:tc>
        <w:tc>
          <w:tcPr>
            <w:tcW w:w="7796" w:type="dxa"/>
            <w:vAlign w:val="center"/>
          </w:tcPr>
          <w:p>
            <w:pPr>
              <w:rPr>
                <w:rFonts w:ascii="仿宋" w:hAnsi="仿宋" w:eastAsia="仿宋" w:cs="新宋体"/>
                <w:bCs/>
                <w:color w:val="000000" w:themeColor="text1"/>
                <w:sz w:val="22"/>
                <w:szCs w:val="22"/>
              </w:rPr>
            </w:pPr>
            <w:r>
              <w:rPr>
                <w:rFonts w:hint="eastAsia" w:ascii="仿宋" w:hAnsi="仿宋" w:eastAsia="仿宋"/>
                <w:b/>
                <w:color w:val="000000" w:themeColor="text1"/>
                <w:sz w:val="24"/>
                <w:szCs w:val="20"/>
              </w:rPr>
              <w:t>供应商认为需提供的其他证明资料</w:t>
            </w:r>
          </w:p>
        </w:tc>
        <w:tc>
          <w:tcPr>
            <w:tcW w:w="1241" w:type="dxa"/>
            <w:vAlign w:val="center"/>
          </w:tcPr>
          <w:p>
            <w:pPr>
              <w:spacing w:line="400" w:lineRule="exact"/>
              <w:jc w:val="center"/>
              <w:rPr>
                <w:rFonts w:ascii="仿宋" w:hAnsi="仿宋" w:eastAsia="仿宋" w:cs="新宋体"/>
                <w:bCs/>
                <w:color w:val="000000" w:themeColor="text1"/>
                <w:sz w:val="22"/>
                <w:szCs w:val="22"/>
              </w:rPr>
            </w:pPr>
          </w:p>
        </w:tc>
      </w:tr>
    </w:tbl>
    <w:p>
      <w:pPr>
        <w:spacing w:beforeLines="50" w:line="340" w:lineRule="exact"/>
        <w:rPr>
          <w:rFonts w:ascii="仿宋" w:hAnsi="仿宋" w:eastAsia="仿宋"/>
          <w:b/>
          <w:color w:val="000000" w:themeColor="text1"/>
          <w:sz w:val="24"/>
        </w:rPr>
      </w:pPr>
      <w:r>
        <w:rPr>
          <w:rFonts w:hint="eastAsia" w:ascii="仿宋" w:hAnsi="仿宋" w:eastAsia="仿宋"/>
          <w:b/>
          <w:color w:val="000000" w:themeColor="text1"/>
          <w:sz w:val="24"/>
        </w:rPr>
        <w:t>4.4 商务技术文件包括（标项一）：</w:t>
      </w:r>
    </w:p>
    <w:tbl>
      <w:tblPr>
        <w:tblStyle w:val="36"/>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7511"/>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102" w:type="dxa"/>
            <w:vAlign w:val="center"/>
          </w:tcPr>
          <w:p>
            <w:pPr>
              <w:overflowPunct w:val="0"/>
              <w:spacing w:line="430" w:lineRule="exact"/>
              <w:jc w:val="center"/>
              <w:rPr>
                <w:rFonts w:ascii="仿宋" w:hAnsi="仿宋" w:eastAsia="仿宋" w:cs="新宋体"/>
                <w:b/>
                <w:color w:val="000000" w:themeColor="text1"/>
                <w:sz w:val="22"/>
                <w:szCs w:val="22"/>
              </w:rPr>
            </w:pPr>
            <w:r>
              <w:rPr>
                <w:rFonts w:hint="eastAsia" w:ascii="仿宋" w:hAnsi="仿宋" w:eastAsia="仿宋" w:cs="新宋体"/>
                <w:b/>
                <w:color w:val="000000" w:themeColor="text1"/>
                <w:sz w:val="22"/>
                <w:szCs w:val="22"/>
              </w:rPr>
              <w:t>序号</w:t>
            </w:r>
          </w:p>
        </w:tc>
        <w:tc>
          <w:tcPr>
            <w:tcW w:w="7511" w:type="dxa"/>
            <w:vAlign w:val="center"/>
          </w:tcPr>
          <w:p>
            <w:pPr>
              <w:overflowPunct w:val="0"/>
              <w:spacing w:line="430" w:lineRule="exact"/>
              <w:jc w:val="center"/>
              <w:rPr>
                <w:rFonts w:ascii="仿宋" w:hAnsi="仿宋" w:eastAsia="仿宋" w:cs="新宋体"/>
                <w:b/>
                <w:color w:val="000000" w:themeColor="text1"/>
                <w:sz w:val="22"/>
                <w:szCs w:val="22"/>
              </w:rPr>
            </w:pPr>
            <w:r>
              <w:rPr>
                <w:rFonts w:hint="eastAsia" w:ascii="仿宋" w:hAnsi="仿宋" w:eastAsia="仿宋" w:cs="新宋体"/>
                <w:b/>
                <w:color w:val="000000" w:themeColor="text1"/>
                <w:sz w:val="22"/>
                <w:szCs w:val="22"/>
              </w:rPr>
              <w:t>内 容</w:t>
            </w:r>
          </w:p>
        </w:tc>
        <w:tc>
          <w:tcPr>
            <w:tcW w:w="1241" w:type="dxa"/>
            <w:vAlign w:val="center"/>
          </w:tcPr>
          <w:p>
            <w:pPr>
              <w:overflowPunct w:val="0"/>
              <w:spacing w:line="430" w:lineRule="exact"/>
              <w:jc w:val="center"/>
              <w:rPr>
                <w:rFonts w:ascii="仿宋" w:hAnsi="仿宋" w:eastAsia="仿宋" w:cs="新宋体"/>
                <w:b/>
                <w:color w:val="000000" w:themeColor="text1"/>
                <w:sz w:val="22"/>
                <w:szCs w:val="22"/>
              </w:rPr>
            </w:pPr>
            <w:r>
              <w:rPr>
                <w:rFonts w:hint="eastAsia" w:ascii="仿宋" w:hAnsi="仿宋" w:eastAsia="仿宋" w:cs="新宋体"/>
                <w:b/>
                <w:color w:val="000000" w:themeColor="text1"/>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1</w:t>
            </w:r>
          </w:p>
        </w:tc>
        <w:tc>
          <w:tcPr>
            <w:tcW w:w="7511" w:type="dxa"/>
            <w:vAlign w:val="center"/>
          </w:tcPr>
          <w:p>
            <w:pPr>
              <w:pStyle w:val="20"/>
              <w:spacing w:line="340" w:lineRule="exact"/>
              <w:rPr>
                <w:rFonts w:ascii="仿宋" w:hAnsi="仿宋" w:eastAsia="仿宋"/>
                <w:b/>
                <w:color w:val="000000" w:themeColor="text1"/>
                <w:sz w:val="24"/>
              </w:rPr>
            </w:pPr>
            <w:r>
              <w:rPr>
                <w:rFonts w:ascii="仿宋" w:hAnsi="仿宋" w:eastAsia="仿宋"/>
                <w:b/>
                <w:color w:val="000000" w:themeColor="text1"/>
                <w:sz w:val="24"/>
              </w:rPr>
              <w:t>法定代表人（负责人）资格证明书</w:t>
            </w:r>
          </w:p>
        </w:tc>
        <w:tc>
          <w:tcPr>
            <w:tcW w:w="1241" w:type="dxa"/>
            <w:vAlign w:val="center"/>
          </w:tcPr>
          <w:p>
            <w:pPr>
              <w:jc w:val="center"/>
              <w:rPr>
                <w:rFonts w:ascii="仿宋" w:hAnsi="仿宋" w:eastAsia="仿宋" w:cs="新宋体"/>
                <w:bCs/>
                <w:color w:val="000000" w:themeColor="text1"/>
                <w:sz w:val="22"/>
                <w:szCs w:val="22"/>
              </w:rPr>
            </w:pPr>
            <w:r>
              <w:rPr>
                <w:rFonts w:ascii="仿宋" w:hAnsi="仿宋" w:eastAsia="仿宋"/>
                <w:b/>
                <w:color w:val="000000" w:themeColor="text1"/>
                <w:sz w:val="24"/>
              </w:rPr>
              <w:t>附件一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2</w:t>
            </w:r>
          </w:p>
        </w:tc>
        <w:tc>
          <w:tcPr>
            <w:tcW w:w="7511" w:type="dxa"/>
            <w:vAlign w:val="center"/>
          </w:tcPr>
          <w:p>
            <w:pPr>
              <w:pStyle w:val="35"/>
              <w:spacing w:line="340" w:lineRule="exact"/>
              <w:ind w:left="0" w:leftChars="0" w:firstLine="0"/>
              <w:rPr>
                <w:rFonts w:ascii="仿宋" w:hAnsi="仿宋" w:eastAsia="仿宋"/>
                <w:b/>
                <w:color w:val="000000" w:themeColor="text1"/>
                <w:sz w:val="24"/>
                <w:szCs w:val="20"/>
              </w:rPr>
            </w:pPr>
            <w:r>
              <w:rPr>
                <w:rFonts w:hint="eastAsia" w:ascii="仿宋" w:hAnsi="仿宋" w:eastAsia="仿宋"/>
                <w:b/>
                <w:color w:val="000000" w:themeColor="text1"/>
                <w:sz w:val="24"/>
              </w:rPr>
              <w:t>授权</w:t>
            </w:r>
            <w:r>
              <w:rPr>
                <w:rFonts w:ascii="仿宋" w:hAnsi="仿宋" w:eastAsia="仿宋"/>
                <w:b/>
                <w:color w:val="000000" w:themeColor="text1"/>
                <w:sz w:val="24"/>
              </w:rPr>
              <w:t>委托书</w:t>
            </w:r>
          </w:p>
        </w:tc>
        <w:tc>
          <w:tcPr>
            <w:tcW w:w="1241" w:type="dxa"/>
            <w:vAlign w:val="center"/>
          </w:tcPr>
          <w:p>
            <w:pPr>
              <w:jc w:val="center"/>
              <w:rPr>
                <w:rFonts w:ascii="仿宋" w:hAnsi="仿宋" w:eastAsia="仿宋" w:cs="新宋体"/>
                <w:bCs/>
                <w:color w:val="000000" w:themeColor="text1"/>
                <w:sz w:val="22"/>
                <w:szCs w:val="22"/>
              </w:rPr>
            </w:pPr>
            <w:r>
              <w:rPr>
                <w:rFonts w:hint="eastAsia" w:ascii="仿宋" w:hAnsi="仿宋" w:eastAsia="仿宋"/>
                <w:b/>
                <w:color w:val="000000" w:themeColor="text1"/>
                <w:sz w:val="24"/>
              </w:rPr>
              <w:t>附件二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3</w:t>
            </w:r>
          </w:p>
        </w:tc>
        <w:tc>
          <w:tcPr>
            <w:tcW w:w="7511" w:type="dxa"/>
            <w:vAlign w:val="center"/>
          </w:tcPr>
          <w:p>
            <w:pPr>
              <w:pStyle w:val="35"/>
              <w:spacing w:line="340" w:lineRule="exact"/>
              <w:ind w:left="0" w:leftChars="0" w:firstLine="0"/>
              <w:rPr>
                <w:rFonts w:ascii="仿宋" w:hAnsi="仿宋" w:eastAsia="仿宋"/>
                <w:b/>
                <w:color w:val="000000" w:themeColor="text1"/>
                <w:sz w:val="24"/>
                <w:szCs w:val="20"/>
              </w:rPr>
            </w:pPr>
            <w:r>
              <w:rPr>
                <w:rFonts w:hint="eastAsia" w:ascii="仿宋" w:hAnsi="仿宋" w:eastAsia="仿宋"/>
                <w:b/>
                <w:color w:val="000000" w:themeColor="text1"/>
                <w:sz w:val="24"/>
              </w:rPr>
              <w:t>投标声明书</w:t>
            </w:r>
          </w:p>
        </w:tc>
        <w:tc>
          <w:tcPr>
            <w:tcW w:w="1241" w:type="dxa"/>
            <w:vAlign w:val="center"/>
          </w:tcPr>
          <w:p>
            <w:pPr>
              <w:jc w:val="center"/>
              <w:rPr>
                <w:rFonts w:ascii="仿宋" w:hAnsi="仿宋" w:eastAsia="仿宋" w:cs="新宋体"/>
                <w:bCs/>
                <w:color w:val="000000" w:themeColor="text1"/>
                <w:sz w:val="22"/>
                <w:szCs w:val="22"/>
              </w:rPr>
            </w:pPr>
            <w:r>
              <w:rPr>
                <w:rFonts w:hint="eastAsia" w:ascii="仿宋" w:hAnsi="仿宋" w:eastAsia="仿宋"/>
                <w:b/>
                <w:color w:val="000000" w:themeColor="text1"/>
                <w:sz w:val="24"/>
              </w:rPr>
              <w:t>附件三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4</w:t>
            </w:r>
          </w:p>
        </w:tc>
        <w:tc>
          <w:tcPr>
            <w:tcW w:w="7511" w:type="dxa"/>
            <w:vAlign w:val="center"/>
          </w:tcPr>
          <w:p>
            <w:pPr>
              <w:rPr>
                <w:rFonts w:ascii="仿宋" w:hAnsi="仿宋" w:eastAsia="仿宋"/>
                <w:b/>
                <w:color w:val="000000" w:themeColor="text1"/>
                <w:sz w:val="24"/>
                <w:szCs w:val="21"/>
              </w:rPr>
            </w:pPr>
            <w:r>
              <w:rPr>
                <w:rFonts w:ascii="仿宋" w:hAnsi="仿宋" w:eastAsia="仿宋"/>
                <w:b/>
                <w:color w:val="000000" w:themeColor="text1"/>
                <w:sz w:val="24"/>
              </w:rPr>
              <w:t>产品性能及技术指标</w:t>
            </w:r>
            <w:r>
              <w:rPr>
                <w:rFonts w:hint="eastAsia" w:ascii="仿宋" w:hAnsi="仿宋" w:eastAsia="仿宋"/>
                <w:b/>
                <w:color w:val="000000" w:themeColor="text1"/>
                <w:sz w:val="24"/>
              </w:rPr>
              <w:t>（包括</w:t>
            </w:r>
            <w:r>
              <w:rPr>
                <w:rFonts w:ascii="仿宋" w:hAnsi="仿宋" w:eastAsia="仿宋"/>
                <w:b/>
                <w:color w:val="000000" w:themeColor="text1"/>
                <w:sz w:val="24"/>
              </w:rPr>
              <w:t>产品性能及技术指标</w:t>
            </w:r>
            <w:r>
              <w:rPr>
                <w:rFonts w:hint="eastAsia" w:ascii="仿宋" w:hAnsi="仿宋" w:eastAsia="仿宋"/>
                <w:b/>
                <w:color w:val="000000" w:themeColor="text1"/>
                <w:sz w:val="24"/>
              </w:rPr>
              <w:t>、</w:t>
            </w:r>
            <w:r>
              <w:rPr>
                <w:rFonts w:ascii="仿宋" w:hAnsi="仿宋" w:eastAsia="仿宋"/>
                <w:b/>
                <w:color w:val="000000" w:themeColor="text1"/>
                <w:sz w:val="24"/>
              </w:rPr>
              <w:t>功能满足情况</w:t>
            </w:r>
            <w:r>
              <w:rPr>
                <w:rFonts w:hint="eastAsia" w:ascii="仿宋" w:hAnsi="仿宋" w:eastAsia="仿宋"/>
                <w:b/>
                <w:color w:val="000000" w:themeColor="text1"/>
                <w:sz w:val="24"/>
              </w:rPr>
              <w:t>的详细描述,并按技术参数要求提供相关证明材料，没要求的除外，格式自拟）</w:t>
            </w:r>
          </w:p>
        </w:tc>
        <w:tc>
          <w:tcPr>
            <w:tcW w:w="1241" w:type="dxa"/>
            <w:vAlign w:val="center"/>
          </w:tcPr>
          <w:p>
            <w:pPr>
              <w:overflowPunct w:val="0"/>
              <w:spacing w:line="430" w:lineRule="exact"/>
              <w:jc w:val="center"/>
              <w:rPr>
                <w:rFonts w:ascii="仿宋" w:hAnsi="仿宋" w:eastAsia="仿宋" w:cs="新宋体"/>
                <w:b/>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5</w:t>
            </w:r>
          </w:p>
        </w:tc>
        <w:tc>
          <w:tcPr>
            <w:tcW w:w="7511" w:type="dxa"/>
            <w:vAlign w:val="center"/>
          </w:tcPr>
          <w:p>
            <w:pPr>
              <w:pStyle w:val="20"/>
              <w:spacing w:line="340" w:lineRule="exact"/>
              <w:rPr>
                <w:rFonts w:ascii="仿宋" w:hAnsi="仿宋" w:eastAsia="仿宋"/>
                <w:b/>
                <w:color w:val="000000" w:themeColor="text1"/>
                <w:sz w:val="24"/>
                <w:szCs w:val="21"/>
              </w:rPr>
            </w:pPr>
            <w:r>
              <w:rPr>
                <w:rFonts w:ascii="仿宋" w:hAnsi="仿宋" w:eastAsia="仿宋"/>
                <w:b/>
                <w:color w:val="000000" w:themeColor="text1"/>
                <w:sz w:val="24"/>
              </w:rPr>
              <w:t>投标人情况表（包括注册资金、生产设备、技术人员等</w:t>
            </w:r>
            <w:r>
              <w:rPr>
                <w:rFonts w:hint="eastAsia" w:ascii="仿宋" w:hAnsi="仿宋" w:eastAsia="仿宋"/>
                <w:b/>
                <w:color w:val="000000" w:themeColor="text1"/>
                <w:sz w:val="24"/>
              </w:rPr>
              <w:t>,格式自拟</w:t>
            </w:r>
            <w:r>
              <w:rPr>
                <w:rFonts w:ascii="仿宋" w:hAnsi="仿宋" w:eastAsia="仿宋"/>
                <w:b/>
                <w:color w:val="000000" w:themeColor="text1"/>
                <w:sz w:val="24"/>
              </w:rPr>
              <w:t>）</w:t>
            </w:r>
          </w:p>
        </w:tc>
        <w:tc>
          <w:tcPr>
            <w:tcW w:w="1241" w:type="dxa"/>
            <w:vAlign w:val="center"/>
          </w:tcPr>
          <w:p>
            <w:pPr>
              <w:jc w:val="center"/>
              <w:rPr>
                <w:rFonts w:ascii="仿宋" w:hAnsi="仿宋" w:eastAsia="仿宋" w:cs="新宋体"/>
                <w:bCs/>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6</w:t>
            </w:r>
          </w:p>
        </w:tc>
        <w:tc>
          <w:tcPr>
            <w:tcW w:w="7511" w:type="dxa"/>
            <w:vAlign w:val="center"/>
          </w:tcPr>
          <w:p>
            <w:pPr>
              <w:pStyle w:val="35"/>
              <w:spacing w:line="340" w:lineRule="exact"/>
              <w:ind w:left="0" w:leftChars="0" w:firstLine="0"/>
              <w:rPr>
                <w:rFonts w:ascii="仿宋" w:hAnsi="仿宋" w:eastAsia="仿宋"/>
                <w:b/>
                <w:color w:val="000000" w:themeColor="text1"/>
                <w:sz w:val="24"/>
              </w:rPr>
            </w:pPr>
            <w:r>
              <w:rPr>
                <w:rFonts w:ascii="仿宋" w:hAnsi="仿宋" w:eastAsia="仿宋"/>
                <w:b/>
                <w:color w:val="000000" w:themeColor="text1"/>
                <w:sz w:val="24"/>
              </w:rPr>
              <w:t>货物清单（包括货物的品牌型号、数量及配置等，不含报价)</w:t>
            </w:r>
          </w:p>
        </w:tc>
        <w:tc>
          <w:tcPr>
            <w:tcW w:w="1241" w:type="dxa"/>
            <w:vAlign w:val="center"/>
          </w:tcPr>
          <w:p>
            <w:pPr>
              <w:rPr>
                <w:rFonts w:ascii="仿宋" w:hAnsi="仿宋" w:eastAsia="仿宋" w:cs="新宋体"/>
                <w:bCs/>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7</w:t>
            </w:r>
          </w:p>
        </w:tc>
        <w:tc>
          <w:tcPr>
            <w:tcW w:w="7511" w:type="dxa"/>
            <w:vAlign w:val="center"/>
          </w:tcPr>
          <w:p>
            <w:pPr>
              <w:pStyle w:val="20"/>
              <w:spacing w:line="340" w:lineRule="exact"/>
              <w:rPr>
                <w:rFonts w:ascii="仿宋" w:hAnsi="仿宋" w:eastAsia="仿宋"/>
                <w:b/>
                <w:color w:val="000000" w:themeColor="text1"/>
                <w:sz w:val="24"/>
                <w:szCs w:val="21"/>
              </w:rPr>
            </w:pPr>
            <w:r>
              <w:rPr>
                <w:rFonts w:hint="eastAsia" w:ascii="仿宋" w:hAnsi="仿宋" w:eastAsia="仿宋"/>
                <w:b/>
                <w:color w:val="000000" w:themeColor="text1"/>
                <w:sz w:val="24"/>
                <w:szCs w:val="21"/>
              </w:rPr>
              <w:t>项目负责人简历表</w:t>
            </w:r>
          </w:p>
        </w:tc>
        <w:tc>
          <w:tcPr>
            <w:tcW w:w="1241" w:type="dxa"/>
            <w:vAlign w:val="center"/>
          </w:tcPr>
          <w:p>
            <w:pPr>
              <w:jc w:val="center"/>
              <w:rPr>
                <w:rFonts w:ascii="仿宋" w:hAnsi="仿宋" w:eastAsia="仿宋" w:cs="新宋体"/>
                <w:bCs/>
                <w:color w:val="000000" w:themeColor="text1"/>
                <w:sz w:val="22"/>
                <w:szCs w:val="22"/>
              </w:rPr>
            </w:pPr>
            <w:r>
              <w:rPr>
                <w:rFonts w:ascii="仿宋" w:hAnsi="仿宋" w:eastAsia="仿宋"/>
                <w:b/>
                <w:color w:val="000000" w:themeColor="text1"/>
                <w:sz w:val="24"/>
              </w:rPr>
              <w:t>附件</w:t>
            </w:r>
            <w:r>
              <w:rPr>
                <w:rFonts w:hint="eastAsia" w:ascii="仿宋" w:hAnsi="仿宋" w:eastAsia="仿宋"/>
                <w:b/>
                <w:color w:val="000000" w:themeColor="text1"/>
                <w:sz w:val="24"/>
              </w:rPr>
              <w:t>十三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8</w:t>
            </w:r>
          </w:p>
        </w:tc>
        <w:tc>
          <w:tcPr>
            <w:tcW w:w="7511" w:type="dxa"/>
            <w:vAlign w:val="center"/>
          </w:tcPr>
          <w:p>
            <w:pPr>
              <w:pStyle w:val="20"/>
              <w:spacing w:line="340" w:lineRule="exact"/>
              <w:rPr>
                <w:rFonts w:ascii="仿宋" w:hAnsi="仿宋" w:eastAsia="仿宋"/>
                <w:b/>
                <w:color w:val="000000" w:themeColor="text1"/>
                <w:sz w:val="24"/>
                <w:szCs w:val="21"/>
              </w:rPr>
            </w:pPr>
            <w:r>
              <w:rPr>
                <w:rFonts w:hint="eastAsia" w:ascii="仿宋" w:hAnsi="仿宋" w:eastAsia="仿宋"/>
                <w:b/>
                <w:color w:val="000000" w:themeColor="text1"/>
                <w:sz w:val="24"/>
                <w:szCs w:val="21"/>
              </w:rPr>
              <w:t>项目实施人员一览表</w:t>
            </w:r>
          </w:p>
        </w:tc>
        <w:tc>
          <w:tcPr>
            <w:tcW w:w="1241" w:type="dxa"/>
            <w:vAlign w:val="center"/>
          </w:tcPr>
          <w:p>
            <w:pPr>
              <w:rPr>
                <w:rFonts w:ascii="仿宋" w:hAnsi="仿宋" w:eastAsia="仿宋" w:cs="新宋体"/>
                <w:bCs/>
                <w:color w:val="000000" w:themeColor="text1"/>
                <w:sz w:val="22"/>
                <w:szCs w:val="22"/>
              </w:rPr>
            </w:pPr>
            <w:r>
              <w:rPr>
                <w:rFonts w:ascii="仿宋" w:hAnsi="仿宋" w:eastAsia="仿宋"/>
                <w:b/>
                <w:color w:val="000000" w:themeColor="text1"/>
                <w:sz w:val="24"/>
              </w:rPr>
              <w:t>附件</w:t>
            </w:r>
            <w:r>
              <w:rPr>
                <w:rFonts w:hint="eastAsia" w:ascii="仿宋" w:hAnsi="仿宋" w:eastAsia="仿宋"/>
                <w:b/>
                <w:color w:val="000000" w:themeColor="text1"/>
                <w:sz w:val="24"/>
              </w:rPr>
              <w:t>十四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9</w:t>
            </w:r>
          </w:p>
        </w:tc>
        <w:tc>
          <w:tcPr>
            <w:tcW w:w="7511" w:type="dxa"/>
            <w:vAlign w:val="center"/>
          </w:tcPr>
          <w:p>
            <w:pPr>
              <w:pStyle w:val="20"/>
              <w:spacing w:line="340" w:lineRule="exact"/>
              <w:rPr>
                <w:rFonts w:ascii="仿宋" w:hAnsi="仿宋" w:eastAsia="仿宋"/>
                <w:b/>
                <w:color w:val="000000" w:themeColor="text1"/>
                <w:sz w:val="24"/>
                <w:szCs w:val="21"/>
              </w:rPr>
            </w:pPr>
            <w:r>
              <w:rPr>
                <w:rFonts w:hint="eastAsia" w:ascii="仿宋" w:hAnsi="仿宋" w:eastAsia="仿宋"/>
                <w:b/>
                <w:color w:val="000000" w:themeColor="text1"/>
                <w:sz w:val="24"/>
                <w:szCs w:val="21"/>
              </w:rPr>
              <w:t>技术偏离表</w:t>
            </w:r>
          </w:p>
        </w:tc>
        <w:tc>
          <w:tcPr>
            <w:tcW w:w="1241" w:type="dxa"/>
            <w:vAlign w:val="center"/>
          </w:tcPr>
          <w:p>
            <w:pPr>
              <w:jc w:val="center"/>
              <w:rPr>
                <w:rFonts w:ascii="仿宋" w:hAnsi="仿宋" w:eastAsia="仿宋" w:cs="新宋体"/>
                <w:bCs/>
                <w:color w:val="000000" w:themeColor="text1"/>
                <w:sz w:val="22"/>
                <w:szCs w:val="22"/>
              </w:rPr>
            </w:pPr>
            <w:r>
              <w:rPr>
                <w:rFonts w:hint="eastAsia" w:ascii="仿宋" w:hAnsi="仿宋" w:eastAsia="仿宋"/>
                <w:b/>
                <w:color w:val="000000" w:themeColor="text1"/>
                <w:sz w:val="24"/>
              </w:rPr>
              <w:t>附件十五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10</w:t>
            </w:r>
          </w:p>
        </w:tc>
        <w:tc>
          <w:tcPr>
            <w:tcW w:w="7511" w:type="dxa"/>
            <w:vAlign w:val="center"/>
          </w:tcPr>
          <w:p>
            <w:pPr>
              <w:pStyle w:val="20"/>
              <w:spacing w:line="340" w:lineRule="exact"/>
              <w:rPr>
                <w:rFonts w:ascii="仿宋" w:hAnsi="仿宋" w:eastAsia="仿宋"/>
                <w:b/>
                <w:color w:val="000000" w:themeColor="text1"/>
                <w:sz w:val="24"/>
                <w:szCs w:val="21"/>
              </w:rPr>
            </w:pPr>
            <w:r>
              <w:rPr>
                <w:rFonts w:hint="eastAsia" w:ascii="仿宋" w:hAnsi="仿宋" w:eastAsia="仿宋"/>
                <w:b/>
                <w:color w:val="000000" w:themeColor="text1"/>
                <w:sz w:val="24"/>
                <w:szCs w:val="21"/>
              </w:rPr>
              <w:t>售后服务承诺书</w:t>
            </w:r>
          </w:p>
        </w:tc>
        <w:tc>
          <w:tcPr>
            <w:tcW w:w="1241" w:type="dxa"/>
            <w:vAlign w:val="center"/>
          </w:tcPr>
          <w:p>
            <w:pPr>
              <w:jc w:val="center"/>
              <w:rPr>
                <w:rFonts w:ascii="仿宋" w:hAnsi="仿宋" w:eastAsia="仿宋" w:cs="新宋体"/>
                <w:b/>
                <w:color w:val="000000" w:themeColor="text1"/>
                <w:sz w:val="22"/>
                <w:szCs w:val="22"/>
              </w:rPr>
            </w:pPr>
            <w:r>
              <w:rPr>
                <w:rFonts w:hint="eastAsia" w:ascii="仿宋" w:hAnsi="仿宋" w:eastAsia="仿宋"/>
                <w:b/>
                <w:color w:val="000000" w:themeColor="text1"/>
                <w:sz w:val="24"/>
              </w:rPr>
              <w:t>附件十六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11</w:t>
            </w:r>
          </w:p>
        </w:tc>
        <w:tc>
          <w:tcPr>
            <w:tcW w:w="7511" w:type="dxa"/>
            <w:vAlign w:val="center"/>
          </w:tcPr>
          <w:p>
            <w:pPr>
              <w:pStyle w:val="20"/>
              <w:spacing w:line="340" w:lineRule="exact"/>
              <w:rPr>
                <w:rFonts w:ascii="仿宋" w:hAnsi="仿宋" w:eastAsia="仿宋"/>
                <w:b/>
                <w:color w:val="000000" w:themeColor="text1"/>
                <w:sz w:val="24"/>
                <w:szCs w:val="21"/>
              </w:rPr>
            </w:pPr>
            <w:r>
              <w:rPr>
                <w:rFonts w:hint="eastAsia" w:ascii="仿宋" w:hAnsi="仿宋" w:eastAsia="仿宋"/>
                <w:b/>
                <w:color w:val="000000" w:themeColor="text1"/>
                <w:sz w:val="24"/>
                <w:szCs w:val="21"/>
              </w:rPr>
              <w:t>重要产品综合评分相关资料（如有）</w:t>
            </w:r>
          </w:p>
        </w:tc>
        <w:tc>
          <w:tcPr>
            <w:tcW w:w="1241" w:type="dxa"/>
            <w:vAlign w:val="center"/>
          </w:tcPr>
          <w:p>
            <w:pPr>
              <w:jc w:val="center"/>
              <w:rPr>
                <w:rFonts w:ascii="仿宋" w:hAnsi="仿宋" w:eastAsia="仿宋" w:cs="新宋体"/>
                <w:bCs/>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12</w:t>
            </w:r>
          </w:p>
        </w:tc>
        <w:tc>
          <w:tcPr>
            <w:tcW w:w="7511" w:type="dxa"/>
            <w:vAlign w:val="center"/>
          </w:tcPr>
          <w:p>
            <w:pPr>
              <w:pStyle w:val="20"/>
              <w:spacing w:line="340" w:lineRule="exact"/>
              <w:rPr>
                <w:rFonts w:ascii="仿宋" w:hAnsi="仿宋" w:eastAsia="仿宋"/>
                <w:b/>
                <w:color w:val="000000" w:themeColor="text1"/>
                <w:sz w:val="24"/>
                <w:szCs w:val="21"/>
              </w:rPr>
            </w:pPr>
            <w:r>
              <w:rPr>
                <w:rFonts w:hint="eastAsia" w:ascii="仿宋" w:hAnsi="仿宋" w:eastAsia="仿宋"/>
                <w:b/>
                <w:color w:val="000000" w:themeColor="text1"/>
                <w:sz w:val="24"/>
                <w:szCs w:val="21"/>
              </w:rPr>
              <w:t>投标公司实力及成功案例（如有）</w:t>
            </w:r>
          </w:p>
        </w:tc>
        <w:tc>
          <w:tcPr>
            <w:tcW w:w="1241" w:type="dxa"/>
            <w:vAlign w:val="center"/>
          </w:tcPr>
          <w:p>
            <w:pPr>
              <w:rPr>
                <w:rFonts w:ascii="仿宋" w:hAnsi="仿宋" w:eastAsia="仿宋" w:cs="新宋体"/>
                <w:bCs/>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13</w:t>
            </w:r>
          </w:p>
        </w:tc>
        <w:tc>
          <w:tcPr>
            <w:tcW w:w="7511" w:type="dxa"/>
            <w:vAlign w:val="center"/>
          </w:tcPr>
          <w:p>
            <w:pPr>
              <w:pStyle w:val="20"/>
              <w:spacing w:line="340" w:lineRule="exact"/>
              <w:rPr>
                <w:rFonts w:ascii="仿宋" w:hAnsi="仿宋" w:eastAsia="仿宋"/>
                <w:b/>
                <w:color w:val="000000" w:themeColor="text1"/>
                <w:sz w:val="24"/>
                <w:szCs w:val="21"/>
              </w:rPr>
            </w:pPr>
            <w:r>
              <w:rPr>
                <w:rFonts w:hint="eastAsia" w:ascii="仿宋" w:hAnsi="仿宋" w:eastAsia="仿宋"/>
                <w:b/>
                <w:color w:val="000000" w:themeColor="text1"/>
                <w:sz w:val="24"/>
                <w:szCs w:val="21"/>
              </w:rPr>
              <w:t>组织实施方案（如有）</w:t>
            </w:r>
          </w:p>
        </w:tc>
        <w:tc>
          <w:tcPr>
            <w:tcW w:w="1241" w:type="dxa"/>
            <w:vAlign w:val="center"/>
          </w:tcPr>
          <w:p>
            <w:pPr>
              <w:jc w:val="center"/>
              <w:rPr>
                <w:rFonts w:ascii="仿宋" w:hAnsi="仿宋" w:eastAsia="仿宋" w:cs="新宋体"/>
                <w:bCs/>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14</w:t>
            </w:r>
          </w:p>
        </w:tc>
        <w:tc>
          <w:tcPr>
            <w:tcW w:w="7511" w:type="dxa"/>
            <w:vAlign w:val="center"/>
          </w:tcPr>
          <w:p>
            <w:pPr>
              <w:rPr>
                <w:rFonts w:ascii="仿宋" w:hAnsi="仿宋" w:eastAsia="仿宋"/>
                <w:b/>
                <w:color w:val="000000" w:themeColor="text1"/>
                <w:sz w:val="24"/>
                <w:szCs w:val="21"/>
              </w:rPr>
            </w:pPr>
            <w:r>
              <w:rPr>
                <w:rFonts w:hint="eastAsia" w:ascii="仿宋" w:hAnsi="仿宋" w:eastAsia="仿宋"/>
                <w:b/>
                <w:color w:val="000000" w:themeColor="text1"/>
                <w:sz w:val="24"/>
                <w:szCs w:val="21"/>
              </w:rPr>
              <w:t>售后服务的措施及承诺、优惠内容、培训等（如有）</w:t>
            </w:r>
          </w:p>
        </w:tc>
        <w:tc>
          <w:tcPr>
            <w:tcW w:w="1241" w:type="dxa"/>
            <w:vAlign w:val="center"/>
          </w:tcPr>
          <w:p>
            <w:pPr>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102" w:type="dxa"/>
            <w:vAlign w:val="center"/>
          </w:tcPr>
          <w:p>
            <w:pPr>
              <w:overflowPunct w:val="0"/>
              <w:spacing w:line="430" w:lineRule="exact"/>
              <w:jc w:val="center"/>
              <w:rPr>
                <w:rFonts w:ascii="仿宋" w:hAnsi="仿宋" w:eastAsia="仿宋"/>
                <w:color w:val="000000" w:themeColor="text1"/>
                <w:sz w:val="24"/>
                <w:szCs w:val="21"/>
              </w:rPr>
            </w:pPr>
            <w:r>
              <w:rPr>
                <w:rFonts w:hint="eastAsia" w:ascii="仿宋" w:hAnsi="仿宋" w:eastAsia="仿宋"/>
                <w:color w:val="000000" w:themeColor="text1"/>
                <w:sz w:val="24"/>
                <w:szCs w:val="21"/>
              </w:rPr>
              <w:t>15</w:t>
            </w:r>
          </w:p>
        </w:tc>
        <w:tc>
          <w:tcPr>
            <w:tcW w:w="7511" w:type="dxa"/>
            <w:vAlign w:val="center"/>
          </w:tcPr>
          <w:p>
            <w:pPr>
              <w:spacing w:line="400" w:lineRule="exact"/>
              <w:rPr>
                <w:rFonts w:ascii="仿宋" w:hAnsi="仿宋" w:eastAsia="仿宋"/>
                <w:b/>
                <w:color w:val="000000" w:themeColor="text1"/>
                <w:sz w:val="24"/>
                <w:szCs w:val="21"/>
              </w:rPr>
            </w:pPr>
            <w:r>
              <w:rPr>
                <w:rFonts w:hint="eastAsia" w:ascii="仿宋" w:hAnsi="仿宋" w:eastAsia="仿宋"/>
                <w:b/>
                <w:color w:val="000000" w:themeColor="text1"/>
                <w:sz w:val="24"/>
                <w:szCs w:val="21"/>
              </w:rPr>
              <w:t>节能环保（如有）</w:t>
            </w:r>
          </w:p>
        </w:tc>
        <w:tc>
          <w:tcPr>
            <w:tcW w:w="1241" w:type="dxa"/>
            <w:vAlign w:val="center"/>
          </w:tcPr>
          <w:p>
            <w:pPr>
              <w:jc w:val="center"/>
              <w:rPr>
                <w:rFonts w:ascii="仿宋" w:hAnsi="仿宋" w:eastAsia="仿宋" w:cs="新宋体"/>
                <w:bCs/>
                <w:color w:val="000000" w:themeColor="text1"/>
                <w:sz w:val="22"/>
                <w:szCs w:val="22"/>
              </w:rPr>
            </w:pPr>
          </w:p>
        </w:tc>
      </w:tr>
    </w:tbl>
    <w:p>
      <w:pPr>
        <w:spacing w:beforeLines="50" w:line="340" w:lineRule="exact"/>
        <w:rPr>
          <w:rFonts w:ascii="仿宋" w:hAnsi="仿宋" w:eastAsia="仿宋"/>
          <w:b/>
          <w:color w:val="000000" w:themeColor="text1"/>
          <w:sz w:val="24"/>
        </w:rPr>
      </w:pPr>
      <w:r>
        <w:rPr>
          <w:rFonts w:hint="eastAsia" w:ascii="仿宋" w:hAnsi="仿宋" w:eastAsia="仿宋"/>
          <w:b/>
          <w:color w:val="000000" w:themeColor="text1"/>
          <w:sz w:val="24"/>
        </w:rPr>
        <w:t>4.5 商务技术文件包括（标项二）：</w:t>
      </w:r>
    </w:p>
    <w:tbl>
      <w:tblPr>
        <w:tblStyle w:val="36"/>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7511"/>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102" w:type="dxa"/>
            <w:vAlign w:val="center"/>
          </w:tcPr>
          <w:p>
            <w:pPr>
              <w:overflowPunct w:val="0"/>
              <w:spacing w:line="430" w:lineRule="exact"/>
              <w:jc w:val="center"/>
              <w:rPr>
                <w:rFonts w:ascii="仿宋" w:hAnsi="仿宋" w:eastAsia="仿宋" w:cs="新宋体"/>
                <w:b/>
                <w:color w:val="000000" w:themeColor="text1"/>
                <w:sz w:val="22"/>
                <w:szCs w:val="22"/>
              </w:rPr>
            </w:pPr>
            <w:r>
              <w:rPr>
                <w:rFonts w:hint="eastAsia" w:ascii="仿宋" w:hAnsi="仿宋" w:eastAsia="仿宋" w:cs="新宋体"/>
                <w:b/>
                <w:color w:val="000000" w:themeColor="text1"/>
                <w:sz w:val="22"/>
                <w:szCs w:val="22"/>
              </w:rPr>
              <w:t>序号</w:t>
            </w:r>
          </w:p>
        </w:tc>
        <w:tc>
          <w:tcPr>
            <w:tcW w:w="7511" w:type="dxa"/>
            <w:vAlign w:val="center"/>
          </w:tcPr>
          <w:p>
            <w:pPr>
              <w:overflowPunct w:val="0"/>
              <w:spacing w:line="430" w:lineRule="exact"/>
              <w:jc w:val="center"/>
              <w:rPr>
                <w:rFonts w:ascii="仿宋" w:hAnsi="仿宋" w:eastAsia="仿宋" w:cs="新宋体"/>
                <w:b/>
                <w:color w:val="000000" w:themeColor="text1"/>
                <w:sz w:val="22"/>
                <w:szCs w:val="22"/>
              </w:rPr>
            </w:pPr>
            <w:r>
              <w:rPr>
                <w:rFonts w:hint="eastAsia" w:ascii="仿宋" w:hAnsi="仿宋" w:eastAsia="仿宋" w:cs="新宋体"/>
                <w:b/>
                <w:color w:val="000000" w:themeColor="text1"/>
                <w:sz w:val="22"/>
                <w:szCs w:val="22"/>
              </w:rPr>
              <w:t>内 容</w:t>
            </w:r>
          </w:p>
        </w:tc>
        <w:tc>
          <w:tcPr>
            <w:tcW w:w="1241" w:type="dxa"/>
            <w:vAlign w:val="center"/>
          </w:tcPr>
          <w:p>
            <w:pPr>
              <w:overflowPunct w:val="0"/>
              <w:spacing w:line="430" w:lineRule="exact"/>
              <w:jc w:val="center"/>
              <w:rPr>
                <w:rFonts w:ascii="仿宋" w:hAnsi="仿宋" w:eastAsia="仿宋" w:cs="新宋体"/>
                <w:b/>
                <w:color w:val="000000" w:themeColor="text1"/>
                <w:sz w:val="22"/>
                <w:szCs w:val="22"/>
              </w:rPr>
            </w:pPr>
            <w:r>
              <w:rPr>
                <w:rFonts w:hint="eastAsia" w:ascii="仿宋" w:hAnsi="仿宋" w:eastAsia="仿宋" w:cs="新宋体"/>
                <w:b/>
                <w:color w:val="000000" w:themeColor="text1"/>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1</w:t>
            </w:r>
          </w:p>
        </w:tc>
        <w:tc>
          <w:tcPr>
            <w:tcW w:w="7511" w:type="dxa"/>
            <w:vAlign w:val="center"/>
          </w:tcPr>
          <w:p>
            <w:pPr>
              <w:pStyle w:val="20"/>
              <w:spacing w:line="340" w:lineRule="exact"/>
              <w:rPr>
                <w:rFonts w:ascii="仿宋" w:hAnsi="仿宋" w:eastAsia="仿宋"/>
                <w:b/>
                <w:color w:val="000000" w:themeColor="text1"/>
                <w:sz w:val="24"/>
              </w:rPr>
            </w:pPr>
            <w:r>
              <w:rPr>
                <w:rFonts w:ascii="仿宋" w:hAnsi="仿宋" w:eastAsia="仿宋"/>
                <w:b/>
                <w:color w:val="000000" w:themeColor="text1"/>
                <w:sz w:val="24"/>
              </w:rPr>
              <w:t>法定代表人（负责人）资格证明书</w:t>
            </w:r>
          </w:p>
        </w:tc>
        <w:tc>
          <w:tcPr>
            <w:tcW w:w="1241" w:type="dxa"/>
            <w:vAlign w:val="center"/>
          </w:tcPr>
          <w:p>
            <w:pPr>
              <w:jc w:val="center"/>
              <w:rPr>
                <w:rFonts w:ascii="仿宋" w:hAnsi="仿宋" w:eastAsia="仿宋" w:cs="新宋体"/>
                <w:bCs/>
                <w:color w:val="000000" w:themeColor="text1"/>
                <w:sz w:val="22"/>
                <w:szCs w:val="22"/>
              </w:rPr>
            </w:pPr>
            <w:r>
              <w:rPr>
                <w:rFonts w:ascii="仿宋" w:hAnsi="仿宋" w:eastAsia="仿宋"/>
                <w:b/>
                <w:color w:val="000000" w:themeColor="text1"/>
                <w:sz w:val="24"/>
              </w:rPr>
              <w:t>附件一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2</w:t>
            </w:r>
          </w:p>
        </w:tc>
        <w:tc>
          <w:tcPr>
            <w:tcW w:w="7511" w:type="dxa"/>
            <w:vAlign w:val="center"/>
          </w:tcPr>
          <w:p>
            <w:pPr>
              <w:pStyle w:val="35"/>
              <w:spacing w:line="340" w:lineRule="exact"/>
              <w:ind w:left="0" w:leftChars="0" w:firstLine="0"/>
              <w:rPr>
                <w:rFonts w:ascii="仿宋" w:hAnsi="仿宋" w:eastAsia="仿宋"/>
                <w:b/>
                <w:color w:val="000000" w:themeColor="text1"/>
                <w:sz w:val="24"/>
                <w:szCs w:val="20"/>
              </w:rPr>
            </w:pPr>
            <w:r>
              <w:rPr>
                <w:rFonts w:hint="eastAsia" w:ascii="仿宋" w:hAnsi="仿宋" w:eastAsia="仿宋"/>
                <w:b/>
                <w:color w:val="000000" w:themeColor="text1"/>
                <w:sz w:val="24"/>
              </w:rPr>
              <w:t>授权</w:t>
            </w:r>
            <w:r>
              <w:rPr>
                <w:rFonts w:ascii="仿宋" w:hAnsi="仿宋" w:eastAsia="仿宋"/>
                <w:b/>
                <w:color w:val="000000" w:themeColor="text1"/>
                <w:sz w:val="24"/>
              </w:rPr>
              <w:t>委托书</w:t>
            </w:r>
          </w:p>
        </w:tc>
        <w:tc>
          <w:tcPr>
            <w:tcW w:w="1241" w:type="dxa"/>
            <w:vAlign w:val="center"/>
          </w:tcPr>
          <w:p>
            <w:pPr>
              <w:jc w:val="center"/>
              <w:rPr>
                <w:rFonts w:ascii="仿宋" w:hAnsi="仿宋" w:eastAsia="仿宋" w:cs="新宋体"/>
                <w:bCs/>
                <w:color w:val="000000" w:themeColor="text1"/>
                <w:sz w:val="22"/>
                <w:szCs w:val="22"/>
              </w:rPr>
            </w:pPr>
            <w:r>
              <w:rPr>
                <w:rFonts w:hint="eastAsia" w:ascii="仿宋" w:hAnsi="仿宋" w:eastAsia="仿宋"/>
                <w:b/>
                <w:color w:val="000000" w:themeColor="text1"/>
                <w:sz w:val="24"/>
              </w:rPr>
              <w:t>附件二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3</w:t>
            </w:r>
          </w:p>
        </w:tc>
        <w:tc>
          <w:tcPr>
            <w:tcW w:w="7511" w:type="dxa"/>
            <w:vAlign w:val="center"/>
          </w:tcPr>
          <w:p>
            <w:pPr>
              <w:pStyle w:val="35"/>
              <w:spacing w:line="340" w:lineRule="exact"/>
              <w:ind w:left="0" w:leftChars="0" w:firstLine="0"/>
              <w:rPr>
                <w:rFonts w:ascii="仿宋" w:hAnsi="仿宋" w:eastAsia="仿宋"/>
                <w:b/>
                <w:color w:val="000000" w:themeColor="text1"/>
                <w:sz w:val="24"/>
                <w:szCs w:val="20"/>
              </w:rPr>
            </w:pPr>
            <w:r>
              <w:rPr>
                <w:rFonts w:hint="eastAsia" w:ascii="仿宋" w:hAnsi="仿宋" w:eastAsia="仿宋"/>
                <w:b/>
                <w:color w:val="000000" w:themeColor="text1"/>
                <w:sz w:val="24"/>
              </w:rPr>
              <w:t>投标声明书</w:t>
            </w:r>
          </w:p>
        </w:tc>
        <w:tc>
          <w:tcPr>
            <w:tcW w:w="1241" w:type="dxa"/>
            <w:vAlign w:val="center"/>
          </w:tcPr>
          <w:p>
            <w:pPr>
              <w:jc w:val="center"/>
              <w:rPr>
                <w:rFonts w:ascii="仿宋" w:hAnsi="仿宋" w:eastAsia="仿宋" w:cs="新宋体"/>
                <w:bCs/>
                <w:color w:val="000000" w:themeColor="text1"/>
                <w:sz w:val="22"/>
                <w:szCs w:val="22"/>
              </w:rPr>
            </w:pPr>
            <w:r>
              <w:rPr>
                <w:rFonts w:hint="eastAsia" w:ascii="仿宋" w:hAnsi="仿宋" w:eastAsia="仿宋"/>
                <w:b/>
                <w:color w:val="000000" w:themeColor="text1"/>
                <w:sz w:val="24"/>
              </w:rPr>
              <w:t>附件三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4</w:t>
            </w:r>
          </w:p>
        </w:tc>
        <w:tc>
          <w:tcPr>
            <w:tcW w:w="7511" w:type="dxa"/>
            <w:vAlign w:val="center"/>
          </w:tcPr>
          <w:p>
            <w:pPr>
              <w:rPr>
                <w:rFonts w:ascii="仿宋" w:hAnsi="仿宋" w:eastAsia="仿宋"/>
                <w:b/>
                <w:color w:val="000000" w:themeColor="text1"/>
                <w:sz w:val="24"/>
                <w:szCs w:val="21"/>
              </w:rPr>
            </w:pPr>
            <w:r>
              <w:rPr>
                <w:rFonts w:ascii="仿宋" w:hAnsi="仿宋" w:eastAsia="仿宋"/>
                <w:b/>
                <w:color w:val="000000" w:themeColor="text1"/>
                <w:sz w:val="24"/>
              </w:rPr>
              <w:t>产品性能及技术指标</w:t>
            </w:r>
            <w:r>
              <w:rPr>
                <w:rFonts w:hint="eastAsia" w:ascii="仿宋" w:hAnsi="仿宋" w:eastAsia="仿宋"/>
                <w:b/>
                <w:color w:val="000000" w:themeColor="text1"/>
                <w:sz w:val="24"/>
              </w:rPr>
              <w:t>（包括</w:t>
            </w:r>
            <w:r>
              <w:rPr>
                <w:rFonts w:ascii="仿宋" w:hAnsi="仿宋" w:eastAsia="仿宋"/>
                <w:b/>
                <w:color w:val="000000" w:themeColor="text1"/>
                <w:sz w:val="24"/>
              </w:rPr>
              <w:t>产品性能及技术指标</w:t>
            </w:r>
            <w:r>
              <w:rPr>
                <w:rFonts w:hint="eastAsia" w:ascii="仿宋" w:hAnsi="仿宋" w:eastAsia="仿宋"/>
                <w:b/>
                <w:color w:val="000000" w:themeColor="text1"/>
                <w:sz w:val="24"/>
              </w:rPr>
              <w:t>、</w:t>
            </w:r>
            <w:r>
              <w:rPr>
                <w:rFonts w:ascii="仿宋" w:hAnsi="仿宋" w:eastAsia="仿宋"/>
                <w:b/>
                <w:color w:val="000000" w:themeColor="text1"/>
                <w:sz w:val="24"/>
              </w:rPr>
              <w:t>功能满足情况</w:t>
            </w:r>
            <w:r>
              <w:rPr>
                <w:rFonts w:hint="eastAsia" w:ascii="仿宋" w:hAnsi="仿宋" w:eastAsia="仿宋"/>
                <w:b/>
                <w:color w:val="000000" w:themeColor="text1"/>
                <w:sz w:val="24"/>
              </w:rPr>
              <w:t>的详细描述,并按技术参数要求提供相关证明材料，没要求的除外，格式自拟）</w:t>
            </w:r>
          </w:p>
        </w:tc>
        <w:tc>
          <w:tcPr>
            <w:tcW w:w="1241" w:type="dxa"/>
            <w:vAlign w:val="center"/>
          </w:tcPr>
          <w:p>
            <w:pPr>
              <w:overflowPunct w:val="0"/>
              <w:spacing w:line="430" w:lineRule="exact"/>
              <w:jc w:val="center"/>
              <w:rPr>
                <w:rFonts w:ascii="仿宋" w:hAnsi="仿宋" w:eastAsia="仿宋" w:cs="新宋体"/>
                <w:b/>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5</w:t>
            </w:r>
          </w:p>
        </w:tc>
        <w:tc>
          <w:tcPr>
            <w:tcW w:w="7511" w:type="dxa"/>
            <w:vAlign w:val="center"/>
          </w:tcPr>
          <w:p>
            <w:pPr>
              <w:pStyle w:val="20"/>
              <w:spacing w:line="340" w:lineRule="exact"/>
              <w:rPr>
                <w:rFonts w:ascii="仿宋" w:hAnsi="仿宋" w:eastAsia="仿宋"/>
                <w:b/>
                <w:color w:val="000000" w:themeColor="text1"/>
                <w:sz w:val="24"/>
                <w:szCs w:val="21"/>
              </w:rPr>
            </w:pPr>
            <w:r>
              <w:rPr>
                <w:rFonts w:ascii="仿宋" w:hAnsi="仿宋" w:eastAsia="仿宋"/>
                <w:b/>
                <w:color w:val="000000" w:themeColor="text1"/>
                <w:sz w:val="24"/>
              </w:rPr>
              <w:t>投标人情况表（包括注册资金、生产设备、技术人员等</w:t>
            </w:r>
            <w:r>
              <w:rPr>
                <w:rFonts w:hint="eastAsia" w:ascii="仿宋" w:hAnsi="仿宋" w:eastAsia="仿宋"/>
                <w:b/>
                <w:color w:val="000000" w:themeColor="text1"/>
                <w:sz w:val="24"/>
              </w:rPr>
              <w:t>,格式自拟</w:t>
            </w:r>
            <w:r>
              <w:rPr>
                <w:rFonts w:ascii="仿宋" w:hAnsi="仿宋" w:eastAsia="仿宋"/>
                <w:b/>
                <w:color w:val="000000" w:themeColor="text1"/>
                <w:sz w:val="24"/>
              </w:rPr>
              <w:t>）</w:t>
            </w:r>
          </w:p>
        </w:tc>
        <w:tc>
          <w:tcPr>
            <w:tcW w:w="1241" w:type="dxa"/>
            <w:vAlign w:val="center"/>
          </w:tcPr>
          <w:p>
            <w:pPr>
              <w:jc w:val="center"/>
              <w:rPr>
                <w:rFonts w:ascii="仿宋" w:hAnsi="仿宋" w:eastAsia="仿宋" w:cs="新宋体"/>
                <w:bCs/>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6</w:t>
            </w:r>
          </w:p>
        </w:tc>
        <w:tc>
          <w:tcPr>
            <w:tcW w:w="7511" w:type="dxa"/>
            <w:vAlign w:val="center"/>
          </w:tcPr>
          <w:p>
            <w:pPr>
              <w:pStyle w:val="35"/>
              <w:spacing w:line="340" w:lineRule="exact"/>
              <w:ind w:left="0" w:leftChars="0" w:firstLine="0"/>
              <w:rPr>
                <w:rFonts w:ascii="仿宋" w:hAnsi="仿宋" w:eastAsia="仿宋"/>
                <w:b/>
                <w:color w:val="000000" w:themeColor="text1"/>
                <w:sz w:val="24"/>
              </w:rPr>
            </w:pPr>
            <w:r>
              <w:rPr>
                <w:rFonts w:ascii="仿宋" w:hAnsi="仿宋" w:eastAsia="仿宋"/>
                <w:b/>
                <w:color w:val="000000" w:themeColor="text1"/>
                <w:sz w:val="24"/>
              </w:rPr>
              <w:t>货物清单（包括货物的品牌型号、数量及配置等，不含报价)</w:t>
            </w:r>
          </w:p>
        </w:tc>
        <w:tc>
          <w:tcPr>
            <w:tcW w:w="1241" w:type="dxa"/>
            <w:vAlign w:val="center"/>
          </w:tcPr>
          <w:p>
            <w:pPr>
              <w:rPr>
                <w:rFonts w:ascii="仿宋" w:hAnsi="仿宋" w:eastAsia="仿宋" w:cs="新宋体"/>
                <w:bCs/>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7</w:t>
            </w:r>
          </w:p>
        </w:tc>
        <w:tc>
          <w:tcPr>
            <w:tcW w:w="7511" w:type="dxa"/>
            <w:vAlign w:val="center"/>
          </w:tcPr>
          <w:p>
            <w:pPr>
              <w:pStyle w:val="20"/>
              <w:spacing w:line="340" w:lineRule="exact"/>
              <w:rPr>
                <w:rFonts w:ascii="仿宋" w:hAnsi="仿宋" w:eastAsia="仿宋"/>
                <w:b/>
                <w:color w:val="000000" w:themeColor="text1"/>
                <w:sz w:val="24"/>
                <w:szCs w:val="21"/>
              </w:rPr>
            </w:pPr>
            <w:r>
              <w:rPr>
                <w:rFonts w:hint="eastAsia" w:ascii="仿宋" w:hAnsi="仿宋" w:eastAsia="仿宋"/>
                <w:b/>
                <w:color w:val="000000" w:themeColor="text1"/>
                <w:sz w:val="24"/>
                <w:szCs w:val="21"/>
              </w:rPr>
              <w:t>项目负责人简历表</w:t>
            </w:r>
          </w:p>
        </w:tc>
        <w:tc>
          <w:tcPr>
            <w:tcW w:w="1241" w:type="dxa"/>
            <w:vAlign w:val="center"/>
          </w:tcPr>
          <w:p>
            <w:pPr>
              <w:jc w:val="center"/>
              <w:rPr>
                <w:rFonts w:ascii="仿宋" w:hAnsi="仿宋" w:eastAsia="仿宋" w:cs="新宋体"/>
                <w:bCs/>
                <w:color w:val="000000" w:themeColor="text1"/>
                <w:sz w:val="22"/>
                <w:szCs w:val="22"/>
              </w:rPr>
            </w:pPr>
            <w:r>
              <w:rPr>
                <w:rFonts w:ascii="仿宋" w:hAnsi="仿宋" w:eastAsia="仿宋"/>
                <w:b/>
                <w:color w:val="000000" w:themeColor="text1"/>
                <w:sz w:val="24"/>
              </w:rPr>
              <w:t>附件</w:t>
            </w:r>
            <w:r>
              <w:rPr>
                <w:rFonts w:hint="eastAsia" w:ascii="仿宋" w:hAnsi="仿宋" w:eastAsia="仿宋"/>
                <w:b/>
                <w:color w:val="000000" w:themeColor="text1"/>
                <w:sz w:val="24"/>
              </w:rPr>
              <w:t>十三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8</w:t>
            </w:r>
          </w:p>
        </w:tc>
        <w:tc>
          <w:tcPr>
            <w:tcW w:w="7511" w:type="dxa"/>
            <w:vAlign w:val="center"/>
          </w:tcPr>
          <w:p>
            <w:pPr>
              <w:pStyle w:val="20"/>
              <w:spacing w:line="340" w:lineRule="exact"/>
              <w:rPr>
                <w:rFonts w:ascii="仿宋" w:hAnsi="仿宋" w:eastAsia="仿宋"/>
                <w:b/>
                <w:color w:val="000000" w:themeColor="text1"/>
                <w:sz w:val="24"/>
                <w:szCs w:val="21"/>
              </w:rPr>
            </w:pPr>
            <w:r>
              <w:rPr>
                <w:rFonts w:hint="eastAsia" w:ascii="仿宋" w:hAnsi="仿宋" w:eastAsia="仿宋"/>
                <w:b/>
                <w:color w:val="000000" w:themeColor="text1"/>
                <w:sz w:val="24"/>
                <w:szCs w:val="21"/>
              </w:rPr>
              <w:t>项目实施人员一览表</w:t>
            </w:r>
          </w:p>
        </w:tc>
        <w:tc>
          <w:tcPr>
            <w:tcW w:w="1241" w:type="dxa"/>
            <w:vAlign w:val="center"/>
          </w:tcPr>
          <w:p>
            <w:pPr>
              <w:rPr>
                <w:rFonts w:ascii="仿宋" w:hAnsi="仿宋" w:eastAsia="仿宋" w:cs="新宋体"/>
                <w:bCs/>
                <w:color w:val="000000" w:themeColor="text1"/>
                <w:sz w:val="22"/>
                <w:szCs w:val="22"/>
              </w:rPr>
            </w:pPr>
            <w:r>
              <w:rPr>
                <w:rFonts w:ascii="仿宋" w:hAnsi="仿宋" w:eastAsia="仿宋"/>
                <w:b/>
                <w:color w:val="000000" w:themeColor="text1"/>
                <w:sz w:val="24"/>
              </w:rPr>
              <w:t>附件</w:t>
            </w:r>
            <w:r>
              <w:rPr>
                <w:rFonts w:hint="eastAsia" w:ascii="仿宋" w:hAnsi="仿宋" w:eastAsia="仿宋"/>
                <w:b/>
                <w:color w:val="000000" w:themeColor="text1"/>
                <w:sz w:val="24"/>
              </w:rPr>
              <w:t>十四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9</w:t>
            </w:r>
          </w:p>
        </w:tc>
        <w:tc>
          <w:tcPr>
            <w:tcW w:w="7511" w:type="dxa"/>
            <w:vAlign w:val="center"/>
          </w:tcPr>
          <w:p>
            <w:pPr>
              <w:pStyle w:val="20"/>
              <w:spacing w:line="340" w:lineRule="exact"/>
              <w:rPr>
                <w:rFonts w:ascii="仿宋" w:hAnsi="仿宋" w:eastAsia="仿宋"/>
                <w:b/>
                <w:color w:val="000000" w:themeColor="text1"/>
                <w:sz w:val="24"/>
                <w:szCs w:val="21"/>
              </w:rPr>
            </w:pPr>
            <w:r>
              <w:rPr>
                <w:rFonts w:hint="eastAsia" w:ascii="仿宋" w:hAnsi="仿宋" w:eastAsia="仿宋"/>
                <w:b/>
                <w:color w:val="000000" w:themeColor="text1"/>
                <w:sz w:val="24"/>
                <w:szCs w:val="21"/>
              </w:rPr>
              <w:t>技术偏离表</w:t>
            </w:r>
          </w:p>
        </w:tc>
        <w:tc>
          <w:tcPr>
            <w:tcW w:w="1241" w:type="dxa"/>
            <w:vAlign w:val="center"/>
          </w:tcPr>
          <w:p>
            <w:pPr>
              <w:jc w:val="center"/>
              <w:rPr>
                <w:rFonts w:ascii="仿宋" w:hAnsi="仿宋" w:eastAsia="仿宋" w:cs="新宋体"/>
                <w:bCs/>
                <w:color w:val="000000" w:themeColor="text1"/>
                <w:sz w:val="22"/>
                <w:szCs w:val="22"/>
              </w:rPr>
            </w:pPr>
            <w:r>
              <w:rPr>
                <w:rFonts w:hint="eastAsia" w:ascii="仿宋" w:hAnsi="仿宋" w:eastAsia="仿宋"/>
                <w:b/>
                <w:color w:val="000000" w:themeColor="text1"/>
                <w:sz w:val="24"/>
              </w:rPr>
              <w:t>附件十五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10</w:t>
            </w:r>
          </w:p>
        </w:tc>
        <w:tc>
          <w:tcPr>
            <w:tcW w:w="7511" w:type="dxa"/>
            <w:vAlign w:val="center"/>
          </w:tcPr>
          <w:p>
            <w:pPr>
              <w:pStyle w:val="20"/>
              <w:spacing w:line="340" w:lineRule="exact"/>
              <w:rPr>
                <w:rFonts w:ascii="仿宋" w:hAnsi="仿宋" w:eastAsia="仿宋"/>
                <w:b/>
                <w:color w:val="000000" w:themeColor="text1"/>
                <w:sz w:val="24"/>
                <w:szCs w:val="21"/>
              </w:rPr>
            </w:pPr>
            <w:r>
              <w:rPr>
                <w:rFonts w:hint="eastAsia" w:ascii="仿宋" w:hAnsi="仿宋" w:eastAsia="仿宋"/>
                <w:b/>
                <w:color w:val="000000" w:themeColor="text1"/>
                <w:sz w:val="24"/>
                <w:szCs w:val="21"/>
              </w:rPr>
              <w:t>售后服务承诺书</w:t>
            </w:r>
          </w:p>
        </w:tc>
        <w:tc>
          <w:tcPr>
            <w:tcW w:w="1241" w:type="dxa"/>
            <w:vAlign w:val="center"/>
          </w:tcPr>
          <w:p>
            <w:pPr>
              <w:jc w:val="center"/>
              <w:rPr>
                <w:rFonts w:ascii="仿宋" w:hAnsi="仿宋" w:eastAsia="仿宋" w:cs="新宋体"/>
                <w:b/>
                <w:color w:val="000000" w:themeColor="text1"/>
                <w:sz w:val="22"/>
                <w:szCs w:val="22"/>
              </w:rPr>
            </w:pPr>
            <w:r>
              <w:rPr>
                <w:rFonts w:hint="eastAsia" w:ascii="仿宋" w:hAnsi="仿宋" w:eastAsia="仿宋"/>
                <w:b/>
                <w:color w:val="000000" w:themeColor="text1"/>
                <w:sz w:val="24"/>
              </w:rPr>
              <w:t>附件十六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11</w:t>
            </w:r>
          </w:p>
        </w:tc>
        <w:tc>
          <w:tcPr>
            <w:tcW w:w="7511" w:type="dxa"/>
            <w:vAlign w:val="center"/>
          </w:tcPr>
          <w:p>
            <w:pPr>
              <w:pStyle w:val="20"/>
              <w:spacing w:line="340" w:lineRule="exact"/>
              <w:rPr>
                <w:rFonts w:ascii="仿宋" w:hAnsi="仿宋" w:eastAsia="仿宋"/>
                <w:b/>
                <w:color w:val="000000" w:themeColor="text1"/>
                <w:sz w:val="24"/>
                <w:szCs w:val="21"/>
              </w:rPr>
            </w:pPr>
            <w:r>
              <w:rPr>
                <w:rFonts w:hint="eastAsia" w:ascii="仿宋" w:hAnsi="仿宋" w:eastAsia="仿宋"/>
                <w:b/>
                <w:color w:val="000000" w:themeColor="text1"/>
                <w:sz w:val="24"/>
                <w:szCs w:val="21"/>
              </w:rPr>
              <w:t>重要产品综合评分相关资料（如有）</w:t>
            </w:r>
          </w:p>
        </w:tc>
        <w:tc>
          <w:tcPr>
            <w:tcW w:w="1241" w:type="dxa"/>
            <w:vAlign w:val="center"/>
          </w:tcPr>
          <w:p>
            <w:pPr>
              <w:jc w:val="center"/>
              <w:rPr>
                <w:rFonts w:ascii="仿宋" w:hAnsi="仿宋" w:eastAsia="仿宋" w:cs="新宋体"/>
                <w:bCs/>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12</w:t>
            </w:r>
          </w:p>
        </w:tc>
        <w:tc>
          <w:tcPr>
            <w:tcW w:w="7511" w:type="dxa"/>
            <w:vAlign w:val="center"/>
          </w:tcPr>
          <w:p>
            <w:pPr>
              <w:pStyle w:val="20"/>
              <w:spacing w:line="340" w:lineRule="exact"/>
              <w:rPr>
                <w:rFonts w:ascii="仿宋" w:hAnsi="仿宋" w:eastAsia="仿宋"/>
                <w:b/>
                <w:color w:val="000000" w:themeColor="text1"/>
                <w:sz w:val="24"/>
                <w:szCs w:val="21"/>
              </w:rPr>
            </w:pPr>
            <w:r>
              <w:rPr>
                <w:rFonts w:hint="eastAsia" w:ascii="仿宋" w:hAnsi="仿宋" w:eastAsia="仿宋"/>
                <w:b/>
                <w:color w:val="000000" w:themeColor="text1"/>
                <w:sz w:val="24"/>
                <w:szCs w:val="21"/>
              </w:rPr>
              <w:t>投标公司实力及成功案例（如有）</w:t>
            </w:r>
          </w:p>
        </w:tc>
        <w:tc>
          <w:tcPr>
            <w:tcW w:w="1241" w:type="dxa"/>
            <w:vAlign w:val="center"/>
          </w:tcPr>
          <w:p>
            <w:pPr>
              <w:rPr>
                <w:rFonts w:ascii="仿宋" w:hAnsi="仿宋" w:eastAsia="仿宋" w:cs="新宋体"/>
                <w:bCs/>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13</w:t>
            </w:r>
          </w:p>
        </w:tc>
        <w:tc>
          <w:tcPr>
            <w:tcW w:w="7511" w:type="dxa"/>
            <w:vAlign w:val="center"/>
          </w:tcPr>
          <w:p>
            <w:pPr>
              <w:pStyle w:val="20"/>
              <w:spacing w:line="340" w:lineRule="exact"/>
              <w:rPr>
                <w:rFonts w:ascii="仿宋" w:hAnsi="仿宋" w:eastAsia="仿宋"/>
                <w:b/>
                <w:color w:val="000000" w:themeColor="text1"/>
                <w:sz w:val="24"/>
                <w:szCs w:val="21"/>
              </w:rPr>
            </w:pPr>
            <w:r>
              <w:rPr>
                <w:rFonts w:hint="eastAsia" w:ascii="仿宋" w:hAnsi="仿宋" w:eastAsia="仿宋"/>
                <w:b/>
                <w:color w:val="000000" w:themeColor="text1"/>
                <w:sz w:val="24"/>
                <w:szCs w:val="21"/>
              </w:rPr>
              <w:t>技术方案（如有）</w:t>
            </w:r>
          </w:p>
        </w:tc>
        <w:tc>
          <w:tcPr>
            <w:tcW w:w="1241" w:type="dxa"/>
            <w:vAlign w:val="center"/>
          </w:tcPr>
          <w:p>
            <w:pPr>
              <w:jc w:val="center"/>
              <w:rPr>
                <w:rFonts w:ascii="仿宋" w:hAnsi="仿宋" w:eastAsia="仿宋" w:cs="新宋体"/>
                <w:bCs/>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02" w:type="dxa"/>
            <w:vAlign w:val="center"/>
          </w:tcPr>
          <w:p>
            <w:pPr>
              <w:overflowPunct w:val="0"/>
              <w:spacing w:line="430" w:lineRule="exact"/>
              <w:jc w:val="center"/>
              <w:rPr>
                <w:rFonts w:ascii="仿宋" w:hAnsi="仿宋" w:eastAsia="仿宋" w:cs="新宋体"/>
                <w:bCs/>
                <w:color w:val="000000" w:themeColor="text1"/>
                <w:sz w:val="22"/>
                <w:szCs w:val="22"/>
              </w:rPr>
            </w:pPr>
            <w:r>
              <w:rPr>
                <w:rFonts w:hint="eastAsia" w:ascii="仿宋" w:hAnsi="仿宋" w:eastAsia="仿宋" w:cs="新宋体"/>
                <w:bCs/>
                <w:color w:val="000000" w:themeColor="text1"/>
                <w:sz w:val="22"/>
                <w:szCs w:val="22"/>
              </w:rPr>
              <w:t>14</w:t>
            </w:r>
          </w:p>
        </w:tc>
        <w:tc>
          <w:tcPr>
            <w:tcW w:w="7511" w:type="dxa"/>
            <w:vAlign w:val="center"/>
          </w:tcPr>
          <w:p>
            <w:pPr>
              <w:rPr>
                <w:rFonts w:ascii="仿宋" w:hAnsi="仿宋" w:eastAsia="仿宋"/>
                <w:b/>
                <w:color w:val="000000" w:themeColor="text1"/>
                <w:sz w:val="24"/>
                <w:szCs w:val="21"/>
              </w:rPr>
            </w:pPr>
            <w:r>
              <w:rPr>
                <w:rFonts w:hint="eastAsia" w:ascii="仿宋" w:hAnsi="仿宋" w:eastAsia="仿宋"/>
                <w:b/>
                <w:color w:val="000000" w:themeColor="text1"/>
                <w:sz w:val="24"/>
                <w:szCs w:val="21"/>
              </w:rPr>
              <w:t>售后服务的措施及承诺、优惠内容、培训等（如有）</w:t>
            </w:r>
          </w:p>
        </w:tc>
        <w:tc>
          <w:tcPr>
            <w:tcW w:w="1241" w:type="dxa"/>
            <w:vAlign w:val="center"/>
          </w:tcPr>
          <w:p>
            <w:pPr>
              <w:jc w:val="center"/>
              <w:rPr>
                <w:rFonts w:ascii="仿宋" w:hAnsi="仿宋" w:eastAsia="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102" w:type="dxa"/>
            <w:vAlign w:val="center"/>
          </w:tcPr>
          <w:p>
            <w:pPr>
              <w:overflowPunct w:val="0"/>
              <w:spacing w:line="430" w:lineRule="exact"/>
              <w:jc w:val="center"/>
              <w:rPr>
                <w:rFonts w:ascii="仿宋" w:hAnsi="仿宋" w:eastAsia="仿宋"/>
                <w:color w:val="000000" w:themeColor="text1"/>
                <w:sz w:val="24"/>
                <w:szCs w:val="21"/>
              </w:rPr>
            </w:pPr>
            <w:r>
              <w:rPr>
                <w:rFonts w:hint="eastAsia" w:ascii="仿宋" w:hAnsi="仿宋" w:eastAsia="仿宋"/>
                <w:color w:val="000000" w:themeColor="text1"/>
                <w:sz w:val="24"/>
                <w:szCs w:val="21"/>
              </w:rPr>
              <w:t>15</w:t>
            </w:r>
          </w:p>
        </w:tc>
        <w:tc>
          <w:tcPr>
            <w:tcW w:w="7511" w:type="dxa"/>
            <w:vAlign w:val="center"/>
          </w:tcPr>
          <w:p>
            <w:pPr>
              <w:spacing w:line="400" w:lineRule="exact"/>
              <w:rPr>
                <w:rFonts w:ascii="仿宋" w:hAnsi="仿宋" w:eastAsia="仿宋"/>
                <w:b/>
                <w:color w:val="000000" w:themeColor="text1"/>
                <w:sz w:val="24"/>
                <w:szCs w:val="21"/>
              </w:rPr>
            </w:pPr>
            <w:r>
              <w:rPr>
                <w:rFonts w:hint="eastAsia" w:ascii="仿宋" w:hAnsi="仿宋" w:eastAsia="仿宋"/>
                <w:b/>
                <w:color w:val="000000" w:themeColor="text1"/>
                <w:sz w:val="24"/>
                <w:szCs w:val="21"/>
              </w:rPr>
              <w:t>节能环保（如有）</w:t>
            </w:r>
          </w:p>
        </w:tc>
        <w:tc>
          <w:tcPr>
            <w:tcW w:w="1241" w:type="dxa"/>
            <w:vAlign w:val="center"/>
          </w:tcPr>
          <w:p>
            <w:pPr>
              <w:jc w:val="center"/>
              <w:rPr>
                <w:rFonts w:ascii="仿宋" w:hAnsi="仿宋" w:eastAsia="仿宋" w:cs="新宋体"/>
                <w:bCs/>
                <w:color w:val="000000" w:themeColor="text1"/>
                <w:sz w:val="22"/>
                <w:szCs w:val="22"/>
              </w:rPr>
            </w:pPr>
          </w:p>
        </w:tc>
      </w:tr>
    </w:tbl>
    <w:p>
      <w:pPr>
        <w:pStyle w:val="20"/>
        <w:spacing w:beforeLines="50" w:line="340" w:lineRule="exact"/>
        <w:rPr>
          <w:rFonts w:ascii="仿宋" w:hAnsi="仿宋" w:eastAsia="仿宋"/>
          <w:b/>
          <w:bCs/>
          <w:color w:val="000000" w:themeColor="text1"/>
          <w:sz w:val="24"/>
        </w:rPr>
      </w:pPr>
      <w:r>
        <w:rPr>
          <w:rFonts w:ascii="仿宋" w:hAnsi="仿宋" w:eastAsia="仿宋"/>
          <w:b/>
          <w:bCs/>
          <w:color w:val="000000" w:themeColor="text1"/>
          <w:sz w:val="24"/>
        </w:rPr>
        <w:t>4.</w:t>
      </w:r>
      <w:r>
        <w:rPr>
          <w:rFonts w:hint="eastAsia" w:ascii="仿宋" w:hAnsi="仿宋" w:eastAsia="仿宋"/>
          <w:b/>
          <w:bCs/>
          <w:color w:val="000000" w:themeColor="text1"/>
          <w:sz w:val="24"/>
        </w:rPr>
        <w:t>6</w:t>
      </w:r>
      <w:r>
        <w:rPr>
          <w:rFonts w:ascii="仿宋" w:hAnsi="仿宋" w:eastAsia="仿宋"/>
          <w:b/>
          <w:bCs/>
          <w:color w:val="000000" w:themeColor="text1"/>
          <w:sz w:val="24"/>
        </w:rPr>
        <w:t xml:space="preserve"> 报价文件包括</w:t>
      </w:r>
      <w:r>
        <w:rPr>
          <w:rFonts w:hint="eastAsia" w:ascii="仿宋" w:hAnsi="仿宋" w:eastAsia="仿宋"/>
          <w:b/>
          <w:bCs/>
          <w:color w:val="000000" w:themeColor="text1"/>
          <w:sz w:val="24"/>
        </w:rPr>
        <w:t xml:space="preserve"> （标项一、标项二）</w:t>
      </w:r>
      <w:r>
        <w:rPr>
          <w:rFonts w:ascii="仿宋" w:hAnsi="仿宋" w:eastAsia="仿宋"/>
          <w:b/>
          <w:color w:val="000000" w:themeColor="text1"/>
          <w:sz w:val="24"/>
        </w:rPr>
        <w:t>：</w:t>
      </w:r>
    </w:p>
    <w:tbl>
      <w:tblPr>
        <w:tblStyle w:val="36"/>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796"/>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17" w:type="dxa"/>
            <w:vAlign w:val="center"/>
          </w:tcPr>
          <w:p>
            <w:pPr>
              <w:overflowPunct w:val="0"/>
              <w:spacing w:line="430" w:lineRule="exact"/>
              <w:jc w:val="center"/>
              <w:rPr>
                <w:rFonts w:ascii="仿宋" w:hAnsi="仿宋" w:eastAsia="仿宋" w:cs="新宋体"/>
                <w:b/>
                <w:color w:val="000000" w:themeColor="text1"/>
                <w:sz w:val="22"/>
                <w:szCs w:val="22"/>
              </w:rPr>
            </w:pPr>
            <w:r>
              <w:rPr>
                <w:rFonts w:hint="eastAsia" w:ascii="仿宋" w:hAnsi="仿宋" w:eastAsia="仿宋" w:cs="新宋体"/>
                <w:b/>
                <w:color w:val="000000" w:themeColor="text1"/>
                <w:sz w:val="22"/>
                <w:szCs w:val="22"/>
              </w:rPr>
              <w:t>序号</w:t>
            </w:r>
          </w:p>
        </w:tc>
        <w:tc>
          <w:tcPr>
            <w:tcW w:w="7796" w:type="dxa"/>
            <w:vAlign w:val="center"/>
          </w:tcPr>
          <w:p>
            <w:pPr>
              <w:overflowPunct w:val="0"/>
              <w:spacing w:line="430" w:lineRule="exact"/>
              <w:jc w:val="center"/>
              <w:rPr>
                <w:rFonts w:ascii="仿宋" w:hAnsi="仿宋" w:eastAsia="仿宋" w:cs="新宋体"/>
                <w:b/>
                <w:color w:val="000000" w:themeColor="text1"/>
                <w:sz w:val="22"/>
                <w:szCs w:val="22"/>
              </w:rPr>
            </w:pPr>
            <w:r>
              <w:rPr>
                <w:rFonts w:hint="eastAsia" w:ascii="仿宋" w:hAnsi="仿宋" w:eastAsia="仿宋" w:cs="新宋体"/>
                <w:b/>
                <w:color w:val="000000" w:themeColor="text1"/>
                <w:sz w:val="22"/>
                <w:szCs w:val="22"/>
              </w:rPr>
              <w:t>内 容</w:t>
            </w:r>
          </w:p>
        </w:tc>
        <w:tc>
          <w:tcPr>
            <w:tcW w:w="1241" w:type="dxa"/>
            <w:vAlign w:val="center"/>
          </w:tcPr>
          <w:p>
            <w:pPr>
              <w:overflowPunct w:val="0"/>
              <w:spacing w:line="430" w:lineRule="exact"/>
              <w:jc w:val="center"/>
              <w:rPr>
                <w:rFonts w:ascii="仿宋" w:hAnsi="仿宋" w:eastAsia="仿宋" w:cs="新宋体"/>
                <w:b/>
                <w:color w:val="000000" w:themeColor="text1"/>
                <w:sz w:val="22"/>
                <w:szCs w:val="22"/>
              </w:rPr>
            </w:pPr>
            <w:r>
              <w:rPr>
                <w:rFonts w:hint="eastAsia" w:ascii="仿宋" w:hAnsi="仿宋" w:eastAsia="仿宋" w:cs="新宋体"/>
                <w:b/>
                <w:color w:val="000000" w:themeColor="text1"/>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pPr>
              <w:overflowPunct w:val="0"/>
              <w:spacing w:line="430" w:lineRule="exact"/>
              <w:jc w:val="center"/>
              <w:rPr>
                <w:rFonts w:ascii="仿宋" w:hAnsi="仿宋" w:eastAsia="仿宋"/>
                <w:color w:val="000000" w:themeColor="text1"/>
                <w:sz w:val="24"/>
                <w:szCs w:val="21"/>
              </w:rPr>
            </w:pPr>
            <w:r>
              <w:rPr>
                <w:rFonts w:hint="eastAsia" w:ascii="仿宋" w:hAnsi="仿宋" w:eastAsia="仿宋"/>
                <w:color w:val="000000" w:themeColor="text1"/>
                <w:sz w:val="24"/>
                <w:szCs w:val="21"/>
              </w:rPr>
              <w:t>1</w:t>
            </w:r>
          </w:p>
        </w:tc>
        <w:tc>
          <w:tcPr>
            <w:tcW w:w="7796" w:type="dxa"/>
            <w:vAlign w:val="center"/>
          </w:tcPr>
          <w:p>
            <w:pPr>
              <w:pStyle w:val="20"/>
              <w:spacing w:line="340" w:lineRule="exact"/>
              <w:rPr>
                <w:rFonts w:ascii="仿宋" w:hAnsi="仿宋" w:eastAsia="仿宋"/>
                <w:b/>
                <w:color w:val="000000" w:themeColor="text1"/>
                <w:sz w:val="24"/>
              </w:rPr>
            </w:pPr>
            <w:r>
              <w:rPr>
                <w:rFonts w:hint="eastAsia" w:ascii="仿宋" w:hAnsi="仿宋" w:eastAsia="仿宋"/>
                <w:b/>
                <w:color w:val="000000" w:themeColor="text1"/>
                <w:sz w:val="24"/>
              </w:rPr>
              <w:t>投标函</w:t>
            </w:r>
          </w:p>
        </w:tc>
        <w:tc>
          <w:tcPr>
            <w:tcW w:w="1241" w:type="dxa"/>
            <w:vAlign w:val="center"/>
          </w:tcPr>
          <w:p>
            <w:pPr>
              <w:overflowPunct w:val="0"/>
              <w:spacing w:line="430" w:lineRule="exact"/>
              <w:jc w:val="center"/>
              <w:rPr>
                <w:rFonts w:ascii="仿宋" w:hAnsi="仿宋" w:eastAsia="仿宋" w:cs="新宋体"/>
                <w:b/>
                <w:color w:val="000000" w:themeColor="text1"/>
                <w:sz w:val="22"/>
                <w:szCs w:val="22"/>
              </w:rPr>
            </w:pPr>
            <w:r>
              <w:rPr>
                <w:rFonts w:ascii="仿宋" w:hAnsi="仿宋" w:eastAsia="仿宋"/>
                <w:b/>
                <w:color w:val="000000" w:themeColor="text1"/>
                <w:sz w:val="24"/>
              </w:rPr>
              <w:t>附件</w:t>
            </w:r>
            <w:r>
              <w:rPr>
                <w:rFonts w:hint="eastAsia" w:ascii="仿宋" w:hAnsi="仿宋" w:eastAsia="仿宋"/>
                <w:b/>
                <w:color w:val="000000" w:themeColor="text1"/>
                <w:sz w:val="24"/>
              </w:rPr>
              <w:t>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pPr>
              <w:overflowPunct w:val="0"/>
              <w:spacing w:line="430" w:lineRule="exact"/>
              <w:jc w:val="center"/>
              <w:rPr>
                <w:rFonts w:ascii="仿宋" w:hAnsi="仿宋" w:eastAsia="仿宋"/>
                <w:color w:val="000000" w:themeColor="text1"/>
                <w:sz w:val="24"/>
                <w:szCs w:val="21"/>
              </w:rPr>
            </w:pPr>
            <w:r>
              <w:rPr>
                <w:rFonts w:hint="eastAsia" w:ascii="仿宋" w:hAnsi="仿宋" w:eastAsia="仿宋"/>
                <w:color w:val="000000" w:themeColor="text1"/>
                <w:sz w:val="24"/>
                <w:szCs w:val="21"/>
              </w:rPr>
              <w:t>2</w:t>
            </w:r>
          </w:p>
        </w:tc>
        <w:tc>
          <w:tcPr>
            <w:tcW w:w="7796" w:type="dxa"/>
            <w:vAlign w:val="center"/>
          </w:tcPr>
          <w:p>
            <w:pPr>
              <w:pStyle w:val="20"/>
              <w:spacing w:line="340" w:lineRule="exact"/>
              <w:rPr>
                <w:rFonts w:ascii="仿宋" w:hAnsi="仿宋" w:eastAsia="仿宋"/>
                <w:b/>
                <w:color w:val="000000" w:themeColor="text1"/>
                <w:sz w:val="24"/>
              </w:rPr>
            </w:pPr>
            <w:r>
              <w:rPr>
                <w:rFonts w:hint="eastAsia" w:ascii="仿宋" w:hAnsi="仿宋" w:eastAsia="仿宋"/>
                <w:b/>
                <w:color w:val="000000" w:themeColor="text1"/>
                <w:sz w:val="24"/>
              </w:rPr>
              <w:t>报价表</w:t>
            </w:r>
          </w:p>
        </w:tc>
        <w:tc>
          <w:tcPr>
            <w:tcW w:w="1241" w:type="dxa"/>
            <w:vAlign w:val="center"/>
          </w:tcPr>
          <w:p>
            <w:pPr>
              <w:jc w:val="center"/>
              <w:rPr>
                <w:rFonts w:ascii="仿宋" w:hAnsi="仿宋" w:eastAsia="仿宋" w:cs="新宋体"/>
                <w:bCs/>
                <w:color w:val="000000" w:themeColor="text1"/>
                <w:sz w:val="22"/>
                <w:szCs w:val="22"/>
              </w:rPr>
            </w:pPr>
            <w:r>
              <w:rPr>
                <w:rFonts w:hint="eastAsia" w:ascii="仿宋" w:hAnsi="仿宋" w:eastAsia="仿宋"/>
                <w:b/>
                <w:color w:val="000000" w:themeColor="text1"/>
                <w:sz w:val="24"/>
              </w:rPr>
              <w:t>附件五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pPr>
              <w:overflowPunct w:val="0"/>
              <w:spacing w:line="430" w:lineRule="exact"/>
              <w:jc w:val="center"/>
              <w:rPr>
                <w:rFonts w:ascii="仿宋" w:hAnsi="仿宋" w:eastAsia="仿宋"/>
                <w:color w:val="000000" w:themeColor="text1"/>
                <w:sz w:val="24"/>
                <w:szCs w:val="21"/>
              </w:rPr>
            </w:pPr>
            <w:r>
              <w:rPr>
                <w:rFonts w:hint="eastAsia" w:ascii="仿宋" w:hAnsi="仿宋" w:eastAsia="仿宋"/>
                <w:color w:val="000000" w:themeColor="text1"/>
                <w:sz w:val="24"/>
                <w:szCs w:val="21"/>
              </w:rPr>
              <w:t>3</w:t>
            </w:r>
          </w:p>
        </w:tc>
        <w:tc>
          <w:tcPr>
            <w:tcW w:w="7796" w:type="dxa"/>
            <w:vAlign w:val="center"/>
          </w:tcPr>
          <w:p>
            <w:pPr>
              <w:pStyle w:val="20"/>
              <w:spacing w:line="340" w:lineRule="exact"/>
              <w:rPr>
                <w:rFonts w:ascii="仿宋" w:hAnsi="仿宋" w:eastAsia="仿宋"/>
                <w:b/>
                <w:color w:val="000000" w:themeColor="text1"/>
                <w:sz w:val="24"/>
              </w:rPr>
            </w:pPr>
            <w:r>
              <w:rPr>
                <w:rFonts w:hint="eastAsia" w:ascii="仿宋" w:hAnsi="仿宋" w:eastAsia="仿宋"/>
                <w:b/>
                <w:color w:val="000000" w:themeColor="text1"/>
                <w:sz w:val="24"/>
              </w:rPr>
              <w:t>报价明细表</w:t>
            </w:r>
          </w:p>
        </w:tc>
        <w:tc>
          <w:tcPr>
            <w:tcW w:w="1241" w:type="dxa"/>
            <w:vAlign w:val="center"/>
          </w:tcPr>
          <w:p>
            <w:pPr>
              <w:jc w:val="center"/>
              <w:rPr>
                <w:rFonts w:ascii="仿宋" w:hAnsi="仿宋" w:eastAsia="仿宋" w:cs="新宋体"/>
                <w:bCs/>
                <w:color w:val="000000" w:themeColor="text1"/>
                <w:sz w:val="22"/>
                <w:szCs w:val="22"/>
              </w:rPr>
            </w:pPr>
            <w:r>
              <w:rPr>
                <w:rFonts w:hint="eastAsia" w:ascii="仿宋" w:hAnsi="仿宋" w:eastAsia="仿宋"/>
                <w:b/>
                <w:color w:val="000000" w:themeColor="text1"/>
                <w:sz w:val="24"/>
              </w:rPr>
              <w:t>附件六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pPr>
              <w:overflowPunct w:val="0"/>
              <w:spacing w:line="430" w:lineRule="exact"/>
              <w:jc w:val="center"/>
              <w:rPr>
                <w:rFonts w:ascii="仿宋" w:hAnsi="仿宋" w:eastAsia="仿宋"/>
                <w:color w:val="000000" w:themeColor="text1"/>
                <w:sz w:val="24"/>
                <w:szCs w:val="21"/>
              </w:rPr>
            </w:pPr>
            <w:r>
              <w:rPr>
                <w:rFonts w:hint="eastAsia" w:ascii="仿宋" w:hAnsi="仿宋" w:eastAsia="仿宋"/>
                <w:color w:val="000000" w:themeColor="text1"/>
                <w:sz w:val="24"/>
                <w:szCs w:val="21"/>
              </w:rPr>
              <w:t>4</w:t>
            </w:r>
          </w:p>
        </w:tc>
        <w:tc>
          <w:tcPr>
            <w:tcW w:w="7796" w:type="dxa"/>
            <w:vAlign w:val="center"/>
          </w:tcPr>
          <w:p>
            <w:pPr>
              <w:pStyle w:val="35"/>
              <w:spacing w:line="340" w:lineRule="exact"/>
              <w:ind w:left="0" w:leftChars="0" w:firstLine="0"/>
              <w:rPr>
                <w:rFonts w:ascii="仿宋" w:hAnsi="仿宋" w:eastAsia="仿宋"/>
                <w:b/>
                <w:color w:val="000000" w:themeColor="text1"/>
                <w:sz w:val="24"/>
                <w:szCs w:val="20"/>
              </w:rPr>
            </w:pPr>
            <w:r>
              <w:rPr>
                <w:rFonts w:hint="eastAsia" w:ascii="仿宋" w:hAnsi="仿宋" w:eastAsia="仿宋"/>
                <w:b/>
                <w:color w:val="000000" w:themeColor="text1"/>
                <w:sz w:val="24"/>
              </w:rPr>
              <w:t>中小企业声明函（如有）</w:t>
            </w:r>
          </w:p>
        </w:tc>
        <w:tc>
          <w:tcPr>
            <w:tcW w:w="1241" w:type="dxa"/>
            <w:vAlign w:val="center"/>
          </w:tcPr>
          <w:p>
            <w:pPr>
              <w:jc w:val="center"/>
              <w:rPr>
                <w:rFonts w:ascii="仿宋" w:hAnsi="仿宋" w:eastAsia="仿宋" w:cs="新宋体"/>
                <w:bCs/>
                <w:color w:val="000000" w:themeColor="text1"/>
                <w:sz w:val="22"/>
                <w:szCs w:val="22"/>
              </w:rPr>
            </w:pPr>
            <w:r>
              <w:rPr>
                <w:rFonts w:hint="eastAsia" w:ascii="仿宋" w:hAnsi="仿宋" w:eastAsia="仿宋"/>
                <w:b/>
                <w:color w:val="000000" w:themeColor="text1"/>
                <w:sz w:val="24"/>
              </w:rPr>
              <w:t>附件七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pPr>
              <w:overflowPunct w:val="0"/>
              <w:spacing w:line="430" w:lineRule="exact"/>
              <w:jc w:val="center"/>
              <w:rPr>
                <w:rFonts w:ascii="仿宋" w:hAnsi="仿宋" w:eastAsia="仿宋"/>
                <w:color w:val="000000" w:themeColor="text1"/>
                <w:sz w:val="24"/>
                <w:szCs w:val="21"/>
              </w:rPr>
            </w:pPr>
            <w:r>
              <w:rPr>
                <w:rFonts w:hint="eastAsia" w:ascii="仿宋" w:hAnsi="仿宋" w:eastAsia="仿宋"/>
                <w:color w:val="000000" w:themeColor="text1"/>
                <w:sz w:val="24"/>
                <w:szCs w:val="21"/>
              </w:rPr>
              <w:t>5</w:t>
            </w:r>
          </w:p>
        </w:tc>
        <w:tc>
          <w:tcPr>
            <w:tcW w:w="7796" w:type="dxa"/>
            <w:vAlign w:val="center"/>
          </w:tcPr>
          <w:p>
            <w:pPr>
              <w:pStyle w:val="20"/>
              <w:spacing w:line="340" w:lineRule="exact"/>
              <w:rPr>
                <w:rFonts w:ascii="仿宋" w:hAnsi="仿宋" w:eastAsia="仿宋"/>
                <w:b/>
                <w:color w:val="000000" w:themeColor="text1"/>
                <w:sz w:val="24"/>
              </w:rPr>
            </w:pPr>
            <w:r>
              <w:rPr>
                <w:rFonts w:hint="eastAsia" w:ascii="仿宋" w:hAnsi="仿宋" w:eastAsia="仿宋"/>
                <w:b/>
                <w:color w:val="000000" w:themeColor="text1"/>
                <w:sz w:val="24"/>
              </w:rPr>
              <w:t>产品适用政府采购政策情况表（如有）</w:t>
            </w:r>
          </w:p>
        </w:tc>
        <w:tc>
          <w:tcPr>
            <w:tcW w:w="1241" w:type="dxa"/>
            <w:vAlign w:val="center"/>
          </w:tcPr>
          <w:p>
            <w:pPr>
              <w:jc w:val="center"/>
              <w:rPr>
                <w:rFonts w:ascii="仿宋" w:hAnsi="仿宋" w:eastAsia="仿宋" w:cs="新宋体"/>
                <w:bCs/>
                <w:color w:val="000000" w:themeColor="text1"/>
                <w:sz w:val="22"/>
                <w:szCs w:val="22"/>
              </w:rPr>
            </w:pPr>
            <w:r>
              <w:rPr>
                <w:rFonts w:hint="eastAsia" w:ascii="仿宋" w:hAnsi="仿宋" w:eastAsia="仿宋" w:cs="新宋体"/>
                <w:b/>
                <w:color w:val="000000" w:themeColor="text1"/>
                <w:sz w:val="22"/>
                <w:szCs w:val="22"/>
              </w:rPr>
              <w:t>附件八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vAlign w:val="center"/>
          </w:tcPr>
          <w:p>
            <w:pPr>
              <w:overflowPunct w:val="0"/>
              <w:spacing w:line="430" w:lineRule="exact"/>
              <w:jc w:val="center"/>
              <w:rPr>
                <w:rFonts w:ascii="仿宋" w:hAnsi="仿宋" w:eastAsia="仿宋"/>
                <w:color w:val="000000" w:themeColor="text1"/>
                <w:sz w:val="24"/>
                <w:szCs w:val="21"/>
              </w:rPr>
            </w:pPr>
            <w:r>
              <w:rPr>
                <w:rFonts w:hint="eastAsia" w:ascii="仿宋" w:hAnsi="仿宋" w:eastAsia="仿宋"/>
                <w:color w:val="000000" w:themeColor="text1"/>
                <w:sz w:val="24"/>
                <w:szCs w:val="21"/>
              </w:rPr>
              <w:t>6</w:t>
            </w:r>
          </w:p>
        </w:tc>
        <w:tc>
          <w:tcPr>
            <w:tcW w:w="7796" w:type="dxa"/>
            <w:vAlign w:val="center"/>
          </w:tcPr>
          <w:p>
            <w:pPr>
              <w:pStyle w:val="20"/>
              <w:spacing w:line="400" w:lineRule="exact"/>
              <w:rPr>
                <w:rFonts w:ascii="仿宋" w:hAnsi="仿宋" w:eastAsia="仿宋"/>
                <w:b/>
                <w:color w:val="000000" w:themeColor="text1"/>
                <w:sz w:val="24"/>
              </w:rPr>
            </w:pPr>
            <w:r>
              <w:rPr>
                <w:rFonts w:hint="eastAsia" w:ascii="仿宋" w:hAnsi="仿宋" w:eastAsia="仿宋"/>
                <w:b/>
                <w:color w:val="000000" w:themeColor="text1"/>
                <w:sz w:val="24"/>
              </w:rPr>
              <w:t>“国家企业信用信息公示系统——小微企业名录”页面查询结果（查询时间为投标前一周内，并加盖单位公章）（如有）</w:t>
            </w:r>
          </w:p>
        </w:tc>
        <w:tc>
          <w:tcPr>
            <w:tcW w:w="1241" w:type="dxa"/>
            <w:vAlign w:val="center"/>
          </w:tcPr>
          <w:p>
            <w:pPr>
              <w:jc w:val="center"/>
              <w:rPr>
                <w:rFonts w:ascii="仿宋" w:hAnsi="仿宋" w:eastAsia="仿宋" w:cs="新宋体"/>
                <w:bCs/>
                <w:color w:val="000000" w:themeColor="text1"/>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17" w:type="dxa"/>
            <w:vAlign w:val="center"/>
          </w:tcPr>
          <w:p>
            <w:pPr>
              <w:overflowPunct w:val="0"/>
              <w:spacing w:line="430" w:lineRule="exact"/>
              <w:jc w:val="center"/>
              <w:rPr>
                <w:rFonts w:ascii="仿宋" w:hAnsi="仿宋" w:eastAsia="仿宋"/>
                <w:color w:val="000000" w:themeColor="text1"/>
                <w:sz w:val="24"/>
                <w:szCs w:val="21"/>
              </w:rPr>
            </w:pPr>
            <w:r>
              <w:rPr>
                <w:rFonts w:hint="eastAsia" w:ascii="仿宋" w:hAnsi="仿宋" w:eastAsia="仿宋"/>
                <w:color w:val="000000" w:themeColor="text1"/>
                <w:sz w:val="24"/>
                <w:szCs w:val="21"/>
              </w:rPr>
              <w:t>7</w:t>
            </w:r>
          </w:p>
        </w:tc>
        <w:tc>
          <w:tcPr>
            <w:tcW w:w="7796" w:type="dxa"/>
            <w:vAlign w:val="center"/>
          </w:tcPr>
          <w:p>
            <w:pPr>
              <w:rPr>
                <w:rFonts w:ascii="仿宋" w:hAnsi="仿宋" w:eastAsia="仿宋" w:cs="新宋体"/>
                <w:bCs/>
                <w:color w:val="000000" w:themeColor="text1"/>
                <w:sz w:val="22"/>
                <w:szCs w:val="22"/>
              </w:rPr>
            </w:pPr>
            <w:r>
              <w:rPr>
                <w:rFonts w:hint="eastAsia" w:ascii="仿宋" w:hAnsi="仿宋" w:eastAsia="仿宋"/>
                <w:b/>
                <w:color w:val="000000" w:themeColor="text1"/>
                <w:sz w:val="24"/>
              </w:rPr>
              <w:t>投标人认为需要提供的政府采购优惠政策相关材料（如有）</w:t>
            </w:r>
          </w:p>
        </w:tc>
        <w:tc>
          <w:tcPr>
            <w:tcW w:w="1241" w:type="dxa"/>
            <w:vAlign w:val="center"/>
          </w:tcPr>
          <w:p>
            <w:pPr>
              <w:spacing w:line="400" w:lineRule="exact"/>
              <w:jc w:val="center"/>
              <w:rPr>
                <w:rFonts w:ascii="仿宋" w:hAnsi="仿宋" w:eastAsia="仿宋"/>
                <w:color w:val="000000" w:themeColor="text1"/>
                <w:sz w:val="22"/>
                <w:szCs w:val="22"/>
              </w:rPr>
            </w:pPr>
          </w:p>
        </w:tc>
      </w:tr>
    </w:tbl>
    <w:p>
      <w:pPr>
        <w:spacing w:beforeLines="50" w:line="340" w:lineRule="exact"/>
        <w:ind w:firstLine="562" w:firstLineChars="200"/>
        <w:rPr>
          <w:rFonts w:ascii="仿宋" w:hAnsi="仿宋" w:eastAsia="仿宋"/>
          <w:b/>
          <w:color w:val="000000" w:themeColor="text1"/>
          <w:sz w:val="28"/>
          <w:szCs w:val="28"/>
        </w:rPr>
      </w:pPr>
      <w:r>
        <w:rPr>
          <w:rFonts w:hint="eastAsia" w:ascii="仿宋" w:hAnsi="仿宋" w:eastAsia="仿宋"/>
          <w:b/>
          <w:color w:val="000000" w:themeColor="text1"/>
          <w:sz w:val="28"/>
          <w:szCs w:val="28"/>
        </w:rPr>
        <w:t>5</w:t>
      </w:r>
      <w:r>
        <w:rPr>
          <w:rFonts w:hint="eastAsia" w:ascii="仿宋" w:hAnsi="仿宋" w:eastAsia="仿宋"/>
          <w:b/>
          <w:color w:val="000000" w:themeColor="text1"/>
          <w:sz w:val="24"/>
        </w:rPr>
        <w:t>．</w:t>
      </w:r>
      <w:r>
        <w:rPr>
          <w:rFonts w:hint="eastAsia" w:ascii="仿宋" w:hAnsi="仿宋" w:eastAsia="仿宋"/>
          <w:b/>
          <w:color w:val="000000" w:themeColor="text1"/>
          <w:sz w:val="28"/>
          <w:szCs w:val="28"/>
        </w:rPr>
        <w:t>投标文件的语言</w:t>
      </w:r>
    </w:p>
    <w:p>
      <w:pPr>
        <w:snapToGrid w:val="0"/>
        <w:spacing w:line="340" w:lineRule="exact"/>
        <w:ind w:firstLine="477" w:firstLineChars="199"/>
        <w:jc w:val="left"/>
        <w:rPr>
          <w:rFonts w:ascii="仿宋" w:hAnsi="仿宋" w:eastAsia="仿宋"/>
          <w:color w:val="000000" w:themeColor="text1"/>
          <w:sz w:val="24"/>
        </w:rPr>
      </w:pPr>
      <w:r>
        <w:rPr>
          <w:rFonts w:hint="eastAsia" w:ascii="仿宋" w:hAnsi="仿宋" w:eastAsia="仿宋"/>
          <w:bCs/>
          <w:color w:val="000000" w:themeColor="text1"/>
          <w:sz w:val="24"/>
        </w:rPr>
        <w:t>5</w:t>
      </w:r>
      <w:r>
        <w:rPr>
          <w:rFonts w:ascii="仿宋" w:hAnsi="仿宋" w:eastAsia="仿宋"/>
          <w:bCs/>
          <w:color w:val="000000" w:themeColor="text1"/>
          <w:sz w:val="24"/>
        </w:rPr>
        <w:t>.</w:t>
      </w:r>
      <w:r>
        <w:rPr>
          <w:rFonts w:hint="eastAsia" w:ascii="仿宋" w:hAnsi="仿宋" w:eastAsia="仿宋"/>
          <w:bCs/>
          <w:color w:val="000000" w:themeColor="text1"/>
          <w:sz w:val="24"/>
        </w:rPr>
        <w:t>1</w:t>
      </w:r>
      <w:r>
        <w:rPr>
          <w:rFonts w:hint="eastAsia" w:ascii="仿宋" w:hAnsi="仿宋" w:eastAsia="仿宋"/>
          <w:color w:val="000000" w:themeColor="text1"/>
          <w:sz w:val="24"/>
        </w:rPr>
        <w:t>投标文件中除盖章、专用名称、阿拉伯数字等特殊情形外均应以</w:t>
      </w:r>
      <w:r>
        <w:rPr>
          <w:rFonts w:hint="eastAsia" w:ascii="仿宋" w:hAnsi="仿宋" w:eastAsia="仿宋"/>
          <w:b/>
          <w:color w:val="000000" w:themeColor="text1"/>
          <w:sz w:val="24"/>
        </w:rPr>
        <w:t>简体中文书写，否则按无效标处理</w:t>
      </w:r>
      <w:r>
        <w:rPr>
          <w:rFonts w:hint="eastAsia" w:ascii="仿宋" w:hAnsi="仿宋" w:eastAsia="仿宋"/>
          <w:color w:val="000000" w:themeColor="text1"/>
          <w:sz w:val="24"/>
        </w:rPr>
        <w:t>。</w:t>
      </w:r>
    </w:p>
    <w:p>
      <w:pPr>
        <w:snapToGrid w:val="0"/>
        <w:spacing w:beforeLines="50" w:line="340" w:lineRule="exact"/>
        <w:ind w:firstLine="413" w:firstLineChars="147"/>
        <w:jc w:val="left"/>
        <w:rPr>
          <w:rFonts w:ascii="仿宋" w:hAnsi="仿宋" w:eastAsia="仿宋"/>
          <w:b/>
          <w:color w:val="000000" w:themeColor="text1"/>
          <w:sz w:val="28"/>
          <w:szCs w:val="28"/>
        </w:rPr>
      </w:pPr>
      <w:r>
        <w:rPr>
          <w:rFonts w:hint="eastAsia" w:ascii="仿宋" w:hAnsi="仿宋" w:eastAsia="仿宋"/>
          <w:b/>
          <w:color w:val="000000" w:themeColor="text1"/>
          <w:sz w:val="28"/>
          <w:szCs w:val="28"/>
        </w:rPr>
        <w:t>6．投标文件的计量单位</w:t>
      </w:r>
    </w:p>
    <w:p>
      <w:pPr>
        <w:snapToGrid w:val="0"/>
        <w:spacing w:line="324" w:lineRule="exact"/>
        <w:ind w:firstLine="240" w:firstLineChars="100"/>
        <w:jc w:val="left"/>
        <w:rPr>
          <w:rFonts w:ascii="仿宋" w:hAnsi="仿宋" w:eastAsia="仿宋"/>
          <w:color w:val="000000" w:themeColor="text1"/>
          <w:sz w:val="24"/>
        </w:rPr>
      </w:pPr>
      <w:r>
        <w:rPr>
          <w:rFonts w:hint="eastAsia" w:ascii="仿宋" w:hAnsi="仿宋" w:eastAsia="仿宋"/>
          <w:bCs/>
          <w:color w:val="000000" w:themeColor="text1"/>
          <w:sz w:val="24"/>
        </w:rPr>
        <w:t>6</w:t>
      </w:r>
      <w:r>
        <w:rPr>
          <w:rFonts w:ascii="仿宋" w:hAnsi="仿宋" w:eastAsia="仿宋"/>
          <w:bCs/>
          <w:color w:val="000000" w:themeColor="text1"/>
          <w:sz w:val="24"/>
        </w:rPr>
        <w:t>.</w:t>
      </w:r>
      <w:r>
        <w:rPr>
          <w:rFonts w:hint="eastAsia" w:ascii="仿宋" w:hAnsi="仿宋" w:eastAsia="仿宋"/>
          <w:bCs/>
          <w:color w:val="000000" w:themeColor="text1"/>
          <w:sz w:val="24"/>
        </w:rPr>
        <w:t>1</w:t>
      </w:r>
      <w:r>
        <w:rPr>
          <w:rFonts w:hint="eastAsia" w:ascii="仿宋" w:hAnsi="仿宋" w:eastAsia="仿宋"/>
          <w:color w:val="000000" w:themeColor="text1"/>
          <w:sz w:val="24"/>
        </w:rPr>
        <w:t>投标计量单位，招标文件有规定的按其规定，无规定的采用中华人民共和国法定计量单位</w:t>
      </w:r>
      <w:bookmarkStart w:id="3" w:name="_Toc177824878"/>
      <w:bookmarkStart w:id="4" w:name="_Toc177870548"/>
      <w:bookmarkStart w:id="5" w:name="_Toc177825126"/>
      <w:bookmarkStart w:id="6" w:name="_Toc177824945"/>
      <w:r>
        <w:rPr>
          <w:rFonts w:hint="eastAsia" w:ascii="仿宋" w:hAnsi="仿宋" w:eastAsia="仿宋"/>
          <w:color w:val="000000" w:themeColor="text1"/>
          <w:sz w:val="24"/>
        </w:rPr>
        <w:t>，否则按无效标处理。</w:t>
      </w:r>
    </w:p>
    <w:p>
      <w:pPr>
        <w:snapToGrid w:val="0"/>
        <w:spacing w:beforeLines="50" w:line="324" w:lineRule="exact"/>
        <w:ind w:firstLine="413" w:firstLineChars="147"/>
        <w:jc w:val="left"/>
        <w:rPr>
          <w:rFonts w:ascii="仿宋" w:hAnsi="仿宋" w:eastAsia="仿宋"/>
          <w:b/>
          <w:color w:val="000000" w:themeColor="text1"/>
          <w:sz w:val="28"/>
          <w:szCs w:val="28"/>
        </w:rPr>
      </w:pPr>
      <w:r>
        <w:rPr>
          <w:rFonts w:hint="eastAsia" w:ascii="仿宋" w:hAnsi="仿宋" w:eastAsia="仿宋"/>
          <w:b/>
          <w:color w:val="000000" w:themeColor="text1"/>
          <w:sz w:val="28"/>
          <w:szCs w:val="28"/>
        </w:rPr>
        <w:t>7．投标报价</w:t>
      </w:r>
      <w:bookmarkEnd w:id="3"/>
      <w:bookmarkEnd w:id="4"/>
      <w:bookmarkEnd w:id="5"/>
      <w:bookmarkEnd w:id="6"/>
    </w:p>
    <w:p>
      <w:pPr>
        <w:snapToGrid w:val="0"/>
        <w:spacing w:line="400" w:lineRule="exact"/>
        <w:ind w:firstLine="240" w:firstLineChars="100"/>
        <w:jc w:val="left"/>
        <w:rPr>
          <w:rFonts w:ascii="仿宋" w:hAnsi="仿宋" w:eastAsia="仿宋" w:cs="仿宋"/>
          <w:b/>
          <w:color w:val="000000" w:themeColor="text1"/>
          <w:sz w:val="24"/>
          <w:u w:val="single"/>
        </w:rPr>
      </w:pPr>
      <w:r>
        <w:rPr>
          <w:rFonts w:ascii="仿宋" w:hAnsi="仿宋" w:eastAsia="仿宋"/>
          <w:color w:val="000000" w:themeColor="text1"/>
          <w:sz w:val="24"/>
        </w:rPr>
        <w:t>7.</w:t>
      </w:r>
      <w:r>
        <w:rPr>
          <w:rFonts w:hint="eastAsia" w:ascii="仿宋" w:hAnsi="仿宋" w:eastAsia="仿宋" w:cs="仿宋"/>
          <w:color w:val="000000" w:themeColor="text1"/>
          <w:sz w:val="24"/>
        </w:rPr>
        <w:t>1</w:t>
      </w:r>
      <w:r>
        <w:rPr>
          <w:rFonts w:hint="eastAsia" w:ascii="仿宋" w:hAnsi="仿宋" w:eastAsia="仿宋" w:cs="仿宋"/>
          <w:b/>
          <w:color w:val="000000" w:themeColor="text1"/>
          <w:sz w:val="24"/>
          <w:u w:val="single"/>
        </w:rPr>
        <w:t>投标报价是履行合同的最终价格，应包括货款、标准附件、备品备件、专用工具、包装、运输、装卸、保险、税金、规费、利润、货到就位（安装）、调试、培训、验收费、检测费、保修、售后服务，软件开发实施项目所需的调研、需求分析及软件的分析、设计、开发、编制、测试、安装、运行维护、技术服务以及合同包含的所有风险、责任、招标代理费等各项应有费用。</w:t>
      </w:r>
    </w:p>
    <w:p>
      <w:pPr>
        <w:snapToGrid w:val="0"/>
        <w:spacing w:line="400" w:lineRule="exact"/>
        <w:ind w:firstLine="240" w:firstLineChars="100"/>
        <w:jc w:val="left"/>
        <w:rPr>
          <w:rFonts w:ascii="仿宋" w:hAnsi="仿宋" w:eastAsia="仿宋" w:cs="仿宋"/>
          <w:b/>
          <w:color w:val="000000" w:themeColor="text1"/>
          <w:spacing w:val="-2"/>
          <w:sz w:val="24"/>
        </w:rPr>
      </w:pPr>
      <w:r>
        <w:rPr>
          <w:rFonts w:hint="eastAsia" w:ascii="宋体" w:hAnsi="宋体"/>
          <w:color w:val="000000" w:themeColor="text1"/>
          <w:sz w:val="24"/>
        </w:rPr>
        <w:t>7.</w:t>
      </w:r>
      <w:r>
        <w:rPr>
          <w:rFonts w:hint="eastAsia" w:ascii="仿宋" w:hAnsi="仿宋" w:eastAsia="仿宋" w:cs="仿宋"/>
          <w:color w:val="000000" w:themeColor="text1"/>
          <w:sz w:val="24"/>
        </w:rPr>
        <w:t>2</w:t>
      </w:r>
      <w:r>
        <w:rPr>
          <w:rFonts w:hint="eastAsia" w:ascii="仿宋" w:hAnsi="仿宋" w:eastAsia="仿宋" w:cs="仿宋"/>
          <w:b/>
          <w:color w:val="000000" w:themeColor="text1"/>
          <w:spacing w:val="-2"/>
          <w:sz w:val="24"/>
          <w:u w:val="single"/>
        </w:rPr>
        <w:t>报价超过采购预算或者最高限价的，作无效标处理。</w:t>
      </w:r>
    </w:p>
    <w:p>
      <w:pPr>
        <w:pStyle w:val="20"/>
        <w:spacing w:line="324" w:lineRule="exact"/>
        <w:ind w:firstLine="240" w:firstLineChars="100"/>
        <w:rPr>
          <w:rFonts w:ascii="仿宋" w:hAnsi="仿宋" w:eastAsia="仿宋"/>
          <w:color w:val="000000" w:themeColor="text1"/>
          <w:sz w:val="24"/>
        </w:rPr>
      </w:pPr>
      <w:r>
        <w:rPr>
          <w:rFonts w:ascii="仿宋" w:hAnsi="仿宋" w:eastAsia="仿宋"/>
          <w:color w:val="000000" w:themeColor="text1"/>
          <w:sz w:val="24"/>
        </w:rPr>
        <w:t>7.3 投标报价币种及单位为</w:t>
      </w:r>
      <w:r>
        <w:rPr>
          <w:rFonts w:ascii="仿宋" w:hAnsi="仿宋" w:eastAsia="仿宋"/>
          <w:b/>
          <w:color w:val="000000" w:themeColor="text1"/>
          <w:sz w:val="24"/>
          <w:u w:val="single"/>
        </w:rPr>
        <w:t>人民币</w:t>
      </w:r>
      <w:r>
        <w:rPr>
          <w:rFonts w:hint="eastAsia" w:ascii="仿宋" w:hAnsi="仿宋" w:eastAsia="仿宋"/>
          <w:b/>
          <w:color w:val="000000" w:themeColor="text1"/>
          <w:sz w:val="24"/>
          <w:u w:val="single"/>
        </w:rPr>
        <w:t>、</w:t>
      </w:r>
      <w:r>
        <w:rPr>
          <w:rFonts w:ascii="仿宋" w:hAnsi="仿宋" w:eastAsia="仿宋"/>
          <w:b/>
          <w:color w:val="000000" w:themeColor="text1"/>
          <w:sz w:val="24"/>
          <w:u w:val="single"/>
        </w:rPr>
        <w:t>元</w:t>
      </w:r>
      <w:r>
        <w:rPr>
          <w:rFonts w:hint="eastAsia" w:ascii="仿宋" w:hAnsi="仿宋" w:eastAsia="仿宋"/>
          <w:color w:val="000000" w:themeColor="text1"/>
          <w:sz w:val="24"/>
        </w:rPr>
        <w:t>，否则按无效标处理。</w:t>
      </w:r>
    </w:p>
    <w:p>
      <w:pPr>
        <w:pStyle w:val="20"/>
        <w:numPr>
          <w:ilvl w:val="1"/>
          <w:numId w:val="1"/>
        </w:numPr>
        <w:snapToGrid w:val="0"/>
        <w:spacing w:line="324" w:lineRule="exact"/>
        <w:jc w:val="left"/>
        <w:rPr>
          <w:rFonts w:ascii="仿宋" w:hAnsi="仿宋" w:eastAsia="仿宋"/>
          <w:color w:val="000000" w:themeColor="text1"/>
          <w:sz w:val="24"/>
        </w:rPr>
      </w:pPr>
      <w:r>
        <w:rPr>
          <w:rFonts w:ascii="仿宋" w:hAnsi="仿宋" w:eastAsia="仿宋"/>
          <w:color w:val="000000" w:themeColor="text1"/>
          <w:sz w:val="24"/>
        </w:rPr>
        <w:t>投标文件只允许有一个报价，提供两个或多个报价的按无效标处理。</w:t>
      </w:r>
    </w:p>
    <w:p>
      <w:pPr>
        <w:tabs>
          <w:tab w:val="left" w:pos="540"/>
        </w:tabs>
        <w:spacing w:line="460" w:lineRule="exact"/>
        <w:ind w:left="120" w:firstLine="120" w:firstLineChars="50"/>
        <w:rPr>
          <w:rFonts w:ascii="仿宋" w:hAnsi="仿宋" w:eastAsia="仿宋"/>
          <w:color w:val="000000" w:themeColor="text1"/>
          <w:sz w:val="24"/>
        </w:rPr>
      </w:pPr>
      <w:r>
        <w:rPr>
          <w:rFonts w:hint="eastAsia" w:ascii="仿宋" w:hAnsi="仿宋" w:eastAsia="仿宋"/>
          <w:color w:val="000000" w:themeColor="text1"/>
          <w:sz w:val="24"/>
        </w:rPr>
        <w:t>7.5投标人所报的投标总价在合同执行过程中是固定不变的，不得以任何理由予以变更。任何包含投标总价调整的要求，将被认为是非实质性响应投标而予以拒绝。</w:t>
      </w:r>
    </w:p>
    <w:p>
      <w:pPr>
        <w:snapToGrid w:val="0"/>
        <w:spacing w:beforeLines="50" w:line="324" w:lineRule="exact"/>
        <w:ind w:firstLine="413" w:firstLineChars="147"/>
        <w:jc w:val="left"/>
        <w:outlineLvl w:val="1"/>
        <w:rPr>
          <w:rFonts w:ascii="仿宋" w:hAnsi="仿宋" w:eastAsia="仿宋"/>
          <w:b/>
          <w:color w:val="000000" w:themeColor="text1"/>
          <w:sz w:val="28"/>
          <w:szCs w:val="28"/>
        </w:rPr>
      </w:pPr>
      <w:bookmarkStart w:id="7" w:name="_Toc177870541"/>
      <w:bookmarkStart w:id="8" w:name="_Toc177824942"/>
      <w:bookmarkStart w:id="9" w:name="_Toc177824875"/>
      <w:bookmarkStart w:id="10" w:name="_Toc177825123"/>
      <w:r>
        <w:rPr>
          <w:rFonts w:hint="eastAsia" w:ascii="仿宋" w:hAnsi="仿宋" w:eastAsia="仿宋"/>
          <w:b/>
          <w:color w:val="000000" w:themeColor="text1"/>
          <w:sz w:val="28"/>
          <w:szCs w:val="28"/>
        </w:rPr>
        <w:t>8．投标费用</w:t>
      </w:r>
      <w:bookmarkEnd w:id="7"/>
      <w:bookmarkEnd w:id="8"/>
      <w:bookmarkEnd w:id="9"/>
      <w:bookmarkEnd w:id="10"/>
    </w:p>
    <w:p>
      <w:pPr>
        <w:snapToGrid w:val="0"/>
        <w:spacing w:line="324" w:lineRule="exact"/>
        <w:ind w:firstLine="240" w:firstLineChars="100"/>
        <w:jc w:val="left"/>
        <w:rPr>
          <w:rFonts w:ascii="仿宋" w:hAnsi="仿宋" w:eastAsia="仿宋"/>
          <w:color w:val="000000" w:themeColor="text1"/>
          <w:sz w:val="24"/>
        </w:rPr>
      </w:pPr>
      <w:r>
        <w:rPr>
          <w:rFonts w:hint="eastAsia" w:ascii="仿宋" w:hAnsi="仿宋" w:eastAsia="仿宋"/>
          <w:color w:val="000000" w:themeColor="text1"/>
          <w:sz w:val="24"/>
        </w:rPr>
        <w:t>8</w:t>
      </w:r>
      <w:r>
        <w:rPr>
          <w:rFonts w:ascii="仿宋" w:hAnsi="仿宋" w:eastAsia="仿宋"/>
          <w:color w:val="000000" w:themeColor="text1"/>
          <w:sz w:val="24"/>
        </w:rPr>
        <w:t>.</w:t>
      </w:r>
      <w:r>
        <w:rPr>
          <w:rFonts w:hint="eastAsia" w:ascii="仿宋" w:hAnsi="仿宋" w:eastAsia="仿宋"/>
          <w:color w:val="000000" w:themeColor="text1"/>
          <w:sz w:val="24"/>
        </w:rPr>
        <w:t>1 不论投标过程和结果如何，投标人自行承担与投标有关的全部费用。</w:t>
      </w:r>
    </w:p>
    <w:p>
      <w:pPr>
        <w:snapToGrid w:val="0"/>
        <w:spacing w:line="324" w:lineRule="exact"/>
        <w:ind w:firstLine="241" w:firstLineChars="100"/>
        <w:jc w:val="left"/>
        <w:rPr>
          <w:rFonts w:ascii="仿宋" w:hAnsi="仿宋" w:eastAsia="仿宋" w:cs="仿宋"/>
          <w:b/>
          <w:bCs/>
          <w:color w:val="000000" w:themeColor="text1"/>
          <w:sz w:val="24"/>
        </w:rPr>
      </w:pPr>
      <w:r>
        <w:rPr>
          <w:rFonts w:hint="eastAsia" w:ascii="仿宋" w:hAnsi="仿宋" w:eastAsia="仿宋" w:cs="仿宋"/>
          <w:b/>
          <w:bCs/>
          <w:color w:val="000000" w:themeColor="text1"/>
          <w:sz w:val="24"/>
        </w:rPr>
        <w:t>8.2本项目招标代理服务费（按标项一、标项二分别收取）按发改价格[2011]534号文件货物类招标计算标准的15%向标人收取，招标费用包含在报价其他费用内，不在报价中单列，并在领取中标通知书前向采购代理机构缴纳。</w:t>
      </w:r>
    </w:p>
    <w:p>
      <w:pPr>
        <w:snapToGrid w:val="0"/>
        <w:spacing w:beforeLines="50" w:line="324" w:lineRule="exact"/>
        <w:ind w:firstLine="413" w:firstLineChars="147"/>
        <w:jc w:val="left"/>
        <w:outlineLvl w:val="1"/>
        <w:rPr>
          <w:rFonts w:ascii="仿宋" w:hAnsi="仿宋" w:eastAsia="仿宋"/>
          <w:b/>
          <w:color w:val="000000" w:themeColor="text1"/>
          <w:sz w:val="28"/>
          <w:szCs w:val="28"/>
        </w:rPr>
      </w:pPr>
      <w:r>
        <w:rPr>
          <w:rFonts w:hint="eastAsia" w:ascii="仿宋" w:hAnsi="仿宋" w:eastAsia="仿宋"/>
          <w:b/>
          <w:color w:val="000000" w:themeColor="text1"/>
          <w:sz w:val="28"/>
          <w:szCs w:val="28"/>
        </w:rPr>
        <w:t>9．联合体投标</w:t>
      </w:r>
    </w:p>
    <w:p>
      <w:pPr>
        <w:snapToGrid w:val="0"/>
        <w:spacing w:line="324" w:lineRule="exact"/>
        <w:ind w:firstLine="240" w:firstLineChars="100"/>
        <w:jc w:val="left"/>
        <w:rPr>
          <w:rFonts w:ascii="仿宋" w:hAnsi="仿宋" w:eastAsia="仿宋"/>
          <w:color w:val="000000" w:themeColor="text1"/>
          <w:sz w:val="24"/>
        </w:rPr>
      </w:pPr>
      <w:r>
        <w:rPr>
          <w:rFonts w:hint="eastAsia" w:ascii="仿宋" w:hAnsi="仿宋" w:eastAsia="仿宋"/>
          <w:color w:val="000000" w:themeColor="text1"/>
          <w:sz w:val="24"/>
        </w:rPr>
        <w:t>9</w:t>
      </w:r>
      <w:r>
        <w:rPr>
          <w:rFonts w:ascii="仿宋" w:hAnsi="仿宋" w:eastAsia="仿宋"/>
          <w:color w:val="000000" w:themeColor="text1"/>
          <w:sz w:val="24"/>
        </w:rPr>
        <w:t>.</w:t>
      </w:r>
      <w:r>
        <w:rPr>
          <w:rFonts w:hint="eastAsia" w:ascii="仿宋" w:hAnsi="仿宋" w:eastAsia="仿宋"/>
          <w:color w:val="000000" w:themeColor="text1"/>
          <w:sz w:val="24"/>
        </w:rPr>
        <w:t>1 本项目不接受联合体投标。</w:t>
      </w:r>
    </w:p>
    <w:p>
      <w:pPr>
        <w:snapToGrid w:val="0"/>
        <w:spacing w:beforeLines="50" w:line="324" w:lineRule="exact"/>
        <w:ind w:firstLine="413" w:firstLineChars="147"/>
        <w:jc w:val="left"/>
        <w:outlineLvl w:val="1"/>
        <w:rPr>
          <w:rFonts w:ascii="仿宋" w:hAnsi="仿宋" w:eastAsia="仿宋"/>
          <w:b/>
          <w:color w:val="000000" w:themeColor="text1"/>
          <w:sz w:val="28"/>
          <w:szCs w:val="28"/>
        </w:rPr>
      </w:pPr>
      <w:bookmarkStart w:id="11" w:name="_Toc177870542"/>
      <w:r>
        <w:rPr>
          <w:rFonts w:hint="eastAsia" w:ascii="仿宋" w:hAnsi="仿宋" w:eastAsia="仿宋"/>
          <w:b/>
          <w:color w:val="000000" w:themeColor="text1"/>
          <w:sz w:val="28"/>
          <w:szCs w:val="28"/>
        </w:rPr>
        <w:t>10．特别说明</w:t>
      </w:r>
      <w:bookmarkEnd w:id="11"/>
    </w:p>
    <w:p>
      <w:pPr>
        <w:pStyle w:val="20"/>
        <w:snapToGrid w:val="0"/>
        <w:spacing w:line="324" w:lineRule="exact"/>
        <w:ind w:left="2" w:leftChars="1" w:firstLine="240" w:firstLineChars="100"/>
        <w:rPr>
          <w:rFonts w:ascii="仿宋" w:hAnsi="仿宋" w:eastAsia="仿宋"/>
          <w:color w:val="000000" w:themeColor="text1"/>
          <w:sz w:val="24"/>
          <w:bdr w:val="single" w:color="auto" w:sz="4" w:space="0"/>
        </w:rPr>
      </w:pPr>
      <w:r>
        <w:rPr>
          <w:rFonts w:ascii="仿宋" w:hAnsi="仿宋" w:eastAsia="仿宋"/>
          <w:color w:val="000000" w:themeColor="text1"/>
          <w:sz w:val="24"/>
        </w:rPr>
        <w:t>10.1 投标人不得是采购人的附属机构（单位）。</w:t>
      </w:r>
    </w:p>
    <w:p>
      <w:pPr>
        <w:pStyle w:val="20"/>
        <w:snapToGrid w:val="0"/>
        <w:spacing w:line="324" w:lineRule="exact"/>
        <w:ind w:firstLine="240" w:firstLineChars="100"/>
        <w:rPr>
          <w:rFonts w:ascii="仿宋" w:hAnsi="仿宋" w:eastAsia="仿宋"/>
          <w:color w:val="000000" w:themeColor="text1"/>
          <w:sz w:val="24"/>
        </w:rPr>
      </w:pPr>
      <w:r>
        <w:rPr>
          <w:rFonts w:ascii="仿宋" w:hAnsi="仿宋" w:eastAsia="仿宋"/>
          <w:color w:val="000000" w:themeColor="text1"/>
          <w:sz w:val="24"/>
        </w:rPr>
        <w:t>10.2 投标人投标所使用的资格、信誉、荣誉、业绩、认证等必须为投标人所</w:t>
      </w:r>
      <w:r>
        <w:rPr>
          <w:rFonts w:hint="eastAsia" w:ascii="仿宋" w:hAnsi="仿宋" w:eastAsia="仿宋"/>
          <w:color w:val="000000" w:themeColor="text1"/>
          <w:sz w:val="24"/>
        </w:rPr>
        <w:t>合法享有</w:t>
      </w:r>
      <w:r>
        <w:rPr>
          <w:rFonts w:ascii="仿宋" w:hAnsi="仿宋" w:eastAsia="仿宋"/>
          <w:color w:val="000000" w:themeColor="text1"/>
          <w:sz w:val="24"/>
        </w:rPr>
        <w:t>。</w:t>
      </w:r>
    </w:p>
    <w:p>
      <w:pPr>
        <w:pStyle w:val="20"/>
        <w:snapToGrid w:val="0"/>
        <w:spacing w:line="324" w:lineRule="exact"/>
        <w:ind w:left="2" w:leftChars="1" w:firstLine="240" w:firstLineChars="100"/>
        <w:rPr>
          <w:rFonts w:ascii="仿宋" w:hAnsi="仿宋" w:eastAsia="仿宋"/>
          <w:color w:val="000000" w:themeColor="text1"/>
          <w:sz w:val="24"/>
        </w:rPr>
      </w:pPr>
      <w:r>
        <w:rPr>
          <w:rFonts w:ascii="仿宋" w:hAnsi="仿宋" w:eastAsia="仿宋"/>
          <w:color w:val="000000" w:themeColor="text1"/>
          <w:sz w:val="24"/>
        </w:rPr>
        <w:t>10.3 投标人在投标活动中提供任何虚假材料或从事其他违法活动的,其投标无效，并报有关部门查处。</w:t>
      </w:r>
    </w:p>
    <w:p>
      <w:pPr>
        <w:pStyle w:val="20"/>
        <w:snapToGrid w:val="0"/>
        <w:spacing w:line="324" w:lineRule="exact"/>
        <w:ind w:left="2" w:leftChars="1" w:firstLine="240" w:firstLineChars="100"/>
        <w:rPr>
          <w:rFonts w:ascii="仿宋" w:hAnsi="仿宋" w:eastAsia="仿宋"/>
          <w:color w:val="000000" w:themeColor="text1"/>
          <w:sz w:val="24"/>
        </w:rPr>
      </w:pPr>
      <w:r>
        <w:rPr>
          <w:rFonts w:ascii="仿宋" w:hAnsi="仿宋" w:eastAsia="仿宋"/>
          <w:color w:val="000000" w:themeColor="text1"/>
          <w:sz w:val="24"/>
        </w:rPr>
        <w:t>10.4 投标人与采购代理机构就有关投标事宜的所有函电，除盖章、专用名称、阿拉伯数字等特殊情形外均应以简体中文书写，否则不</w:t>
      </w:r>
      <w:r>
        <w:rPr>
          <w:rFonts w:hint="eastAsia" w:ascii="仿宋" w:hAnsi="仿宋" w:eastAsia="仿宋"/>
          <w:color w:val="000000" w:themeColor="text1"/>
          <w:sz w:val="24"/>
        </w:rPr>
        <w:t>予</w:t>
      </w:r>
      <w:r>
        <w:rPr>
          <w:rFonts w:ascii="仿宋" w:hAnsi="仿宋" w:eastAsia="仿宋"/>
          <w:color w:val="000000" w:themeColor="text1"/>
          <w:sz w:val="24"/>
        </w:rPr>
        <w:t>受理。</w:t>
      </w:r>
    </w:p>
    <w:p>
      <w:pPr>
        <w:pStyle w:val="20"/>
        <w:snapToGrid w:val="0"/>
        <w:spacing w:line="324" w:lineRule="exact"/>
        <w:ind w:left="2" w:leftChars="1" w:firstLine="240" w:firstLineChars="100"/>
        <w:rPr>
          <w:rFonts w:ascii="仿宋" w:hAnsi="仿宋" w:eastAsia="仿宋"/>
          <w:color w:val="000000" w:themeColor="text1"/>
          <w:sz w:val="24"/>
        </w:rPr>
      </w:pPr>
      <w:r>
        <w:rPr>
          <w:rFonts w:hint="eastAsia" w:ascii="仿宋" w:hAnsi="仿宋" w:eastAsia="仿宋"/>
          <w:color w:val="000000" w:themeColor="text1"/>
          <w:sz w:val="24"/>
        </w:rPr>
        <w:t>10.5为采购项目提供整体设计、规范编制或者项目管理、监理、检测等服务的供应商，不得再参加该采购项目的其他采购活动。</w:t>
      </w:r>
    </w:p>
    <w:p>
      <w:pPr>
        <w:pStyle w:val="20"/>
        <w:snapToGrid w:val="0"/>
        <w:spacing w:line="324" w:lineRule="exact"/>
        <w:ind w:left="2" w:leftChars="1" w:firstLine="240" w:firstLineChars="100"/>
        <w:rPr>
          <w:rFonts w:ascii="仿宋" w:hAnsi="仿宋" w:eastAsia="仿宋"/>
          <w:color w:val="000000" w:themeColor="text1"/>
          <w:sz w:val="24"/>
        </w:rPr>
      </w:pPr>
      <w:r>
        <w:rPr>
          <w:rFonts w:hint="eastAsia" w:ascii="仿宋" w:hAnsi="仿宋" w:eastAsia="仿宋"/>
          <w:color w:val="000000" w:themeColor="text1"/>
          <w:sz w:val="24"/>
        </w:rPr>
        <w:t>10.6单位负责人为同一人或者存在直接控股、管理关系的不同供应商，不得参加同一合同项下的政府采购活动。</w:t>
      </w:r>
    </w:p>
    <w:p>
      <w:pPr>
        <w:snapToGrid w:val="0"/>
        <w:spacing w:beforeLines="50" w:line="324" w:lineRule="exact"/>
        <w:ind w:firstLine="413" w:firstLineChars="147"/>
        <w:jc w:val="left"/>
        <w:outlineLvl w:val="1"/>
        <w:rPr>
          <w:rFonts w:ascii="仿宋" w:hAnsi="仿宋" w:eastAsia="仿宋"/>
          <w:b/>
          <w:bCs/>
          <w:color w:val="000000" w:themeColor="text1"/>
          <w:sz w:val="28"/>
          <w:szCs w:val="28"/>
        </w:rPr>
      </w:pPr>
      <w:r>
        <w:rPr>
          <w:rFonts w:ascii="仿宋" w:hAnsi="仿宋" w:eastAsia="仿宋"/>
          <w:b/>
          <w:color w:val="000000" w:themeColor="text1"/>
          <w:sz w:val="28"/>
          <w:szCs w:val="28"/>
        </w:rPr>
        <w:t>11．投标文件有效期</w:t>
      </w:r>
    </w:p>
    <w:p>
      <w:pPr>
        <w:pStyle w:val="20"/>
        <w:spacing w:line="324" w:lineRule="exact"/>
        <w:ind w:firstLine="236" w:firstLineChars="98"/>
        <w:rPr>
          <w:rFonts w:ascii="仿宋" w:hAnsi="仿宋" w:eastAsia="仿宋"/>
          <w:b/>
          <w:color w:val="000000" w:themeColor="text1"/>
          <w:sz w:val="24"/>
        </w:rPr>
      </w:pPr>
      <w:r>
        <w:rPr>
          <w:rFonts w:ascii="仿宋" w:hAnsi="仿宋" w:eastAsia="仿宋"/>
          <w:b/>
          <w:color w:val="000000" w:themeColor="text1"/>
          <w:sz w:val="24"/>
        </w:rPr>
        <w:t xml:space="preserve">11.1 投标文件有效期为 </w:t>
      </w:r>
      <w:r>
        <w:rPr>
          <w:rFonts w:ascii="仿宋" w:hAnsi="仿宋" w:eastAsia="仿宋"/>
          <w:b/>
          <w:color w:val="000000" w:themeColor="text1"/>
          <w:sz w:val="24"/>
          <w:u w:val="single"/>
        </w:rPr>
        <w:t xml:space="preserve"> 90</w:t>
      </w:r>
      <w:r>
        <w:rPr>
          <w:rFonts w:ascii="仿宋" w:hAnsi="仿宋" w:eastAsia="仿宋"/>
          <w:b/>
          <w:color w:val="000000" w:themeColor="text1"/>
          <w:sz w:val="24"/>
        </w:rPr>
        <w:t>天，从招标文件规定的提交投标文件截止之日起计算，在此期限内，投标人不得撤回或修改其投标文件。</w:t>
      </w:r>
    </w:p>
    <w:p>
      <w:pPr>
        <w:pStyle w:val="20"/>
        <w:spacing w:line="324" w:lineRule="exact"/>
        <w:ind w:firstLine="240" w:firstLineChars="100"/>
        <w:rPr>
          <w:rFonts w:ascii="仿宋" w:hAnsi="仿宋" w:eastAsia="仿宋"/>
          <w:color w:val="000000" w:themeColor="text1"/>
          <w:sz w:val="24"/>
        </w:rPr>
      </w:pPr>
      <w:r>
        <w:rPr>
          <w:rFonts w:ascii="仿宋" w:hAnsi="仿宋" w:eastAsia="仿宋"/>
          <w:color w:val="000000" w:themeColor="text1"/>
          <w:sz w:val="24"/>
        </w:rPr>
        <w:t>11.2 在投标文件有效期结束前，出现特殊情况的，采购代理机构可以书面形式要求所有投标人延长投标有效期，对此要求投标人须以书面形式予以答复。投标人同意延长的，不得要求也不允许修改或撤销其投标文件；投标人拒绝延长的，其投标失效。</w:t>
      </w:r>
    </w:p>
    <w:p>
      <w:pPr>
        <w:pStyle w:val="20"/>
        <w:spacing w:beforeLines="50" w:line="324" w:lineRule="exact"/>
        <w:ind w:firstLine="413" w:firstLineChars="147"/>
        <w:rPr>
          <w:rFonts w:ascii="仿宋" w:hAnsi="仿宋" w:eastAsia="仿宋"/>
          <w:b/>
          <w:bCs/>
          <w:color w:val="000000" w:themeColor="text1"/>
          <w:sz w:val="28"/>
        </w:rPr>
      </w:pPr>
      <w:r>
        <w:rPr>
          <w:rFonts w:ascii="仿宋" w:hAnsi="仿宋" w:eastAsia="仿宋"/>
          <w:b/>
          <w:bCs/>
          <w:color w:val="000000" w:themeColor="text1"/>
          <w:sz w:val="28"/>
          <w:szCs w:val="28"/>
        </w:rPr>
        <w:t>1</w:t>
      </w:r>
      <w:r>
        <w:rPr>
          <w:rFonts w:hint="eastAsia" w:ascii="仿宋" w:hAnsi="仿宋" w:eastAsia="仿宋"/>
          <w:b/>
          <w:bCs/>
          <w:color w:val="000000" w:themeColor="text1"/>
          <w:sz w:val="28"/>
          <w:szCs w:val="28"/>
        </w:rPr>
        <w:t>2</w:t>
      </w:r>
      <w:r>
        <w:rPr>
          <w:rFonts w:ascii="仿宋" w:hAnsi="仿宋" w:eastAsia="仿宋"/>
          <w:b/>
          <w:bCs/>
          <w:color w:val="000000" w:themeColor="text1"/>
          <w:sz w:val="28"/>
          <w:szCs w:val="28"/>
        </w:rPr>
        <w:t>.</w:t>
      </w:r>
      <w:r>
        <w:rPr>
          <w:rFonts w:ascii="仿宋" w:hAnsi="仿宋" w:eastAsia="仿宋"/>
          <w:b/>
          <w:bCs/>
          <w:color w:val="000000" w:themeColor="text1"/>
          <w:sz w:val="28"/>
        </w:rPr>
        <w:t xml:space="preserve"> 现场踏勘</w:t>
      </w:r>
    </w:p>
    <w:p>
      <w:pPr>
        <w:pStyle w:val="20"/>
        <w:spacing w:line="324" w:lineRule="exact"/>
        <w:ind w:firstLine="240" w:firstLineChars="100"/>
        <w:rPr>
          <w:rFonts w:ascii="仿宋" w:hAnsi="仿宋" w:eastAsia="仿宋"/>
          <w:b/>
          <w:i/>
          <w:color w:val="000000" w:themeColor="text1"/>
          <w:sz w:val="24"/>
        </w:rPr>
      </w:pPr>
      <w:r>
        <w:rPr>
          <w:rFonts w:ascii="仿宋" w:hAnsi="仿宋" w:eastAsia="仿宋"/>
          <w:i/>
          <w:color w:val="000000" w:themeColor="text1"/>
          <w:sz w:val="24"/>
        </w:rPr>
        <w:t>1</w:t>
      </w:r>
      <w:r>
        <w:rPr>
          <w:rFonts w:hint="eastAsia" w:ascii="仿宋" w:hAnsi="仿宋" w:eastAsia="仿宋"/>
          <w:i/>
          <w:color w:val="000000" w:themeColor="text1"/>
          <w:sz w:val="24"/>
        </w:rPr>
        <w:t>2</w:t>
      </w:r>
      <w:r>
        <w:rPr>
          <w:rFonts w:ascii="仿宋" w:hAnsi="仿宋" w:eastAsia="仿宋"/>
          <w:i/>
          <w:color w:val="000000" w:themeColor="text1"/>
          <w:sz w:val="24"/>
        </w:rPr>
        <w:t xml:space="preserve">.1 </w:t>
      </w:r>
      <w:r>
        <w:rPr>
          <w:rFonts w:ascii="仿宋" w:hAnsi="仿宋" w:eastAsia="仿宋"/>
          <w:b/>
          <w:color w:val="000000" w:themeColor="text1"/>
          <w:sz w:val="24"/>
        </w:rPr>
        <w:t>本项目不组织现场踏勘。</w:t>
      </w:r>
    </w:p>
    <w:p>
      <w:pPr>
        <w:pStyle w:val="20"/>
        <w:spacing w:beforeLines="50" w:line="324" w:lineRule="exact"/>
        <w:ind w:firstLine="413" w:firstLineChars="147"/>
        <w:rPr>
          <w:rFonts w:ascii="仿宋" w:hAnsi="仿宋" w:eastAsia="仿宋"/>
          <w:b/>
          <w:bCs/>
          <w:color w:val="000000" w:themeColor="text1"/>
          <w:sz w:val="28"/>
          <w:szCs w:val="28"/>
        </w:rPr>
      </w:pPr>
      <w:r>
        <w:rPr>
          <w:rFonts w:ascii="仿宋" w:hAnsi="仿宋" w:eastAsia="仿宋"/>
          <w:b/>
          <w:bCs/>
          <w:color w:val="000000" w:themeColor="text1"/>
          <w:sz w:val="28"/>
          <w:szCs w:val="28"/>
        </w:rPr>
        <w:t>1</w:t>
      </w:r>
      <w:r>
        <w:rPr>
          <w:rFonts w:hint="eastAsia" w:ascii="仿宋" w:hAnsi="仿宋" w:eastAsia="仿宋"/>
          <w:b/>
          <w:bCs/>
          <w:color w:val="000000" w:themeColor="text1"/>
          <w:sz w:val="28"/>
          <w:szCs w:val="28"/>
        </w:rPr>
        <w:t>3</w:t>
      </w:r>
      <w:r>
        <w:rPr>
          <w:rFonts w:ascii="仿宋" w:hAnsi="仿宋" w:eastAsia="仿宋"/>
          <w:b/>
          <w:bCs/>
          <w:color w:val="000000" w:themeColor="text1"/>
          <w:sz w:val="28"/>
          <w:szCs w:val="28"/>
        </w:rPr>
        <w:t>．投标文件的签署、份数</w:t>
      </w:r>
    </w:p>
    <w:p>
      <w:pPr>
        <w:spacing w:line="324" w:lineRule="exact"/>
        <w:ind w:firstLine="240" w:firstLineChars="100"/>
        <w:rPr>
          <w:rFonts w:ascii="仿宋" w:hAnsi="仿宋" w:eastAsia="仿宋"/>
          <w:b/>
          <w:color w:val="000000" w:themeColor="text1"/>
          <w:sz w:val="24"/>
        </w:rPr>
      </w:pPr>
      <w:r>
        <w:rPr>
          <w:rFonts w:hint="eastAsia" w:ascii="仿宋" w:hAnsi="仿宋" w:eastAsia="仿宋"/>
          <w:color w:val="000000" w:themeColor="text1"/>
          <w:sz w:val="24"/>
        </w:rPr>
        <w:t xml:space="preserve">13.1 </w:t>
      </w:r>
      <w:r>
        <w:rPr>
          <w:rFonts w:hint="eastAsia" w:ascii="仿宋" w:hAnsi="仿宋" w:eastAsia="仿宋"/>
          <w:b/>
          <w:color w:val="000000" w:themeColor="text1"/>
          <w:sz w:val="24"/>
        </w:rPr>
        <w:t>投标文件应按招标文件要求的组成顺序编制。</w:t>
      </w:r>
    </w:p>
    <w:p>
      <w:pPr>
        <w:spacing w:line="324"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13.2签署：投标人应对所提供的全部资料的真实性、有效性承担法律责任，电子投标文件中所须加盖公章部分均采用CA签章。</w:t>
      </w:r>
    </w:p>
    <w:p>
      <w:pPr>
        <w:pStyle w:val="35"/>
        <w:spacing w:line="324" w:lineRule="exact"/>
        <w:ind w:left="0" w:leftChars="0" w:firstLine="240" w:firstLineChars="100"/>
        <w:rPr>
          <w:rFonts w:ascii="仿宋" w:hAnsi="仿宋" w:eastAsia="仿宋"/>
          <w:color w:val="000000" w:themeColor="text1"/>
          <w:sz w:val="24"/>
          <w:szCs w:val="24"/>
        </w:rPr>
      </w:pPr>
      <w:r>
        <w:rPr>
          <w:rFonts w:ascii="仿宋" w:hAnsi="仿宋" w:eastAsia="仿宋"/>
          <w:color w:val="000000" w:themeColor="text1"/>
          <w:sz w:val="24"/>
          <w:szCs w:val="24"/>
        </w:rPr>
        <w:t>13.3份数：</w:t>
      </w:r>
    </w:p>
    <w:p>
      <w:pPr>
        <w:pStyle w:val="35"/>
        <w:spacing w:line="324" w:lineRule="exact"/>
        <w:ind w:left="0" w:leftChars="0" w:firstLine="240" w:firstLineChars="100"/>
        <w:rPr>
          <w:rFonts w:ascii="仿宋" w:hAnsi="仿宋" w:eastAsia="仿宋"/>
          <w:color w:val="000000" w:themeColor="text1"/>
          <w:sz w:val="24"/>
          <w:szCs w:val="24"/>
        </w:rPr>
      </w:pPr>
      <w:r>
        <w:rPr>
          <w:rFonts w:ascii="仿宋" w:hAnsi="仿宋" w:eastAsia="仿宋"/>
          <w:color w:val="000000" w:themeColor="text1"/>
          <w:sz w:val="24"/>
          <w:szCs w:val="24"/>
        </w:rPr>
        <w:t>13.3.1“电子加密投标文件”：在线上传递交一份。</w:t>
      </w:r>
    </w:p>
    <w:p>
      <w:pPr>
        <w:pStyle w:val="35"/>
        <w:spacing w:line="324" w:lineRule="exact"/>
        <w:ind w:left="0" w:leftChars="0" w:firstLine="240" w:firstLineChars="100"/>
        <w:rPr>
          <w:rFonts w:ascii="仿宋" w:hAnsi="仿宋" w:eastAsia="仿宋"/>
          <w:color w:val="000000" w:themeColor="text1"/>
          <w:sz w:val="24"/>
          <w:szCs w:val="24"/>
        </w:rPr>
      </w:pPr>
      <w:r>
        <w:rPr>
          <w:rFonts w:ascii="仿宋" w:hAnsi="仿宋" w:eastAsia="仿宋"/>
          <w:color w:val="000000" w:themeColor="text1"/>
          <w:sz w:val="24"/>
          <w:szCs w:val="24"/>
        </w:rPr>
        <w:t xml:space="preserve">13.3.2“备份投标文件”： </w:t>
      </w:r>
      <w:r>
        <w:rPr>
          <w:rFonts w:ascii="仿宋" w:hAnsi="仿宋" w:eastAsia="仿宋" w:cs="仿宋"/>
          <w:color w:val="000000" w:themeColor="text1"/>
          <w:sz w:val="24"/>
          <w:szCs w:val="22"/>
        </w:rPr>
        <w:t>通过“政采云”平台电子投标工具制作响应文件产生的备份文件</w:t>
      </w:r>
      <w:r>
        <w:rPr>
          <w:rFonts w:ascii="仿宋" w:hAnsi="仿宋" w:eastAsia="仿宋"/>
          <w:color w:val="000000" w:themeColor="text1"/>
          <w:sz w:val="24"/>
          <w:szCs w:val="24"/>
        </w:rPr>
        <w:t>。</w:t>
      </w:r>
    </w:p>
    <w:p>
      <w:pPr>
        <w:spacing w:beforeLines="50" w:line="324" w:lineRule="exact"/>
        <w:jc w:val="center"/>
        <w:rPr>
          <w:rFonts w:ascii="仿宋" w:hAnsi="仿宋" w:eastAsia="仿宋"/>
          <w:b/>
          <w:color w:val="000000" w:themeColor="text1"/>
          <w:sz w:val="32"/>
          <w:szCs w:val="32"/>
        </w:rPr>
      </w:pPr>
      <w:r>
        <w:rPr>
          <w:rFonts w:ascii="仿宋" w:hAnsi="仿宋" w:eastAsia="仿宋"/>
          <w:b/>
          <w:color w:val="000000" w:themeColor="text1"/>
          <w:sz w:val="32"/>
          <w:szCs w:val="32"/>
        </w:rPr>
        <w:t>第三节投 标</w:t>
      </w:r>
    </w:p>
    <w:p>
      <w:pPr>
        <w:pStyle w:val="20"/>
        <w:spacing w:beforeLines="50" w:line="324" w:lineRule="exact"/>
        <w:ind w:firstLine="413" w:firstLineChars="147"/>
        <w:rPr>
          <w:rFonts w:ascii="仿宋" w:hAnsi="仿宋" w:eastAsia="仿宋"/>
          <w:b/>
          <w:bCs/>
          <w:color w:val="000000" w:themeColor="text1"/>
          <w:sz w:val="28"/>
          <w:szCs w:val="28"/>
        </w:rPr>
      </w:pPr>
      <w:r>
        <w:rPr>
          <w:rFonts w:ascii="仿宋" w:hAnsi="仿宋" w:eastAsia="仿宋"/>
          <w:b/>
          <w:bCs/>
          <w:color w:val="000000" w:themeColor="text1"/>
          <w:sz w:val="28"/>
          <w:szCs w:val="28"/>
        </w:rPr>
        <w:t>14．投标文件的</w:t>
      </w:r>
      <w:r>
        <w:rPr>
          <w:rFonts w:hint="eastAsia" w:ascii="仿宋" w:hAnsi="仿宋" w:eastAsia="仿宋"/>
          <w:b/>
          <w:bCs/>
          <w:color w:val="000000" w:themeColor="text1"/>
          <w:sz w:val="28"/>
          <w:szCs w:val="28"/>
        </w:rPr>
        <w:t>制作及</w:t>
      </w:r>
      <w:r>
        <w:rPr>
          <w:rFonts w:ascii="仿宋" w:hAnsi="仿宋" w:eastAsia="仿宋"/>
          <w:b/>
          <w:bCs/>
          <w:color w:val="000000" w:themeColor="text1"/>
          <w:sz w:val="28"/>
          <w:szCs w:val="28"/>
        </w:rPr>
        <w:t>递交要求</w:t>
      </w:r>
    </w:p>
    <w:p>
      <w:pPr>
        <w:autoSpaceDE w:val="0"/>
        <w:autoSpaceDN w:val="0"/>
        <w:adjustRightInd w:val="0"/>
        <w:spacing w:line="324" w:lineRule="exact"/>
        <w:ind w:firstLine="480"/>
        <w:rPr>
          <w:rFonts w:ascii="仿宋" w:hAnsi="仿宋" w:eastAsia="仿宋"/>
          <w:color w:val="000000" w:themeColor="text1"/>
          <w:sz w:val="24"/>
          <w:szCs w:val="20"/>
        </w:rPr>
      </w:pPr>
      <w:r>
        <w:rPr>
          <w:rFonts w:ascii="仿宋" w:hAnsi="仿宋" w:eastAsia="仿宋"/>
          <w:color w:val="000000" w:themeColor="text1"/>
          <w:sz w:val="24"/>
          <w:szCs w:val="20"/>
        </w:rPr>
        <w:t>14.1</w:t>
      </w:r>
      <w:r>
        <w:rPr>
          <w:rFonts w:hint="eastAsia" w:ascii="仿宋" w:hAnsi="仿宋" w:eastAsia="仿宋"/>
          <w:color w:val="000000" w:themeColor="text1"/>
          <w:sz w:val="24"/>
          <w:szCs w:val="20"/>
        </w:rPr>
        <w:t>投标文件的制作要求</w:t>
      </w:r>
    </w:p>
    <w:p>
      <w:pPr>
        <w:spacing w:line="440" w:lineRule="exact"/>
        <w:ind w:firstLine="480" w:firstLineChars="200"/>
        <w:jc w:val="left"/>
        <w:rPr>
          <w:rFonts w:ascii="仿宋" w:hAnsi="仿宋" w:eastAsia="仿宋"/>
          <w:color w:val="000000" w:themeColor="text1"/>
          <w:sz w:val="24"/>
          <w:szCs w:val="20"/>
        </w:rPr>
      </w:pPr>
      <w:r>
        <w:rPr>
          <w:rFonts w:hint="eastAsia" w:ascii="仿宋" w:hAnsi="仿宋" w:eastAsia="仿宋"/>
          <w:color w:val="000000" w:themeColor="text1"/>
          <w:sz w:val="24"/>
          <w:szCs w:val="20"/>
        </w:rPr>
        <w:t>14.1.1电子投标文件部分：投标人应根据“政采云供应商项目采购-电子招投标操作指南”及本招标文件规定的格式和顺序编制电子投标文件并进行关联定位。备份电子投标文件：通过“政采云”平台电子投标工具制作投标文件所产生的备份文件。</w:t>
      </w:r>
    </w:p>
    <w:p>
      <w:pPr>
        <w:pStyle w:val="16"/>
        <w:ind w:firstLine="480" w:firstLineChars="200"/>
        <w:rPr>
          <w:rFonts w:ascii="仿宋" w:hAnsi="仿宋" w:eastAsia="仿宋"/>
          <w:color w:val="000000" w:themeColor="text1"/>
          <w:sz w:val="24"/>
          <w:szCs w:val="20"/>
        </w:rPr>
      </w:pPr>
      <w:r>
        <w:rPr>
          <w:rFonts w:hint="eastAsia" w:ascii="仿宋" w:hAnsi="仿宋" w:eastAsia="仿宋"/>
          <w:color w:val="000000" w:themeColor="text1"/>
          <w:sz w:val="24"/>
          <w:szCs w:val="20"/>
        </w:rPr>
        <w:t>14.1.2</w:t>
      </w:r>
      <w:r>
        <w:rPr>
          <w:rFonts w:ascii="仿宋" w:hAnsi="仿宋" w:eastAsia="仿宋"/>
          <w:color w:val="000000" w:themeColor="text1"/>
          <w:sz w:val="24"/>
          <w:szCs w:val="20"/>
        </w:rPr>
        <w:t>投标文件以及投标人与</w:t>
      </w:r>
      <w:r>
        <w:rPr>
          <w:rFonts w:hint="eastAsia" w:ascii="仿宋" w:hAnsi="仿宋" w:eastAsia="仿宋"/>
          <w:color w:val="000000" w:themeColor="text1"/>
          <w:sz w:val="24"/>
          <w:szCs w:val="20"/>
        </w:rPr>
        <w:t>采购组织机构</w:t>
      </w:r>
      <w:r>
        <w:rPr>
          <w:rFonts w:ascii="仿宋" w:hAnsi="仿宋" w:eastAsia="仿宋"/>
          <w:color w:val="000000" w:themeColor="text1"/>
          <w:sz w:val="24"/>
          <w:szCs w:val="20"/>
        </w:rPr>
        <w:t>就有关投标事宜的所有来往函电，均应以中文汉语书写。除</w:t>
      </w:r>
      <w:r>
        <w:rPr>
          <w:rFonts w:hint="eastAsia" w:ascii="仿宋" w:hAnsi="仿宋" w:eastAsia="仿宋"/>
          <w:color w:val="000000" w:themeColor="text1"/>
          <w:sz w:val="24"/>
          <w:szCs w:val="20"/>
        </w:rPr>
        <w:t>签字</w:t>
      </w:r>
      <w:r>
        <w:rPr>
          <w:rFonts w:ascii="仿宋" w:hAnsi="仿宋" w:eastAsia="仿宋"/>
          <w:color w:val="000000" w:themeColor="text1"/>
          <w:sz w:val="24"/>
          <w:szCs w:val="20"/>
        </w:rPr>
        <w:t>、盖章、专用名称等特殊情形外，以中文汉语以外的文字表述的投标文件视同未提供。</w:t>
      </w:r>
    </w:p>
    <w:p>
      <w:pPr>
        <w:snapToGrid w:val="0"/>
        <w:spacing w:line="360" w:lineRule="auto"/>
        <w:ind w:firstLine="480" w:firstLineChars="200"/>
        <w:jc w:val="left"/>
        <w:rPr>
          <w:rFonts w:ascii="仿宋" w:hAnsi="仿宋" w:eastAsia="仿宋"/>
          <w:color w:val="000000" w:themeColor="text1"/>
          <w:sz w:val="24"/>
          <w:szCs w:val="20"/>
        </w:rPr>
      </w:pPr>
      <w:r>
        <w:rPr>
          <w:rFonts w:hint="eastAsia" w:ascii="仿宋" w:hAnsi="仿宋" w:eastAsia="仿宋"/>
          <w:color w:val="000000" w:themeColor="text1"/>
          <w:sz w:val="24"/>
          <w:szCs w:val="20"/>
        </w:rPr>
        <w:t>14.1.</w:t>
      </w:r>
      <w:r>
        <w:rPr>
          <w:rFonts w:ascii="仿宋" w:hAnsi="仿宋" w:eastAsia="仿宋"/>
          <w:color w:val="000000" w:themeColor="text1"/>
          <w:sz w:val="24"/>
          <w:szCs w:val="20"/>
        </w:rPr>
        <w:t>3投标计量单位，招标文件已有明确规定的，使用招标文件规定的计量单位；招标文件没有规定的，应采用中华人民共和国法定计量单位（货币单位：人民币元）。</w:t>
      </w:r>
    </w:p>
    <w:p>
      <w:pPr>
        <w:autoSpaceDE w:val="0"/>
        <w:autoSpaceDN w:val="0"/>
        <w:adjustRightInd w:val="0"/>
        <w:spacing w:line="360" w:lineRule="auto"/>
        <w:ind w:firstLine="480"/>
        <w:rPr>
          <w:rFonts w:ascii="仿宋" w:hAnsi="仿宋" w:eastAsia="仿宋"/>
          <w:color w:val="000000" w:themeColor="text1"/>
          <w:sz w:val="24"/>
          <w:szCs w:val="20"/>
        </w:rPr>
      </w:pPr>
      <w:r>
        <w:rPr>
          <w:rFonts w:hint="eastAsia" w:ascii="仿宋" w:hAnsi="仿宋" w:eastAsia="仿宋"/>
          <w:color w:val="000000" w:themeColor="text1"/>
          <w:sz w:val="24"/>
          <w:szCs w:val="20"/>
        </w:rPr>
        <w:t>14.1.</w:t>
      </w:r>
      <w:r>
        <w:rPr>
          <w:rFonts w:ascii="仿宋" w:hAnsi="仿宋" w:eastAsia="仿宋"/>
          <w:color w:val="000000" w:themeColor="text1"/>
          <w:sz w:val="24"/>
          <w:szCs w:val="20"/>
        </w:rPr>
        <w:t>4若投标人不按招标文件的要求提供资格审查材料，其风险由投标人自行承担。</w:t>
      </w:r>
    </w:p>
    <w:p>
      <w:pPr>
        <w:autoSpaceDE w:val="0"/>
        <w:autoSpaceDN w:val="0"/>
        <w:adjustRightInd w:val="0"/>
        <w:spacing w:line="360" w:lineRule="auto"/>
        <w:ind w:firstLine="480"/>
        <w:rPr>
          <w:rFonts w:ascii="仿宋" w:hAnsi="仿宋" w:eastAsia="仿宋"/>
          <w:color w:val="000000" w:themeColor="text1"/>
          <w:sz w:val="24"/>
          <w:szCs w:val="20"/>
        </w:rPr>
      </w:pPr>
      <w:r>
        <w:rPr>
          <w:rFonts w:hint="eastAsia" w:ascii="仿宋" w:hAnsi="仿宋" w:eastAsia="仿宋"/>
          <w:color w:val="000000" w:themeColor="text1"/>
          <w:sz w:val="24"/>
          <w:szCs w:val="20"/>
        </w:rPr>
        <w:t>14.1.</w:t>
      </w:r>
      <w:r>
        <w:rPr>
          <w:rFonts w:ascii="仿宋" w:hAnsi="仿宋" w:eastAsia="仿宋"/>
          <w:color w:val="000000" w:themeColor="text1"/>
          <w:sz w:val="24"/>
          <w:szCs w:val="20"/>
        </w:rPr>
        <w:t>5</w:t>
      </w:r>
      <w:r>
        <w:rPr>
          <w:rFonts w:hint="eastAsia" w:ascii="仿宋" w:hAnsi="仿宋" w:eastAsia="仿宋"/>
          <w:color w:val="000000" w:themeColor="text1"/>
          <w:sz w:val="24"/>
          <w:szCs w:val="20"/>
        </w:rPr>
        <w:t>与本次投标无关的内容请不要制作在内，确保投标文件有针对性、简洁明了。</w:t>
      </w:r>
    </w:p>
    <w:p>
      <w:pPr>
        <w:autoSpaceDE w:val="0"/>
        <w:autoSpaceDN w:val="0"/>
        <w:adjustRightInd w:val="0"/>
        <w:spacing w:line="360" w:lineRule="auto"/>
        <w:ind w:firstLine="480" w:firstLineChars="200"/>
        <w:rPr>
          <w:rFonts w:ascii="仿宋" w:hAnsi="仿宋" w:eastAsia="仿宋"/>
          <w:color w:val="000000" w:themeColor="text1"/>
          <w:sz w:val="24"/>
          <w:szCs w:val="20"/>
        </w:rPr>
      </w:pPr>
      <w:r>
        <w:rPr>
          <w:rFonts w:ascii="仿宋" w:hAnsi="仿宋" w:eastAsia="仿宋"/>
          <w:color w:val="000000" w:themeColor="text1"/>
          <w:sz w:val="24"/>
          <w:szCs w:val="20"/>
        </w:rPr>
        <w:t>14.</w:t>
      </w:r>
      <w:r>
        <w:rPr>
          <w:rFonts w:hint="eastAsia" w:ascii="仿宋" w:hAnsi="仿宋" w:eastAsia="仿宋"/>
          <w:color w:val="000000" w:themeColor="text1"/>
          <w:sz w:val="24"/>
          <w:szCs w:val="20"/>
        </w:rPr>
        <w:t>2投标文件的递交要求</w:t>
      </w:r>
    </w:p>
    <w:p>
      <w:pPr>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szCs w:val="20"/>
        </w:rPr>
        <w:t>14.2</w:t>
      </w:r>
      <w:r>
        <w:rPr>
          <w:rFonts w:ascii="仿宋" w:hAnsi="仿宋" w:eastAsia="仿宋"/>
          <w:color w:val="000000" w:themeColor="text1"/>
          <w:sz w:val="24"/>
          <w:szCs w:val="20"/>
        </w:rPr>
        <w:t>.1</w:t>
      </w:r>
      <w:r>
        <w:rPr>
          <w:rFonts w:hint="eastAsia" w:ascii="仿宋" w:hAnsi="仿宋" w:eastAsia="仿宋"/>
          <w:color w:val="000000" w:themeColor="text1"/>
          <w:sz w:val="24"/>
          <w:szCs w:val="20"/>
        </w:rPr>
        <w:t>投标人须</w:t>
      </w:r>
      <w:r>
        <w:rPr>
          <w:rFonts w:hint="eastAsia" w:ascii="仿宋" w:hAnsi="仿宋" w:eastAsia="仿宋"/>
          <w:color w:val="000000" w:themeColor="text1"/>
          <w:sz w:val="24"/>
        </w:rPr>
        <w:t>按照采购文件和政采云平台的要求编制并加密投标文件。在投标文件递交截止时间以前完成投标文件的传输递交。</w:t>
      </w:r>
    </w:p>
    <w:p>
      <w:pPr>
        <w:tabs>
          <w:tab w:val="left" w:pos="1418"/>
        </w:tabs>
        <w:autoSpaceDE w:val="0"/>
        <w:autoSpaceDN w:val="0"/>
        <w:adjustRightInd w:val="0"/>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14.2.2备份电子投标文件必须在规定时间前按</w:t>
      </w:r>
      <w:r>
        <w:rPr>
          <w:rFonts w:ascii="仿宋" w:hAnsi="仿宋" w:eastAsia="仿宋"/>
          <w:color w:val="000000" w:themeColor="text1"/>
          <w:sz w:val="24"/>
        </w:rPr>
        <w:t>招标文件前附表要求提交</w:t>
      </w:r>
      <w:r>
        <w:rPr>
          <w:rFonts w:hint="eastAsia" w:ascii="仿宋" w:hAnsi="仿宋" w:eastAsia="仿宋"/>
          <w:color w:val="000000" w:themeColor="text1"/>
          <w:sz w:val="24"/>
        </w:rPr>
        <w:t>。备份电子投标文件在截止时间后提交，采购组织机构将拒绝接收。</w:t>
      </w:r>
    </w:p>
    <w:p>
      <w:pPr>
        <w:tabs>
          <w:tab w:val="left" w:pos="1418"/>
        </w:tabs>
        <w:autoSpaceDE w:val="0"/>
        <w:autoSpaceDN w:val="0"/>
        <w:adjustRightInd w:val="0"/>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14.2.3如有特殊情况，采购组织机构延长截止时间和开标时间，采购组织机构和投标人的权利和义务将受到新的截止时间和开标时间的约束。</w:t>
      </w:r>
    </w:p>
    <w:p>
      <w:pPr>
        <w:tabs>
          <w:tab w:val="left" w:pos="1898"/>
        </w:tabs>
        <w:autoSpaceDE w:val="0"/>
        <w:autoSpaceDN w:val="0"/>
        <w:adjustRightInd w:val="0"/>
        <w:spacing w:line="360" w:lineRule="auto"/>
        <w:ind w:firstLine="480" w:firstLineChars="200"/>
        <w:rPr>
          <w:rFonts w:ascii="仿宋" w:hAnsi="仿宋" w:eastAsia="仿宋"/>
          <w:color w:val="000000" w:themeColor="text1"/>
          <w:sz w:val="24"/>
        </w:rPr>
      </w:pPr>
      <w:r>
        <w:rPr>
          <w:rFonts w:ascii="仿宋" w:hAnsi="仿宋" w:eastAsia="仿宋"/>
          <w:color w:val="000000" w:themeColor="text1"/>
          <w:sz w:val="24"/>
        </w:rPr>
        <w:t>14.</w:t>
      </w:r>
      <w:r>
        <w:rPr>
          <w:rFonts w:hint="eastAsia" w:ascii="仿宋" w:hAnsi="仿宋" w:eastAsia="仿宋"/>
          <w:color w:val="000000" w:themeColor="text1"/>
          <w:sz w:val="24"/>
        </w:rPr>
        <w:t>3投标文件的补充、修改和撤回。</w:t>
      </w:r>
    </w:p>
    <w:p>
      <w:pPr>
        <w:tabs>
          <w:tab w:val="left" w:pos="540"/>
        </w:tabs>
        <w:spacing w:line="460" w:lineRule="exact"/>
        <w:ind w:firstLine="480" w:firstLineChars="200"/>
        <w:rPr>
          <w:rFonts w:ascii="仿宋" w:hAnsi="仿宋" w:eastAsia="仿宋"/>
          <w:color w:val="000000" w:themeColor="text1"/>
          <w:sz w:val="24"/>
        </w:rPr>
      </w:pPr>
      <w:bookmarkStart w:id="12" w:name="_Toc123628882"/>
      <w:r>
        <w:rPr>
          <w:rFonts w:hint="eastAsia" w:ascii="仿宋" w:hAnsi="仿宋" w:eastAsia="仿宋"/>
          <w:color w:val="000000" w:themeColor="text1"/>
          <w:sz w:val="24"/>
        </w:rPr>
        <w:t>14.3.1投标人应当在投标截止时间前完成电子投标文件的传输递交，并可以补充、修改或者撤回电子投标文件。补充或者修改电子投标文件的，应当先行撤回原文件，补充、修改后重新传输递交。</w:t>
      </w:r>
    </w:p>
    <w:p>
      <w:pPr>
        <w:pStyle w:val="5"/>
        <w:spacing w:beforeLines="50" w:line="400" w:lineRule="exact"/>
        <w:ind w:firstLine="321" w:firstLineChars="100"/>
        <w:jc w:val="center"/>
        <w:rPr>
          <w:rFonts w:ascii="仿宋" w:hAnsi="仿宋" w:eastAsia="仿宋"/>
          <w:color w:val="000000" w:themeColor="text1"/>
          <w:sz w:val="32"/>
        </w:rPr>
      </w:pPr>
      <w:r>
        <w:rPr>
          <w:rFonts w:hint="eastAsia" w:ascii="仿宋" w:hAnsi="仿宋" w:eastAsia="仿宋"/>
          <w:color w:val="000000" w:themeColor="text1"/>
          <w:sz w:val="32"/>
        </w:rPr>
        <w:t>第四节  开 标</w:t>
      </w:r>
      <w:bookmarkEnd w:id="12"/>
    </w:p>
    <w:p>
      <w:pPr>
        <w:pStyle w:val="20"/>
        <w:spacing w:line="400" w:lineRule="exact"/>
        <w:ind w:firstLine="413" w:firstLineChars="147"/>
        <w:rPr>
          <w:rFonts w:ascii="仿宋" w:hAnsi="仿宋" w:eastAsia="仿宋"/>
          <w:b/>
          <w:bCs/>
          <w:color w:val="000000" w:themeColor="text1"/>
          <w:sz w:val="28"/>
          <w:szCs w:val="28"/>
        </w:rPr>
      </w:pPr>
      <w:r>
        <w:rPr>
          <w:rFonts w:ascii="仿宋" w:hAnsi="仿宋" w:eastAsia="仿宋"/>
          <w:b/>
          <w:bCs/>
          <w:color w:val="000000" w:themeColor="text1"/>
          <w:sz w:val="28"/>
          <w:szCs w:val="28"/>
        </w:rPr>
        <w:t>15．开标会议</w:t>
      </w:r>
    </w:p>
    <w:p>
      <w:pPr>
        <w:pStyle w:val="2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rPr>
        <w:t>15.1 采购代理机构将在</w:t>
      </w:r>
      <w:r>
        <w:rPr>
          <w:rFonts w:hint="eastAsia" w:ascii="仿宋" w:hAnsi="仿宋" w:eastAsia="仿宋"/>
          <w:color w:val="000000" w:themeColor="text1"/>
          <w:sz w:val="24"/>
        </w:rPr>
        <w:t>“</w:t>
      </w:r>
      <w:r>
        <w:rPr>
          <w:rFonts w:ascii="仿宋" w:hAnsi="仿宋" w:eastAsia="仿宋"/>
          <w:color w:val="000000" w:themeColor="text1"/>
          <w:sz w:val="24"/>
        </w:rPr>
        <w:t>投标人须知前附表</w:t>
      </w:r>
      <w:r>
        <w:rPr>
          <w:rFonts w:hint="eastAsia" w:ascii="仿宋" w:hAnsi="仿宋" w:eastAsia="仿宋"/>
          <w:color w:val="000000" w:themeColor="text1"/>
          <w:sz w:val="24"/>
        </w:rPr>
        <w:t>”</w:t>
      </w:r>
      <w:r>
        <w:rPr>
          <w:rFonts w:ascii="仿宋" w:hAnsi="仿宋" w:eastAsia="仿宋"/>
          <w:color w:val="000000" w:themeColor="text1"/>
          <w:sz w:val="24"/>
        </w:rPr>
        <w:t>中规定的时间和地点举行开标会议。</w:t>
      </w:r>
    </w:p>
    <w:p>
      <w:pPr>
        <w:pStyle w:val="2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rPr>
        <w:t>15.2 开标会议由采购代理机构工作人员主持，监管人员、采购人代表等参加。</w:t>
      </w:r>
    </w:p>
    <w:p>
      <w:pPr>
        <w:spacing w:beforeLines="50" w:line="400" w:lineRule="exact"/>
        <w:ind w:firstLine="413" w:firstLineChars="147"/>
        <w:rPr>
          <w:rFonts w:ascii="仿宋" w:hAnsi="仿宋" w:eastAsia="仿宋"/>
          <w:b/>
          <w:color w:val="000000" w:themeColor="text1"/>
          <w:sz w:val="28"/>
          <w:szCs w:val="28"/>
        </w:rPr>
      </w:pPr>
      <w:r>
        <w:rPr>
          <w:rFonts w:hint="eastAsia" w:ascii="仿宋" w:hAnsi="仿宋" w:eastAsia="仿宋"/>
          <w:b/>
          <w:color w:val="000000" w:themeColor="text1"/>
          <w:sz w:val="28"/>
          <w:szCs w:val="28"/>
        </w:rPr>
        <w:t>1</w:t>
      </w:r>
      <w:r>
        <w:rPr>
          <w:rFonts w:ascii="仿宋" w:hAnsi="仿宋" w:eastAsia="仿宋"/>
          <w:b/>
          <w:color w:val="000000" w:themeColor="text1"/>
          <w:sz w:val="28"/>
          <w:szCs w:val="28"/>
        </w:rPr>
        <w:t>6</w:t>
      </w:r>
      <w:r>
        <w:rPr>
          <w:rFonts w:hint="eastAsia" w:ascii="仿宋" w:hAnsi="仿宋" w:eastAsia="仿宋"/>
          <w:b/>
          <w:color w:val="000000" w:themeColor="text1"/>
          <w:sz w:val="28"/>
          <w:szCs w:val="28"/>
        </w:rPr>
        <w:t>．</w:t>
      </w:r>
      <w:r>
        <w:rPr>
          <w:rFonts w:ascii="仿宋" w:hAnsi="仿宋" w:eastAsia="仿宋"/>
          <w:b/>
          <w:color w:val="000000" w:themeColor="text1"/>
          <w:sz w:val="28"/>
          <w:szCs w:val="28"/>
        </w:rPr>
        <w:t>开标程序</w:t>
      </w:r>
      <w:r>
        <w:rPr>
          <w:rFonts w:hint="eastAsia" w:ascii="仿宋" w:hAnsi="仿宋" w:eastAsia="仿宋"/>
          <w:b/>
          <w:color w:val="000000" w:themeColor="text1"/>
          <w:sz w:val="28"/>
          <w:szCs w:val="28"/>
        </w:rPr>
        <w:t>（按标项一、标项二顺序进行开启）</w:t>
      </w:r>
    </w:p>
    <w:p>
      <w:pPr>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t>6.</w:t>
      </w:r>
      <w:r>
        <w:rPr>
          <w:rFonts w:hint="eastAsia" w:ascii="仿宋" w:hAnsi="仿宋" w:eastAsia="仿宋"/>
          <w:color w:val="000000" w:themeColor="text1"/>
          <w:sz w:val="24"/>
        </w:rPr>
        <w:t>1采购组织机构将按照招标文件规定的时间通过“ 政府采购云平台”组织开标、开启投标文件，所有供应商均应当准时在线参加。投标供应商如不参加在线开标大会的，视同认可开标结果，事后不得对采购相关人员、开标过程和开标结果提出异议，同时投标供应商因未在线参加开标而导致投标文件无法按时解密等一切后果由供应商自行承担。</w:t>
      </w:r>
    </w:p>
    <w:p>
      <w:pPr>
        <w:pStyle w:val="20"/>
        <w:snapToGrid w:val="0"/>
        <w:spacing w:line="360" w:lineRule="auto"/>
        <w:ind w:firstLine="240" w:firstLineChars="100"/>
        <w:rPr>
          <w:rFonts w:ascii="仿宋" w:hAnsi="仿宋" w:eastAsia="仿宋"/>
          <w:color w:val="000000" w:themeColor="text1"/>
          <w:sz w:val="24"/>
        </w:rPr>
      </w:pPr>
      <w:r>
        <w:rPr>
          <w:rFonts w:ascii="仿宋" w:hAnsi="仿宋" w:eastAsia="仿宋"/>
          <w:color w:val="000000" w:themeColor="text1"/>
          <w:sz w:val="24"/>
        </w:rPr>
        <w:t>16.2</w:t>
      </w:r>
      <w:r>
        <w:rPr>
          <w:rFonts w:hint="eastAsia" w:ascii="仿宋" w:hAnsi="仿宋" w:eastAsia="仿宋"/>
          <w:color w:val="000000" w:themeColor="text1"/>
          <w:sz w:val="24"/>
        </w:rPr>
        <w:t>开标时间到后，招标项目负责人准时组织开标。</w:t>
      </w:r>
    </w:p>
    <w:p>
      <w:pPr>
        <w:snapToGrid w:val="0"/>
        <w:spacing w:line="480" w:lineRule="exact"/>
        <w:ind w:firstLine="240" w:firstLineChars="100"/>
        <w:jc w:val="left"/>
        <w:rPr>
          <w:rFonts w:ascii="仿宋" w:hAnsi="仿宋" w:eastAsia="仿宋"/>
          <w:color w:val="000000" w:themeColor="text1"/>
          <w:sz w:val="24"/>
        </w:rPr>
      </w:pPr>
      <w:r>
        <w:rPr>
          <w:rFonts w:ascii="仿宋" w:hAnsi="仿宋" w:eastAsia="仿宋"/>
          <w:color w:val="000000" w:themeColor="text1"/>
          <w:sz w:val="24"/>
        </w:rPr>
        <w:t>16.3</w:t>
      </w:r>
      <w:r>
        <w:rPr>
          <w:rFonts w:hint="eastAsia" w:ascii="仿宋" w:hAnsi="仿宋" w:eastAsia="仿宋"/>
          <w:color w:val="000000" w:themeColor="text1"/>
          <w:sz w:val="24"/>
        </w:rPr>
        <w:t>投标人登录政采云平台，用“项目采购-开标评标”功能对电子投标文件进行在线解密。在线解密电子投标文件时间为开标时间起30分钟内。</w:t>
      </w:r>
    </w:p>
    <w:p>
      <w:pPr>
        <w:snapToGrid w:val="0"/>
        <w:spacing w:line="480" w:lineRule="exact"/>
        <w:ind w:firstLine="240" w:firstLineChars="100"/>
        <w:jc w:val="left"/>
        <w:rPr>
          <w:rFonts w:ascii="仿宋" w:hAnsi="仿宋" w:eastAsia="仿宋"/>
          <w:color w:val="000000" w:themeColor="text1"/>
          <w:sz w:val="24"/>
        </w:rPr>
      </w:pPr>
      <w:r>
        <w:rPr>
          <w:rFonts w:ascii="仿宋" w:hAnsi="仿宋" w:eastAsia="仿宋"/>
          <w:color w:val="000000" w:themeColor="text1"/>
          <w:sz w:val="24"/>
        </w:rPr>
        <w:t>16.4</w:t>
      </w:r>
      <w:r>
        <w:rPr>
          <w:rFonts w:hint="eastAsia" w:ascii="仿宋" w:hAnsi="仿宋" w:eastAsia="仿宋"/>
          <w:color w:val="000000" w:themeColor="text1"/>
          <w:sz w:val="24"/>
        </w:rPr>
        <w:t>公布开标结果。</w:t>
      </w:r>
    </w:p>
    <w:p>
      <w:pPr>
        <w:snapToGrid w:val="0"/>
        <w:spacing w:line="480" w:lineRule="exact"/>
        <w:ind w:firstLine="240" w:firstLineChars="100"/>
        <w:jc w:val="left"/>
        <w:rPr>
          <w:rFonts w:ascii="仿宋" w:hAnsi="仿宋" w:eastAsia="仿宋"/>
          <w:color w:val="000000" w:themeColor="text1"/>
          <w:sz w:val="24"/>
        </w:rPr>
      </w:pPr>
      <w:r>
        <w:rPr>
          <w:rFonts w:ascii="仿宋" w:hAnsi="仿宋" w:eastAsia="仿宋"/>
          <w:color w:val="000000" w:themeColor="text1"/>
          <w:sz w:val="24"/>
        </w:rPr>
        <w:t>16.5</w:t>
      </w:r>
      <w:r>
        <w:rPr>
          <w:rFonts w:hint="eastAsia" w:ascii="仿宋" w:hAnsi="仿宋" w:eastAsia="仿宋"/>
          <w:color w:val="000000" w:themeColor="text1"/>
          <w:sz w:val="24"/>
        </w:rPr>
        <w:t>特别说明：本项目原则上采用政采云电子招投标开标及评审程序，但有下情形之一的，按以下情况处理：</w:t>
      </w:r>
    </w:p>
    <w:p>
      <w:pPr>
        <w:snapToGrid w:val="0"/>
        <w:spacing w:line="480" w:lineRule="exact"/>
        <w:ind w:firstLine="240" w:firstLineChars="100"/>
        <w:jc w:val="left"/>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t>6</w:t>
      </w:r>
      <w:r>
        <w:rPr>
          <w:rFonts w:hint="eastAsia" w:ascii="仿宋" w:hAnsi="仿宋" w:eastAsia="仿宋"/>
          <w:color w:val="000000" w:themeColor="text1"/>
          <w:sz w:val="24"/>
        </w:rPr>
        <w:t>.5.1若投标人在规定时间内无法解密或解密失败，采购</w:t>
      </w:r>
      <w:r>
        <w:rPr>
          <w:rFonts w:ascii="仿宋" w:hAnsi="仿宋" w:eastAsia="仿宋"/>
          <w:color w:val="000000" w:themeColor="text1"/>
          <w:sz w:val="24"/>
        </w:rPr>
        <w:t>代理机构</w:t>
      </w:r>
      <w:r>
        <w:rPr>
          <w:rFonts w:hint="eastAsia" w:ascii="仿宋" w:hAnsi="仿宋" w:eastAsia="仿宋"/>
          <w:color w:val="000000" w:themeColor="text1"/>
          <w:sz w:val="24"/>
        </w:rPr>
        <w:t>将开启该投标人递交的以介质存储的数据电文形式的备份电子投标文件，上传至政采云平台项目采购模块，以完成开标，电子投标文件自动失效。</w:t>
      </w:r>
    </w:p>
    <w:p>
      <w:pPr>
        <w:snapToGrid w:val="0"/>
        <w:spacing w:line="480" w:lineRule="exact"/>
        <w:ind w:firstLine="240" w:firstLineChars="100"/>
        <w:jc w:val="left"/>
        <w:rPr>
          <w:rFonts w:ascii="仿宋" w:hAnsi="仿宋" w:eastAsia="仿宋"/>
          <w:color w:val="000000" w:themeColor="text1"/>
          <w:sz w:val="24"/>
        </w:rPr>
      </w:pPr>
      <w:r>
        <w:rPr>
          <w:rFonts w:hint="eastAsia" w:ascii="仿宋" w:hAnsi="仿宋" w:eastAsia="仿宋"/>
          <w:color w:val="000000" w:themeColor="text1"/>
          <w:sz w:val="24"/>
        </w:rPr>
        <w:t>1</w:t>
      </w:r>
      <w:r>
        <w:rPr>
          <w:rFonts w:ascii="仿宋" w:hAnsi="仿宋" w:eastAsia="仿宋"/>
          <w:color w:val="000000" w:themeColor="text1"/>
          <w:sz w:val="24"/>
        </w:rPr>
        <w:t>6</w:t>
      </w:r>
      <w:r>
        <w:rPr>
          <w:rFonts w:hint="eastAsia" w:ascii="仿宋" w:hAnsi="仿宋" w:eastAsia="仿宋"/>
          <w:color w:val="000000" w:themeColor="text1"/>
          <w:sz w:val="24"/>
        </w:rPr>
        <w:t>.5.2开评标细则按政采云电子评标流程进行。</w:t>
      </w:r>
    </w:p>
    <w:p>
      <w:pPr>
        <w:snapToGrid w:val="0"/>
        <w:spacing w:line="480" w:lineRule="exact"/>
        <w:ind w:left="480"/>
        <w:jc w:val="left"/>
        <w:rPr>
          <w:rFonts w:ascii="仿宋" w:hAnsi="仿宋" w:eastAsia="仿宋"/>
          <w:b/>
          <w:color w:val="000000" w:themeColor="text1"/>
          <w:sz w:val="24"/>
        </w:rPr>
      </w:pPr>
      <w:r>
        <w:rPr>
          <w:rFonts w:hint="eastAsia" w:ascii="仿宋" w:hAnsi="仿宋" w:eastAsia="仿宋"/>
          <w:b/>
          <w:color w:val="000000" w:themeColor="text1"/>
          <w:sz w:val="24"/>
        </w:rPr>
        <w:t>特别说明：政采云公司如对电子化开标及评审程序有调整的，按调整后的程序操作。</w:t>
      </w:r>
    </w:p>
    <w:p>
      <w:pPr>
        <w:tabs>
          <w:tab w:val="left" w:pos="425"/>
          <w:tab w:val="left" w:pos="535"/>
        </w:tabs>
        <w:overflowPunct w:val="0"/>
        <w:spacing w:line="440" w:lineRule="exact"/>
        <w:rPr>
          <w:rFonts w:ascii="仿宋" w:hAnsi="仿宋" w:eastAsia="仿宋"/>
          <w:bCs/>
          <w:color w:val="000000" w:themeColor="text1"/>
          <w:sz w:val="24"/>
        </w:rPr>
      </w:pPr>
      <w:r>
        <w:rPr>
          <w:rFonts w:hint="eastAsia" w:ascii="仿宋" w:hAnsi="仿宋" w:eastAsia="仿宋"/>
          <w:b/>
          <w:bCs/>
          <w:color w:val="000000" w:themeColor="text1"/>
          <w:sz w:val="24"/>
        </w:rPr>
        <w:t>电子响应文件解密结束后，各供应商签署《政府采购活动现场确认声明书》（见附件十二）后将扫描件发送至采购代理机构邮箱</w:t>
      </w:r>
      <w:r>
        <w:rPr>
          <w:rFonts w:ascii="仿宋" w:hAnsi="仿宋" w:eastAsia="仿宋"/>
          <w:b/>
          <w:bCs/>
          <w:color w:val="000000" w:themeColor="text1"/>
          <w:sz w:val="24"/>
        </w:rPr>
        <w:t>1018307255@qq.com</w:t>
      </w:r>
      <w:r>
        <w:rPr>
          <w:rFonts w:hint="eastAsia" w:ascii="仿宋" w:hAnsi="仿宋" w:eastAsia="仿宋"/>
          <w:b/>
          <w:bCs/>
          <w:color w:val="000000" w:themeColor="text1"/>
          <w:sz w:val="24"/>
        </w:rPr>
        <w:t>。</w:t>
      </w:r>
    </w:p>
    <w:p>
      <w:pPr>
        <w:spacing w:line="400" w:lineRule="exact"/>
        <w:ind w:firstLine="240" w:firstLineChars="100"/>
        <w:rPr>
          <w:rFonts w:ascii="仿宋" w:hAnsi="仿宋" w:eastAsia="仿宋"/>
          <w:color w:val="000000" w:themeColor="text1"/>
          <w:sz w:val="24"/>
        </w:rPr>
      </w:pPr>
    </w:p>
    <w:p>
      <w:pPr>
        <w:pStyle w:val="20"/>
        <w:spacing w:beforeLines="50" w:line="400" w:lineRule="exact"/>
        <w:ind w:firstLine="643" w:firstLineChars="200"/>
        <w:jc w:val="center"/>
        <w:rPr>
          <w:rFonts w:ascii="仿宋" w:hAnsi="仿宋" w:eastAsia="仿宋"/>
          <w:b/>
          <w:color w:val="000000" w:themeColor="text1"/>
          <w:sz w:val="32"/>
          <w:szCs w:val="28"/>
        </w:rPr>
      </w:pPr>
      <w:r>
        <w:rPr>
          <w:rFonts w:ascii="仿宋" w:hAnsi="仿宋" w:eastAsia="仿宋"/>
          <w:b/>
          <w:color w:val="000000" w:themeColor="text1"/>
          <w:sz w:val="32"/>
          <w:szCs w:val="28"/>
        </w:rPr>
        <w:t>第五节  评 标</w:t>
      </w:r>
    </w:p>
    <w:p>
      <w:pPr>
        <w:pStyle w:val="20"/>
        <w:spacing w:beforeLines="50" w:line="400" w:lineRule="exact"/>
        <w:ind w:firstLine="413" w:firstLineChars="147"/>
        <w:rPr>
          <w:rFonts w:ascii="仿宋" w:hAnsi="仿宋" w:eastAsia="仿宋"/>
          <w:b/>
          <w:bCs/>
          <w:color w:val="000000" w:themeColor="text1"/>
          <w:sz w:val="28"/>
          <w:szCs w:val="28"/>
        </w:rPr>
      </w:pPr>
      <w:r>
        <w:rPr>
          <w:rFonts w:ascii="仿宋" w:hAnsi="仿宋" w:eastAsia="仿宋"/>
          <w:b/>
          <w:bCs/>
          <w:color w:val="000000" w:themeColor="text1"/>
          <w:sz w:val="28"/>
          <w:szCs w:val="28"/>
        </w:rPr>
        <w:t>17. 评标委员会</w:t>
      </w:r>
    </w:p>
    <w:p>
      <w:pPr>
        <w:pStyle w:val="2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rPr>
        <w:t>17.1 采购人在监管部门的监督下依法组建评标委员会。评标委员会对投标文件进行审查、询标、评议和比较。</w:t>
      </w:r>
    </w:p>
    <w:p>
      <w:pPr>
        <w:pStyle w:val="2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rPr>
        <w:t>17.2评标委员会依据投标人提交的投标文件</w:t>
      </w:r>
      <w:r>
        <w:rPr>
          <w:rFonts w:hint="eastAsia" w:ascii="仿宋" w:hAnsi="仿宋" w:eastAsia="仿宋"/>
          <w:color w:val="000000" w:themeColor="text1"/>
          <w:sz w:val="24"/>
        </w:rPr>
        <w:t>进行评审</w:t>
      </w:r>
      <w:r>
        <w:rPr>
          <w:rFonts w:ascii="仿宋" w:hAnsi="仿宋" w:eastAsia="仿宋"/>
          <w:color w:val="000000" w:themeColor="text1"/>
          <w:sz w:val="24"/>
        </w:rPr>
        <w:t>。</w:t>
      </w:r>
    </w:p>
    <w:p>
      <w:pPr>
        <w:pStyle w:val="20"/>
        <w:spacing w:beforeLines="50" w:line="400" w:lineRule="exact"/>
        <w:ind w:firstLine="413" w:firstLineChars="147"/>
        <w:rPr>
          <w:rFonts w:ascii="仿宋" w:hAnsi="仿宋" w:eastAsia="仿宋"/>
          <w:b/>
          <w:bCs/>
          <w:color w:val="000000" w:themeColor="text1"/>
          <w:sz w:val="28"/>
          <w:szCs w:val="28"/>
        </w:rPr>
      </w:pPr>
      <w:r>
        <w:rPr>
          <w:rFonts w:ascii="仿宋" w:hAnsi="仿宋" w:eastAsia="仿宋"/>
          <w:b/>
          <w:bCs/>
          <w:color w:val="000000" w:themeColor="text1"/>
          <w:sz w:val="28"/>
          <w:szCs w:val="28"/>
        </w:rPr>
        <w:t>18. 评标的保密</w:t>
      </w:r>
    </w:p>
    <w:p>
      <w:pPr>
        <w:pStyle w:val="2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rPr>
        <w:t>18.1 评标采用保密的方式进行。</w:t>
      </w:r>
    </w:p>
    <w:p>
      <w:pPr>
        <w:pStyle w:val="2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rPr>
        <w:t>18.2 评标委员会成员和参与评标的有关工作人员不得透露对投标文件的评审和比较、中标候选供应商的推荐情况以及与评标有关的其他情况。</w:t>
      </w:r>
    </w:p>
    <w:p>
      <w:pPr>
        <w:pStyle w:val="2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rPr>
        <w:t>18.3 在投标文件的评审和比较、中标候选供应商推荐以及授予合同的过程中，投标人向采购人和评标委员会施加影响的任何行为，都将导致其投标被拒绝。</w:t>
      </w:r>
    </w:p>
    <w:p>
      <w:pPr>
        <w:pStyle w:val="2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rPr>
        <w:t>18.4 评标委员会对未</w:t>
      </w:r>
      <w:r>
        <w:rPr>
          <w:rFonts w:hint="eastAsia" w:ascii="仿宋" w:hAnsi="仿宋" w:eastAsia="仿宋"/>
          <w:color w:val="000000" w:themeColor="text1"/>
          <w:sz w:val="24"/>
        </w:rPr>
        <w:t>中标人</w:t>
      </w:r>
      <w:r>
        <w:rPr>
          <w:rFonts w:ascii="仿宋" w:hAnsi="仿宋" w:eastAsia="仿宋"/>
          <w:color w:val="000000" w:themeColor="text1"/>
          <w:sz w:val="24"/>
        </w:rPr>
        <w:t>就评标过程以及未能中标原因不作解释</w:t>
      </w:r>
      <w:r>
        <w:rPr>
          <w:rFonts w:hint="eastAsia" w:ascii="仿宋" w:hAnsi="仿宋" w:eastAsia="仿宋"/>
          <w:color w:val="000000" w:themeColor="text1"/>
          <w:sz w:val="24"/>
        </w:rPr>
        <w:t>。</w:t>
      </w:r>
    </w:p>
    <w:p>
      <w:pPr>
        <w:pStyle w:val="2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rPr>
        <w:t>18</w:t>
      </w:r>
      <w:r>
        <w:rPr>
          <w:rFonts w:hint="eastAsia" w:ascii="仿宋" w:hAnsi="仿宋" w:eastAsia="仿宋"/>
          <w:color w:val="000000" w:themeColor="text1"/>
          <w:sz w:val="24"/>
        </w:rPr>
        <w:t>.5 采购</w:t>
      </w:r>
      <w:r>
        <w:rPr>
          <w:rFonts w:ascii="仿宋" w:hAnsi="仿宋" w:eastAsia="仿宋"/>
          <w:color w:val="000000" w:themeColor="text1"/>
          <w:sz w:val="24"/>
        </w:rPr>
        <w:t>人不得在中标人确定前，与投标人就投标价格、投标方案等实质性内容进行谈判。</w:t>
      </w:r>
    </w:p>
    <w:p>
      <w:pPr>
        <w:pStyle w:val="20"/>
        <w:snapToGrid w:val="0"/>
        <w:spacing w:beforeLines="50" w:line="400" w:lineRule="exact"/>
        <w:ind w:left="833" w:leftChars="200" w:hanging="413" w:hangingChars="147"/>
        <w:rPr>
          <w:rFonts w:ascii="仿宋" w:hAnsi="仿宋" w:eastAsia="仿宋"/>
          <w:b/>
          <w:color w:val="000000" w:themeColor="text1"/>
          <w:sz w:val="28"/>
          <w:szCs w:val="28"/>
        </w:rPr>
      </w:pPr>
      <w:r>
        <w:rPr>
          <w:rFonts w:ascii="仿宋" w:hAnsi="仿宋" w:eastAsia="仿宋"/>
          <w:b/>
          <w:color w:val="000000" w:themeColor="text1"/>
          <w:sz w:val="28"/>
          <w:szCs w:val="28"/>
        </w:rPr>
        <w:t>19．评标程序</w:t>
      </w:r>
    </w:p>
    <w:p>
      <w:pPr>
        <w:snapToGrid w:val="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rPr>
        <w:t>19.1</w:t>
      </w:r>
      <w:r>
        <w:rPr>
          <w:rFonts w:hint="eastAsia" w:ascii="仿宋" w:hAnsi="仿宋" w:eastAsia="仿宋"/>
          <w:color w:val="000000" w:themeColor="text1"/>
          <w:sz w:val="24"/>
        </w:rPr>
        <w:t xml:space="preserve"> 资格文件的评审。</w:t>
      </w:r>
    </w:p>
    <w:p>
      <w:pPr>
        <w:pStyle w:val="16"/>
        <w:spacing w:line="360" w:lineRule="auto"/>
        <w:ind w:firstLine="240" w:firstLineChars="100"/>
        <w:jc w:val="both"/>
        <w:rPr>
          <w:rFonts w:ascii="仿宋" w:hAnsi="仿宋" w:eastAsia="仿宋"/>
          <w:color w:val="000000" w:themeColor="text1"/>
          <w:sz w:val="24"/>
        </w:rPr>
      </w:pPr>
      <w:r>
        <w:rPr>
          <w:rFonts w:ascii="仿宋" w:hAnsi="仿宋" w:eastAsia="仿宋"/>
          <w:color w:val="000000" w:themeColor="text1"/>
          <w:sz w:val="24"/>
        </w:rPr>
        <w:t>采购人或者采购组织机构应当依法对投标人的</w:t>
      </w:r>
      <w:r>
        <w:rPr>
          <w:rFonts w:hint="eastAsia" w:ascii="仿宋" w:hAnsi="仿宋" w:eastAsia="仿宋"/>
          <w:color w:val="000000" w:themeColor="text1"/>
          <w:sz w:val="24"/>
        </w:rPr>
        <w:t>资格文件</w:t>
      </w:r>
      <w:r>
        <w:rPr>
          <w:rFonts w:ascii="仿宋" w:hAnsi="仿宋" w:eastAsia="仿宋"/>
          <w:color w:val="000000" w:themeColor="text1"/>
          <w:sz w:val="24"/>
        </w:rPr>
        <w:t>进行审查，以确定其是否满足招标文件的实质性要求</w:t>
      </w:r>
      <w:r>
        <w:rPr>
          <w:rFonts w:hint="eastAsia" w:ascii="仿宋" w:hAnsi="仿宋" w:eastAsia="仿宋"/>
          <w:color w:val="000000" w:themeColor="text1"/>
          <w:sz w:val="24"/>
        </w:rPr>
        <w:t>，</w:t>
      </w:r>
      <w:r>
        <w:rPr>
          <w:rFonts w:ascii="仿宋" w:hAnsi="仿宋" w:eastAsia="仿宋"/>
          <w:color w:val="000000" w:themeColor="text1"/>
          <w:sz w:val="24"/>
        </w:rPr>
        <w:t>对审查发现无效的进行必要的询标，</w:t>
      </w:r>
      <w:r>
        <w:rPr>
          <w:rFonts w:hint="eastAsia" w:ascii="仿宋" w:hAnsi="仿宋" w:eastAsia="仿宋"/>
          <w:color w:val="000000" w:themeColor="text1"/>
          <w:sz w:val="24"/>
        </w:rPr>
        <w:t>由政采云在线公布</w:t>
      </w:r>
      <w:r>
        <w:rPr>
          <w:rFonts w:ascii="仿宋" w:hAnsi="仿宋" w:eastAsia="仿宋"/>
          <w:color w:val="000000" w:themeColor="text1"/>
          <w:sz w:val="24"/>
        </w:rPr>
        <w:t>无效投标的投标人名单、投标无效的原因。</w:t>
      </w:r>
      <w:r>
        <w:rPr>
          <w:rFonts w:hint="eastAsia" w:ascii="仿宋" w:hAnsi="仿宋" w:eastAsia="仿宋"/>
          <w:color w:val="000000" w:themeColor="text1"/>
          <w:sz w:val="24"/>
        </w:rPr>
        <w:t>（若系统原因无法公布的，将由录音电话代为公布）</w:t>
      </w:r>
    </w:p>
    <w:p>
      <w:pPr>
        <w:pStyle w:val="16"/>
        <w:spacing w:line="360" w:lineRule="auto"/>
        <w:ind w:firstLine="240" w:firstLineChars="100"/>
        <w:jc w:val="both"/>
        <w:rPr>
          <w:rFonts w:ascii="仿宋" w:hAnsi="仿宋" w:eastAsia="仿宋"/>
          <w:color w:val="000000" w:themeColor="text1"/>
          <w:sz w:val="24"/>
        </w:rPr>
      </w:pPr>
      <w:r>
        <w:rPr>
          <w:rFonts w:ascii="仿宋" w:hAnsi="仿宋" w:eastAsia="仿宋"/>
          <w:color w:val="000000" w:themeColor="text1"/>
          <w:sz w:val="24"/>
        </w:rPr>
        <w:t>19.</w:t>
      </w:r>
      <w:r>
        <w:rPr>
          <w:rFonts w:hint="eastAsia" w:ascii="仿宋" w:hAnsi="仿宋" w:eastAsia="仿宋"/>
          <w:color w:val="000000" w:themeColor="text1"/>
          <w:sz w:val="24"/>
        </w:rPr>
        <w:t>2 商务技术文件的评审。</w:t>
      </w:r>
    </w:p>
    <w:p>
      <w:pPr>
        <w:pStyle w:val="16"/>
        <w:spacing w:line="360" w:lineRule="auto"/>
        <w:ind w:firstLine="240" w:firstLineChars="100"/>
        <w:jc w:val="both"/>
        <w:rPr>
          <w:rFonts w:ascii="仿宋" w:hAnsi="仿宋" w:eastAsia="仿宋"/>
          <w:color w:val="000000" w:themeColor="text1"/>
          <w:sz w:val="24"/>
        </w:rPr>
      </w:pPr>
      <w:r>
        <w:rPr>
          <w:rFonts w:hint="eastAsia" w:ascii="仿宋" w:hAnsi="仿宋" w:eastAsia="仿宋"/>
          <w:color w:val="000000" w:themeColor="text1"/>
          <w:sz w:val="24"/>
        </w:rPr>
        <w:t>评标</w:t>
      </w:r>
      <w:r>
        <w:rPr>
          <w:rFonts w:ascii="仿宋" w:hAnsi="仿宋" w:eastAsia="仿宋"/>
          <w:color w:val="000000" w:themeColor="text1"/>
          <w:sz w:val="24"/>
        </w:rPr>
        <w:t>专家应当依法对投标人的</w:t>
      </w:r>
      <w:r>
        <w:rPr>
          <w:rFonts w:hint="eastAsia" w:ascii="仿宋" w:hAnsi="仿宋" w:eastAsia="仿宋"/>
          <w:color w:val="000000" w:themeColor="text1"/>
          <w:sz w:val="24"/>
        </w:rPr>
        <w:t>商务技术文件</w:t>
      </w:r>
      <w:r>
        <w:rPr>
          <w:rFonts w:ascii="仿宋" w:hAnsi="仿宋" w:eastAsia="仿宋"/>
          <w:color w:val="000000" w:themeColor="text1"/>
          <w:sz w:val="24"/>
        </w:rPr>
        <w:t>进行审查，以确定其是否满足招标文件的实质性要求</w:t>
      </w:r>
      <w:r>
        <w:rPr>
          <w:rFonts w:hint="eastAsia" w:ascii="仿宋" w:hAnsi="仿宋" w:eastAsia="仿宋"/>
          <w:color w:val="000000" w:themeColor="text1"/>
          <w:sz w:val="24"/>
        </w:rPr>
        <w:t>，</w:t>
      </w:r>
      <w:r>
        <w:rPr>
          <w:rFonts w:ascii="仿宋" w:hAnsi="仿宋" w:eastAsia="仿宋"/>
          <w:color w:val="000000" w:themeColor="text1"/>
          <w:sz w:val="24"/>
        </w:rPr>
        <w:t>对审查发现无效的进行必要的询标，</w:t>
      </w:r>
      <w:r>
        <w:rPr>
          <w:rFonts w:hint="eastAsia" w:ascii="仿宋" w:hAnsi="仿宋" w:eastAsia="仿宋"/>
          <w:color w:val="000000" w:themeColor="text1"/>
          <w:sz w:val="24"/>
        </w:rPr>
        <w:t>由政采云在线公布</w:t>
      </w:r>
      <w:r>
        <w:rPr>
          <w:rFonts w:ascii="仿宋" w:hAnsi="仿宋" w:eastAsia="仿宋"/>
          <w:color w:val="000000" w:themeColor="text1"/>
          <w:sz w:val="24"/>
        </w:rPr>
        <w:t>无效投标的投标人名单、投标无效的原因。</w:t>
      </w:r>
      <w:r>
        <w:rPr>
          <w:rFonts w:hint="eastAsia" w:ascii="仿宋" w:hAnsi="仿宋" w:eastAsia="仿宋"/>
          <w:color w:val="000000" w:themeColor="text1"/>
          <w:sz w:val="24"/>
        </w:rPr>
        <w:t>（若系统原因无法公布的，将由录音电话代为公布）</w:t>
      </w:r>
    </w:p>
    <w:p>
      <w:pPr>
        <w:snapToGrid w:val="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rPr>
        <w:t>19.</w:t>
      </w:r>
      <w:r>
        <w:rPr>
          <w:rFonts w:hint="eastAsia" w:ascii="仿宋" w:hAnsi="仿宋" w:eastAsia="仿宋"/>
          <w:color w:val="000000" w:themeColor="text1"/>
          <w:sz w:val="24"/>
        </w:rPr>
        <w:t>3 报价文件的评审。</w:t>
      </w:r>
    </w:p>
    <w:p>
      <w:pPr>
        <w:pStyle w:val="20"/>
        <w:snapToGrid w:val="0"/>
        <w:spacing w:line="360" w:lineRule="auto"/>
        <w:ind w:firstLine="420" w:firstLineChars="175"/>
        <w:rPr>
          <w:rFonts w:ascii="仿宋" w:hAnsi="仿宋" w:eastAsia="仿宋"/>
          <w:color w:val="000000" w:themeColor="text1"/>
          <w:sz w:val="24"/>
        </w:rPr>
      </w:pPr>
      <w:r>
        <w:rPr>
          <w:rFonts w:hint="eastAsia" w:ascii="仿宋" w:hAnsi="仿宋" w:eastAsia="仿宋"/>
          <w:color w:val="000000" w:themeColor="text1"/>
          <w:sz w:val="24"/>
        </w:rPr>
        <w:t>评标委员会对报价文件进行复核，对于系统计算出的价格分及总得分进行确认；</w:t>
      </w:r>
    </w:p>
    <w:p>
      <w:pPr>
        <w:tabs>
          <w:tab w:val="left" w:pos="425"/>
          <w:tab w:val="left" w:pos="540"/>
          <w:tab w:val="left" w:pos="709"/>
        </w:tabs>
        <w:spacing w:line="440" w:lineRule="exact"/>
        <w:ind w:firstLine="241" w:firstLineChars="100"/>
        <w:rPr>
          <w:rFonts w:ascii="仿宋" w:hAnsi="仿宋" w:eastAsia="仿宋" w:cs="新宋体"/>
          <w:b/>
          <w:color w:val="000000" w:themeColor="text1"/>
          <w:kern w:val="0"/>
          <w:sz w:val="24"/>
        </w:rPr>
      </w:pPr>
      <w:r>
        <w:rPr>
          <w:rFonts w:hint="eastAsia" w:ascii="仿宋" w:hAnsi="仿宋" w:eastAsia="仿宋" w:cs="新宋体"/>
          <w:b/>
          <w:color w:val="000000" w:themeColor="text1"/>
          <w:kern w:val="0"/>
          <w:sz w:val="24"/>
        </w:rPr>
        <w:t>19.4不同投标人提供同品牌产品参与投标的，按一家投标人计算。评审后得分最高的同品牌投标人获得中标人推荐资格；评审得分相同的，由采购人或采购人委托评标委员会随机抽取确认。其他同品牌投标人不作为中标候选人。非单一产品采购项目，根据核心产品品牌确定。</w:t>
      </w:r>
    </w:p>
    <w:p>
      <w:pPr>
        <w:snapToGrid w:val="0"/>
        <w:spacing w:line="400" w:lineRule="exact"/>
        <w:ind w:firstLine="240" w:firstLineChars="100"/>
        <w:rPr>
          <w:rFonts w:ascii="仿宋" w:hAnsi="仿宋" w:eastAsia="仿宋"/>
          <w:b/>
          <w:color w:val="000000" w:themeColor="text1"/>
          <w:sz w:val="24"/>
        </w:rPr>
      </w:pPr>
      <w:r>
        <w:rPr>
          <w:rFonts w:ascii="仿宋" w:hAnsi="仿宋" w:eastAsia="仿宋"/>
          <w:color w:val="000000" w:themeColor="text1"/>
          <w:sz w:val="24"/>
        </w:rPr>
        <w:t>19.5</w:t>
      </w:r>
      <w:r>
        <w:rPr>
          <w:rFonts w:hint="eastAsia" w:ascii="仿宋" w:hAnsi="仿宋" w:eastAsia="仿宋"/>
          <w:b/>
          <w:color w:val="000000" w:themeColor="text1"/>
          <w:sz w:val="24"/>
        </w:rPr>
        <w:t>评标委员会完成评标后,评委对各部分得分汇总,得出本项目最终得分,评标委员会按评标办法向采购人推荐中标候选供应商同时出具评标报告。</w:t>
      </w:r>
    </w:p>
    <w:p>
      <w:pPr>
        <w:tabs>
          <w:tab w:val="left" w:pos="425"/>
          <w:tab w:val="left" w:pos="540"/>
        </w:tabs>
        <w:spacing w:line="440" w:lineRule="exact"/>
        <w:ind w:firstLine="241" w:firstLineChars="100"/>
        <w:rPr>
          <w:rFonts w:ascii="仿宋" w:hAnsi="仿宋" w:eastAsia="仿宋" w:cs="Arial"/>
          <w:b/>
          <w:bCs/>
          <w:color w:val="000000" w:themeColor="text1"/>
          <w:sz w:val="24"/>
        </w:rPr>
      </w:pPr>
      <w:r>
        <w:rPr>
          <w:rFonts w:hint="eastAsia" w:ascii="仿宋" w:hAnsi="仿宋" w:eastAsia="仿宋" w:cs="新宋体"/>
          <w:b/>
          <w:color w:val="000000" w:themeColor="text1"/>
          <w:kern w:val="0"/>
          <w:sz w:val="24"/>
        </w:rPr>
        <w:t>19.6▲</w:t>
      </w:r>
      <w:r>
        <w:rPr>
          <w:rFonts w:hint="eastAsia" w:ascii="仿宋" w:hAnsi="仿宋" w:eastAsia="仿宋"/>
          <w:b/>
          <w:bCs/>
          <w:color w:val="000000" w:themeColor="text1"/>
          <w:sz w:val="24"/>
        </w:rPr>
        <w:t>本项目采用政采云电子招投标开标及评审程序，如有以下情形之一的，按以下情况处理：</w:t>
      </w:r>
    </w:p>
    <w:p>
      <w:pPr>
        <w:spacing w:line="360" w:lineRule="auto"/>
        <w:ind w:firstLine="241" w:firstLineChars="100"/>
        <w:rPr>
          <w:rFonts w:ascii="仿宋" w:hAnsi="仿宋" w:eastAsia="仿宋" w:cs="Arial"/>
          <w:b/>
          <w:bCs/>
          <w:color w:val="000000" w:themeColor="text1"/>
          <w:sz w:val="24"/>
        </w:rPr>
      </w:pPr>
      <w:r>
        <w:rPr>
          <w:rFonts w:hint="eastAsia" w:ascii="仿宋" w:hAnsi="仿宋" w:eastAsia="仿宋" w:cs="Arial"/>
          <w:b/>
          <w:bCs/>
          <w:color w:val="000000" w:themeColor="text1"/>
          <w:sz w:val="24"/>
        </w:rPr>
        <w:t>19.6.1投标人在规定时间内无法解密或解密失败的作无效投标处理。解密成功的投标人不足三家的，本项目流标重新组织采购活动。</w:t>
      </w:r>
    </w:p>
    <w:p>
      <w:pPr>
        <w:spacing w:line="360" w:lineRule="auto"/>
        <w:ind w:firstLine="241" w:firstLineChars="100"/>
        <w:rPr>
          <w:rFonts w:ascii="仿宋" w:hAnsi="仿宋" w:eastAsia="仿宋" w:cs="Arial"/>
          <w:b/>
          <w:bCs/>
          <w:color w:val="000000" w:themeColor="text1"/>
          <w:sz w:val="24"/>
        </w:rPr>
      </w:pPr>
      <w:r>
        <w:rPr>
          <w:rFonts w:hint="eastAsia" w:ascii="仿宋" w:hAnsi="仿宋" w:eastAsia="仿宋" w:cs="Arial"/>
          <w:b/>
          <w:bCs/>
          <w:color w:val="000000" w:themeColor="text1"/>
          <w:sz w:val="24"/>
        </w:rPr>
        <w:t>19.6.2因政采云平台原因无法读取或</w:t>
      </w:r>
      <w:r>
        <w:rPr>
          <w:rFonts w:ascii="仿宋" w:hAnsi="仿宋" w:eastAsia="仿宋" w:cs="Arial"/>
          <w:b/>
          <w:bCs/>
          <w:color w:val="000000" w:themeColor="text1"/>
          <w:sz w:val="24"/>
        </w:rPr>
        <w:t>电子</w:t>
      </w:r>
      <w:r>
        <w:rPr>
          <w:rFonts w:hint="eastAsia" w:ascii="仿宋" w:hAnsi="仿宋" w:eastAsia="仿宋" w:cs="Arial"/>
          <w:b/>
          <w:bCs/>
          <w:color w:val="000000" w:themeColor="text1"/>
          <w:sz w:val="24"/>
        </w:rPr>
        <w:t>开</w:t>
      </w:r>
      <w:r>
        <w:rPr>
          <w:rFonts w:ascii="仿宋" w:hAnsi="仿宋" w:eastAsia="仿宋" w:cs="Arial"/>
          <w:b/>
          <w:bCs/>
          <w:color w:val="000000" w:themeColor="text1"/>
          <w:sz w:val="24"/>
        </w:rPr>
        <w:t>评标无法正常进行</w:t>
      </w:r>
      <w:r>
        <w:rPr>
          <w:rFonts w:hint="eastAsia" w:ascii="仿宋" w:hAnsi="仿宋" w:eastAsia="仿宋" w:cs="Arial"/>
          <w:b/>
          <w:bCs/>
          <w:color w:val="000000" w:themeColor="text1"/>
          <w:sz w:val="24"/>
        </w:rPr>
        <w:t>，采购机构将情况上报行业监管部门同意后，重新组织采购活动。</w:t>
      </w:r>
    </w:p>
    <w:p>
      <w:pPr>
        <w:spacing w:line="360" w:lineRule="auto"/>
        <w:ind w:firstLine="241" w:firstLineChars="100"/>
        <w:rPr>
          <w:rFonts w:ascii="仿宋" w:hAnsi="仿宋" w:eastAsia="仿宋" w:cs="Arial"/>
          <w:b/>
          <w:bCs/>
          <w:color w:val="000000" w:themeColor="text1"/>
          <w:sz w:val="24"/>
        </w:rPr>
      </w:pPr>
      <w:r>
        <w:rPr>
          <w:rFonts w:hint="eastAsia" w:ascii="仿宋" w:hAnsi="仿宋" w:eastAsia="仿宋" w:cs="Arial"/>
          <w:b/>
          <w:bCs/>
          <w:color w:val="000000" w:themeColor="text1"/>
          <w:sz w:val="24"/>
        </w:rPr>
        <w:t>19.6.3评审期间，出现有效投标人不足3家的，本次招标按流（废）标处理，重新组织招标。</w:t>
      </w:r>
    </w:p>
    <w:p>
      <w:pPr>
        <w:snapToGrid w:val="0"/>
        <w:spacing w:beforeLines="50" w:line="400" w:lineRule="exact"/>
        <w:ind w:firstLine="413" w:firstLineChars="147"/>
        <w:rPr>
          <w:rFonts w:ascii="仿宋" w:hAnsi="仿宋" w:eastAsia="仿宋"/>
          <w:b/>
          <w:color w:val="000000" w:themeColor="text1"/>
          <w:sz w:val="28"/>
          <w:szCs w:val="28"/>
        </w:rPr>
      </w:pPr>
      <w:r>
        <w:rPr>
          <w:rFonts w:hint="eastAsia" w:ascii="仿宋" w:hAnsi="仿宋" w:eastAsia="仿宋"/>
          <w:b/>
          <w:color w:val="000000" w:themeColor="text1"/>
          <w:sz w:val="28"/>
          <w:szCs w:val="28"/>
        </w:rPr>
        <w:t>2</w:t>
      </w:r>
      <w:r>
        <w:rPr>
          <w:rFonts w:ascii="仿宋" w:hAnsi="仿宋" w:eastAsia="仿宋"/>
          <w:b/>
          <w:color w:val="000000" w:themeColor="text1"/>
          <w:sz w:val="28"/>
          <w:szCs w:val="28"/>
        </w:rPr>
        <w:t>0</w:t>
      </w:r>
      <w:r>
        <w:rPr>
          <w:rFonts w:hint="eastAsia" w:ascii="仿宋" w:hAnsi="仿宋" w:eastAsia="仿宋"/>
          <w:b/>
          <w:color w:val="000000" w:themeColor="text1"/>
          <w:sz w:val="28"/>
          <w:szCs w:val="28"/>
        </w:rPr>
        <w:t>．评标办法及评分标准（详见第五章）</w:t>
      </w:r>
    </w:p>
    <w:p>
      <w:pPr>
        <w:numPr>
          <w:ilvl w:val="0"/>
          <w:numId w:val="2"/>
        </w:numPr>
        <w:snapToGrid w:val="0"/>
        <w:spacing w:beforeLines="50" w:line="400" w:lineRule="exact"/>
        <w:rPr>
          <w:rFonts w:ascii="仿宋" w:hAnsi="仿宋" w:eastAsia="仿宋"/>
          <w:b/>
          <w:color w:val="000000" w:themeColor="text1"/>
          <w:sz w:val="28"/>
          <w:szCs w:val="28"/>
        </w:rPr>
      </w:pPr>
      <w:r>
        <w:rPr>
          <w:rFonts w:hint="eastAsia" w:ascii="仿宋" w:hAnsi="仿宋" w:eastAsia="仿宋"/>
          <w:b/>
          <w:color w:val="000000" w:themeColor="text1"/>
          <w:sz w:val="28"/>
          <w:szCs w:val="28"/>
        </w:rPr>
        <w:t>澄清问题的形式</w:t>
      </w:r>
    </w:p>
    <w:p>
      <w:pPr>
        <w:tabs>
          <w:tab w:val="left" w:pos="540"/>
        </w:tabs>
        <w:spacing w:line="440" w:lineRule="exact"/>
        <w:ind w:firstLine="480" w:firstLineChars="200"/>
        <w:rPr>
          <w:rFonts w:ascii="仿宋" w:hAnsi="仿宋" w:eastAsia="仿宋"/>
          <w:b/>
          <w:color w:val="000000" w:themeColor="text1"/>
          <w:sz w:val="24"/>
        </w:rPr>
      </w:pPr>
      <w:r>
        <w:rPr>
          <w:rFonts w:hint="eastAsia" w:ascii="仿宋" w:hAnsi="仿宋" w:eastAsia="仿宋" w:cs="Arial"/>
          <w:bCs/>
          <w:color w:val="000000" w:themeColor="text1"/>
          <w:sz w:val="24"/>
        </w:rPr>
        <w:t>2</w:t>
      </w:r>
      <w:r>
        <w:rPr>
          <w:rFonts w:ascii="仿宋" w:hAnsi="仿宋" w:eastAsia="仿宋" w:cs="Arial"/>
          <w:bCs/>
          <w:color w:val="000000" w:themeColor="text1"/>
          <w:sz w:val="24"/>
        </w:rPr>
        <w:t>1.1</w:t>
      </w:r>
      <w:r>
        <w:rPr>
          <w:rFonts w:hint="eastAsia" w:ascii="仿宋" w:hAnsi="仿宋" w:eastAsia="仿宋" w:cs="Arial"/>
          <w:bCs/>
          <w:color w:val="000000" w:themeColor="text1"/>
          <w:sz w:val="24"/>
        </w:rPr>
        <w:t>在评标期间，评标委员会可以对投标文件中含义不明确、对同类问题表述不一致或者有明显文字和计算错误的内容作必要的澄清、说明或补正。澄清、说明或补将采用在政采云系统上向供应商发起询标函的方式进行。供应商须在“截止时间”内登录政采云系统（路径：用户中心—项目采购—询标澄清）根据标项回复询标函，具体操作流程详见《政府采购项目电子交易管理操作指南-供应商》。澄清内容不得超出投标文件的范围或者改变投标文件的实质性内容。拒不按要求对其投标文件进行澄清，说明或补正的投标人，评标委员会可以否决其投标。</w:t>
      </w:r>
    </w:p>
    <w:p>
      <w:pPr>
        <w:tabs>
          <w:tab w:val="left" w:pos="540"/>
        </w:tabs>
        <w:spacing w:line="44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21.2各投标人应代表须在电脑前及时在线关注评审动态，并确保其在联系方式无误且保持畅通，因投标人自身原因没有及时关注评审动态或其联系方式错误或无法接通，导致其未能在规定时间内完成询标澄清事宜的，由此造成的后果由供应商自行承担。</w:t>
      </w:r>
    </w:p>
    <w:p>
      <w:pPr>
        <w:tabs>
          <w:tab w:val="left" w:pos="540"/>
        </w:tabs>
        <w:spacing w:line="440" w:lineRule="exact"/>
        <w:ind w:firstLine="482" w:firstLineChars="200"/>
        <w:rPr>
          <w:rFonts w:ascii="仿宋" w:hAnsi="仿宋" w:eastAsia="仿宋"/>
          <w:color w:val="000000" w:themeColor="text1"/>
          <w:sz w:val="24"/>
        </w:rPr>
      </w:pPr>
      <w:r>
        <w:rPr>
          <w:rFonts w:hint="eastAsia" w:ascii="仿宋" w:hAnsi="仿宋" w:eastAsia="仿宋"/>
          <w:b/>
          <w:bCs/>
          <w:color w:val="000000" w:themeColor="text1"/>
          <w:sz w:val="24"/>
        </w:rPr>
        <w:t>21.3若投标人在询标澄清环节，由于CA等原因无法进行线上操作时，应在规定时限内由授权代表将线下材料通过其在投标文件中预留的邮箱（必须由指定预留邮箱发送，否则澄清邮件不予认可）传送至代理机构邮箱</w:t>
      </w:r>
      <w:r>
        <w:rPr>
          <w:rFonts w:ascii="仿宋" w:hAnsi="仿宋" w:eastAsia="仿宋"/>
          <w:b/>
          <w:bCs/>
          <w:color w:val="000000" w:themeColor="text1"/>
          <w:sz w:val="24"/>
        </w:rPr>
        <w:t>1018307255@qq.com</w:t>
      </w:r>
      <w:r>
        <w:rPr>
          <w:rFonts w:hint="eastAsia" w:ascii="仿宋" w:hAnsi="仿宋" w:eastAsia="仿宋"/>
          <w:b/>
          <w:bCs/>
          <w:color w:val="000000" w:themeColor="text1"/>
          <w:sz w:val="24"/>
        </w:rPr>
        <w:t>。</w:t>
      </w:r>
    </w:p>
    <w:p>
      <w:pPr>
        <w:tabs>
          <w:tab w:val="left" w:pos="540"/>
        </w:tabs>
        <w:spacing w:line="440" w:lineRule="exact"/>
        <w:ind w:firstLine="482" w:firstLineChars="200"/>
        <w:rPr>
          <w:rFonts w:ascii="仿宋" w:hAnsi="仿宋" w:eastAsia="仿宋"/>
          <w:b/>
          <w:color w:val="000000" w:themeColor="text1"/>
          <w:sz w:val="24"/>
        </w:rPr>
      </w:pPr>
      <w:r>
        <w:rPr>
          <w:rFonts w:hint="eastAsia" w:ascii="仿宋" w:hAnsi="仿宋" w:eastAsia="仿宋" w:cs="新宋体"/>
          <w:b/>
          <w:color w:val="000000" w:themeColor="text1"/>
          <w:kern w:val="0"/>
          <w:sz w:val="24"/>
        </w:rPr>
        <w:t>21.4▲</w:t>
      </w:r>
      <w:r>
        <w:rPr>
          <w:rFonts w:hint="eastAsia" w:ascii="仿宋" w:hAnsi="仿宋" w:eastAsia="仿宋"/>
          <w:b/>
          <w:color w:val="000000" w:themeColor="text1"/>
          <w:sz w:val="24"/>
        </w:rPr>
        <w:t>经澄清后，若偏差仍存在，且不可接受，投标人则被认为是“没有实质性响应招标文件要求”，其投标不进入下一步评审。</w:t>
      </w:r>
    </w:p>
    <w:p>
      <w:pPr>
        <w:pStyle w:val="20"/>
        <w:snapToGrid w:val="0"/>
        <w:spacing w:beforeLines="50" w:line="400" w:lineRule="exact"/>
        <w:ind w:left="423" w:leftChars="199" w:hanging="5" w:hangingChars="2"/>
        <w:rPr>
          <w:rFonts w:ascii="仿宋" w:hAnsi="仿宋" w:eastAsia="仿宋"/>
          <w:b/>
          <w:color w:val="000000" w:themeColor="text1"/>
          <w:sz w:val="24"/>
          <w:szCs w:val="24"/>
        </w:rPr>
      </w:pPr>
      <w:r>
        <w:rPr>
          <w:rFonts w:ascii="仿宋" w:hAnsi="仿宋" w:eastAsia="仿宋"/>
          <w:b/>
          <w:color w:val="000000" w:themeColor="text1"/>
          <w:sz w:val="24"/>
          <w:szCs w:val="24"/>
        </w:rPr>
        <w:t>22．</w:t>
      </w:r>
      <w:r>
        <w:rPr>
          <w:rFonts w:hint="eastAsia" w:ascii="仿宋" w:hAnsi="仿宋" w:eastAsia="仿宋"/>
          <w:b/>
          <w:color w:val="000000" w:themeColor="text1"/>
          <w:sz w:val="24"/>
          <w:szCs w:val="24"/>
        </w:rPr>
        <w:t>错误修正的原则</w:t>
      </w:r>
    </w:p>
    <w:p>
      <w:pPr>
        <w:pStyle w:val="20"/>
        <w:snapToGrid w:val="0"/>
        <w:spacing w:line="400" w:lineRule="exact"/>
        <w:ind w:firstLine="240" w:firstLineChars="100"/>
        <w:rPr>
          <w:rFonts w:ascii="仿宋" w:hAnsi="仿宋" w:eastAsia="仿宋"/>
          <w:color w:val="000000" w:themeColor="text1"/>
          <w:sz w:val="24"/>
          <w:szCs w:val="24"/>
        </w:rPr>
      </w:pPr>
      <w:r>
        <w:rPr>
          <w:rFonts w:ascii="仿宋" w:hAnsi="仿宋" w:eastAsia="仿宋"/>
          <w:color w:val="000000" w:themeColor="text1"/>
          <w:sz w:val="24"/>
          <w:szCs w:val="24"/>
        </w:rPr>
        <w:t>投标</w:t>
      </w:r>
      <w:r>
        <w:rPr>
          <w:rFonts w:hint="eastAsia" w:ascii="仿宋" w:hAnsi="仿宋" w:eastAsia="仿宋"/>
          <w:color w:val="000000" w:themeColor="text1"/>
          <w:sz w:val="24"/>
          <w:szCs w:val="24"/>
        </w:rPr>
        <w:t>文件</w:t>
      </w:r>
      <w:r>
        <w:rPr>
          <w:rFonts w:ascii="仿宋" w:hAnsi="仿宋" w:eastAsia="仿宋"/>
          <w:color w:val="000000" w:themeColor="text1"/>
          <w:sz w:val="24"/>
          <w:szCs w:val="24"/>
        </w:rPr>
        <w:t>如果出现计算或表达上的错误，</w:t>
      </w:r>
      <w:r>
        <w:rPr>
          <w:rFonts w:hint="eastAsia" w:ascii="仿宋" w:hAnsi="仿宋" w:eastAsia="仿宋"/>
          <w:color w:val="000000" w:themeColor="text1"/>
          <w:sz w:val="24"/>
          <w:szCs w:val="24"/>
        </w:rPr>
        <w:t>修正错误</w:t>
      </w:r>
      <w:r>
        <w:rPr>
          <w:rFonts w:ascii="仿宋" w:hAnsi="仿宋" w:eastAsia="仿宋"/>
          <w:color w:val="000000" w:themeColor="text1"/>
          <w:sz w:val="24"/>
          <w:szCs w:val="24"/>
        </w:rPr>
        <w:t>的原则如下：</w:t>
      </w:r>
    </w:p>
    <w:p>
      <w:pPr>
        <w:snapToGrid w:val="0"/>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2.</w:t>
      </w:r>
      <w:r>
        <w:rPr>
          <w:rFonts w:hint="eastAsia" w:ascii="仿宋" w:hAnsi="仿宋" w:eastAsia="仿宋"/>
          <w:color w:val="000000" w:themeColor="text1"/>
          <w:sz w:val="24"/>
        </w:rPr>
        <w:t>1 投标函中表述的内容与报价表中不一致的，以报价表为准；</w:t>
      </w:r>
    </w:p>
    <w:p>
      <w:pPr>
        <w:pStyle w:val="20"/>
        <w:snapToGrid w:val="0"/>
        <w:spacing w:line="400" w:lineRule="exact"/>
        <w:ind w:firstLine="240" w:firstLineChars="100"/>
        <w:rPr>
          <w:rFonts w:ascii="仿宋" w:hAnsi="仿宋" w:eastAsia="仿宋"/>
          <w:color w:val="000000" w:themeColor="text1"/>
          <w:sz w:val="24"/>
          <w:szCs w:val="24"/>
        </w:rPr>
      </w:pPr>
      <w:r>
        <w:rPr>
          <w:rFonts w:ascii="仿宋" w:hAnsi="仿宋" w:eastAsia="仿宋"/>
          <w:color w:val="000000" w:themeColor="text1"/>
          <w:sz w:val="24"/>
          <w:szCs w:val="24"/>
        </w:rPr>
        <w:t>22.2 投标文件中的大写金额和小写金额不一致的，以大写金额为准；</w:t>
      </w:r>
    </w:p>
    <w:p>
      <w:pPr>
        <w:pStyle w:val="2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szCs w:val="24"/>
        </w:rPr>
        <w:t>22.3 若用文字表示的数值与用</w:t>
      </w:r>
      <w:r>
        <w:rPr>
          <w:rFonts w:ascii="仿宋" w:hAnsi="仿宋" w:eastAsia="仿宋"/>
          <w:color w:val="000000" w:themeColor="text1"/>
          <w:sz w:val="24"/>
        </w:rPr>
        <w:t>数字表示的数值不一致，以文字表示的数值为准；</w:t>
      </w:r>
    </w:p>
    <w:p>
      <w:pPr>
        <w:pStyle w:val="20"/>
        <w:snapToGrid w:val="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rPr>
        <w:t>22.4 如有多报（指数量超出招标文件需求）、重报（指同一货物重复报价），其投标总价在评标过程中不予调整，如其中标，其合同价按其投标单价予以调整；</w:t>
      </w:r>
    </w:p>
    <w:p>
      <w:pPr>
        <w:pStyle w:val="20"/>
        <w:snapToGrid w:val="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rPr>
        <w:t xml:space="preserve">22.5 </w:t>
      </w:r>
      <w:r>
        <w:rPr>
          <w:rFonts w:hint="eastAsia" w:ascii="仿宋" w:hAnsi="仿宋" w:eastAsia="仿宋"/>
          <w:color w:val="000000" w:themeColor="text1"/>
          <w:sz w:val="24"/>
        </w:rPr>
        <w:t>对不同文字文本投标文件的解释发生异议的，以中文文本为准；</w:t>
      </w:r>
    </w:p>
    <w:p>
      <w:pPr>
        <w:pStyle w:val="32"/>
        <w:spacing w:before="0" w:beforeAutospacing="0" w:after="0" w:afterAutospacing="0" w:line="360" w:lineRule="auto"/>
        <w:jc w:val="both"/>
        <w:rPr>
          <w:rFonts w:ascii="仿宋" w:hAnsi="仿宋" w:eastAsia="仿宋"/>
          <w:color w:val="000000" w:themeColor="text1"/>
        </w:rPr>
      </w:pPr>
      <w:r>
        <w:rPr>
          <w:rFonts w:ascii="仿宋" w:hAnsi="仿宋" w:eastAsia="仿宋"/>
          <w:color w:val="000000" w:themeColor="text1"/>
        </w:rPr>
        <w:t>按上述修正错误的原则及方法调整或修正投标文件的投标报价，投标人确认后，以调整或修正后的投标报价为准。修正应当采用电子询标的形式，并加盖公章（电子印章）。如投标人拒绝调整或修正的，其投标文件按无效标处理。</w:t>
      </w:r>
    </w:p>
    <w:p>
      <w:pPr>
        <w:spacing w:beforeLines="50" w:line="400" w:lineRule="exact"/>
        <w:ind w:firstLine="413" w:firstLineChars="147"/>
        <w:rPr>
          <w:rFonts w:ascii="仿宋" w:hAnsi="仿宋" w:eastAsia="仿宋"/>
          <w:b/>
          <w:color w:val="000000" w:themeColor="text1"/>
          <w:sz w:val="28"/>
          <w:szCs w:val="28"/>
        </w:rPr>
      </w:pPr>
      <w:r>
        <w:rPr>
          <w:rFonts w:hint="eastAsia" w:ascii="仿宋" w:hAnsi="仿宋" w:eastAsia="仿宋"/>
          <w:b/>
          <w:color w:val="000000" w:themeColor="text1"/>
          <w:sz w:val="28"/>
          <w:szCs w:val="28"/>
        </w:rPr>
        <w:t>2</w:t>
      </w:r>
      <w:r>
        <w:rPr>
          <w:rFonts w:ascii="仿宋" w:hAnsi="仿宋" w:eastAsia="仿宋"/>
          <w:b/>
          <w:color w:val="000000" w:themeColor="text1"/>
          <w:sz w:val="28"/>
          <w:szCs w:val="28"/>
        </w:rPr>
        <w:t>3</w:t>
      </w:r>
      <w:r>
        <w:rPr>
          <w:rFonts w:hint="eastAsia" w:ascii="仿宋" w:hAnsi="仿宋" w:eastAsia="仿宋"/>
          <w:b/>
          <w:color w:val="000000" w:themeColor="text1"/>
          <w:sz w:val="28"/>
          <w:szCs w:val="28"/>
        </w:rPr>
        <w:t>．无效投标文件</w:t>
      </w:r>
    </w:p>
    <w:p>
      <w:pPr>
        <w:spacing w:line="400" w:lineRule="exact"/>
        <w:ind w:firstLine="241" w:firstLineChars="100"/>
        <w:rPr>
          <w:rFonts w:ascii="仿宋" w:hAnsi="仿宋" w:eastAsia="仿宋"/>
          <w:b/>
          <w:color w:val="000000" w:themeColor="text1"/>
          <w:sz w:val="24"/>
        </w:rPr>
      </w:pPr>
      <w:r>
        <w:rPr>
          <w:rFonts w:hint="eastAsia" w:ascii="仿宋" w:hAnsi="仿宋" w:eastAsia="仿宋"/>
          <w:b/>
          <w:color w:val="000000" w:themeColor="text1"/>
          <w:sz w:val="24"/>
        </w:rPr>
        <w:t>有下列情形之一的，投标文件按无效标处理：</w:t>
      </w:r>
    </w:p>
    <w:p>
      <w:pPr>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23.1投标文件未按招标文件规定的要求提交的；</w:t>
      </w:r>
    </w:p>
    <w:p>
      <w:pPr>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3.2</w:t>
      </w:r>
      <w:r>
        <w:rPr>
          <w:rFonts w:hint="eastAsia" w:ascii="仿宋" w:hAnsi="仿宋" w:eastAsia="仿宋"/>
          <w:color w:val="000000" w:themeColor="text1"/>
          <w:sz w:val="24"/>
        </w:rPr>
        <w:t>电子加密投标文件未按时解密，又未提供备份电子投标文件的；</w:t>
      </w:r>
    </w:p>
    <w:p>
      <w:pPr>
        <w:tabs>
          <w:tab w:val="right" w:pos="8306"/>
        </w:tabs>
        <w:autoSpaceDE w:val="0"/>
        <w:autoSpaceDN w:val="0"/>
        <w:adjustRightInd w:val="0"/>
        <w:spacing w:line="360" w:lineRule="auto"/>
        <w:ind w:firstLine="240" w:firstLineChars="100"/>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3.3</w:t>
      </w:r>
      <w:r>
        <w:rPr>
          <w:rFonts w:hint="eastAsia" w:ascii="仿宋" w:hAnsi="仿宋" w:eastAsia="仿宋"/>
          <w:color w:val="000000" w:themeColor="text1"/>
          <w:sz w:val="24"/>
        </w:rPr>
        <w:t xml:space="preserve"> 投标供应商仅提交备份电子投标文件的；</w:t>
      </w:r>
    </w:p>
    <w:p>
      <w:pPr>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3.4</w:t>
      </w:r>
      <w:r>
        <w:rPr>
          <w:rFonts w:hint="eastAsia" w:ascii="仿宋" w:hAnsi="仿宋" w:eastAsia="仿宋"/>
          <w:color w:val="000000" w:themeColor="text1"/>
          <w:sz w:val="24"/>
        </w:rPr>
        <w:t xml:space="preserve"> 资格文件、商务技术文件、报价文件出现混传或在资格文件或商务技术文件中出现投标报价的；</w:t>
      </w:r>
    </w:p>
    <w:p>
      <w:pPr>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23.5不响应招标文件实质性内容的；</w:t>
      </w:r>
    </w:p>
    <w:p>
      <w:pPr>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23.6投标文件的组成不符合招标文件要求的；</w:t>
      </w:r>
    </w:p>
    <w:p>
      <w:pPr>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23.7 投标文件格式不规范、内容不齐全或者虚假的；</w:t>
      </w:r>
    </w:p>
    <w:p>
      <w:pPr>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23.8投标人上传的电子加密投标文件解密成功的，电子加密投标文件中法定代表人（或委托代理人签字）、投标人的单位电子公章盖章不齐全，不符合招标文件规定的</w:t>
      </w:r>
      <w:r>
        <w:rPr>
          <w:rFonts w:ascii="仿宋" w:hAnsi="仿宋" w:eastAsia="仿宋"/>
          <w:color w:val="000000" w:themeColor="text1"/>
          <w:sz w:val="24"/>
        </w:rPr>
        <w:t>；</w:t>
      </w:r>
    </w:p>
    <w:p>
      <w:pPr>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3.</w:t>
      </w:r>
      <w:r>
        <w:rPr>
          <w:rFonts w:hint="eastAsia" w:ascii="仿宋" w:hAnsi="仿宋" w:eastAsia="仿宋"/>
          <w:color w:val="000000" w:themeColor="text1"/>
          <w:sz w:val="24"/>
        </w:rPr>
        <w:t>9投标文件的语言、币种及计量单位不符合招标文件要求的；</w:t>
      </w:r>
    </w:p>
    <w:p>
      <w:pPr>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3.1</w:t>
      </w:r>
      <w:r>
        <w:rPr>
          <w:rFonts w:hint="eastAsia" w:ascii="仿宋" w:hAnsi="仿宋" w:eastAsia="仿宋"/>
          <w:color w:val="000000" w:themeColor="text1"/>
          <w:sz w:val="24"/>
        </w:rPr>
        <w:t>0 未按招标文件第六章格式要求编制、随意进行增删更改的；</w:t>
      </w:r>
    </w:p>
    <w:p>
      <w:pPr>
        <w:spacing w:line="46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3.</w:t>
      </w:r>
      <w:r>
        <w:rPr>
          <w:rFonts w:hint="eastAsia" w:ascii="仿宋" w:hAnsi="仿宋" w:eastAsia="仿宋"/>
          <w:color w:val="000000" w:themeColor="text1"/>
          <w:sz w:val="24"/>
        </w:rPr>
        <w:t>11 投标人提交两份或多份内容不同的投标文件，或在一份投标文件中对同一招标项目提供两个或多个报价、参数及其他可选择内容的；</w:t>
      </w:r>
    </w:p>
    <w:p>
      <w:pPr>
        <w:spacing w:line="46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3.</w:t>
      </w:r>
      <w:r>
        <w:rPr>
          <w:rFonts w:hint="eastAsia" w:ascii="仿宋" w:hAnsi="仿宋" w:eastAsia="仿宋"/>
          <w:color w:val="000000" w:themeColor="text1"/>
          <w:sz w:val="24"/>
        </w:rPr>
        <w:t>12评标委员会认为</w:t>
      </w:r>
      <w:r>
        <w:rPr>
          <w:rFonts w:ascii="仿宋" w:hAnsi="仿宋" w:eastAsia="仿宋"/>
          <w:color w:val="000000" w:themeColor="text1"/>
          <w:sz w:val="24"/>
        </w:rPr>
        <w:t>投标人的报价</w:t>
      </w:r>
      <w:r>
        <w:rPr>
          <w:rFonts w:hint="eastAsia" w:ascii="仿宋" w:hAnsi="仿宋" w:eastAsia="仿宋"/>
          <w:color w:val="000000" w:themeColor="text1"/>
          <w:sz w:val="24"/>
        </w:rPr>
        <w:t>明显低于其他通过符合性审查投标人的报价，</w:t>
      </w:r>
      <w:r>
        <w:rPr>
          <w:rFonts w:hint="eastAsia" w:ascii="FangSong_GB2312" w:hAnsi="Courier New" w:eastAsia="FangSong_GB2312"/>
          <w:color w:val="000000" w:themeColor="text1"/>
          <w:sz w:val="24"/>
        </w:rPr>
        <w:t>单项报价严重偏离市场价或低于成本价，</w:t>
      </w:r>
      <w:r>
        <w:rPr>
          <w:rFonts w:hint="eastAsia" w:ascii="仿宋" w:hAnsi="仿宋" w:eastAsia="仿宋"/>
          <w:color w:val="000000" w:themeColor="text1"/>
          <w:sz w:val="24"/>
        </w:rPr>
        <w:t>而投标人</w:t>
      </w:r>
      <w:r>
        <w:rPr>
          <w:rFonts w:ascii="仿宋" w:hAnsi="仿宋" w:eastAsia="仿宋"/>
          <w:color w:val="000000" w:themeColor="text1"/>
          <w:sz w:val="24"/>
        </w:rPr>
        <w:t>不能</w:t>
      </w:r>
      <w:r>
        <w:rPr>
          <w:rFonts w:hint="eastAsia" w:ascii="仿宋" w:hAnsi="仿宋" w:eastAsia="仿宋"/>
          <w:color w:val="000000" w:themeColor="text1"/>
          <w:sz w:val="24"/>
        </w:rPr>
        <w:t>在评标委员会要求的时间内</w:t>
      </w:r>
      <w:r>
        <w:rPr>
          <w:rFonts w:ascii="仿宋" w:hAnsi="仿宋" w:eastAsia="仿宋"/>
          <w:color w:val="000000" w:themeColor="text1"/>
          <w:sz w:val="24"/>
        </w:rPr>
        <w:t>提供</w:t>
      </w:r>
      <w:r>
        <w:rPr>
          <w:rFonts w:hint="eastAsia" w:ascii="仿宋" w:hAnsi="仿宋" w:eastAsia="仿宋"/>
          <w:color w:val="000000" w:themeColor="text1"/>
          <w:sz w:val="24"/>
        </w:rPr>
        <w:t>进行电子答复</w:t>
      </w:r>
      <w:r>
        <w:rPr>
          <w:rFonts w:ascii="仿宋" w:hAnsi="仿宋" w:eastAsia="仿宋"/>
          <w:color w:val="000000" w:themeColor="text1"/>
          <w:sz w:val="24"/>
        </w:rPr>
        <w:t>，必要时提交相关证明材料</w:t>
      </w:r>
      <w:r>
        <w:rPr>
          <w:rFonts w:hint="eastAsia" w:ascii="仿宋" w:hAnsi="仿宋" w:eastAsia="仿宋"/>
          <w:color w:val="000000" w:themeColor="text1"/>
          <w:sz w:val="24"/>
        </w:rPr>
        <w:t>，或者评标委员会认为其所作出的书面说明不合理的</w:t>
      </w:r>
      <w:r>
        <w:rPr>
          <w:rFonts w:ascii="仿宋" w:hAnsi="仿宋" w:eastAsia="仿宋"/>
          <w:color w:val="000000" w:themeColor="text1"/>
          <w:sz w:val="24"/>
        </w:rPr>
        <w:t>；</w:t>
      </w:r>
    </w:p>
    <w:p>
      <w:pPr>
        <w:spacing w:line="46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3</w:t>
      </w:r>
      <w:r>
        <w:rPr>
          <w:rFonts w:hint="eastAsia" w:ascii="仿宋" w:hAnsi="仿宋" w:eastAsia="仿宋"/>
          <w:color w:val="000000" w:themeColor="text1"/>
          <w:sz w:val="24"/>
        </w:rPr>
        <w:t>.13报价超过采购预算或者单项最高限价的；</w:t>
      </w:r>
    </w:p>
    <w:p>
      <w:pPr>
        <w:spacing w:line="46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3.</w:t>
      </w:r>
      <w:r>
        <w:rPr>
          <w:rFonts w:hint="eastAsia" w:ascii="仿宋" w:hAnsi="仿宋" w:eastAsia="仿宋"/>
          <w:color w:val="000000" w:themeColor="text1"/>
          <w:sz w:val="24"/>
        </w:rPr>
        <w:t>14 投标人未在规定时间内澄清说明补正或拒绝澄清说明补正投标文件中含义不明确、同类问题表述不一致或者有明显文字和计算错误的内容的；</w:t>
      </w:r>
    </w:p>
    <w:p>
      <w:pPr>
        <w:spacing w:line="46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3.</w:t>
      </w:r>
      <w:r>
        <w:rPr>
          <w:rFonts w:hint="eastAsia" w:ascii="仿宋" w:hAnsi="仿宋" w:eastAsia="仿宋"/>
          <w:color w:val="000000" w:themeColor="text1"/>
          <w:sz w:val="24"/>
        </w:rPr>
        <w:t>15 拒绝接受评标委员会调整或修正意见的；</w:t>
      </w:r>
    </w:p>
    <w:p>
      <w:pPr>
        <w:spacing w:line="46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3.</w:t>
      </w:r>
      <w:r>
        <w:rPr>
          <w:rFonts w:hint="eastAsia" w:ascii="仿宋" w:hAnsi="仿宋" w:eastAsia="仿宋"/>
          <w:color w:val="000000" w:themeColor="text1"/>
          <w:sz w:val="24"/>
        </w:rPr>
        <w:t>16 不同投标人提供的投标文件内容存在错漏之处一致或异常雷同现象的；</w:t>
      </w:r>
    </w:p>
    <w:p>
      <w:pPr>
        <w:spacing w:line="46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3.</w:t>
      </w:r>
      <w:r>
        <w:rPr>
          <w:rFonts w:hint="eastAsia" w:ascii="仿宋" w:hAnsi="仿宋" w:eastAsia="仿宋"/>
          <w:color w:val="000000" w:themeColor="text1"/>
          <w:sz w:val="24"/>
        </w:rPr>
        <w:t>17 附有采购人不能接受的条款的；</w:t>
      </w:r>
    </w:p>
    <w:p>
      <w:pPr>
        <w:spacing w:line="46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3</w:t>
      </w:r>
      <w:r>
        <w:rPr>
          <w:rFonts w:hint="eastAsia" w:ascii="仿宋" w:hAnsi="仿宋" w:eastAsia="仿宋"/>
          <w:color w:val="000000" w:themeColor="text1"/>
          <w:sz w:val="24"/>
        </w:rPr>
        <w:t>.18</w:t>
      </w:r>
      <w:r>
        <w:rPr>
          <w:rFonts w:ascii="仿宋" w:hAnsi="仿宋" w:eastAsia="仿宋"/>
          <w:color w:val="000000" w:themeColor="text1"/>
          <w:sz w:val="24"/>
        </w:rPr>
        <w:t>投标人</w:t>
      </w:r>
      <w:r>
        <w:rPr>
          <w:rFonts w:hint="eastAsia" w:ascii="仿宋" w:hAnsi="仿宋" w:eastAsia="仿宋"/>
          <w:color w:val="000000" w:themeColor="text1"/>
          <w:sz w:val="24"/>
        </w:rPr>
        <w:t>为</w:t>
      </w:r>
      <w:r>
        <w:rPr>
          <w:rFonts w:ascii="仿宋" w:hAnsi="仿宋" w:eastAsia="仿宋"/>
          <w:color w:val="000000" w:themeColor="text1"/>
          <w:sz w:val="24"/>
        </w:rPr>
        <w:t>采购人的附属机构（单位）</w:t>
      </w:r>
      <w:r>
        <w:rPr>
          <w:rFonts w:hint="eastAsia" w:ascii="仿宋" w:hAnsi="仿宋" w:eastAsia="仿宋"/>
          <w:color w:val="000000" w:themeColor="text1"/>
          <w:sz w:val="24"/>
        </w:rPr>
        <w:t>的；</w:t>
      </w:r>
    </w:p>
    <w:p>
      <w:pPr>
        <w:spacing w:line="46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3</w:t>
      </w:r>
      <w:r>
        <w:rPr>
          <w:rFonts w:hint="eastAsia" w:ascii="仿宋" w:hAnsi="仿宋" w:eastAsia="仿宋"/>
          <w:color w:val="000000" w:themeColor="text1"/>
          <w:sz w:val="24"/>
        </w:rPr>
        <w:t>.19为采购项目提供整体设计、规范编制或者项目管理、监理、检测等服务的供应商的；</w:t>
      </w:r>
    </w:p>
    <w:p>
      <w:pPr>
        <w:spacing w:line="46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3</w:t>
      </w:r>
      <w:r>
        <w:rPr>
          <w:rFonts w:hint="eastAsia" w:ascii="仿宋" w:hAnsi="仿宋" w:eastAsia="仿宋"/>
          <w:color w:val="000000" w:themeColor="text1"/>
          <w:sz w:val="24"/>
        </w:rPr>
        <w:t>.</w:t>
      </w:r>
      <w:r>
        <w:rPr>
          <w:rFonts w:ascii="仿宋" w:hAnsi="仿宋" w:eastAsia="仿宋"/>
          <w:color w:val="000000" w:themeColor="text1"/>
          <w:sz w:val="24"/>
        </w:rPr>
        <w:t>2</w:t>
      </w:r>
      <w:r>
        <w:rPr>
          <w:rFonts w:hint="eastAsia" w:ascii="仿宋" w:hAnsi="仿宋" w:eastAsia="仿宋"/>
          <w:color w:val="000000" w:themeColor="text1"/>
          <w:sz w:val="24"/>
        </w:rPr>
        <w:t>0单位负责人为同一人或者存在直接控股、管理关系的不同供应商参加同一合同项下的政府采购活动的；</w:t>
      </w:r>
    </w:p>
    <w:p>
      <w:pPr>
        <w:tabs>
          <w:tab w:val="left" w:pos="425"/>
        </w:tabs>
        <w:spacing w:line="460" w:lineRule="exact"/>
        <w:ind w:firstLine="240" w:firstLineChars="100"/>
        <w:rPr>
          <w:rFonts w:ascii="仿宋" w:hAnsi="仿宋" w:eastAsia="仿宋" w:cs="hakuyoxingshu7000"/>
          <w:b/>
          <w:color w:val="000000" w:themeColor="text1"/>
          <w:sz w:val="24"/>
          <w:u w:val="single"/>
        </w:rPr>
      </w:pPr>
      <w:r>
        <w:rPr>
          <w:rFonts w:hint="eastAsia" w:ascii="仿宋" w:hAnsi="仿宋" w:eastAsia="仿宋"/>
          <w:color w:val="000000" w:themeColor="text1"/>
          <w:sz w:val="24"/>
        </w:rPr>
        <w:t>2</w:t>
      </w:r>
      <w:r>
        <w:rPr>
          <w:rFonts w:ascii="仿宋" w:hAnsi="仿宋" w:eastAsia="仿宋"/>
          <w:color w:val="000000" w:themeColor="text1"/>
          <w:sz w:val="24"/>
        </w:rPr>
        <w:t>3</w:t>
      </w:r>
      <w:r>
        <w:rPr>
          <w:rFonts w:hint="eastAsia" w:ascii="仿宋" w:hAnsi="仿宋" w:eastAsia="仿宋"/>
          <w:color w:val="000000" w:themeColor="text1"/>
          <w:sz w:val="24"/>
        </w:rPr>
        <w:t>.21</w:t>
      </w:r>
      <w:r>
        <w:rPr>
          <w:rFonts w:hint="eastAsia" w:ascii="仿宋" w:hAnsi="仿宋" w:eastAsia="仿宋" w:cs="Arial"/>
          <w:b/>
          <w:color w:val="000000" w:themeColor="text1"/>
          <w:sz w:val="24"/>
        </w:rPr>
        <w:t>规定时间内解密失败且经异常处理但政采云电子交易系统仍未能识别备份投标文件的；</w:t>
      </w:r>
    </w:p>
    <w:p>
      <w:pPr>
        <w:spacing w:line="46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23.22不符合法律、法规和采购文件中规定的其他实质性要求的（采购文件中打“▲”内容及被拒绝的条款）；</w:t>
      </w:r>
    </w:p>
    <w:p>
      <w:pPr>
        <w:spacing w:beforeLines="50" w:line="460" w:lineRule="exact"/>
        <w:ind w:firstLine="413" w:firstLineChars="147"/>
        <w:rPr>
          <w:rFonts w:ascii="仿宋" w:hAnsi="仿宋" w:eastAsia="仿宋"/>
          <w:b/>
          <w:color w:val="000000" w:themeColor="text1"/>
          <w:sz w:val="28"/>
          <w:szCs w:val="28"/>
        </w:rPr>
      </w:pPr>
      <w:r>
        <w:rPr>
          <w:rFonts w:hint="eastAsia" w:ascii="仿宋" w:hAnsi="仿宋" w:eastAsia="仿宋"/>
          <w:b/>
          <w:color w:val="000000" w:themeColor="text1"/>
          <w:sz w:val="28"/>
          <w:szCs w:val="28"/>
        </w:rPr>
        <w:t>2</w:t>
      </w:r>
      <w:r>
        <w:rPr>
          <w:rFonts w:ascii="仿宋" w:hAnsi="仿宋" w:eastAsia="仿宋"/>
          <w:b/>
          <w:color w:val="000000" w:themeColor="text1"/>
          <w:sz w:val="28"/>
          <w:szCs w:val="28"/>
        </w:rPr>
        <w:t>4</w:t>
      </w:r>
      <w:r>
        <w:rPr>
          <w:rFonts w:hint="eastAsia" w:ascii="仿宋" w:hAnsi="仿宋" w:eastAsia="仿宋"/>
          <w:b/>
          <w:color w:val="000000" w:themeColor="text1"/>
          <w:sz w:val="28"/>
          <w:szCs w:val="28"/>
        </w:rPr>
        <w:t>．废标</w:t>
      </w:r>
    </w:p>
    <w:p>
      <w:pPr>
        <w:spacing w:line="460" w:lineRule="exact"/>
        <w:ind w:firstLine="240" w:firstLineChars="100"/>
        <w:rPr>
          <w:rFonts w:ascii="仿宋" w:hAnsi="仿宋" w:eastAsia="仿宋"/>
          <w:color w:val="000000" w:themeColor="text1"/>
          <w:sz w:val="24"/>
        </w:rPr>
      </w:pPr>
      <w:bookmarkStart w:id="13" w:name="_Toc177870555"/>
      <w:r>
        <w:rPr>
          <w:rFonts w:hint="eastAsia" w:ascii="仿宋" w:hAnsi="仿宋" w:eastAsia="仿宋"/>
          <w:color w:val="000000" w:themeColor="text1"/>
          <w:sz w:val="24"/>
        </w:rPr>
        <w:t>2</w:t>
      </w:r>
      <w:r>
        <w:rPr>
          <w:rFonts w:ascii="仿宋" w:hAnsi="仿宋" w:eastAsia="仿宋"/>
          <w:color w:val="000000" w:themeColor="text1"/>
          <w:sz w:val="24"/>
        </w:rPr>
        <w:t>4.</w:t>
      </w:r>
      <w:r>
        <w:rPr>
          <w:rFonts w:hint="eastAsia" w:ascii="仿宋" w:hAnsi="仿宋" w:eastAsia="仿宋"/>
          <w:color w:val="000000" w:themeColor="text1"/>
          <w:sz w:val="24"/>
        </w:rPr>
        <w:t>1 符合专业条件的供应商或者对招标文件的内容作实质性响应的供应商不足三家的；</w:t>
      </w:r>
    </w:p>
    <w:p>
      <w:pPr>
        <w:spacing w:line="46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4.</w:t>
      </w:r>
      <w:r>
        <w:rPr>
          <w:rFonts w:hint="eastAsia" w:ascii="仿宋" w:hAnsi="仿宋" w:eastAsia="仿宋"/>
          <w:color w:val="000000" w:themeColor="text1"/>
          <w:sz w:val="24"/>
        </w:rPr>
        <w:t>2 有效报价不足三家，评标委员会认为投标缺乏竞争并否决所有投标的；</w:t>
      </w:r>
    </w:p>
    <w:p>
      <w:pPr>
        <w:spacing w:line="46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4.</w:t>
      </w:r>
      <w:r>
        <w:rPr>
          <w:rFonts w:hint="eastAsia" w:ascii="仿宋" w:hAnsi="仿宋" w:eastAsia="仿宋"/>
          <w:color w:val="000000" w:themeColor="text1"/>
          <w:sz w:val="24"/>
        </w:rPr>
        <w:t>3 出现影响采购公正的违法、违规行为的；</w:t>
      </w:r>
    </w:p>
    <w:p>
      <w:pPr>
        <w:spacing w:line="46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4</w:t>
      </w:r>
      <w:r>
        <w:rPr>
          <w:rFonts w:hint="eastAsia" w:ascii="仿宋" w:hAnsi="仿宋" w:eastAsia="仿宋"/>
          <w:color w:val="000000" w:themeColor="text1"/>
          <w:sz w:val="24"/>
        </w:rPr>
        <w:t>.4 因重大变故，采购任务取消的。</w:t>
      </w:r>
    </w:p>
    <w:p>
      <w:pPr>
        <w:pStyle w:val="20"/>
        <w:snapToGrid w:val="0"/>
        <w:spacing w:beforeLines="50" w:line="460" w:lineRule="exact"/>
        <w:ind w:firstLine="157" w:firstLineChars="49"/>
        <w:jc w:val="center"/>
        <w:outlineLvl w:val="1"/>
        <w:rPr>
          <w:rFonts w:ascii="仿宋" w:hAnsi="仿宋" w:eastAsia="仿宋"/>
          <w:b/>
          <w:color w:val="000000" w:themeColor="text1"/>
          <w:sz w:val="32"/>
          <w:szCs w:val="32"/>
        </w:rPr>
      </w:pPr>
      <w:r>
        <w:rPr>
          <w:rFonts w:ascii="仿宋" w:hAnsi="仿宋" w:eastAsia="仿宋"/>
          <w:b/>
          <w:color w:val="000000" w:themeColor="text1"/>
          <w:sz w:val="32"/>
          <w:szCs w:val="32"/>
        </w:rPr>
        <w:t>第六节  定 标</w:t>
      </w:r>
      <w:bookmarkEnd w:id="13"/>
    </w:p>
    <w:p>
      <w:pPr>
        <w:pStyle w:val="20"/>
        <w:spacing w:beforeLines="50" w:line="460" w:lineRule="exact"/>
        <w:ind w:firstLine="413" w:firstLineChars="147"/>
        <w:rPr>
          <w:rFonts w:ascii="仿宋" w:hAnsi="仿宋" w:eastAsia="仿宋"/>
          <w:color w:val="000000" w:themeColor="text1"/>
          <w:sz w:val="24"/>
        </w:rPr>
      </w:pPr>
      <w:r>
        <w:rPr>
          <w:rFonts w:ascii="仿宋" w:hAnsi="仿宋" w:eastAsia="仿宋"/>
          <w:b/>
          <w:color w:val="000000" w:themeColor="text1"/>
          <w:sz w:val="28"/>
          <w:szCs w:val="28"/>
        </w:rPr>
        <w:t>25．确定</w:t>
      </w:r>
      <w:bookmarkStart w:id="14" w:name="_Toc107820051"/>
      <w:bookmarkStart w:id="15" w:name="_Toc170792772"/>
      <w:r>
        <w:rPr>
          <w:rFonts w:hint="eastAsia" w:ascii="仿宋" w:hAnsi="仿宋" w:eastAsia="仿宋"/>
          <w:b/>
          <w:color w:val="000000" w:themeColor="text1"/>
          <w:sz w:val="28"/>
          <w:szCs w:val="28"/>
        </w:rPr>
        <w:t>中标人</w:t>
      </w:r>
    </w:p>
    <w:p>
      <w:pPr>
        <w:snapToGrid w:val="0"/>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5.</w:t>
      </w:r>
      <w:r>
        <w:rPr>
          <w:rFonts w:hint="eastAsia" w:ascii="仿宋" w:hAnsi="仿宋" w:eastAsia="仿宋"/>
          <w:color w:val="000000" w:themeColor="text1"/>
          <w:sz w:val="24"/>
        </w:rPr>
        <w:t>1 采购人按照评标委员会推荐的中标候选供应商确定中标人。如发现中标人为本次采购项目</w:t>
      </w:r>
      <w:r>
        <w:rPr>
          <w:rFonts w:ascii="仿宋" w:hAnsi="仿宋" w:eastAsia="仿宋"/>
          <w:color w:val="000000" w:themeColor="text1"/>
          <w:sz w:val="24"/>
        </w:rPr>
        <w:t>采购人的附属机构（单位）</w:t>
      </w:r>
      <w:r>
        <w:rPr>
          <w:rFonts w:hint="eastAsia" w:ascii="仿宋" w:hAnsi="仿宋" w:eastAsia="仿宋"/>
          <w:color w:val="000000" w:themeColor="text1"/>
          <w:sz w:val="24"/>
        </w:rPr>
        <w:t>的</w:t>
      </w:r>
      <w:r>
        <w:rPr>
          <w:rFonts w:ascii="仿宋" w:hAnsi="仿宋" w:eastAsia="仿宋"/>
          <w:color w:val="000000" w:themeColor="text1"/>
          <w:sz w:val="24"/>
        </w:rPr>
        <w:t>，</w:t>
      </w:r>
      <w:r>
        <w:rPr>
          <w:rFonts w:hint="eastAsia" w:ascii="仿宋" w:hAnsi="仿宋" w:eastAsia="仿宋"/>
          <w:color w:val="000000" w:themeColor="text1"/>
          <w:sz w:val="24"/>
        </w:rPr>
        <w:t>取消其中标资格。</w:t>
      </w:r>
    </w:p>
    <w:p>
      <w:pPr>
        <w:snapToGrid w:val="0"/>
        <w:spacing w:line="400" w:lineRule="exact"/>
        <w:ind w:firstLine="212" w:firstLineChars="100"/>
        <w:rPr>
          <w:rFonts w:ascii="仿宋" w:hAnsi="仿宋" w:eastAsia="仿宋"/>
          <w:color w:val="000000" w:themeColor="text1"/>
          <w:sz w:val="24"/>
        </w:rPr>
      </w:pPr>
      <w:r>
        <w:rPr>
          <w:rFonts w:hint="eastAsia" w:ascii="仿宋" w:hAnsi="仿宋" w:eastAsia="仿宋"/>
          <w:color w:val="000000" w:themeColor="text1"/>
          <w:spacing w:val="-14"/>
          <w:sz w:val="24"/>
        </w:rPr>
        <w:t>2</w:t>
      </w:r>
      <w:r>
        <w:rPr>
          <w:rFonts w:ascii="仿宋" w:hAnsi="仿宋" w:eastAsia="仿宋"/>
          <w:color w:val="000000" w:themeColor="text1"/>
          <w:spacing w:val="-14"/>
          <w:sz w:val="24"/>
        </w:rPr>
        <w:t>5</w:t>
      </w:r>
      <w:r>
        <w:rPr>
          <w:rFonts w:hint="eastAsia" w:ascii="仿宋" w:hAnsi="仿宋" w:eastAsia="仿宋"/>
          <w:color w:val="000000" w:themeColor="text1"/>
          <w:spacing w:val="-14"/>
          <w:sz w:val="24"/>
        </w:rPr>
        <w:t>.2 在浙江政府采购网（www.zjzfcg.gov.cn）</w:t>
      </w:r>
      <w:r>
        <w:rPr>
          <w:rFonts w:hint="eastAsia" w:ascii="仿宋" w:hAnsi="仿宋" w:eastAsia="仿宋"/>
          <w:color w:val="000000" w:themeColor="text1"/>
          <w:spacing w:val="-12"/>
          <w:sz w:val="24"/>
        </w:rPr>
        <w:t>和天台县公共资源交易中心网</w:t>
      </w:r>
      <w:r>
        <w:rPr>
          <w:rFonts w:hint="eastAsia" w:ascii="仿宋" w:hAnsi="仿宋" w:eastAsia="仿宋"/>
          <w:color w:val="000000" w:themeColor="text1"/>
          <w:spacing w:val="-9"/>
          <w:sz w:val="24"/>
        </w:rPr>
        <w:t>（</w:t>
      </w:r>
      <w:r>
        <w:rPr>
          <w:rStyle w:val="59"/>
          <w:rFonts w:hint="default" w:ascii="仿宋" w:hAnsi="仿宋" w:eastAsia="仿宋"/>
          <w:color w:val="000000" w:themeColor="text1"/>
          <w:spacing w:val="-8"/>
          <w:sz w:val="24"/>
          <w:szCs w:val="24"/>
        </w:rPr>
        <w:t>http://www.zjtt.gov.cn/col/col1229397624/index.html</w:t>
      </w:r>
      <w:r>
        <w:rPr>
          <w:rFonts w:hint="eastAsia" w:ascii="仿宋" w:hAnsi="仿宋" w:eastAsia="仿宋"/>
          <w:color w:val="000000" w:themeColor="text1"/>
          <w:spacing w:val="-9"/>
          <w:sz w:val="24"/>
        </w:rPr>
        <w:t>）</w:t>
      </w:r>
      <w:r>
        <w:rPr>
          <w:rFonts w:hint="eastAsia" w:ascii="仿宋" w:hAnsi="仿宋" w:eastAsia="仿宋"/>
          <w:color w:val="000000" w:themeColor="text1"/>
          <w:sz w:val="24"/>
        </w:rPr>
        <w:t>上发布中标公示，</w:t>
      </w:r>
      <w:r>
        <w:rPr>
          <w:rFonts w:hint="eastAsia" w:ascii="仿宋" w:hAnsi="仿宋" w:eastAsia="仿宋"/>
          <w:b/>
          <w:color w:val="000000" w:themeColor="text1"/>
          <w:sz w:val="24"/>
        </w:rPr>
        <w:t>公示期为1个工作日</w:t>
      </w:r>
      <w:r>
        <w:rPr>
          <w:rFonts w:hint="eastAsia" w:ascii="仿宋" w:hAnsi="仿宋" w:eastAsia="仿宋"/>
          <w:color w:val="000000" w:themeColor="text1"/>
          <w:sz w:val="24"/>
        </w:rPr>
        <w:t>。</w:t>
      </w:r>
    </w:p>
    <w:p>
      <w:pPr>
        <w:pStyle w:val="20"/>
        <w:snapToGrid w:val="0"/>
        <w:spacing w:beforeLines="50" w:line="400" w:lineRule="exact"/>
        <w:ind w:firstLine="413" w:firstLineChars="147"/>
        <w:outlineLvl w:val="1"/>
        <w:rPr>
          <w:rFonts w:ascii="仿宋" w:hAnsi="仿宋" w:eastAsia="仿宋"/>
          <w:b/>
          <w:bCs/>
          <w:color w:val="000000" w:themeColor="text1"/>
          <w:sz w:val="28"/>
          <w:szCs w:val="28"/>
        </w:rPr>
      </w:pPr>
      <w:bookmarkStart w:id="16" w:name="_Toc177870543"/>
      <w:r>
        <w:rPr>
          <w:rFonts w:hint="eastAsia" w:ascii="仿宋" w:hAnsi="仿宋" w:eastAsia="仿宋"/>
          <w:b/>
          <w:bCs/>
          <w:color w:val="000000" w:themeColor="text1"/>
          <w:sz w:val="28"/>
          <w:szCs w:val="28"/>
        </w:rPr>
        <w:t>2</w:t>
      </w:r>
      <w:r>
        <w:rPr>
          <w:rFonts w:ascii="仿宋" w:hAnsi="仿宋" w:eastAsia="仿宋"/>
          <w:b/>
          <w:bCs/>
          <w:color w:val="000000" w:themeColor="text1"/>
          <w:sz w:val="28"/>
          <w:szCs w:val="28"/>
        </w:rPr>
        <w:t>6．质疑</w:t>
      </w:r>
      <w:bookmarkEnd w:id="16"/>
      <w:r>
        <w:rPr>
          <w:rFonts w:ascii="仿宋" w:hAnsi="仿宋" w:eastAsia="仿宋"/>
          <w:b/>
          <w:bCs/>
          <w:color w:val="000000" w:themeColor="text1"/>
          <w:sz w:val="28"/>
          <w:szCs w:val="28"/>
        </w:rPr>
        <w:t>和投诉</w:t>
      </w:r>
    </w:p>
    <w:p>
      <w:pPr>
        <w:pStyle w:val="20"/>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6.1 投标人认为招标过程</w:t>
      </w:r>
      <w:r>
        <w:rPr>
          <w:rFonts w:hint="eastAsia" w:ascii="仿宋" w:hAnsi="仿宋" w:eastAsia="仿宋"/>
          <w:color w:val="000000" w:themeColor="text1"/>
          <w:sz w:val="24"/>
        </w:rPr>
        <w:t>或</w:t>
      </w:r>
      <w:r>
        <w:rPr>
          <w:rFonts w:ascii="仿宋" w:hAnsi="仿宋" w:eastAsia="仿宋"/>
          <w:color w:val="000000" w:themeColor="text1"/>
          <w:sz w:val="24"/>
        </w:rPr>
        <w:t>中标结果使自己的合法权益受到损害的，可依法向采购人及采购代理机构提出质疑。</w:t>
      </w:r>
    </w:p>
    <w:p>
      <w:pPr>
        <w:pStyle w:val="20"/>
        <w:spacing w:line="400" w:lineRule="exact"/>
        <w:ind w:firstLine="240" w:firstLineChars="100"/>
        <w:rPr>
          <w:rFonts w:ascii="仿宋" w:hAnsi="仿宋" w:eastAsia="仿宋"/>
          <w:b/>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 xml:space="preserve">6.2 </w:t>
      </w:r>
      <w:r>
        <w:rPr>
          <w:rFonts w:ascii="仿宋" w:hAnsi="仿宋" w:eastAsia="仿宋"/>
          <w:b/>
          <w:color w:val="000000" w:themeColor="text1"/>
          <w:sz w:val="24"/>
        </w:rPr>
        <w:t>质疑必须以书面形式提出，应由法定代表人（负责人）签字并加盖单位公章，注明联系电话和地址。其他形式的质疑材料概不接受。质疑书应明确阐述招标过程和中标结果使自己合法权益受到损害的事实，提供相关事实依据和证据及其来源。</w:t>
      </w:r>
      <w:r>
        <w:rPr>
          <w:rFonts w:hint="eastAsia" w:ascii="仿宋" w:hAnsi="仿宋" w:eastAsia="仿宋"/>
          <w:b/>
          <w:color w:val="000000" w:themeColor="text1"/>
          <w:sz w:val="24"/>
        </w:rPr>
        <w:t>未提供</w:t>
      </w:r>
      <w:r>
        <w:rPr>
          <w:rFonts w:ascii="仿宋" w:hAnsi="仿宋" w:eastAsia="仿宋"/>
          <w:b/>
          <w:color w:val="000000" w:themeColor="text1"/>
          <w:sz w:val="24"/>
        </w:rPr>
        <w:t>事实依据</w:t>
      </w:r>
      <w:r>
        <w:rPr>
          <w:rFonts w:hint="eastAsia" w:ascii="仿宋" w:hAnsi="仿宋" w:eastAsia="仿宋"/>
          <w:b/>
          <w:color w:val="000000" w:themeColor="text1"/>
          <w:sz w:val="24"/>
        </w:rPr>
        <w:t>的、提供的</w:t>
      </w:r>
      <w:r>
        <w:rPr>
          <w:rFonts w:ascii="仿宋" w:hAnsi="仿宋" w:eastAsia="仿宋"/>
          <w:b/>
          <w:color w:val="000000" w:themeColor="text1"/>
          <w:sz w:val="24"/>
        </w:rPr>
        <w:t>事实依据不足</w:t>
      </w:r>
      <w:r>
        <w:rPr>
          <w:rFonts w:hint="eastAsia" w:ascii="仿宋" w:hAnsi="仿宋" w:eastAsia="仿宋"/>
          <w:b/>
          <w:color w:val="000000" w:themeColor="text1"/>
          <w:sz w:val="24"/>
        </w:rPr>
        <w:t>或</w:t>
      </w:r>
      <w:r>
        <w:rPr>
          <w:rFonts w:ascii="仿宋" w:hAnsi="仿宋" w:eastAsia="仿宋"/>
          <w:b/>
          <w:color w:val="000000" w:themeColor="text1"/>
          <w:sz w:val="24"/>
        </w:rPr>
        <w:t>证据来源不合理</w:t>
      </w:r>
      <w:r>
        <w:rPr>
          <w:rFonts w:hint="eastAsia" w:ascii="仿宋" w:hAnsi="仿宋" w:eastAsia="仿宋"/>
          <w:b/>
          <w:color w:val="000000" w:themeColor="text1"/>
          <w:sz w:val="24"/>
        </w:rPr>
        <w:t>的</w:t>
      </w:r>
      <w:r>
        <w:rPr>
          <w:rFonts w:ascii="仿宋" w:hAnsi="仿宋" w:eastAsia="仿宋"/>
          <w:b/>
          <w:color w:val="000000" w:themeColor="text1"/>
          <w:sz w:val="24"/>
        </w:rPr>
        <w:t>，</w:t>
      </w:r>
      <w:r>
        <w:rPr>
          <w:rFonts w:hint="eastAsia" w:ascii="仿宋" w:hAnsi="仿宋" w:eastAsia="仿宋"/>
          <w:b/>
          <w:color w:val="000000" w:themeColor="text1"/>
          <w:sz w:val="24"/>
        </w:rPr>
        <w:t>该</w:t>
      </w:r>
      <w:r>
        <w:rPr>
          <w:rFonts w:ascii="仿宋" w:hAnsi="仿宋" w:eastAsia="仿宋"/>
          <w:b/>
          <w:color w:val="000000" w:themeColor="text1"/>
          <w:sz w:val="24"/>
        </w:rPr>
        <w:t>质疑不予受理。</w:t>
      </w:r>
    </w:p>
    <w:p>
      <w:pPr>
        <w:pStyle w:val="20"/>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6.3 对中标结果的质疑应自中标公示之日起，七个工作日内提出。采购人在收到投标人的书面质疑七个工作日内审查质疑事项，作出答复或相关处理决定，并通知质疑投标人，答复的内容不得涉及商业秘密。</w:t>
      </w:r>
    </w:p>
    <w:p>
      <w:pPr>
        <w:pStyle w:val="20"/>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6.4 对采购人的质疑答复不满意或者采购人未在规定时间内作出答复的，可以在答复期满后十五个工作日内向天台县财政局投诉。</w:t>
      </w:r>
    </w:p>
    <w:p>
      <w:pPr>
        <w:pStyle w:val="20"/>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w:t>
      </w:r>
      <w:r>
        <w:rPr>
          <w:rFonts w:ascii="仿宋" w:hAnsi="仿宋" w:eastAsia="仿宋"/>
          <w:color w:val="000000" w:themeColor="text1"/>
          <w:sz w:val="24"/>
        </w:rPr>
        <w:t>6.5 投标人有下列情形之一的，采购代理机构将报天台县财政局，将其列入不良行为记录名单：</w:t>
      </w:r>
    </w:p>
    <w:p>
      <w:pPr>
        <w:pStyle w:val="20"/>
        <w:spacing w:line="400" w:lineRule="exact"/>
        <w:ind w:firstLine="240" w:firstLineChars="100"/>
        <w:rPr>
          <w:rFonts w:ascii="仿宋" w:hAnsi="仿宋" w:eastAsia="仿宋"/>
          <w:color w:val="000000" w:themeColor="text1"/>
          <w:sz w:val="24"/>
        </w:rPr>
      </w:pPr>
      <w:r>
        <w:rPr>
          <w:rFonts w:hint="eastAsia" w:ascii="仿宋" w:hAnsi="仿宋" w:eastAsia="仿宋" w:cs="宋体"/>
          <w:color w:val="000000" w:themeColor="text1"/>
          <w:sz w:val="24"/>
        </w:rPr>
        <w:t>①</w:t>
      </w:r>
      <w:r>
        <w:rPr>
          <w:rFonts w:ascii="仿宋" w:hAnsi="仿宋" w:eastAsia="仿宋"/>
          <w:color w:val="000000" w:themeColor="text1"/>
          <w:sz w:val="24"/>
        </w:rPr>
        <w:t xml:space="preserve"> 一年内三次以上质疑均查无实据的；</w:t>
      </w:r>
    </w:p>
    <w:p>
      <w:pPr>
        <w:pStyle w:val="20"/>
        <w:spacing w:line="400" w:lineRule="exact"/>
        <w:ind w:firstLine="240" w:firstLineChars="100"/>
        <w:rPr>
          <w:rFonts w:ascii="仿宋" w:hAnsi="仿宋" w:eastAsia="仿宋"/>
          <w:color w:val="000000" w:themeColor="text1"/>
          <w:sz w:val="24"/>
        </w:rPr>
      </w:pPr>
      <w:r>
        <w:rPr>
          <w:rFonts w:hint="eastAsia" w:ascii="仿宋" w:hAnsi="仿宋" w:eastAsia="仿宋" w:cs="宋体"/>
          <w:color w:val="000000" w:themeColor="text1"/>
          <w:sz w:val="24"/>
        </w:rPr>
        <w:t>②</w:t>
      </w:r>
      <w:r>
        <w:rPr>
          <w:rFonts w:ascii="仿宋" w:hAnsi="仿宋" w:eastAsia="仿宋"/>
          <w:color w:val="000000" w:themeColor="text1"/>
          <w:sz w:val="24"/>
        </w:rPr>
        <w:t xml:space="preserve"> 捏造事实或者提供虚假质疑材料的。</w:t>
      </w:r>
    </w:p>
    <w:p>
      <w:pPr>
        <w:pStyle w:val="20"/>
        <w:spacing w:beforeLines="50" w:line="400" w:lineRule="exact"/>
        <w:ind w:firstLine="413" w:firstLineChars="147"/>
        <w:rPr>
          <w:rFonts w:ascii="仿宋" w:hAnsi="仿宋" w:eastAsia="仿宋"/>
          <w:b/>
          <w:bCs/>
          <w:color w:val="000000" w:themeColor="text1"/>
          <w:sz w:val="28"/>
          <w:szCs w:val="28"/>
        </w:rPr>
      </w:pPr>
      <w:r>
        <w:rPr>
          <w:rFonts w:ascii="仿宋" w:hAnsi="仿宋" w:eastAsia="仿宋"/>
          <w:b/>
          <w:bCs/>
          <w:color w:val="000000" w:themeColor="text1"/>
          <w:sz w:val="28"/>
          <w:szCs w:val="28"/>
        </w:rPr>
        <w:t>27. 中标通知书</w:t>
      </w:r>
    </w:p>
    <w:p>
      <w:pPr>
        <w:tabs>
          <w:tab w:val="left" w:pos="420"/>
          <w:tab w:val="left" w:pos="540"/>
        </w:tabs>
        <w:spacing w:line="400" w:lineRule="exact"/>
        <w:ind w:firstLine="360" w:firstLineChars="150"/>
        <w:rPr>
          <w:rFonts w:ascii="仿宋" w:hAnsi="仿宋" w:eastAsia="仿宋"/>
          <w:b/>
          <w:color w:val="000000" w:themeColor="text1"/>
          <w:sz w:val="22"/>
          <w:szCs w:val="22"/>
        </w:rPr>
      </w:pPr>
      <w:r>
        <w:rPr>
          <w:rFonts w:ascii="仿宋" w:hAnsi="仿宋" w:eastAsia="仿宋"/>
          <w:color w:val="000000" w:themeColor="text1"/>
          <w:sz w:val="24"/>
        </w:rPr>
        <w:t>27.1</w:t>
      </w:r>
      <w:r>
        <w:rPr>
          <w:rFonts w:hint="eastAsia" w:ascii="仿宋" w:hAnsi="仿宋" w:eastAsia="仿宋"/>
          <w:b/>
          <w:color w:val="000000" w:themeColor="text1"/>
          <w:sz w:val="24"/>
        </w:rPr>
        <w:t>公示期内无质疑的，</w:t>
      </w:r>
      <w:r>
        <w:rPr>
          <w:rFonts w:hint="eastAsia" w:ascii="仿宋" w:hAnsi="仿宋" w:eastAsia="仿宋"/>
          <w:color w:val="000000" w:themeColor="text1"/>
          <w:sz w:val="24"/>
        </w:rPr>
        <w:t>采购代理机构向中标人发出中标通知书。中标人应在领取中标通知书之时按采购人要求提供纸质投标文件（采用胶装）一式两份，不建议采用活页夹等可随时拆换的方式装订，电子投标文件（PDF格式）一份，作为备案存档资料邮寄至代理公司。</w:t>
      </w:r>
    </w:p>
    <w:p>
      <w:pPr>
        <w:snapToGrid w:val="0"/>
        <w:spacing w:line="400" w:lineRule="exact"/>
        <w:ind w:firstLine="241" w:firstLineChars="100"/>
        <w:rPr>
          <w:rFonts w:ascii="仿宋" w:hAnsi="仿宋" w:eastAsia="仿宋"/>
          <w:b/>
          <w:color w:val="000000" w:themeColor="text1"/>
          <w:sz w:val="24"/>
        </w:rPr>
      </w:pPr>
      <w:r>
        <w:rPr>
          <w:rFonts w:ascii="仿宋" w:hAnsi="仿宋" w:eastAsia="仿宋"/>
          <w:b/>
          <w:color w:val="000000" w:themeColor="text1"/>
          <w:sz w:val="24"/>
        </w:rPr>
        <w:t>27</w:t>
      </w:r>
      <w:r>
        <w:rPr>
          <w:rFonts w:hint="eastAsia" w:ascii="仿宋" w:hAnsi="仿宋" w:eastAsia="仿宋"/>
          <w:b/>
          <w:color w:val="000000" w:themeColor="text1"/>
          <w:sz w:val="24"/>
        </w:rPr>
        <w:t>.2中标通知书作为签订合同的重要依据，对采购人和中标人均具有法律效力。采购人改变中标结果或者中标人放弃中标项目的都应承担法律责任。中标人不得向他人转让中标项目，也不得将中标项目肢解后分别向他人转让。</w:t>
      </w:r>
    </w:p>
    <w:p>
      <w:pPr>
        <w:snapToGrid w:val="0"/>
        <w:spacing w:beforeLines="50" w:line="400" w:lineRule="exact"/>
        <w:ind w:firstLine="157" w:firstLineChars="49"/>
        <w:jc w:val="center"/>
        <w:outlineLvl w:val="1"/>
        <w:rPr>
          <w:rFonts w:ascii="仿宋" w:hAnsi="仿宋" w:eastAsia="仿宋"/>
          <w:b/>
          <w:color w:val="000000" w:themeColor="text1"/>
          <w:sz w:val="32"/>
          <w:szCs w:val="32"/>
        </w:rPr>
      </w:pPr>
      <w:r>
        <w:rPr>
          <w:rFonts w:hint="eastAsia" w:ascii="仿宋" w:hAnsi="仿宋" w:eastAsia="仿宋"/>
          <w:b/>
          <w:color w:val="000000" w:themeColor="text1"/>
          <w:sz w:val="32"/>
          <w:szCs w:val="32"/>
        </w:rPr>
        <w:t>第七节</w:t>
      </w:r>
      <w:bookmarkStart w:id="17" w:name="_Toc177870556"/>
      <w:r>
        <w:rPr>
          <w:rFonts w:hint="eastAsia" w:ascii="仿宋" w:hAnsi="仿宋" w:eastAsia="仿宋"/>
          <w:b/>
          <w:color w:val="000000" w:themeColor="text1"/>
          <w:sz w:val="32"/>
          <w:szCs w:val="32"/>
        </w:rPr>
        <w:t xml:space="preserve">  合同</w:t>
      </w:r>
      <w:bookmarkEnd w:id="14"/>
      <w:bookmarkEnd w:id="15"/>
      <w:r>
        <w:rPr>
          <w:rFonts w:hint="eastAsia" w:ascii="仿宋" w:hAnsi="仿宋" w:eastAsia="仿宋"/>
          <w:b/>
          <w:color w:val="000000" w:themeColor="text1"/>
          <w:sz w:val="32"/>
          <w:szCs w:val="32"/>
        </w:rPr>
        <w:t>授予</w:t>
      </w:r>
      <w:bookmarkEnd w:id="17"/>
    </w:p>
    <w:p>
      <w:pPr>
        <w:pStyle w:val="20"/>
        <w:snapToGrid w:val="0"/>
        <w:spacing w:beforeLines="50" w:line="400" w:lineRule="exact"/>
        <w:ind w:firstLine="413" w:firstLineChars="147"/>
        <w:rPr>
          <w:rFonts w:ascii="仿宋" w:hAnsi="仿宋" w:eastAsia="仿宋"/>
          <w:b/>
          <w:color w:val="000000" w:themeColor="text1"/>
          <w:sz w:val="28"/>
          <w:szCs w:val="28"/>
        </w:rPr>
      </w:pPr>
      <w:r>
        <w:rPr>
          <w:rFonts w:ascii="仿宋" w:hAnsi="仿宋" w:eastAsia="仿宋"/>
          <w:b/>
          <w:color w:val="000000" w:themeColor="text1"/>
          <w:sz w:val="28"/>
          <w:szCs w:val="28"/>
        </w:rPr>
        <w:t>28．履约保证金</w:t>
      </w:r>
    </w:p>
    <w:p>
      <w:pPr>
        <w:pStyle w:val="20"/>
        <w:snapToGrid w:val="0"/>
        <w:spacing w:line="400" w:lineRule="exact"/>
        <w:ind w:firstLine="240" w:firstLineChars="100"/>
        <w:rPr>
          <w:rFonts w:ascii="仿宋" w:hAnsi="仿宋" w:eastAsia="仿宋"/>
          <w:b/>
          <w:color w:val="000000" w:themeColor="text1"/>
          <w:sz w:val="24"/>
          <w:u w:val="single"/>
        </w:rPr>
      </w:pPr>
      <w:r>
        <w:rPr>
          <w:rFonts w:ascii="仿宋" w:hAnsi="仿宋" w:eastAsia="仿宋"/>
          <w:color w:val="000000" w:themeColor="text1"/>
          <w:sz w:val="24"/>
        </w:rPr>
        <w:t>28.1</w:t>
      </w:r>
      <w:r>
        <w:rPr>
          <w:rFonts w:hint="eastAsia" w:ascii="仿宋" w:hAnsi="仿宋" w:eastAsia="仿宋"/>
          <w:b/>
          <w:color w:val="000000" w:themeColor="text1"/>
          <w:sz w:val="24"/>
        </w:rPr>
        <w:t>中标人</w:t>
      </w:r>
      <w:r>
        <w:rPr>
          <w:rFonts w:ascii="仿宋" w:hAnsi="仿宋" w:eastAsia="仿宋"/>
          <w:b/>
          <w:color w:val="000000" w:themeColor="text1"/>
          <w:sz w:val="24"/>
        </w:rPr>
        <w:t>须在收到中标通知书</w:t>
      </w:r>
      <w:r>
        <w:rPr>
          <w:rFonts w:hint="eastAsia" w:ascii="仿宋" w:hAnsi="仿宋" w:eastAsia="仿宋"/>
          <w:b/>
          <w:color w:val="000000" w:themeColor="text1"/>
          <w:sz w:val="24"/>
          <w:u w:val="single"/>
        </w:rPr>
        <w:t>3</w:t>
      </w:r>
      <w:r>
        <w:rPr>
          <w:rFonts w:ascii="仿宋" w:hAnsi="仿宋" w:eastAsia="仿宋"/>
          <w:b/>
          <w:color w:val="000000" w:themeColor="text1"/>
          <w:sz w:val="24"/>
        </w:rPr>
        <w:t>天内向采购人交纳中标价</w:t>
      </w:r>
      <w:r>
        <w:rPr>
          <w:rFonts w:hint="eastAsia" w:ascii="仿宋" w:hAnsi="仿宋" w:eastAsia="仿宋"/>
          <w:b/>
          <w:color w:val="000000" w:themeColor="text1"/>
          <w:sz w:val="24"/>
          <w:u w:val="single"/>
        </w:rPr>
        <w:t>2.5%</w:t>
      </w:r>
      <w:r>
        <w:rPr>
          <w:rFonts w:hint="eastAsia" w:ascii="仿宋" w:hAnsi="仿宋" w:eastAsia="仿宋"/>
          <w:b/>
          <w:color w:val="000000" w:themeColor="text1"/>
          <w:sz w:val="24"/>
        </w:rPr>
        <w:t>的履约保证金（鼓励以银行、保险公司出具的履约保函形式提交；若以电汇、银行转账方式提交的，必须转到采购人的指定账户）</w:t>
      </w:r>
      <w:r>
        <w:rPr>
          <w:rFonts w:ascii="仿宋" w:hAnsi="仿宋" w:eastAsia="仿宋"/>
          <w:b/>
          <w:color w:val="000000" w:themeColor="text1"/>
          <w:sz w:val="28"/>
          <w:szCs w:val="28"/>
        </w:rPr>
        <w:t>。</w:t>
      </w:r>
    </w:p>
    <w:p>
      <w:pPr>
        <w:pStyle w:val="2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rPr>
        <w:t>28.2签订合同后，如</w:t>
      </w:r>
      <w:r>
        <w:rPr>
          <w:rFonts w:hint="eastAsia" w:ascii="仿宋" w:hAnsi="仿宋" w:eastAsia="仿宋"/>
          <w:color w:val="000000" w:themeColor="text1"/>
          <w:sz w:val="24"/>
        </w:rPr>
        <w:t>中标人</w:t>
      </w:r>
      <w:r>
        <w:rPr>
          <w:rFonts w:ascii="仿宋" w:hAnsi="仿宋" w:eastAsia="仿宋"/>
          <w:color w:val="000000" w:themeColor="text1"/>
          <w:sz w:val="24"/>
        </w:rPr>
        <w:t>不按合同约定履约的，履约保证金不予退还，履约保证金不足以赔偿损失的，按实际损失赔偿。</w:t>
      </w:r>
    </w:p>
    <w:p>
      <w:pPr>
        <w:pStyle w:val="2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rPr>
        <w:t>28.</w:t>
      </w:r>
      <w:r>
        <w:rPr>
          <w:rFonts w:hint="eastAsia" w:ascii="仿宋" w:hAnsi="仿宋" w:eastAsia="仿宋"/>
          <w:color w:val="000000" w:themeColor="text1"/>
          <w:sz w:val="24"/>
        </w:rPr>
        <w:t>3</w:t>
      </w:r>
      <w:r>
        <w:rPr>
          <w:rFonts w:ascii="仿宋" w:hAnsi="仿宋" w:eastAsia="仿宋"/>
          <w:color w:val="000000" w:themeColor="text1"/>
          <w:sz w:val="24"/>
        </w:rPr>
        <w:t xml:space="preserve"> 履约保证金在</w:t>
      </w:r>
      <w:r>
        <w:rPr>
          <w:rFonts w:hint="eastAsia" w:ascii="仿宋" w:hAnsi="仿宋" w:eastAsia="仿宋"/>
          <w:color w:val="000000" w:themeColor="text1"/>
          <w:sz w:val="24"/>
        </w:rPr>
        <w:t>项目最终</w:t>
      </w:r>
      <w:r>
        <w:rPr>
          <w:rFonts w:ascii="仿宋" w:hAnsi="仿宋" w:eastAsia="仿宋"/>
          <w:color w:val="000000" w:themeColor="text1"/>
          <w:sz w:val="24"/>
        </w:rPr>
        <w:t>验收合格后</w:t>
      </w:r>
      <w:r>
        <w:rPr>
          <w:rFonts w:hint="eastAsia" w:ascii="仿宋" w:hAnsi="仿宋" w:eastAsia="仿宋"/>
          <w:color w:val="000000" w:themeColor="text1"/>
          <w:sz w:val="24"/>
        </w:rPr>
        <w:t>7</w:t>
      </w:r>
      <w:r>
        <w:rPr>
          <w:rFonts w:ascii="仿宋" w:hAnsi="仿宋" w:eastAsia="仿宋"/>
          <w:color w:val="000000" w:themeColor="text1"/>
          <w:sz w:val="24"/>
        </w:rPr>
        <w:t>个工作日内无息退还。</w:t>
      </w:r>
    </w:p>
    <w:p>
      <w:pPr>
        <w:snapToGrid w:val="0"/>
        <w:spacing w:beforeLines="50" w:line="400" w:lineRule="exact"/>
        <w:ind w:firstLine="413" w:firstLineChars="147"/>
        <w:rPr>
          <w:rFonts w:ascii="仿宋" w:hAnsi="仿宋" w:eastAsia="仿宋"/>
          <w:b/>
          <w:color w:val="000000" w:themeColor="text1"/>
          <w:sz w:val="28"/>
          <w:szCs w:val="28"/>
        </w:rPr>
      </w:pPr>
      <w:r>
        <w:rPr>
          <w:rFonts w:ascii="仿宋" w:hAnsi="仿宋" w:eastAsia="仿宋"/>
          <w:b/>
          <w:color w:val="000000" w:themeColor="text1"/>
          <w:sz w:val="28"/>
          <w:szCs w:val="28"/>
        </w:rPr>
        <w:t>29</w:t>
      </w:r>
      <w:r>
        <w:rPr>
          <w:rFonts w:hint="eastAsia" w:ascii="仿宋" w:hAnsi="仿宋" w:eastAsia="仿宋"/>
          <w:b/>
          <w:color w:val="000000" w:themeColor="text1"/>
          <w:sz w:val="28"/>
          <w:szCs w:val="28"/>
        </w:rPr>
        <w:t>．签订合同</w:t>
      </w:r>
    </w:p>
    <w:p>
      <w:pPr>
        <w:snapToGrid w:val="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rPr>
        <w:t>29.</w:t>
      </w:r>
      <w:r>
        <w:rPr>
          <w:rFonts w:hint="eastAsia" w:ascii="仿宋" w:hAnsi="仿宋" w:eastAsia="仿宋"/>
          <w:color w:val="000000" w:themeColor="text1"/>
          <w:sz w:val="24"/>
        </w:rPr>
        <w:t>1 中标人在收到中标通知书后</w:t>
      </w:r>
      <w:r>
        <w:rPr>
          <w:rFonts w:hint="eastAsia" w:ascii="仿宋" w:hAnsi="仿宋" w:eastAsia="仿宋"/>
          <w:color w:val="000000" w:themeColor="text1"/>
          <w:sz w:val="24"/>
          <w:u w:val="single"/>
        </w:rPr>
        <w:t xml:space="preserve"> 7 </w:t>
      </w:r>
      <w:r>
        <w:rPr>
          <w:rFonts w:ascii="仿宋" w:hAnsi="仿宋" w:eastAsia="仿宋"/>
          <w:color w:val="000000" w:themeColor="text1"/>
          <w:sz w:val="24"/>
        </w:rPr>
        <w:t>天内</w:t>
      </w:r>
      <w:r>
        <w:rPr>
          <w:rFonts w:hint="eastAsia" w:ascii="仿宋" w:hAnsi="仿宋" w:eastAsia="仿宋"/>
          <w:color w:val="000000" w:themeColor="text1"/>
          <w:sz w:val="24"/>
        </w:rPr>
        <w:t>与采购人签订合同。</w:t>
      </w:r>
    </w:p>
    <w:p>
      <w:pPr>
        <w:tabs>
          <w:tab w:val="left" w:pos="425"/>
          <w:tab w:val="left" w:pos="540"/>
        </w:tabs>
        <w:spacing w:line="400" w:lineRule="exact"/>
        <w:ind w:firstLine="240" w:firstLineChars="100"/>
        <w:rPr>
          <w:rFonts w:ascii="仿宋" w:hAnsi="仿宋" w:eastAsia="仿宋"/>
          <w:color w:val="000000" w:themeColor="text1"/>
          <w:sz w:val="22"/>
          <w:szCs w:val="22"/>
        </w:rPr>
      </w:pPr>
      <w:r>
        <w:rPr>
          <w:rFonts w:ascii="仿宋" w:hAnsi="仿宋" w:eastAsia="仿宋"/>
          <w:color w:val="000000" w:themeColor="text1"/>
          <w:sz w:val="24"/>
        </w:rPr>
        <w:t>29.</w:t>
      </w:r>
      <w:r>
        <w:rPr>
          <w:rFonts w:hint="eastAsia" w:ascii="仿宋" w:hAnsi="仿宋" w:eastAsia="仿宋"/>
          <w:color w:val="000000" w:themeColor="text1"/>
          <w:sz w:val="24"/>
        </w:rPr>
        <w:t>2 中标人拖延、拒签合同的, 取消中标资格。</w:t>
      </w:r>
    </w:p>
    <w:p>
      <w:pPr>
        <w:tabs>
          <w:tab w:val="left" w:pos="540"/>
        </w:tabs>
        <w:spacing w:line="400" w:lineRule="exact"/>
        <w:ind w:firstLine="220" w:firstLineChars="100"/>
        <w:rPr>
          <w:rFonts w:ascii="仿宋" w:hAnsi="仿宋" w:eastAsia="仿宋"/>
          <w:color w:val="000000" w:themeColor="text1"/>
          <w:spacing w:val="-10"/>
          <w:sz w:val="24"/>
          <w:szCs w:val="20"/>
        </w:rPr>
      </w:pPr>
      <w:r>
        <w:rPr>
          <w:rFonts w:hint="eastAsia" w:ascii="仿宋" w:hAnsi="仿宋" w:eastAsia="仿宋"/>
          <w:color w:val="000000" w:themeColor="text1"/>
          <w:spacing w:val="-10"/>
          <w:sz w:val="24"/>
          <w:szCs w:val="20"/>
        </w:rPr>
        <w:t>29.3在签订合同前，采购人有权在中标总价不变的前提下要求中标人对商务报价中的不平衡报价和缺漏项进行调整，如果中标人无合理理由拒绝调整，其中标资格将被取消，且将导致其它进一步的赔偿和处罚。中标人因不可抗力或自身原因不能履行采购合同的，采购人可以与排位在中标人之后的第一位的中标候选人签订政府采购合同。</w:t>
      </w:r>
    </w:p>
    <w:p>
      <w:pPr>
        <w:pStyle w:val="20"/>
        <w:snapToGrid w:val="0"/>
        <w:spacing w:line="400" w:lineRule="exact"/>
        <w:ind w:firstLine="240" w:firstLineChars="100"/>
        <w:rPr>
          <w:rFonts w:ascii="仿宋" w:hAnsi="仿宋" w:eastAsia="仿宋"/>
          <w:color w:val="000000" w:themeColor="text1"/>
          <w:spacing w:val="-10"/>
          <w:sz w:val="24"/>
        </w:rPr>
      </w:pPr>
      <w:r>
        <w:rPr>
          <w:rFonts w:ascii="仿宋" w:hAnsi="仿宋" w:eastAsia="仿宋"/>
          <w:color w:val="000000" w:themeColor="text1"/>
          <w:sz w:val="24"/>
        </w:rPr>
        <w:t xml:space="preserve">29.4 </w:t>
      </w:r>
      <w:r>
        <w:rPr>
          <w:rFonts w:ascii="仿宋" w:hAnsi="仿宋" w:eastAsia="仿宋"/>
          <w:color w:val="000000" w:themeColor="text1"/>
          <w:spacing w:val="-10"/>
          <w:sz w:val="24"/>
        </w:rPr>
        <w:t>招标文件、</w:t>
      </w:r>
      <w:r>
        <w:rPr>
          <w:rFonts w:hint="eastAsia" w:ascii="仿宋" w:hAnsi="仿宋" w:eastAsia="仿宋"/>
          <w:color w:val="000000" w:themeColor="text1"/>
          <w:spacing w:val="-10"/>
          <w:sz w:val="24"/>
        </w:rPr>
        <w:t>中标人</w:t>
      </w:r>
      <w:r>
        <w:rPr>
          <w:rFonts w:ascii="仿宋" w:hAnsi="仿宋" w:eastAsia="仿宋"/>
          <w:color w:val="000000" w:themeColor="text1"/>
          <w:spacing w:val="-10"/>
          <w:sz w:val="24"/>
        </w:rPr>
        <w:t>的投标文件及评标过程中有关澄清文件等均作为签订合同的依据</w:t>
      </w:r>
      <w:r>
        <w:rPr>
          <w:rFonts w:hint="eastAsia" w:ascii="仿宋" w:hAnsi="仿宋" w:eastAsia="仿宋" w:cs="仿宋"/>
          <w:color w:val="000000" w:themeColor="text1"/>
          <w:spacing w:val="-10"/>
          <w:sz w:val="28"/>
          <w:szCs w:val="28"/>
        </w:rPr>
        <w:t>。</w:t>
      </w:r>
      <w:r>
        <w:rPr>
          <w:rFonts w:ascii="仿宋" w:hAnsi="仿宋" w:eastAsia="仿宋"/>
          <w:color w:val="000000" w:themeColor="text1"/>
          <w:spacing w:val="-10"/>
          <w:sz w:val="24"/>
        </w:rPr>
        <w:t>所签订的合同不得对招标文件和</w:t>
      </w:r>
      <w:r>
        <w:rPr>
          <w:rFonts w:hint="eastAsia" w:ascii="仿宋" w:hAnsi="仿宋" w:eastAsia="仿宋"/>
          <w:color w:val="000000" w:themeColor="text1"/>
          <w:spacing w:val="-10"/>
          <w:sz w:val="24"/>
        </w:rPr>
        <w:t>中标人</w:t>
      </w:r>
      <w:r>
        <w:rPr>
          <w:rFonts w:ascii="仿宋" w:hAnsi="仿宋" w:eastAsia="仿宋"/>
          <w:color w:val="000000" w:themeColor="text1"/>
          <w:spacing w:val="-10"/>
          <w:sz w:val="24"/>
        </w:rPr>
        <w:t>的投标文件的内容作实质性修改。</w:t>
      </w:r>
    </w:p>
    <w:p>
      <w:pPr>
        <w:pStyle w:val="20"/>
        <w:snapToGrid w:val="0"/>
        <w:spacing w:line="400" w:lineRule="exact"/>
        <w:ind w:firstLine="321" w:firstLineChars="100"/>
        <w:jc w:val="center"/>
        <w:rPr>
          <w:rFonts w:ascii="仿宋" w:hAnsi="仿宋" w:eastAsia="仿宋"/>
          <w:b/>
          <w:color w:val="000000" w:themeColor="text1"/>
          <w:sz w:val="28"/>
          <w:szCs w:val="28"/>
        </w:rPr>
      </w:pPr>
      <w:r>
        <w:rPr>
          <w:rFonts w:hint="eastAsia" w:ascii="仿宋" w:hAnsi="仿宋" w:eastAsia="仿宋"/>
          <w:b/>
          <w:color w:val="000000" w:themeColor="text1"/>
          <w:sz w:val="32"/>
          <w:szCs w:val="32"/>
        </w:rPr>
        <w:t>第八节 、 其他</w:t>
      </w:r>
    </w:p>
    <w:p>
      <w:pPr>
        <w:pStyle w:val="20"/>
        <w:snapToGrid w:val="0"/>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3</w:t>
      </w:r>
      <w:r>
        <w:rPr>
          <w:rFonts w:ascii="仿宋" w:hAnsi="仿宋" w:eastAsia="仿宋"/>
          <w:color w:val="000000" w:themeColor="text1"/>
          <w:sz w:val="24"/>
        </w:rPr>
        <w:t>0</w:t>
      </w:r>
      <w:r>
        <w:rPr>
          <w:rFonts w:hint="eastAsia" w:ascii="仿宋" w:hAnsi="仿宋" w:eastAsia="仿宋"/>
          <w:color w:val="000000" w:themeColor="text1"/>
          <w:sz w:val="24"/>
        </w:rPr>
        <w:t>．采购过程中出现以下情形，导致电子交易平台无法正常运行，或者无法保证电</w:t>
      </w:r>
    </w:p>
    <w:p>
      <w:pPr>
        <w:pStyle w:val="20"/>
        <w:snapToGrid w:val="0"/>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子交易的公平、公正和安全时，采购代理机构可中止电子交易活动：</w:t>
      </w:r>
    </w:p>
    <w:p>
      <w:pPr>
        <w:pStyle w:val="20"/>
        <w:snapToGrid w:val="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rPr>
        <w:t>30.</w:t>
      </w:r>
      <w:r>
        <w:rPr>
          <w:rFonts w:hint="eastAsia" w:ascii="仿宋" w:hAnsi="仿宋" w:eastAsia="仿宋"/>
          <w:color w:val="000000" w:themeColor="text1"/>
          <w:sz w:val="24"/>
        </w:rPr>
        <w:t>1 电子交易平台发生故障而无法登录访问的；</w:t>
      </w:r>
    </w:p>
    <w:p>
      <w:pPr>
        <w:pStyle w:val="20"/>
        <w:snapToGrid w:val="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rPr>
        <w:t>30.</w:t>
      </w:r>
      <w:r>
        <w:rPr>
          <w:rFonts w:hint="eastAsia" w:ascii="仿宋" w:hAnsi="仿宋" w:eastAsia="仿宋"/>
          <w:color w:val="000000" w:themeColor="text1"/>
          <w:sz w:val="24"/>
        </w:rPr>
        <w:t>2 电子交易平台应用或数据库出现错误，不能进行正常操作的；</w:t>
      </w:r>
    </w:p>
    <w:p>
      <w:pPr>
        <w:pStyle w:val="20"/>
        <w:snapToGrid w:val="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rPr>
        <w:t xml:space="preserve">30.3 </w:t>
      </w:r>
      <w:r>
        <w:rPr>
          <w:rFonts w:hint="eastAsia" w:ascii="仿宋" w:hAnsi="仿宋" w:eastAsia="仿宋"/>
          <w:color w:val="000000" w:themeColor="text1"/>
          <w:sz w:val="24"/>
        </w:rPr>
        <w:t>电子交易平台发现严重安全漏洞，有潜在泄密危险的；</w:t>
      </w:r>
    </w:p>
    <w:p>
      <w:pPr>
        <w:pStyle w:val="20"/>
        <w:snapToGrid w:val="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rPr>
        <w:t xml:space="preserve">30.4 </w:t>
      </w:r>
      <w:r>
        <w:rPr>
          <w:rFonts w:hint="eastAsia" w:ascii="仿宋" w:hAnsi="仿宋" w:eastAsia="仿宋"/>
          <w:color w:val="000000" w:themeColor="text1"/>
          <w:sz w:val="24"/>
        </w:rPr>
        <w:t>病毒发作导致不能进行正常操作的；</w:t>
      </w:r>
    </w:p>
    <w:p>
      <w:pPr>
        <w:pStyle w:val="20"/>
        <w:snapToGrid w:val="0"/>
        <w:spacing w:line="400" w:lineRule="exact"/>
        <w:ind w:firstLine="240" w:firstLineChars="100"/>
        <w:rPr>
          <w:rFonts w:ascii="仿宋" w:hAnsi="仿宋" w:eastAsia="仿宋"/>
          <w:color w:val="000000" w:themeColor="text1"/>
          <w:sz w:val="24"/>
        </w:rPr>
      </w:pPr>
      <w:r>
        <w:rPr>
          <w:rFonts w:ascii="仿宋" w:hAnsi="仿宋" w:eastAsia="仿宋"/>
          <w:color w:val="000000" w:themeColor="text1"/>
          <w:sz w:val="24"/>
        </w:rPr>
        <w:t xml:space="preserve">30.5 </w:t>
      </w:r>
      <w:r>
        <w:rPr>
          <w:rFonts w:hint="eastAsia" w:ascii="仿宋" w:hAnsi="仿宋" w:eastAsia="仿宋"/>
          <w:color w:val="000000" w:themeColor="text1"/>
          <w:sz w:val="24"/>
        </w:rPr>
        <w:t>其他无法保证电子交易的公平、公正和安全的情况。</w:t>
      </w:r>
    </w:p>
    <w:p>
      <w:pPr>
        <w:pStyle w:val="20"/>
        <w:snapToGrid w:val="0"/>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出现前款规定情形，不影响采购公平、公正性的，采购代理机构可以待上述情</w:t>
      </w:r>
    </w:p>
    <w:p>
      <w:pPr>
        <w:pStyle w:val="20"/>
        <w:snapToGrid w:val="0"/>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形消除后继续组织电子交易活动；影响或可能影响采购公平、公正性的，应当重新</w:t>
      </w:r>
    </w:p>
    <w:p>
      <w:pPr>
        <w:pStyle w:val="20"/>
        <w:snapToGrid w:val="0"/>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开展政府采购活动。</w:t>
      </w:r>
    </w:p>
    <w:p>
      <w:pPr>
        <w:snapToGrid w:val="0"/>
        <w:spacing w:beforeLines="100" w:afterLines="50"/>
        <w:jc w:val="center"/>
        <w:rPr>
          <w:rFonts w:ascii="仿宋" w:hAnsi="仿宋" w:eastAsia="仿宋"/>
          <w:b/>
          <w:bCs/>
          <w:color w:val="000000" w:themeColor="text1"/>
          <w:sz w:val="36"/>
        </w:rPr>
      </w:pPr>
    </w:p>
    <w:p>
      <w:pPr>
        <w:snapToGrid w:val="0"/>
        <w:spacing w:beforeLines="100" w:afterLines="50"/>
        <w:jc w:val="center"/>
        <w:rPr>
          <w:rFonts w:ascii="仿宋" w:hAnsi="仿宋" w:eastAsia="仿宋"/>
          <w:b/>
          <w:bCs/>
          <w:color w:val="000000" w:themeColor="text1"/>
          <w:sz w:val="30"/>
          <w:szCs w:val="30"/>
        </w:rPr>
      </w:pPr>
      <w:r>
        <w:rPr>
          <w:rFonts w:hint="eastAsia" w:ascii="仿宋" w:hAnsi="仿宋" w:eastAsia="仿宋"/>
          <w:b/>
          <w:bCs/>
          <w:color w:val="000000" w:themeColor="text1"/>
          <w:sz w:val="36"/>
        </w:rPr>
        <w:t xml:space="preserve">第三章  </w:t>
      </w:r>
      <w:r>
        <w:rPr>
          <w:rFonts w:hint="eastAsia" w:ascii="仿宋" w:hAnsi="仿宋" w:eastAsia="仿宋"/>
          <w:b/>
          <w:bCs/>
          <w:color w:val="000000" w:themeColor="text1"/>
          <w:sz w:val="36"/>
          <w:szCs w:val="36"/>
        </w:rPr>
        <w:t>合同主要条款</w:t>
      </w:r>
    </w:p>
    <w:p>
      <w:pPr>
        <w:widowControl/>
        <w:snapToGrid w:val="0"/>
        <w:spacing w:line="360" w:lineRule="exact"/>
        <w:ind w:firstLine="480" w:firstLineChars="200"/>
        <w:jc w:val="left"/>
        <w:rPr>
          <w:rFonts w:ascii="FangSong_GB2312" w:hAnsi="宋体" w:eastAsia="FangSong_GB2312" w:cs="Arial"/>
          <w:color w:val="000000" w:themeColor="text1"/>
          <w:kern w:val="0"/>
          <w:sz w:val="24"/>
        </w:rPr>
      </w:pPr>
      <w:r>
        <w:rPr>
          <w:rFonts w:hint="eastAsia" w:ascii="FangSong_GB2312" w:hAnsi="宋体" w:eastAsia="FangSong_GB2312" w:cs="Arial"/>
          <w:color w:val="000000" w:themeColor="text1"/>
          <w:kern w:val="0"/>
          <w:sz w:val="24"/>
        </w:rPr>
        <w:t xml:space="preserve">项目名称：                                     </w:t>
      </w:r>
    </w:p>
    <w:p>
      <w:pPr>
        <w:widowControl/>
        <w:snapToGrid w:val="0"/>
        <w:spacing w:line="360" w:lineRule="exact"/>
        <w:ind w:firstLine="480" w:firstLineChars="200"/>
        <w:jc w:val="left"/>
        <w:rPr>
          <w:rFonts w:ascii="Arial" w:hAnsi="Arial" w:cs="Arial"/>
          <w:color w:val="000000" w:themeColor="text1"/>
          <w:kern w:val="0"/>
          <w:sz w:val="14"/>
          <w:szCs w:val="14"/>
        </w:rPr>
      </w:pPr>
      <w:r>
        <w:rPr>
          <w:rFonts w:hint="eastAsia" w:ascii="FangSong_GB2312" w:hAnsi="宋体" w:eastAsia="FangSong_GB2312" w:cs="Arial"/>
          <w:color w:val="000000" w:themeColor="text1"/>
          <w:kern w:val="0"/>
          <w:sz w:val="24"/>
        </w:rPr>
        <w:t>项目编号：</w:t>
      </w:r>
    </w:p>
    <w:p>
      <w:pPr>
        <w:widowControl/>
        <w:snapToGrid w:val="0"/>
        <w:spacing w:line="360" w:lineRule="exact"/>
        <w:ind w:firstLine="480" w:firstLineChars="200"/>
        <w:jc w:val="left"/>
        <w:rPr>
          <w:rFonts w:ascii="Arial" w:hAnsi="Arial" w:cs="Arial"/>
          <w:color w:val="000000" w:themeColor="text1"/>
          <w:kern w:val="0"/>
          <w:sz w:val="14"/>
          <w:szCs w:val="14"/>
        </w:rPr>
      </w:pPr>
      <w:r>
        <w:rPr>
          <w:rFonts w:hint="eastAsia" w:ascii="FangSong_GB2312" w:hAnsi="宋体" w:eastAsia="FangSong_GB2312" w:cs="Arial"/>
          <w:color w:val="000000" w:themeColor="text1"/>
          <w:kern w:val="0"/>
          <w:sz w:val="24"/>
        </w:rPr>
        <w:t>甲方：（采购人）</w:t>
      </w:r>
    </w:p>
    <w:p>
      <w:pPr>
        <w:widowControl/>
        <w:snapToGrid w:val="0"/>
        <w:spacing w:line="360" w:lineRule="exact"/>
        <w:ind w:firstLine="480" w:firstLineChars="200"/>
        <w:jc w:val="left"/>
        <w:rPr>
          <w:rFonts w:ascii="Arial" w:hAnsi="Arial" w:cs="Arial"/>
          <w:color w:val="000000" w:themeColor="text1"/>
          <w:kern w:val="0"/>
          <w:sz w:val="14"/>
          <w:szCs w:val="14"/>
        </w:rPr>
      </w:pPr>
      <w:r>
        <w:rPr>
          <w:rFonts w:hint="eastAsia" w:ascii="FangSong_GB2312" w:hAnsi="宋体" w:eastAsia="FangSong_GB2312" w:cs="Arial"/>
          <w:color w:val="000000" w:themeColor="text1"/>
          <w:kern w:val="0"/>
          <w:sz w:val="24"/>
        </w:rPr>
        <w:t>乙方：（中标人）</w:t>
      </w:r>
    </w:p>
    <w:p>
      <w:pPr>
        <w:widowControl/>
        <w:snapToGrid w:val="0"/>
        <w:spacing w:line="360" w:lineRule="exact"/>
        <w:ind w:firstLine="480" w:firstLineChars="200"/>
        <w:jc w:val="left"/>
        <w:rPr>
          <w:rFonts w:ascii="FangSong_GB2312" w:eastAsia="FangSong_GB2312"/>
          <w:color w:val="000000" w:themeColor="text1"/>
          <w:sz w:val="24"/>
        </w:rPr>
      </w:pPr>
      <w:r>
        <w:rPr>
          <w:rFonts w:hint="eastAsia" w:ascii="FangSong_GB2312" w:hAnsi="宋体" w:eastAsia="FangSong_GB2312" w:cs="Arial"/>
          <w:color w:val="000000" w:themeColor="text1"/>
          <w:kern w:val="0"/>
          <w:sz w:val="24"/>
        </w:rPr>
        <w:t>根据</w:t>
      </w:r>
      <w:r>
        <w:rPr>
          <w:rFonts w:hint="eastAsia" w:ascii="FangSong_GB2312" w:eastAsia="FangSong_GB2312"/>
          <w:color w:val="000000" w:themeColor="text1"/>
          <w:sz w:val="24"/>
        </w:rPr>
        <w:t>浙江祥泽招标代理有限公司</w:t>
      </w:r>
      <w:r>
        <w:rPr>
          <w:rFonts w:hint="eastAsia" w:ascii="FangSong_GB2312" w:hAnsi="宋体" w:eastAsia="FangSong_GB2312" w:cs="Arial"/>
          <w:color w:val="000000" w:themeColor="text1"/>
          <w:kern w:val="0"/>
          <w:sz w:val="24"/>
        </w:rPr>
        <w:t>关于</w:t>
      </w:r>
      <w:r>
        <w:rPr>
          <w:rFonts w:hint="eastAsia" w:ascii="FangSong_GB2312" w:eastAsia="FangSong_GB2312"/>
          <w:color w:val="000000" w:themeColor="text1"/>
          <w:sz w:val="24"/>
          <w:u w:val="single"/>
        </w:rPr>
        <w:t xml:space="preserve"> 天台中学创新实验室和专用教室采购项目（标项    ）</w:t>
      </w:r>
      <w:r>
        <w:rPr>
          <w:rFonts w:hint="eastAsia" w:ascii="FangSong_GB2312" w:eastAsia="FangSong_GB2312"/>
          <w:color w:val="000000" w:themeColor="text1"/>
          <w:sz w:val="24"/>
        </w:rPr>
        <w:t>公开招标的结果签署本合同。</w:t>
      </w:r>
    </w:p>
    <w:p>
      <w:pPr>
        <w:spacing w:line="440" w:lineRule="exact"/>
        <w:ind w:firstLine="482" w:firstLineChars="200"/>
        <w:rPr>
          <w:rFonts w:ascii="仿宋" w:hAnsi="仿宋" w:eastAsia="仿宋" w:cs="Arial"/>
          <w:color w:val="000000" w:themeColor="text1"/>
          <w:sz w:val="14"/>
          <w:szCs w:val="14"/>
        </w:rPr>
      </w:pPr>
      <w:r>
        <w:rPr>
          <w:rFonts w:hint="eastAsia" w:ascii="仿宋" w:hAnsi="仿宋" w:eastAsia="仿宋" w:cs="Arial"/>
          <w:b/>
          <w:color w:val="000000" w:themeColor="text1"/>
          <w:sz w:val="24"/>
        </w:rPr>
        <w:t>一、货物内容</w:t>
      </w:r>
    </w:p>
    <w:p>
      <w:pPr>
        <w:tabs>
          <w:tab w:val="right" w:pos="9158"/>
        </w:tabs>
        <w:spacing w:line="440" w:lineRule="exact"/>
        <w:ind w:firstLine="480" w:firstLineChars="200"/>
        <w:rPr>
          <w:rFonts w:ascii="仿宋" w:hAnsi="仿宋" w:eastAsia="仿宋" w:cs="Arial"/>
          <w:color w:val="000000" w:themeColor="text1"/>
          <w:sz w:val="14"/>
          <w:szCs w:val="14"/>
        </w:rPr>
      </w:pPr>
      <w:r>
        <w:rPr>
          <w:rFonts w:hint="eastAsia" w:ascii="仿宋" w:hAnsi="仿宋" w:eastAsia="仿宋" w:cs="Arial"/>
          <w:color w:val="000000" w:themeColor="text1"/>
          <w:sz w:val="24"/>
        </w:rPr>
        <w:t>1.1 货物名称：</w:t>
      </w:r>
      <w:r>
        <w:rPr>
          <w:rFonts w:hint="eastAsia" w:ascii="仿宋" w:hAnsi="仿宋" w:eastAsia="仿宋" w:cs="Arial"/>
          <w:color w:val="000000" w:themeColor="text1"/>
          <w:sz w:val="24"/>
        </w:rPr>
        <w:tab/>
      </w:r>
    </w:p>
    <w:p>
      <w:pPr>
        <w:spacing w:line="440" w:lineRule="exact"/>
        <w:ind w:firstLine="480" w:firstLineChars="200"/>
        <w:rPr>
          <w:rFonts w:ascii="仿宋" w:hAnsi="仿宋" w:eastAsia="仿宋" w:cs="Arial"/>
          <w:color w:val="000000" w:themeColor="text1"/>
          <w:sz w:val="14"/>
          <w:szCs w:val="14"/>
        </w:rPr>
      </w:pPr>
      <w:r>
        <w:rPr>
          <w:rFonts w:hint="eastAsia" w:ascii="仿宋" w:hAnsi="仿宋" w:eastAsia="仿宋" w:cs="Arial"/>
          <w:color w:val="000000" w:themeColor="text1"/>
          <w:sz w:val="24"/>
        </w:rPr>
        <w:t>1.2 数量（单位）：</w:t>
      </w:r>
    </w:p>
    <w:p>
      <w:pPr>
        <w:spacing w:line="440" w:lineRule="exact"/>
        <w:ind w:firstLine="480" w:firstLineChars="200"/>
        <w:rPr>
          <w:rFonts w:ascii="仿宋" w:hAnsi="仿宋" w:eastAsia="仿宋" w:cs="Arial"/>
          <w:color w:val="000000" w:themeColor="text1"/>
          <w:sz w:val="14"/>
          <w:szCs w:val="14"/>
        </w:rPr>
      </w:pPr>
      <w:r>
        <w:rPr>
          <w:rFonts w:hint="eastAsia" w:ascii="仿宋" w:hAnsi="仿宋" w:eastAsia="仿宋" w:cs="Arial"/>
          <w:color w:val="000000" w:themeColor="text1"/>
          <w:sz w:val="24"/>
        </w:rPr>
        <w:t>1.3 质量标准：</w:t>
      </w:r>
    </w:p>
    <w:p>
      <w:pPr>
        <w:spacing w:line="440" w:lineRule="exact"/>
        <w:ind w:firstLine="480" w:firstLineChars="200"/>
        <w:rPr>
          <w:rFonts w:ascii="仿宋" w:hAnsi="仿宋" w:eastAsia="仿宋" w:cs="Arial"/>
          <w:color w:val="000000" w:themeColor="text1"/>
          <w:sz w:val="14"/>
          <w:szCs w:val="14"/>
        </w:rPr>
      </w:pPr>
      <w:r>
        <w:rPr>
          <w:rFonts w:hint="eastAsia" w:ascii="仿宋" w:hAnsi="仿宋" w:eastAsia="仿宋" w:cs="Arial"/>
          <w:color w:val="000000" w:themeColor="text1"/>
          <w:sz w:val="24"/>
        </w:rPr>
        <w:t>1.4 型号规格：</w:t>
      </w:r>
    </w:p>
    <w:p>
      <w:pPr>
        <w:spacing w:line="440" w:lineRule="exact"/>
        <w:ind w:firstLine="480" w:firstLineChars="200"/>
        <w:rPr>
          <w:rFonts w:ascii="仿宋" w:hAnsi="仿宋" w:eastAsia="仿宋" w:cs="Arial"/>
          <w:color w:val="000000" w:themeColor="text1"/>
          <w:sz w:val="14"/>
          <w:szCs w:val="14"/>
        </w:rPr>
      </w:pPr>
      <w:r>
        <w:rPr>
          <w:rFonts w:hint="eastAsia" w:ascii="仿宋" w:hAnsi="仿宋" w:eastAsia="仿宋" w:cs="Arial"/>
          <w:color w:val="000000" w:themeColor="text1"/>
          <w:sz w:val="24"/>
        </w:rPr>
        <w:t>1.5 技术参数：</w:t>
      </w:r>
    </w:p>
    <w:p>
      <w:pPr>
        <w:spacing w:line="440" w:lineRule="exact"/>
        <w:ind w:firstLine="482" w:firstLineChars="200"/>
        <w:rPr>
          <w:rFonts w:ascii="仿宋" w:hAnsi="仿宋" w:eastAsia="仿宋" w:cs="Arial"/>
          <w:color w:val="000000" w:themeColor="text1"/>
          <w:sz w:val="14"/>
          <w:szCs w:val="14"/>
        </w:rPr>
      </w:pPr>
      <w:r>
        <w:rPr>
          <w:rFonts w:hint="eastAsia" w:ascii="仿宋" w:hAnsi="仿宋" w:eastAsia="仿宋" w:cs="Arial"/>
          <w:b/>
          <w:color w:val="000000" w:themeColor="text1"/>
          <w:sz w:val="24"/>
        </w:rPr>
        <w:t>二、价款支付</w:t>
      </w:r>
    </w:p>
    <w:p>
      <w:pPr>
        <w:spacing w:line="440" w:lineRule="exact"/>
        <w:ind w:left="719" w:leftChars="228" w:hanging="240" w:hangingChars="100"/>
        <w:rPr>
          <w:rFonts w:ascii="仿宋" w:hAnsi="仿宋" w:eastAsia="仿宋" w:cs="Arial"/>
          <w:color w:val="000000" w:themeColor="text1"/>
          <w:sz w:val="24"/>
          <w:highlight w:val="none"/>
        </w:rPr>
      </w:pPr>
      <w:r>
        <w:rPr>
          <w:rFonts w:hint="eastAsia" w:ascii="仿宋" w:hAnsi="仿宋" w:eastAsia="仿宋" w:cs="Arial"/>
          <w:color w:val="000000" w:themeColor="text1"/>
          <w:sz w:val="24"/>
          <w:highlight w:val="none"/>
        </w:rPr>
        <w:t xml:space="preserve">2.1 本合同总价款为人民币（大写）： </w:t>
      </w:r>
      <w:r>
        <w:rPr>
          <w:rFonts w:hint="eastAsia" w:ascii="仿宋" w:hAnsi="仿宋" w:eastAsia="仿宋" w:cs="Arial"/>
          <w:color w:val="000000" w:themeColor="text1"/>
          <w:sz w:val="24"/>
          <w:highlight w:val="none"/>
          <w:u w:val="single"/>
        </w:rPr>
        <w:t xml:space="preserve">               </w:t>
      </w:r>
      <w:r>
        <w:rPr>
          <w:rFonts w:hint="eastAsia" w:ascii="仿宋" w:hAnsi="仿宋" w:eastAsia="仿宋" w:cs="Arial"/>
          <w:color w:val="000000" w:themeColor="text1"/>
          <w:sz w:val="24"/>
          <w:highlight w:val="none"/>
        </w:rPr>
        <w:t>元（￥：</w:t>
      </w:r>
      <w:r>
        <w:rPr>
          <w:rFonts w:hint="eastAsia" w:ascii="仿宋" w:hAnsi="仿宋" w:eastAsia="仿宋" w:cs="Arial"/>
          <w:color w:val="000000" w:themeColor="text1"/>
          <w:sz w:val="24"/>
          <w:highlight w:val="none"/>
          <w:u w:val="single"/>
        </w:rPr>
        <w:t xml:space="preserve">          </w:t>
      </w:r>
      <w:r>
        <w:rPr>
          <w:rFonts w:hint="eastAsia" w:ascii="仿宋" w:hAnsi="仿宋" w:eastAsia="仿宋" w:cs="Arial"/>
          <w:color w:val="000000" w:themeColor="text1"/>
          <w:sz w:val="24"/>
          <w:highlight w:val="none"/>
        </w:rPr>
        <w:t>）。</w:t>
      </w:r>
    </w:p>
    <w:p>
      <w:pPr>
        <w:spacing w:line="440" w:lineRule="exact"/>
        <w:ind w:firstLine="480" w:firstLineChars="200"/>
        <w:rPr>
          <w:rFonts w:ascii="仿宋" w:hAnsi="仿宋" w:eastAsia="仿宋" w:cs="Arial"/>
          <w:color w:val="000000" w:themeColor="text1"/>
          <w:sz w:val="24"/>
        </w:rPr>
      </w:pPr>
      <w:r>
        <w:rPr>
          <w:rFonts w:hint="eastAsia" w:ascii="仿宋" w:hAnsi="仿宋" w:eastAsia="仿宋" w:cs="Arial"/>
          <w:color w:val="000000" w:themeColor="text1"/>
          <w:sz w:val="24"/>
        </w:rPr>
        <w:t xml:space="preserve">2.2 </w:t>
      </w:r>
      <w:r>
        <w:rPr>
          <w:rFonts w:hint="eastAsia" w:ascii="仿宋" w:hAnsi="仿宋" w:eastAsia="仿宋" w:cs="Arial"/>
          <w:bCs/>
          <w:color w:val="000000" w:themeColor="text1"/>
          <w:sz w:val="24"/>
        </w:rPr>
        <w:t>付款</w:t>
      </w:r>
      <w:r>
        <w:rPr>
          <w:rFonts w:hint="eastAsia" w:ascii="仿宋" w:hAnsi="仿宋" w:eastAsia="仿宋" w:cs="Arial"/>
          <w:color w:val="000000" w:themeColor="text1"/>
          <w:sz w:val="24"/>
        </w:rPr>
        <w:t>方式及时间：采购合同生效及具备实施条件后15日内支付合同总额的40%预付款，安装调试完毕、验收合格后一个月内支付至合同总额的98%，余款在质保期满后一次性付清。</w:t>
      </w:r>
    </w:p>
    <w:p>
      <w:pPr>
        <w:spacing w:line="440" w:lineRule="exact"/>
        <w:ind w:firstLine="480" w:firstLineChars="200"/>
        <w:rPr>
          <w:rFonts w:ascii="仿宋" w:hAnsi="仿宋" w:eastAsia="仿宋" w:cs="Arial"/>
          <w:color w:val="000000" w:themeColor="text1"/>
          <w:sz w:val="24"/>
        </w:rPr>
      </w:pPr>
      <w:r>
        <w:rPr>
          <w:rFonts w:hint="eastAsia" w:ascii="仿宋" w:hAnsi="仿宋" w:eastAsia="仿宋" w:cs="Arial"/>
          <w:color w:val="000000" w:themeColor="text1"/>
          <w:sz w:val="24"/>
        </w:rPr>
        <w:t>注:若中标供应商明确表示无需预付款或者主动要求降低预付款比例的，</w:t>
      </w:r>
      <w:bookmarkStart w:id="27" w:name="_GoBack"/>
      <w:bookmarkEnd w:id="27"/>
      <w:r>
        <w:rPr>
          <w:rFonts w:hint="eastAsia" w:ascii="仿宋" w:hAnsi="仿宋" w:eastAsia="仿宋" w:cs="Arial"/>
          <w:color w:val="000000" w:themeColor="text1"/>
          <w:sz w:val="24"/>
        </w:rPr>
        <w:t>采购人可不适用前述规定。</w:t>
      </w:r>
    </w:p>
    <w:p>
      <w:pPr>
        <w:spacing w:line="440" w:lineRule="exact"/>
        <w:ind w:firstLine="482" w:firstLineChars="200"/>
        <w:rPr>
          <w:rFonts w:ascii="仿宋" w:hAnsi="仿宋" w:eastAsia="仿宋" w:cs="Arial"/>
          <w:color w:val="000000" w:themeColor="text1"/>
          <w:sz w:val="14"/>
          <w:szCs w:val="14"/>
        </w:rPr>
      </w:pPr>
      <w:r>
        <w:rPr>
          <w:rFonts w:hint="eastAsia" w:ascii="仿宋" w:hAnsi="仿宋" w:eastAsia="仿宋" w:cs="Arial"/>
          <w:b/>
          <w:color w:val="000000" w:themeColor="text1"/>
          <w:sz w:val="24"/>
        </w:rPr>
        <w:t>三、技术资料</w:t>
      </w:r>
    </w:p>
    <w:p>
      <w:pPr>
        <w:spacing w:line="440" w:lineRule="exact"/>
        <w:ind w:firstLine="480" w:firstLineChars="200"/>
        <w:rPr>
          <w:rFonts w:ascii="仿宋" w:hAnsi="仿宋" w:eastAsia="仿宋" w:cs="Arial"/>
          <w:color w:val="000000" w:themeColor="text1"/>
          <w:sz w:val="14"/>
          <w:szCs w:val="14"/>
        </w:rPr>
      </w:pPr>
      <w:r>
        <w:rPr>
          <w:rFonts w:hint="eastAsia" w:ascii="仿宋" w:hAnsi="仿宋" w:eastAsia="仿宋" w:cs="Arial"/>
          <w:color w:val="000000" w:themeColor="text1"/>
          <w:sz w:val="24"/>
        </w:rPr>
        <w:t>3.1 乙方应按招标文件规定的要求、时间和方式向甲方提供使用货物的有关技术资料。</w:t>
      </w:r>
    </w:p>
    <w:p>
      <w:pPr>
        <w:spacing w:line="440" w:lineRule="exact"/>
        <w:ind w:firstLine="480" w:firstLineChars="200"/>
        <w:rPr>
          <w:rFonts w:ascii="仿宋" w:hAnsi="仿宋" w:eastAsia="仿宋" w:cs="Arial"/>
          <w:color w:val="000000" w:themeColor="text1"/>
          <w:sz w:val="14"/>
          <w:szCs w:val="14"/>
        </w:rPr>
      </w:pPr>
      <w:r>
        <w:rPr>
          <w:rFonts w:hint="eastAsia" w:ascii="仿宋" w:hAnsi="仿宋" w:eastAsia="仿宋" w:cs="Arial"/>
          <w:color w:val="000000" w:themeColor="text1"/>
          <w:sz w:val="24"/>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pacing w:line="440" w:lineRule="exact"/>
        <w:ind w:firstLine="482" w:firstLineChars="200"/>
        <w:rPr>
          <w:rFonts w:ascii="仿宋" w:hAnsi="仿宋" w:eastAsia="仿宋" w:cs="Arial"/>
          <w:color w:val="000000" w:themeColor="text1"/>
          <w:sz w:val="14"/>
          <w:szCs w:val="14"/>
        </w:rPr>
      </w:pPr>
      <w:r>
        <w:rPr>
          <w:rFonts w:hint="eastAsia" w:ascii="仿宋" w:hAnsi="仿宋" w:eastAsia="仿宋" w:cs="Arial"/>
          <w:b/>
          <w:color w:val="000000" w:themeColor="text1"/>
          <w:sz w:val="24"/>
        </w:rPr>
        <w:t>四、知识产权</w:t>
      </w:r>
    </w:p>
    <w:p>
      <w:pPr>
        <w:spacing w:line="440" w:lineRule="exact"/>
        <w:ind w:firstLine="480" w:firstLineChars="200"/>
        <w:rPr>
          <w:rFonts w:ascii="仿宋" w:hAnsi="仿宋" w:eastAsia="仿宋" w:cs="Arial"/>
          <w:color w:val="000000" w:themeColor="text1"/>
          <w:sz w:val="14"/>
          <w:szCs w:val="14"/>
        </w:rPr>
      </w:pPr>
      <w:r>
        <w:rPr>
          <w:rFonts w:hint="eastAsia" w:ascii="仿宋" w:hAnsi="仿宋" w:eastAsia="仿宋" w:cs="Arial"/>
          <w:color w:val="000000" w:themeColor="text1"/>
          <w:sz w:val="24"/>
        </w:rPr>
        <w:t>4.1 乙方保证所提供的货物或其任何一部分组成均不侵犯任何第三方的知识产权</w:t>
      </w:r>
      <w:r>
        <w:rPr>
          <w:rFonts w:hint="eastAsia" w:ascii="仿宋" w:hAnsi="仿宋" w:eastAsia="仿宋" w:cs="Arial"/>
          <w:bCs/>
          <w:color w:val="000000" w:themeColor="text1"/>
          <w:sz w:val="24"/>
        </w:rPr>
        <w:t>。</w:t>
      </w:r>
      <w:r>
        <w:rPr>
          <w:rFonts w:hint="eastAsia" w:ascii="仿宋" w:hAnsi="仿宋" w:eastAsia="仿宋" w:cs="Arial"/>
          <w:bCs/>
          <w:color w:val="000000" w:themeColor="text1"/>
          <w:sz w:val="24"/>
          <w:u w:val="single"/>
        </w:rPr>
        <w:t>因乙方货物的知识产权引起的法律责任全部由乙方承担。</w:t>
      </w:r>
    </w:p>
    <w:p>
      <w:pPr>
        <w:spacing w:line="440" w:lineRule="exact"/>
        <w:ind w:firstLine="482" w:firstLineChars="200"/>
        <w:rPr>
          <w:rFonts w:ascii="仿宋" w:hAnsi="仿宋" w:eastAsia="仿宋" w:cs="Arial"/>
          <w:color w:val="000000" w:themeColor="text1"/>
          <w:sz w:val="14"/>
          <w:szCs w:val="14"/>
        </w:rPr>
      </w:pPr>
      <w:r>
        <w:rPr>
          <w:rFonts w:hint="eastAsia" w:ascii="仿宋" w:hAnsi="仿宋" w:eastAsia="仿宋" w:cs="Arial"/>
          <w:b/>
          <w:color w:val="000000" w:themeColor="text1"/>
          <w:sz w:val="24"/>
        </w:rPr>
        <w:t>五、履约保证金</w:t>
      </w:r>
    </w:p>
    <w:p>
      <w:pPr>
        <w:spacing w:line="440" w:lineRule="exact"/>
        <w:ind w:left="719" w:leftChars="228" w:hanging="240" w:hangingChars="100"/>
        <w:rPr>
          <w:rFonts w:ascii="仿宋" w:hAnsi="仿宋" w:eastAsia="仿宋" w:cs="Arial"/>
          <w:color w:val="000000" w:themeColor="text1"/>
          <w:sz w:val="24"/>
        </w:rPr>
      </w:pPr>
      <w:r>
        <w:rPr>
          <w:rFonts w:hint="eastAsia" w:ascii="仿宋" w:hAnsi="仿宋" w:eastAsia="仿宋" w:cs="Arial"/>
          <w:color w:val="000000" w:themeColor="text1"/>
          <w:sz w:val="24"/>
        </w:rPr>
        <w:t>5.1 乙方在收到中标通知书3天内向甲方交纳合同总价款</w:t>
      </w:r>
      <w:r>
        <w:rPr>
          <w:rFonts w:hint="eastAsia" w:ascii="仿宋" w:hAnsi="仿宋" w:eastAsia="仿宋" w:cs="Arial"/>
          <w:color w:val="000000" w:themeColor="text1"/>
          <w:sz w:val="24"/>
          <w:u w:val="single"/>
        </w:rPr>
        <w:t>2.5%</w:t>
      </w:r>
      <w:r>
        <w:rPr>
          <w:rFonts w:hint="eastAsia" w:ascii="仿宋" w:hAnsi="仿宋" w:eastAsia="仿宋" w:cs="Arial"/>
          <w:color w:val="000000" w:themeColor="text1"/>
          <w:sz w:val="24"/>
        </w:rPr>
        <w:t>的履约保证金</w:t>
      </w:r>
      <w:r>
        <w:rPr>
          <w:rFonts w:hint="eastAsia" w:ascii="仿宋" w:hAnsi="仿宋" w:eastAsia="仿宋"/>
          <w:color w:val="000000" w:themeColor="text1"/>
          <w:spacing w:val="-6"/>
          <w:sz w:val="24"/>
        </w:rPr>
        <w:t>（鼓励以银行、保险公司出具的履约保函形式提交；若以电汇、银行转账方式提交的，必须转到采购人的指定账户）</w:t>
      </w:r>
      <w:r>
        <w:rPr>
          <w:rFonts w:hint="eastAsia" w:ascii="仿宋" w:hAnsi="仿宋" w:eastAsia="仿宋" w:cs="Arial"/>
          <w:color w:val="000000" w:themeColor="text1"/>
          <w:sz w:val="24"/>
        </w:rPr>
        <w:t xml:space="preserve">，         </w:t>
      </w:r>
    </w:p>
    <w:p>
      <w:pPr>
        <w:spacing w:line="440" w:lineRule="exact"/>
        <w:ind w:left="719" w:leftChars="228" w:hanging="240" w:hangingChars="100"/>
        <w:rPr>
          <w:rFonts w:ascii="仿宋" w:hAnsi="仿宋" w:eastAsia="仿宋" w:cs="Arial"/>
          <w:color w:val="000000" w:themeColor="text1"/>
          <w:sz w:val="24"/>
          <w:highlight w:val="none"/>
        </w:rPr>
      </w:pPr>
      <w:r>
        <w:rPr>
          <w:rFonts w:hint="eastAsia" w:ascii="仿宋" w:hAnsi="仿宋" w:eastAsia="仿宋" w:cs="Arial"/>
          <w:color w:val="000000" w:themeColor="text1"/>
          <w:sz w:val="24"/>
          <w:highlight w:val="none"/>
        </w:rPr>
        <w:t xml:space="preserve">计（大写）： </w:t>
      </w:r>
      <w:r>
        <w:rPr>
          <w:rFonts w:hint="eastAsia" w:ascii="仿宋" w:hAnsi="仿宋" w:eastAsia="仿宋" w:cs="Arial"/>
          <w:color w:val="000000" w:themeColor="text1"/>
          <w:sz w:val="24"/>
          <w:highlight w:val="none"/>
          <w:u w:val="single"/>
        </w:rPr>
        <w:t xml:space="preserve">                             </w:t>
      </w:r>
      <w:r>
        <w:rPr>
          <w:rFonts w:hint="eastAsia" w:ascii="仿宋" w:hAnsi="仿宋" w:eastAsia="仿宋" w:cs="Arial"/>
          <w:color w:val="000000" w:themeColor="text1"/>
          <w:sz w:val="24"/>
          <w:highlight w:val="none"/>
        </w:rPr>
        <w:t>元（￥：</w:t>
      </w:r>
      <w:r>
        <w:rPr>
          <w:rFonts w:hint="eastAsia" w:ascii="仿宋" w:hAnsi="仿宋" w:eastAsia="仿宋" w:cs="Arial"/>
          <w:color w:val="000000" w:themeColor="text1"/>
          <w:sz w:val="24"/>
          <w:highlight w:val="none"/>
          <w:u w:val="single"/>
        </w:rPr>
        <w:t xml:space="preserve">               </w:t>
      </w:r>
      <w:r>
        <w:rPr>
          <w:rFonts w:hint="eastAsia" w:ascii="仿宋" w:hAnsi="仿宋" w:eastAsia="仿宋" w:cs="Arial"/>
          <w:color w:val="000000" w:themeColor="text1"/>
          <w:sz w:val="24"/>
          <w:highlight w:val="none"/>
        </w:rPr>
        <w:t>）。</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 xml:space="preserve">5.2 </w:t>
      </w:r>
      <w:r>
        <w:rPr>
          <w:rFonts w:hint="eastAsia" w:ascii="FangSong_GB2312" w:hAnsi="宋体" w:eastAsia="FangSong_GB2312" w:cs="Arial"/>
          <w:color w:val="000000" w:themeColor="text1"/>
          <w:kern w:val="0"/>
          <w:sz w:val="24"/>
          <w:highlight w:val="none"/>
        </w:rPr>
        <w:t>履约保证金在</w:t>
      </w:r>
      <w:r>
        <w:rPr>
          <w:rFonts w:hint="eastAsia" w:ascii="FangSong_GB2312" w:hAnsi="宋体" w:eastAsia="FangSong_GB2312" w:cs="Arial"/>
          <w:color w:val="000000" w:themeColor="text1"/>
          <w:kern w:val="0"/>
          <w:sz w:val="24"/>
          <w:highlight w:val="none"/>
          <w:u w:val="single"/>
        </w:rPr>
        <w:t>项目最终验收合格后</w:t>
      </w:r>
      <w:r>
        <w:rPr>
          <w:rFonts w:ascii="FangSong_GB2312" w:hAnsi="宋体" w:eastAsia="FangSong_GB2312" w:cs="Arial"/>
          <w:color w:val="000000" w:themeColor="text1"/>
          <w:kern w:val="0"/>
          <w:sz w:val="24"/>
          <w:highlight w:val="none"/>
          <w:u w:val="single"/>
        </w:rPr>
        <w:t>7</w:t>
      </w:r>
      <w:r>
        <w:rPr>
          <w:rFonts w:hint="eastAsia" w:ascii="FangSong_GB2312" w:hAnsi="宋体" w:eastAsia="FangSong_GB2312" w:cs="Arial"/>
          <w:color w:val="000000" w:themeColor="text1"/>
          <w:kern w:val="0"/>
          <w:sz w:val="24"/>
          <w:highlight w:val="none"/>
          <w:u w:val="single"/>
        </w:rPr>
        <w:t>个工作日</w:t>
      </w:r>
      <w:r>
        <w:rPr>
          <w:rFonts w:hint="eastAsia" w:ascii="FangSong_GB2312" w:hAnsi="宋体" w:eastAsia="FangSong_GB2312" w:cs="Arial"/>
          <w:color w:val="000000" w:themeColor="text1"/>
          <w:kern w:val="0"/>
          <w:sz w:val="24"/>
          <w:highlight w:val="none"/>
        </w:rPr>
        <w:t>内无息退还。</w:t>
      </w:r>
    </w:p>
    <w:p>
      <w:pPr>
        <w:spacing w:line="440" w:lineRule="exact"/>
        <w:ind w:firstLine="482" w:firstLineChars="200"/>
        <w:rPr>
          <w:rFonts w:ascii="仿宋" w:hAnsi="仿宋" w:eastAsia="仿宋" w:cs="宋体"/>
          <w:color w:val="000000" w:themeColor="text1"/>
          <w:sz w:val="24"/>
        </w:rPr>
      </w:pPr>
      <w:r>
        <w:rPr>
          <w:rFonts w:hint="eastAsia" w:ascii="仿宋" w:hAnsi="仿宋" w:eastAsia="仿宋" w:cs="宋体"/>
          <w:b/>
          <w:color w:val="000000" w:themeColor="text1"/>
          <w:sz w:val="24"/>
        </w:rPr>
        <w:t>六、转包或分包</w:t>
      </w:r>
    </w:p>
    <w:p>
      <w:pPr>
        <w:spacing w:line="44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6.1 本合同范围的货物，应由乙方直接供应，不得转让、分包或</w:t>
      </w:r>
      <w:r>
        <w:rPr>
          <w:rFonts w:hint="eastAsia" w:ascii="仿宋" w:hAnsi="仿宋" w:eastAsia="仿宋" w:cs="宋体"/>
          <w:color w:val="000000" w:themeColor="text1"/>
          <w:sz w:val="24"/>
          <w:u w:val="single"/>
        </w:rPr>
        <w:t>委托</w:t>
      </w:r>
      <w:r>
        <w:rPr>
          <w:rFonts w:hint="eastAsia" w:ascii="仿宋" w:hAnsi="仿宋" w:eastAsia="仿宋" w:cs="宋体"/>
          <w:color w:val="000000" w:themeColor="text1"/>
          <w:sz w:val="24"/>
        </w:rPr>
        <w:t>他人供应。</w:t>
      </w:r>
    </w:p>
    <w:p>
      <w:pPr>
        <w:spacing w:line="440" w:lineRule="exact"/>
        <w:ind w:firstLine="480" w:firstLineChars="200"/>
        <w:rPr>
          <w:rFonts w:ascii="仿宋" w:hAnsi="仿宋" w:eastAsia="仿宋" w:cs="宋体"/>
          <w:color w:val="000000" w:themeColor="text1"/>
          <w:sz w:val="24"/>
        </w:rPr>
      </w:pPr>
      <w:r>
        <w:rPr>
          <w:rFonts w:hint="eastAsia" w:ascii="仿宋" w:hAnsi="仿宋" w:eastAsia="仿宋" w:cs="宋体"/>
          <w:color w:val="000000" w:themeColor="text1"/>
          <w:sz w:val="24"/>
        </w:rPr>
        <w:t>6.2 如有转让、分包或</w:t>
      </w:r>
      <w:r>
        <w:rPr>
          <w:rFonts w:hint="eastAsia" w:ascii="仿宋" w:hAnsi="仿宋" w:eastAsia="仿宋" w:cs="宋体"/>
          <w:color w:val="000000" w:themeColor="text1"/>
          <w:sz w:val="24"/>
          <w:u w:val="single"/>
        </w:rPr>
        <w:t>委托</w:t>
      </w:r>
      <w:r>
        <w:rPr>
          <w:rFonts w:hint="eastAsia" w:ascii="仿宋" w:hAnsi="仿宋" w:eastAsia="仿宋" w:cs="宋体"/>
          <w:color w:val="000000" w:themeColor="text1"/>
          <w:sz w:val="24"/>
        </w:rPr>
        <w:t>供应行为，甲方有权解除合同并追究其相应法律责任。</w:t>
      </w:r>
    </w:p>
    <w:p>
      <w:pPr>
        <w:spacing w:line="440" w:lineRule="exact"/>
        <w:ind w:firstLine="482" w:firstLineChars="200"/>
        <w:rPr>
          <w:rFonts w:ascii="仿宋" w:hAnsi="仿宋" w:eastAsia="仿宋" w:cs="Arial"/>
          <w:color w:val="000000" w:themeColor="text1"/>
          <w:sz w:val="14"/>
          <w:szCs w:val="14"/>
        </w:rPr>
      </w:pPr>
      <w:r>
        <w:rPr>
          <w:rFonts w:hint="eastAsia" w:ascii="仿宋" w:hAnsi="仿宋" w:eastAsia="仿宋" w:cs="Arial"/>
          <w:b/>
          <w:color w:val="000000" w:themeColor="text1"/>
          <w:sz w:val="24"/>
        </w:rPr>
        <w:t>七、交货期、交货方式及交货地点</w:t>
      </w:r>
    </w:p>
    <w:p>
      <w:pPr>
        <w:spacing w:line="440" w:lineRule="exact"/>
        <w:ind w:firstLine="480" w:firstLineChars="200"/>
        <w:rPr>
          <w:rFonts w:ascii="仿宋" w:hAnsi="仿宋" w:eastAsia="仿宋" w:cs="Arial"/>
          <w:color w:val="000000" w:themeColor="text1"/>
          <w:sz w:val="14"/>
          <w:szCs w:val="14"/>
        </w:rPr>
      </w:pPr>
      <w:r>
        <w:rPr>
          <w:rFonts w:hint="eastAsia" w:ascii="仿宋" w:hAnsi="仿宋" w:eastAsia="仿宋" w:cs="Arial"/>
          <w:bCs/>
          <w:color w:val="000000" w:themeColor="text1"/>
          <w:sz w:val="24"/>
        </w:rPr>
        <w:t>7.1 交货期：</w:t>
      </w:r>
    </w:p>
    <w:p>
      <w:pPr>
        <w:spacing w:line="440" w:lineRule="exact"/>
        <w:ind w:firstLine="480" w:firstLineChars="200"/>
        <w:rPr>
          <w:rFonts w:ascii="仿宋" w:hAnsi="仿宋" w:eastAsia="仿宋" w:cs="Arial"/>
          <w:color w:val="000000" w:themeColor="text1"/>
          <w:sz w:val="14"/>
          <w:szCs w:val="14"/>
        </w:rPr>
      </w:pPr>
      <w:r>
        <w:rPr>
          <w:rFonts w:hint="eastAsia" w:ascii="仿宋" w:hAnsi="仿宋" w:eastAsia="仿宋" w:cs="Arial"/>
          <w:bCs/>
          <w:color w:val="000000" w:themeColor="text1"/>
          <w:sz w:val="24"/>
        </w:rPr>
        <w:t>7.2 交货方式：</w:t>
      </w:r>
    </w:p>
    <w:p>
      <w:pPr>
        <w:spacing w:line="440" w:lineRule="exact"/>
        <w:ind w:firstLine="480" w:firstLineChars="200"/>
        <w:rPr>
          <w:rFonts w:ascii="仿宋" w:hAnsi="仿宋" w:eastAsia="仿宋" w:cs="Arial"/>
          <w:bCs/>
          <w:color w:val="000000" w:themeColor="text1"/>
          <w:sz w:val="24"/>
        </w:rPr>
      </w:pPr>
      <w:r>
        <w:rPr>
          <w:rFonts w:hint="eastAsia" w:ascii="仿宋" w:hAnsi="仿宋" w:eastAsia="仿宋" w:cs="Arial"/>
          <w:bCs/>
          <w:color w:val="000000" w:themeColor="text1"/>
          <w:sz w:val="24"/>
        </w:rPr>
        <w:t>7.3 交货地点：</w:t>
      </w:r>
    </w:p>
    <w:p>
      <w:pPr>
        <w:spacing w:line="440" w:lineRule="exact"/>
        <w:ind w:firstLine="482" w:firstLineChars="200"/>
        <w:rPr>
          <w:rFonts w:ascii="仿宋" w:hAnsi="仿宋" w:eastAsia="仿宋" w:cs="Arial"/>
          <w:color w:val="000000" w:themeColor="text1"/>
          <w:sz w:val="14"/>
          <w:szCs w:val="14"/>
        </w:rPr>
      </w:pPr>
      <w:r>
        <w:rPr>
          <w:rFonts w:hint="eastAsia" w:ascii="仿宋" w:hAnsi="仿宋" w:eastAsia="仿宋" w:cs="Arial"/>
          <w:b/>
          <w:color w:val="000000" w:themeColor="text1"/>
          <w:sz w:val="24"/>
        </w:rPr>
        <w:t>八、货物包装、发运及运输</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8.1 乙方应在货物发运前对其进行满足运输距离、防潮、防震、防锈、防破损和装卸等要求进行包装，以保证货物安全运达甲方指定地点。</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 xml:space="preserve">8.2 </w:t>
      </w:r>
      <w:r>
        <w:rPr>
          <w:rFonts w:hint="eastAsia" w:ascii="仿宋" w:hAnsi="仿宋" w:eastAsia="仿宋" w:cs="Arial"/>
          <w:color w:val="000000" w:themeColor="text1"/>
          <w:sz w:val="24"/>
          <w:highlight w:val="none"/>
          <w:u w:val="single"/>
        </w:rPr>
        <w:t>货物</w:t>
      </w:r>
      <w:r>
        <w:rPr>
          <w:rFonts w:hint="eastAsia" w:ascii="仿宋" w:hAnsi="仿宋" w:eastAsia="仿宋" w:cs="Arial"/>
          <w:color w:val="000000" w:themeColor="text1"/>
          <w:sz w:val="24"/>
          <w:highlight w:val="none"/>
        </w:rPr>
        <w:t>使用说明书、质量检验证明书、随配附件和工具以及清单一并附于货物内运送。</w:t>
      </w:r>
    </w:p>
    <w:p>
      <w:pPr>
        <w:spacing w:line="440" w:lineRule="exact"/>
        <w:ind w:firstLine="468" w:firstLineChars="200"/>
        <w:rPr>
          <w:rFonts w:ascii="仿宋" w:hAnsi="仿宋" w:eastAsia="仿宋" w:cs="Arial"/>
          <w:color w:val="000000" w:themeColor="text1"/>
          <w:spacing w:val="-3"/>
          <w:sz w:val="14"/>
          <w:szCs w:val="14"/>
          <w:highlight w:val="none"/>
        </w:rPr>
      </w:pPr>
      <w:r>
        <w:rPr>
          <w:rFonts w:hint="eastAsia" w:ascii="仿宋" w:hAnsi="仿宋" w:eastAsia="仿宋" w:cs="Arial"/>
          <w:color w:val="000000" w:themeColor="text1"/>
          <w:spacing w:val="-3"/>
          <w:sz w:val="24"/>
          <w:highlight w:val="none"/>
        </w:rPr>
        <w:t>8.3 乙方在货物发运手续办理完毕后</w:t>
      </w:r>
      <w:r>
        <w:rPr>
          <w:rFonts w:hint="eastAsia" w:ascii="仿宋" w:hAnsi="仿宋" w:eastAsia="仿宋" w:cs="Arial"/>
          <w:color w:val="000000" w:themeColor="text1"/>
          <w:spacing w:val="-3"/>
          <w:sz w:val="24"/>
          <w:highlight w:val="none"/>
          <w:u w:val="single"/>
          <w:lang w:val="en-US" w:eastAsia="zh-CN"/>
        </w:rPr>
        <w:t xml:space="preserve">    </w:t>
      </w:r>
      <w:r>
        <w:rPr>
          <w:rFonts w:hint="eastAsia" w:ascii="仿宋" w:hAnsi="仿宋" w:eastAsia="仿宋" w:cs="Arial"/>
          <w:color w:val="000000" w:themeColor="text1"/>
          <w:spacing w:val="-3"/>
          <w:sz w:val="24"/>
          <w:highlight w:val="none"/>
        </w:rPr>
        <w:t>小时内或货到甲方</w:t>
      </w:r>
      <w:r>
        <w:rPr>
          <w:rFonts w:hint="eastAsia" w:ascii="仿宋" w:hAnsi="仿宋" w:eastAsia="仿宋" w:cs="Arial"/>
          <w:color w:val="000000" w:themeColor="text1"/>
          <w:spacing w:val="-3"/>
          <w:sz w:val="24"/>
          <w:highlight w:val="none"/>
          <w:u w:val="single"/>
          <w:lang w:val="en-US" w:eastAsia="zh-CN"/>
        </w:rPr>
        <w:t xml:space="preserve">    </w:t>
      </w:r>
      <w:r>
        <w:rPr>
          <w:rFonts w:hint="eastAsia" w:ascii="仿宋" w:hAnsi="仿宋" w:eastAsia="仿宋" w:cs="Arial"/>
          <w:color w:val="000000" w:themeColor="text1"/>
          <w:spacing w:val="-3"/>
          <w:sz w:val="24"/>
          <w:highlight w:val="none"/>
        </w:rPr>
        <w:t>小时前通知甲方，以便甲方准备接货。</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8.4 货物在甲方初步验收合格</w:t>
      </w:r>
      <w:r>
        <w:rPr>
          <w:rFonts w:hint="eastAsia" w:ascii="仿宋" w:hAnsi="仿宋" w:eastAsia="仿宋" w:cs="Arial"/>
          <w:color w:val="000000" w:themeColor="text1"/>
          <w:sz w:val="24"/>
          <w:highlight w:val="none"/>
          <w:u w:val="single"/>
        </w:rPr>
        <w:t>签收前</w:t>
      </w:r>
      <w:r>
        <w:rPr>
          <w:rFonts w:hint="eastAsia" w:ascii="仿宋" w:hAnsi="仿宋" w:eastAsia="仿宋" w:cs="Arial"/>
          <w:color w:val="000000" w:themeColor="text1"/>
          <w:sz w:val="24"/>
          <w:highlight w:val="none"/>
        </w:rPr>
        <w:t>发生的风险均由乙方负责。</w:t>
      </w:r>
    </w:p>
    <w:p>
      <w:pPr>
        <w:spacing w:line="440" w:lineRule="exact"/>
        <w:ind w:firstLine="482" w:firstLineChars="200"/>
        <w:rPr>
          <w:rFonts w:ascii="仿宋" w:hAnsi="仿宋" w:eastAsia="仿宋" w:cs="Arial"/>
          <w:color w:val="000000" w:themeColor="text1"/>
          <w:sz w:val="14"/>
          <w:szCs w:val="14"/>
        </w:rPr>
      </w:pPr>
      <w:r>
        <w:rPr>
          <w:rFonts w:hint="eastAsia" w:ascii="仿宋" w:hAnsi="仿宋" w:eastAsia="仿宋" w:cs="Arial"/>
          <w:b/>
          <w:color w:val="000000" w:themeColor="text1"/>
          <w:sz w:val="24"/>
        </w:rPr>
        <w:t>九、调试和验收</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9.1 甲方对乙方提交的货物依据招标文件的技术规格要求、质量标准在</w:t>
      </w:r>
      <w:r>
        <w:rPr>
          <w:rFonts w:hint="eastAsia" w:ascii="仿宋" w:hAnsi="仿宋" w:eastAsia="仿宋" w:cs="Arial"/>
          <w:color w:val="000000" w:themeColor="text1"/>
          <w:sz w:val="24"/>
          <w:highlight w:val="none"/>
          <w:u w:val="single"/>
        </w:rPr>
        <w:t xml:space="preserve">   </w:t>
      </w:r>
      <w:r>
        <w:rPr>
          <w:rFonts w:hint="eastAsia" w:ascii="仿宋" w:hAnsi="仿宋" w:eastAsia="仿宋" w:cs="Arial"/>
          <w:color w:val="000000" w:themeColor="text1"/>
          <w:sz w:val="24"/>
          <w:highlight w:val="none"/>
        </w:rPr>
        <w:t>个工作日内进行现场初步验收，货物及附件工具的外观、说明书符合招标文件技术要求的，给予签收，初步验收不合格的不予签收。</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9.2 乙方交货前应对产品作出全面检查和对验收文件进行整理，并列出清单，作为甲方收货验收和使用的技术条件依据，检验的结果应随货物交付甲方。</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9.3 乙方提供的货物在使用前如需进行调试的，乙方负责免费安装、培训甲方的使用操作人员，以达到能够使用货物，并符合技术要求，甲方才做最终验收。</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9.4 对技术复杂的货物，乙方应请国家认可的专业检测机构参与初步验收及最终验收，并由其出具质量检测报告。</w:t>
      </w:r>
    </w:p>
    <w:p>
      <w:pPr>
        <w:spacing w:line="440" w:lineRule="exact"/>
        <w:ind w:firstLine="480" w:firstLineChars="200"/>
        <w:rPr>
          <w:rFonts w:hint="eastAsia" w:ascii="仿宋" w:hAnsi="仿宋" w:eastAsia="仿宋" w:cs="Arial"/>
          <w:color w:val="000000" w:themeColor="text1"/>
          <w:sz w:val="24"/>
          <w:highlight w:val="none"/>
          <w:u w:val="single"/>
        </w:rPr>
      </w:pPr>
      <w:r>
        <w:rPr>
          <w:rFonts w:hint="eastAsia" w:ascii="仿宋" w:hAnsi="仿宋" w:eastAsia="仿宋" w:cs="Arial"/>
          <w:color w:val="000000" w:themeColor="text1"/>
          <w:sz w:val="24"/>
          <w:highlight w:val="none"/>
        </w:rPr>
        <w:t>9.5 验收时乙方必须在现场，验收完毕后作出验收结果报告，验收费用由乙方承担。</w:t>
      </w:r>
      <w:r>
        <w:rPr>
          <w:rFonts w:hint="eastAsia" w:ascii="仿宋" w:hAnsi="仿宋" w:eastAsia="仿宋" w:cs="Arial"/>
          <w:color w:val="000000" w:themeColor="text1"/>
          <w:sz w:val="24"/>
          <w:highlight w:val="none"/>
          <w:u w:val="single"/>
        </w:rPr>
        <w:t>乙方不参加现场验收的，视为乙方认可货物质量问题、放弃验收抗辩权。</w:t>
      </w:r>
    </w:p>
    <w:p>
      <w:pPr>
        <w:spacing w:line="440" w:lineRule="exact"/>
        <w:ind w:firstLine="482" w:firstLineChars="200"/>
        <w:rPr>
          <w:rFonts w:ascii="仿宋" w:hAnsi="仿宋" w:eastAsia="仿宋" w:cs="宋体"/>
          <w:color w:val="000000" w:themeColor="text1"/>
          <w:sz w:val="24"/>
        </w:rPr>
      </w:pPr>
      <w:r>
        <w:rPr>
          <w:rFonts w:hint="eastAsia" w:ascii="仿宋" w:hAnsi="仿宋" w:eastAsia="仿宋" w:cs="宋体"/>
          <w:b/>
          <w:color w:val="000000" w:themeColor="text1"/>
          <w:sz w:val="24"/>
        </w:rPr>
        <w:t>十、税费承担</w:t>
      </w:r>
    </w:p>
    <w:p>
      <w:pPr>
        <w:spacing w:line="440" w:lineRule="exact"/>
        <w:ind w:firstLine="480" w:firstLineChars="200"/>
        <w:rPr>
          <w:rFonts w:ascii="仿宋" w:hAnsi="仿宋" w:eastAsia="仿宋" w:cs="宋体"/>
          <w:color w:val="000000" w:themeColor="text1"/>
          <w:sz w:val="24"/>
        </w:rPr>
      </w:pPr>
      <w:r>
        <w:rPr>
          <w:rFonts w:hint="eastAsia" w:ascii="仿宋" w:hAnsi="仿宋" w:eastAsia="仿宋" w:cs="Arial"/>
          <w:color w:val="000000" w:themeColor="text1"/>
          <w:sz w:val="24"/>
        </w:rPr>
        <w:t xml:space="preserve">10.1 </w:t>
      </w:r>
      <w:r>
        <w:rPr>
          <w:rFonts w:hint="eastAsia" w:ascii="仿宋" w:hAnsi="仿宋" w:eastAsia="仿宋" w:cs="宋体"/>
          <w:color w:val="000000" w:themeColor="text1"/>
          <w:sz w:val="24"/>
        </w:rPr>
        <w:t>本合同履行中相关的一切税费均由乙方承担。</w:t>
      </w:r>
    </w:p>
    <w:p>
      <w:pPr>
        <w:spacing w:line="440" w:lineRule="exact"/>
        <w:ind w:firstLine="482" w:firstLineChars="200"/>
        <w:rPr>
          <w:rFonts w:ascii="仿宋" w:hAnsi="仿宋" w:eastAsia="仿宋" w:cs="Arial"/>
          <w:b/>
          <w:color w:val="000000" w:themeColor="text1"/>
          <w:sz w:val="24"/>
        </w:rPr>
      </w:pPr>
      <w:r>
        <w:rPr>
          <w:rFonts w:hint="eastAsia" w:ascii="仿宋" w:hAnsi="仿宋" w:eastAsia="仿宋" w:cs="Arial"/>
          <w:b/>
          <w:color w:val="000000" w:themeColor="text1"/>
          <w:sz w:val="24"/>
        </w:rPr>
        <w:t>十一、质量保证期和售后服务</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11.1 质量保证期</w:t>
      </w:r>
      <w:r>
        <w:rPr>
          <w:rFonts w:hint="eastAsia" w:ascii="仿宋" w:hAnsi="仿宋" w:eastAsia="仿宋" w:cs="Arial"/>
          <w:color w:val="000000" w:themeColor="text1"/>
          <w:sz w:val="24"/>
          <w:highlight w:val="none"/>
          <w:u w:val="single"/>
        </w:rPr>
        <w:t xml:space="preserve">           </w:t>
      </w:r>
      <w:r>
        <w:rPr>
          <w:rFonts w:hint="eastAsia" w:ascii="仿宋" w:hAnsi="仿宋" w:eastAsia="仿宋" w:cs="Arial"/>
          <w:color w:val="000000" w:themeColor="text1"/>
          <w:sz w:val="24"/>
          <w:highlight w:val="none"/>
        </w:rPr>
        <w:t>年（自货物最终验收合格之日起计算</w:t>
      </w:r>
      <w:r>
        <w:rPr>
          <w:rFonts w:hint="eastAsia" w:ascii="仿宋" w:hAnsi="仿宋" w:eastAsia="仿宋" w:cs="Arial"/>
          <w:i/>
          <w:color w:val="000000" w:themeColor="text1"/>
          <w:sz w:val="24"/>
          <w:highlight w:val="none"/>
        </w:rPr>
        <w:t>）</w:t>
      </w:r>
      <w:r>
        <w:rPr>
          <w:rFonts w:hint="eastAsia" w:ascii="仿宋" w:hAnsi="仿宋" w:eastAsia="仿宋" w:cs="Arial"/>
          <w:color w:val="000000" w:themeColor="text1"/>
          <w:sz w:val="24"/>
          <w:highlight w:val="none"/>
        </w:rPr>
        <w:t>。</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11.</w:t>
      </w:r>
      <w:r>
        <w:rPr>
          <w:rFonts w:ascii="仿宋" w:hAnsi="仿宋" w:eastAsia="仿宋" w:cs="Arial"/>
          <w:color w:val="000000" w:themeColor="text1"/>
          <w:sz w:val="24"/>
          <w:highlight w:val="none"/>
        </w:rPr>
        <w:t xml:space="preserve">2 </w:t>
      </w:r>
      <w:r>
        <w:rPr>
          <w:rFonts w:hint="eastAsia" w:ascii="仿宋" w:hAnsi="仿宋" w:eastAsia="仿宋" w:cs="Arial"/>
          <w:color w:val="000000" w:themeColor="text1"/>
          <w:sz w:val="24"/>
          <w:highlight w:val="none"/>
        </w:rPr>
        <w:t>乙方提供的货物存在质量问题，或者达不到技术要求的，根据实际情况，甲方有权选择以下办法处理：</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□⑴更换：由乙方承担更换货物所发生的全部费用。</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□⑵贬值处理：由甲乙双方合议定价。</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□⑶退货处理：乙方应退还甲方支付的合同货款，同时应承担该货物的直接费用（包括运输、保险、检验、货款利息及银行手续费等）。</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11.</w:t>
      </w:r>
      <w:r>
        <w:rPr>
          <w:rFonts w:ascii="仿宋" w:hAnsi="仿宋" w:eastAsia="仿宋" w:cs="Arial"/>
          <w:color w:val="000000" w:themeColor="text1"/>
          <w:sz w:val="24"/>
          <w:highlight w:val="none"/>
        </w:rPr>
        <w:t>3</w:t>
      </w:r>
      <w:r>
        <w:rPr>
          <w:rFonts w:hint="eastAsia" w:ascii="仿宋" w:hAnsi="仿宋" w:eastAsia="仿宋" w:cs="Arial"/>
          <w:color w:val="000000" w:themeColor="text1"/>
          <w:sz w:val="24"/>
          <w:highlight w:val="none"/>
        </w:rPr>
        <w:t xml:space="preserve"> 如在使用过程中发生质量问题，乙方在接到甲方通知后在</w:t>
      </w:r>
      <w:r>
        <w:rPr>
          <w:rFonts w:hint="eastAsia" w:ascii="仿宋" w:hAnsi="仿宋" w:eastAsia="仿宋" w:cs="Arial"/>
          <w:color w:val="000000" w:themeColor="text1"/>
          <w:sz w:val="24"/>
          <w:highlight w:val="none"/>
          <w:u w:val="single"/>
        </w:rPr>
        <w:t xml:space="preserve">   </w:t>
      </w:r>
      <w:r>
        <w:rPr>
          <w:rFonts w:hint="eastAsia" w:ascii="仿宋" w:hAnsi="仿宋" w:eastAsia="仿宋" w:cs="Arial"/>
          <w:color w:val="000000" w:themeColor="text1"/>
          <w:sz w:val="24"/>
          <w:highlight w:val="none"/>
        </w:rPr>
        <w:t>小时内到达甲方现场。</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11.</w:t>
      </w:r>
      <w:r>
        <w:rPr>
          <w:rFonts w:ascii="仿宋" w:hAnsi="仿宋" w:eastAsia="仿宋" w:cs="Arial"/>
          <w:color w:val="000000" w:themeColor="text1"/>
          <w:sz w:val="24"/>
          <w:highlight w:val="none"/>
        </w:rPr>
        <w:t>4</w:t>
      </w:r>
      <w:r>
        <w:rPr>
          <w:rFonts w:hint="eastAsia" w:ascii="仿宋" w:hAnsi="仿宋" w:eastAsia="仿宋" w:cs="Arial"/>
          <w:color w:val="000000" w:themeColor="text1"/>
          <w:sz w:val="24"/>
          <w:highlight w:val="none"/>
        </w:rPr>
        <w:t xml:space="preserve"> 在质保期内，乙方对货物出现的质量及安全问题负责处理解决并承担一切费用。</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11.</w:t>
      </w:r>
      <w:r>
        <w:rPr>
          <w:rFonts w:ascii="仿宋" w:hAnsi="仿宋" w:eastAsia="仿宋" w:cs="Arial"/>
          <w:color w:val="000000" w:themeColor="text1"/>
          <w:sz w:val="24"/>
          <w:highlight w:val="none"/>
        </w:rPr>
        <w:t>5</w:t>
      </w:r>
      <w:r>
        <w:rPr>
          <w:rFonts w:hint="eastAsia" w:ascii="仿宋" w:hAnsi="仿宋" w:eastAsia="仿宋" w:cs="Arial"/>
          <w:color w:val="000000" w:themeColor="text1"/>
          <w:sz w:val="24"/>
          <w:highlight w:val="none"/>
        </w:rPr>
        <w:t xml:space="preserve"> 上述的货物免费保修期为</w:t>
      </w:r>
      <w:r>
        <w:rPr>
          <w:rFonts w:hint="eastAsia" w:ascii="仿宋" w:hAnsi="仿宋" w:eastAsia="仿宋" w:cs="Arial"/>
          <w:color w:val="000000" w:themeColor="text1"/>
          <w:sz w:val="24"/>
          <w:highlight w:val="none"/>
          <w:u w:val="single"/>
        </w:rPr>
        <w:t xml:space="preserve">     </w:t>
      </w:r>
      <w:r>
        <w:rPr>
          <w:rFonts w:hint="eastAsia" w:ascii="仿宋" w:hAnsi="仿宋" w:eastAsia="仿宋" w:cs="Arial"/>
          <w:color w:val="000000" w:themeColor="text1"/>
          <w:sz w:val="24"/>
          <w:highlight w:val="none"/>
        </w:rPr>
        <w:t>年（自货物最终验收合格之日起算），因人为因素出现的故障不在免费保修范围内。超过保修期的，乙方仍应负责维修，维修可收部件成本费。</w:t>
      </w:r>
    </w:p>
    <w:p>
      <w:pPr>
        <w:spacing w:line="440" w:lineRule="exact"/>
        <w:ind w:firstLine="482" w:firstLineChars="200"/>
        <w:rPr>
          <w:rFonts w:ascii="仿宋" w:hAnsi="仿宋" w:eastAsia="仿宋" w:cs="Arial"/>
          <w:color w:val="000000" w:themeColor="text1"/>
          <w:sz w:val="14"/>
          <w:szCs w:val="14"/>
        </w:rPr>
      </w:pPr>
      <w:r>
        <w:rPr>
          <w:rFonts w:hint="eastAsia" w:ascii="仿宋" w:hAnsi="仿宋" w:eastAsia="仿宋" w:cs="Arial"/>
          <w:b/>
          <w:color w:val="000000" w:themeColor="text1"/>
          <w:sz w:val="24"/>
        </w:rPr>
        <w:t>十二、违约责任</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12.1 甲方无正当理由拒收货物的，向乙方支付拒收货物总价款的百分之</w:t>
      </w:r>
      <w:r>
        <w:rPr>
          <w:rFonts w:hint="eastAsia" w:ascii="仿宋" w:hAnsi="仿宋" w:eastAsia="仿宋" w:cs="Arial"/>
          <w:color w:val="000000" w:themeColor="text1"/>
          <w:sz w:val="24"/>
          <w:highlight w:val="none"/>
          <w:u w:val="single"/>
        </w:rPr>
        <w:t xml:space="preserve">  　　</w:t>
      </w:r>
      <w:r>
        <w:rPr>
          <w:rFonts w:hint="eastAsia" w:ascii="仿宋" w:hAnsi="仿宋" w:eastAsia="仿宋" w:cs="Arial"/>
          <w:color w:val="000000" w:themeColor="text1"/>
          <w:sz w:val="24"/>
          <w:highlight w:val="none"/>
        </w:rPr>
        <w:t>违约金。</w:t>
      </w:r>
    </w:p>
    <w:p>
      <w:pPr>
        <w:spacing w:line="440" w:lineRule="exact"/>
        <w:ind w:firstLine="464" w:firstLineChars="200"/>
        <w:rPr>
          <w:rFonts w:ascii="仿宋" w:hAnsi="仿宋" w:eastAsia="仿宋" w:cs="Arial"/>
          <w:color w:val="000000" w:themeColor="text1"/>
          <w:spacing w:val="-4"/>
          <w:sz w:val="14"/>
          <w:szCs w:val="14"/>
          <w:highlight w:val="none"/>
        </w:rPr>
      </w:pPr>
      <w:r>
        <w:rPr>
          <w:rFonts w:hint="eastAsia" w:ascii="仿宋" w:hAnsi="仿宋" w:eastAsia="仿宋" w:cs="Arial"/>
          <w:color w:val="000000" w:themeColor="text1"/>
          <w:spacing w:val="-4"/>
          <w:sz w:val="24"/>
          <w:highlight w:val="none"/>
        </w:rPr>
        <w:t>12.2 甲方无故逾期验收或逾期付款的，应按逾期付款总额每日万分之</w:t>
      </w:r>
      <w:r>
        <w:rPr>
          <w:rFonts w:hint="eastAsia" w:ascii="仿宋" w:hAnsi="仿宋" w:eastAsia="仿宋" w:cs="Arial"/>
          <w:color w:val="000000" w:themeColor="text1"/>
          <w:spacing w:val="-4"/>
          <w:sz w:val="24"/>
          <w:highlight w:val="none"/>
          <w:u w:val="single"/>
        </w:rPr>
        <w:t xml:space="preserve"> </w:t>
      </w:r>
      <w:r>
        <w:rPr>
          <w:rFonts w:hint="eastAsia" w:ascii="仿宋" w:hAnsi="仿宋" w:eastAsia="仿宋" w:cs="Arial"/>
          <w:color w:val="000000" w:themeColor="text1"/>
          <w:spacing w:val="-4"/>
          <w:sz w:val="24"/>
          <w:highlight w:val="none"/>
          <w:u w:val="single"/>
          <w:lang w:val="en-US" w:eastAsia="zh-CN"/>
        </w:rPr>
        <w:t xml:space="preserve">  </w:t>
      </w:r>
      <w:r>
        <w:rPr>
          <w:rFonts w:hint="eastAsia" w:ascii="仿宋" w:hAnsi="仿宋" w:eastAsia="仿宋" w:cs="Arial"/>
          <w:color w:val="000000" w:themeColor="text1"/>
          <w:spacing w:val="-4"/>
          <w:sz w:val="24"/>
          <w:highlight w:val="none"/>
          <w:u w:val="single"/>
        </w:rPr>
        <w:t xml:space="preserve"> </w:t>
      </w:r>
      <w:r>
        <w:rPr>
          <w:rFonts w:hint="eastAsia" w:ascii="仿宋" w:hAnsi="仿宋" w:eastAsia="仿宋" w:cs="Arial"/>
          <w:color w:val="000000" w:themeColor="text1"/>
          <w:spacing w:val="-4"/>
          <w:sz w:val="24"/>
          <w:highlight w:val="none"/>
        </w:rPr>
        <w:t>向乙方支付违约金。</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12.3 乙方逾期交付货物的，应按逾期交货总价款每日千分之</w:t>
      </w:r>
      <w:r>
        <w:rPr>
          <w:rFonts w:hint="eastAsia" w:ascii="仿宋" w:hAnsi="仿宋" w:eastAsia="仿宋" w:cs="Arial"/>
          <w:color w:val="000000" w:themeColor="text1"/>
          <w:sz w:val="24"/>
          <w:highlight w:val="none"/>
          <w:u w:val="single"/>
        </w:rPr>
        <w:t xml:space="preserve">    </w:t>
      </w:r>
      <w:r>
        <w:rPr>
          <w:rFonts w:hint="eastAsia" w:ascii="仿宋" w:hAnsi="仿宋" w:eastAsia="仿宋" w:cs="Arial"/>
          <w:color w:val="000000" w:themeColor="text1"/>
          <w:sz w:val="24"/>
          <w:highlight w:val="none"/>
        </w:rPr>
        <w:t xml:space="preserve">向甲方支付违约金，由甲方从待付货款中扣除。逾期超过约定日期 </w:t>
      </w:r>
      <w:r>
        <w:rPr>
          <w:rFonts w:hint="eastAsia" w:ascii="仿宋" w:hAnsi="仿宋" w:eastAsia="仿宋" w:cs="Arial"/>
          <w:color w:val="000000" w:themeColor="text1"/>
          <w:sz w:val="24"/>
          <w:highlight w:val="none"/>
          <w:u w:val="single"/>
        </w:rPr>
        <w:t xml:space="preserve">     </w:t>
      </w:r>
      <w:r>
        <w:rPr>
          <w:rFonts w:hint="eastAsia" w:ascii="仿宋" w:hAnsi="仿宋" w:eastAsia="仿宋" w:cs="Arial"/>
          <w:color w:val="000000" w:themeColor="text1"/>
          <w:sz w:val="24"/>
          <w:highlight w:val="none"/>
        </w:rPr>
        <w:t xml:space="preserve">个工作日不能交货的，甲方可解除本合同。乙方因逾期交货或因其他违约行为导致甲方解除合同的，乙方应向甲方支付合同总价款百分之 </w:t>
      </w:r>
      <w:r>
        <w:rPr>
          <w:rFonts w:hint="eastAsia" w:ascii="仿宋" w:hAnsi="仿宋" w:eastAsia="仿宋" w:cs="Arial"/>
          <w:color w:val="000000" w:themeColor="text1"/>
          <w:sz w:val="24"/>
          <w:highlight w:val="none"/>
          <w:u w:val="single"/>
        </w:rPr>
        <w:t xml:space="preserve">     </w:t>
      </w:r>
      <w:r>
        <w:rPr>
          <w:rFonts w:hint="eastAsia" w:ascii="仿宋" w:hAnsi="仿宋" w:eastAsia="仿宋" w:cs="Arial"/>
          <w:color w:val="000000" w:themeColor="text1"/>
          <w:sz w:val="24"/>
          <w:highlight w:val="none"/>
        </w:rPr>
        <w:t xml:space="preserve">的违约金，如造成甲方损失超过违约金的，超出部分由乙方继续承担赔偿责任。 </w:t>
      </w:r>
    </w:p>
    <w:p>
      <w:pPr>
        <w:spacing w:line="440" w:lineRule="exact"/>
        <w:ind w:firstLine="480" w:firstLineChars="200"/>
        <w:rPr>
          <w:rFonts w:ascii="仿宋" w:hAnsi="仿宋" w:eastAsia="仿宋" w:cs="Arial"/>
          <w:color w:val="000000" w:themeColor="text1"/>
          <w:sz w:val="24"/>
          <w:highlight w:val="none"/>
          <w:u w:val="single"/>
        </w:rPr>
      </w:pPr>
      <w:r>
        <w:rPr>
          <w:rFonts w:hint="eastAsia" w:ascii="仿宋" w:hAnsi="仿宋" w:eastAsia="仿宋" w:cs="Arial"/>
          <w:color w:val="000000" w:themeColor="text1"/>
          <w:sz w:val="24"/>
          <w:highlight w:val="none"/>
        </w:rPr>
        <w:t>12.4 乙方所交的货物品种、型号、规格、技术参数、质量不符合合同约定及招标文件规定标准的，甲方有权拒收该货物或解除合同。乙方愿意更换货物但逾期交货的，按乙方逾期交货处理。乙方拒绝更换货物的，甲方有权解除合同，</w:t>
      </w:r>
      <w:r>
        <w:rPr>
          <w:rFonts w:hint="eastAsia" w:ascii="仿宋" w:hAnsi="仿宋" w:eastAsia="仿宋" w:cs="Arial"/>
          <w:color w:val="000000" w:themeColor="text1"/>
          <w:sz w:val="24"/>
          <w:highlight w:val="none"/>
          <w:u w:val="single"/>
        </w:rPr>
        <w:t>乙方向甲方承担货款总额20%的违约金。</w:t>
      </w:r>
    </w:p>
    <w:p>
      <w:pPr>
        <w:spacing w:line="440" w:lineRule="exact"/>
        <w:ind w:firstLine="480" w:firstLineChars="200"/>
        <w:rPr>
          <w:rFonts w:ascii="仿宋" w:hAnsi="仿宋" w:eastAsia="仿宋" w:cs="Arial"/>
          <w:color w:val="000000" w:themeColor="text1"/>
          <w:sz w:val="24"/>
          <w:highlight w:val="none"/>
          <w:u w:val="single"/>
        </w:rPr>
      </w:pPr>
      <w:r>
        <w:rPr>
          <w:rFonts w:hint="eastAsia" w:ascii="仿宋" w:hAnsi="仿宋" w:eastAsia="仿宋" w:cs="Arial"/>
          <w:color w:val="000000" w:themeColor="text1"/>
          <w:sz w:val="24"/>
          <w:highlight w:val="none"/>
          <w:u w:val="single"/>
        </w:rPr>
        <w:t>12.5乙方未依约交纳履约保证金、提供技术资料、承担保密义务的，依合同总价款的10%向甲方支付违约金。</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12.6</w:t>
      </w:r>
      <w:r>
        <w:rPr>
          <w:rFonts w:hint="eastAsia" w:ascii="仿宋" w:hAnsi="仿宋" w:eastAsia="仿宋" w:cs="宋体"/>
          <w:color w:val="000000" w:themeColor="text1"/>
          <w:sz w:val="24"/>
          <w:highlight w:val="none"/>
        </w:rPr>
        <w:t>如有转让、分包或委托交付行为，甲方有权解除合同，履约保证金不予退还。如造成损失超过履约保证金金额的，超出部分由乙方继续承担赔偿责任。</w:t>
      </w:r>
    </w:p>
    <w:p>
      <w:pPr>
        <w:spacing w:line="440" w:lineRule="exact"/>
        <w:ind w:firstLine="482" w:firstLineChars="200"/>
        <w:rPr>
          <w:rFonts w:ascii="仿宋" w:hAnsi="仿宋" w:eastAsia="仿宋" w:cs="Arial"/>
          <w:color w:val="000000" w:themeColor="text1"/>
          <w:sz w:val="14"/>
          <w:szCs w:val="14"/>
          <w:highlight w:val="none"/>
        </w:rPr>
      </w:pPr>
      <w:r>
        <w:rPr>
          <w:rFonts w:hint="eastAsia" w:ascii="仿宋" w:hAnsi="仿宋" w:eastAsia="仿宋" w:cs="Arial"/>
          <w:b/>
          <w:color w:val="000000" w:themeColor="text1"/>
          <w:sz w:val="24"/>
          <w:highlight w:val="none"/>
        </w:rPr>
        <w:t>十三、不可抗力事件处理</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13.1 在合同有效期内，任何一方因不可抗力事件导致不能履行合同，则合同履行期可延长，其延长期与不可抗力影响期相同。</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13.2 不可抗力事件发生后，应立即通知对方，并寄送有关权威机构出具的证明。</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13.3 不可抗力事件延续</w:t>
      </w:r>
      <w:r>
        <w:rPr>
          <w:rFonts w:hint="eastAsia" w:ascii="仿宋" w:hAnsi="仿宋" w:eastAsia="仿宋" w:cs="Arial"/>
          <w:color w:val="000000" w:themeColor="text1"/>
          <w:sz w:val="24"/>
          <w:highlight w:val="none"/>
          <w:u w:val="single"/>
        </w:rPr>
        <w:t xml:space="preserve">    </w:t>
      </w:r>
      <w:r>
        <w:rPr>
          <w:rFonts w:hint="eastAsia" w:ascii="仿宋" w:hAnsi="仿宋" w:eastAsia="仿宋" w:cs="Arial"/>
          <w:color w:val="000000" w:themeColor="text1"/>
          <w:sz w:val="24"/>
          <w:highlight w:val="none"/>
        </w:rPr>
        <w:t>天以上，是否继续履行合同双方协商解决。</w:t>
      </w:r>
    </w:p>
    <w:p>
      <w:pPr>
        <w:spacing w:line="440" w:lineRule="exact"/>
        <w:ind w:firstLine="482" w:firstLineChars="200"/>
        <w:rPr>
          <w:rFonts w:ascii="仿宋" w:hAnsi="仿宋" w:eastAsia="仿宋" w:cs="Arial"/>
          <w:color w:val="000000" w:themeColor="text1"/>
          <w:sz w:val="14"/>
          <w:szCs w:val="14"/>
          <w:highlight w:val="none"/>
        </w:rPr>
      </w:pPr>
      <w:r>
        <w:rPr>
          <w:rFonts w:hint="eastAsia" w:ascii="仿宋" w:hAnsi="仿宋" w:eastAsia="仿宋" w:cs="Arial"/>
          <w:b/>
          <w:color w:val="000000" w:themeColor="text1"/>
          <w:sz w:val="24"/>
          <w:highlight w:val="none"/>
        </w:rPr>
        <w:t>十四、争议处理</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14.1 双方在履行合同中所发生的一切争议，应通过协商解决。如协商不成，可向合同签订地法院起诉。本合同签订地为浙江省天台县。</w:t>
      </w:r>
    </w:p>
    <w:p>
      <w:pPr>
        <w:spacing w:line="440" w:lineRule="exact"/>
        <w:ind w:firstLine="482" w:firstLineChars="200"/>
        <w:rPr>
          <w:rFonts w:ascii="仿宋" w:hAnsi="仿宋" w:eastAsia="仿宋" w:cs="Arial"/>
          <w:color w:val="000000" w:themeColor="text1"/>
          <w:sz w:val="14"/>
          <w:szCs w:val="14"/>
          <w:highlight w:val="none"/>
        </w:rPr>
      </w:pPr>
      <w:r>
        <w:rPr>
          <w:rFonts w:hint="eastAsia" w:ascii="仿宋" w:hAnsi="仿宋" w:eastAsia="仿宋" w:cs="Arial"/>
          <w:b/>
          <w:color w:val="000000" w:themeColor="text1"/>
          <w:sz w:val="24"/>
          <w:highlight w:val="none"/>
        </w:rPr>
        <w:t>十五、合同生效及其它</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15.1 合同经双方法定代表人（负责人）或委托代理人签字并加盖单位公章后生效。</w:t>
      </w:r>
    </w:p>
    <w:p>
      <w:pPr>
        <w:spacing w:line="440" w:lineRule="exact"/>
        <w:ind w:firstLine="480" w:firstLineChars="200"/>
        <w:rPr>
          <w:rFonts w:ascii="仿宋" w:hAnsi="仿宋" w:eastAsia="仿宋" w:cs="Arial"/>
          <w:color w:val="000000" w:themeColor="text1"/>
          <w:sz w:val="14"/>
          <w:szCs w:val="14"/>
          <w:highlight w:val="none"/>
        </w:rPr>
      </w:pPr>
      <w:r>
        <w:rPr>
          <w:rFonts w:hint="eastAsia" w:ascii="仿宋" w:hAnsi="仿宋" w:eastAsia="仿宋" w:cs="Arial"/>
          <w:color w:val="000000" w:themeColor="text1"/>
          <w:sz w:val="24"/>
          <w:highlight w:val="none"/>
        </w:rPr>
        <w:t>15.2 本合同未尽事宜，遵照《中华人民共和国合同民法典》有关条文执行。</w:t>
      </w:r>
    </w:p>
    <w:p>
      <w:pPr>
        <w:widowControl/>
        <w:snapToGrid w:val="0"/>
        <w:spacing w:line="440" w:lineRule="exact"/>
        <w:ind w:firstLine="480" w:firstLineChars="200"/>
        <w:jc w:val="left"/>
        <w:rPr>
          <w:rFonts w:ascii="仿宋" w:hAnsi="仿宋" w:eastAsia="仿宋" w:cs="Arial"/>
          <w:color w:val="000000" w:themeColor="text1"/>
          <w:sz w:val="24"/>
          <w:highlight w:val="none"/>
        </w:rPr>
      </w:pPr>
      <w:r>
        <w:rPr>
          <w:rFonts w:hint="eastAsia" w:ascii="仿宋" w:hAnsi="仿宋" w:eastAsia="仿宋" w:cs="Arial"/>
          <w:color w:val="000000" w:themeColor="text1"/>
          <w:sz w:val="24"/>
          <w:highlight w:val="none"/>
        </w:rPr>
        <w:t xml:space="preserve">15.3 本合同一式五份，具有同等法律效力，甲乙双方、天台县财政局、招标代理机构各执一份。 </w:t>
      </w:r>
    </w:p>
    <w:p>
      <w:pPr>
        <w:widowControl/>
        <w:snapToGrid w:val="0"/>
        <w:spacing w:line="440" w:lineRule="exact"/>
        <w:jc w:val="left"/>
        <w:rPr>
          <w:rFonts w:ascii="Arial" w:hAnsi="Arial" w:cs="Arial"/>
          <w:color w:val="000000" w:themeColor="text1"/>
          <w:kern w:val="0"/>
          <w:sz w:val="14"/>
          <w:szCs w:val="14"/>
          <w:highlight w:val="none"/>
        </w:rPr>
      </w:pPr>
      <w:r>
        <w:rPr>
          <w:rFonts w:hint="eastAsia" w:ascii="FangSong_GB2312" w:hAnsi="宋体" w:eastAsia="FangSong_GB2312" w:cs="Arial"/>
          <w:color w:val="000000" w:themeColor="text1"/>
          <w:kern w:val="0"/>
          <w:sz w:val="24"/>
          <w:highlight w:val="none"/>
        </w:rPr>
        <w:t>甲方（盖章）：</w:t>
      </w:r>
      <w:r>
        <w:rPr>
          <w:rFonts w:hint="eastAsia" w:ascii="FangSong_GB2312" w:hAnsi="宋体" w:eastAsia="FangSong_GB2312" w:cs="Arial"/>
          <w:color w:val="000000" w:themeColor="text1"/>
          <w:kern w:val="0"/>
          <w:sz w:val="24"/>
          <w:highlight w:val="none"/>
          <w:u w:val="single"/>
        </w:rPr>
        <w:t xml:space="preserve">                       </w:t>
      </w:r>
      <w:r>
        <w:rPr>
          <w:rFonts w:hint="eastAsia" w:ascii="FangSong_GB2312" w:hAnsi="宋体" w:eastAsia="FangSong_GB2312" w:cs="Arial"/>
          <w:color w:val="000000" w:themeColor="text1"/>
          <w:kern w:val="0"/>
          <w:sz w:val="24"/>
          <w:highlight w:val="none"/>
        </w:rPr>
        <w:t>　乙方（盖章）：</w:t>
      </w:r>
      <w:r>
        <w:rPr>
          <w:rFonts w:hint="eastAsia" w:ascii="FangSong_GB2312" w:hAnsi="宋体" w:eastAsia="FangSong_GB2312" w:cs="Arial"/>
          <w:color w:val="000000" w:themeColor="text1"/>
          <w:kern w:val="0"/>
          <w:sz w:val="24"/>
          <w:highlight w:val="none"/>
          <w:u w:val="single"/>
        </w:rPr>
        <w:t xml:space="preserve">                         </w:t>
      </w:r>
    </w:p>
    <w:p>
      <w:pPr>
        <w:widowControl/>
        <w:snapToGrid w:val="0"/>
        <w:spacing w:line="440" w:lineRule="exact"/>
        <w:jc w:val="left"/>
        <w:rPr>
          <w:rFonts w:ascii="FangSong_GB2312" w:hAnsi="宋体" w:eastAsia="FangSong_GB2312" w:cs="Arial"/>
          <w:color w:val="000000" w:themeColor="text1"/>
          <w:kern w:val="0"/>
          <w:sz w:val="24"/>
          <w:highlight w:val="none"/>
        </w:rPr>
      </w:pPr>
      <w:r>
        <w:rPr>
          <w:rFonts w:hint="eastAsia" w:ascii="FangSong_GB2312" w:hAnsi="宋体" w:eastAsia="FangSong_GB2312" w:cs="Arial"/>
          <w:color w:val="000000" w:themeColor="text1"/>
          <w:kern w:val="0"/>
          <w:sz w:val="24"/>
          <w:highlight w:val="none"/>
        </w:rPr>
        <w:t>地址：</w:t>
      </w:r>
      <w:r>
        <w:rPr>
          <w:rFonts w:hint="eastAsia" w:ascii="FangSong_GB2312" w:hAnsi="宋体" w:eastAsia="FangSong_GB2312" w:cs="Arial"/>
          <w:color w:val="000000" w:themeColor="text1"/>
          <w:kern w:val="0"/>
          <w:sz w:val="24"/>
          <w:highlight w:val="none"/>
          <w:u w:val="single"/>
        </w:rPr>
        <w:t xml:space="preserve">                               </w:t>
      </w:r>
      <w:r>
        <w:rPr>
          <w:rFonts w:hint="eastAsia" w:ascii="FangSong_GB2312" w:hAnsi="宋体" w:eastAsia="FangSong_GB2312" w:cs="Arial"/>
          <w:color w:val="000000" w:themeColor="text1"/>
          <w:kern w:val="0"/>
          <w:sz w:val="24"/>
          <w:highlight w:val="none"/>
        </w:rPr>
        <w:t xml:space="preserve">  地址：</w:t>
      </w:r>
      <w:r>
        <w:rPr>
          <w:rFonts w:hint="eastAsia" w:ascii="FangSong_GB2312" w:hAnsi="宋体" w:eastAsia="FangSong_GB2312" w:cs="Arial"/>
          <w:color w:val="000000" w:themeColor="text1"/>
          <w:kern w:val="0"/>
          <w:sz w:val="24"/>
          <w:highlight w:val="none"/>
          <w:u w:val="single"/>
        </w:rPr>
        <w:t xml:space="preserve">                         　　　　</w:t>
      </w:r>
    </w:p>
    <w:p>
      <w:pPr>
        <w:widowControl/>
        <w:snapToGrid w:val="0"/>
        <w:spacing w:line="440" w:lineRule="exact"/>
        <w:jc w:val="left"/>
        <w:rPr>
          <w:rFonts w:ascii="FangSong_GB2312" w:hAnsi="宋体" w:eastAsia="FangSong_GB2312" w:cs="Arial"/>
          <w:color w:val="000000" w:themeColor="text1"/>
          <w:kern w:val="0"/>
          <w:sz w:val="24"/>
          <w:highlight w:val="none"/>
        </w:rPr>
      </w:pPr>
      <w:r>
        <w:rPr>
          <w:rFonts w:hint="eastAsia" w:ascii="FangSong_GB2312" w:hAnsi="宋体" w:eastAsia="FangSong_GB2312" w:cs="Arial"/>
          <w:color w:val="000000" w:themeColor="text1"/>
          <w:kern w:val="0"/>
          <w:sz w:val="24"/>
          <w:highlight w:val="none"/>
        </w:rPr>
        <w:t>法定代表人（负责人）：</w:t>
      </w:r>
      <w:r>
        <w:rPr>
          <w:rFonts w:hint="eastAsia" w:ascii="FangSong_GB2312" w:hAnsi="宋体" w:eastAsia="FangSong_GB2312" w:cs="Arial"/>
          <w:color w:val="000000" w:themeColor="text1"/>
          <w:kern w:val="0"/>
          <w:sz w:val="24"/>
          <w:highlight w:val="none"/>
          <w:u w:val="single"/>
        </w:rPr>
        <w:t xml:space="preserve">               </w:t>
      </w:r>
      <w:r>
        <w:rPr>
          <w:rFonts w:hint="eastAsia" w:ascii="FangSong_GB2312" w:hAnsi="宋体" w:eastAsia="FangSong_GB2312" w:cs="Arial"/>
          <w:color w:val="000000" w:themeColor="text1"/>
          <w:kern w:val="0"/>
          <w:sz w:val="24"/>
          <w:highlight w:val="none"/>
        </w:rPr>
        <w:t>　法定代表人（负责人）：</w:t>
      </w:r>
      <w:r>
        <w:rPr>
          <w:rFonts w:hint="eastAsia" w:ascii="FangSong_GB2312" w:hAnsi="宋体" w:eastAsia="FangSong_GB2312" w:cs="Arial"/>
          <w:color w:val="000000" w:themeColor="text1"/>
          <w:kern w:val="0"/>
          <w:sz w:val="24"/>
          <w:highlight w:val="none"/>
          <w:u w:val="single"/>
        </w:rPr>
        <w:t xml:space="preserve">                 </w:t>
      </w:r>
    </w:p>
    <w:p>
      <w:pPr>
        <w:widowControl/>
        <w:snapToGrid w:val="0"/>
        <w:spacing w:line="440" w:lineRule="exact"/>
        <w:jc w:val="left"/>
        <w:rPr>
          <w:rFonts w:ascii="FangSong_GB2312" w:hAnsi="宋体" w:eastAsia="FangSong_GB2312" w:cs="Arial"/>
          <w:color w:val="000000" w:themeColor="text1"/>
          <w:kern w:val="0"/>
          <w:sz w:val="24"/>
          <w:highlight w:val="none"/>
        </w:rPr>
      </w:pPr>
      <w:r>
        <w:rPr>
          <w:rFonts w:hint="eastAsia" w:ascii="FangSong_GB2312" w:hAnsi="宋体" w:eastAsia="FangSong_GB2312" w:cs="Arial"/>
          <w:color w:val="000000" w:themeColor="text1"/>
          <w:kern w:val="0"/>
          <w:sz w:val="24"/>
          <w:highlight w:val="none"/>
        </w:rPr>
        <w:t>委托代理人：</w:t>
      </w:r>
      <w:r>
        <w:rPr>
          <w:rFonts w:hint="eastAsia" w:ascii="FangSong_GB2312" w:hAnsi="宋体" w:eastAsia="FangSong_GB2312" w:cs="Arial"/>
          <w:color w:val="000000" w:themeColor="text1"/>
          <w:kern w:val="0"/>
          <w:sz w:val="24"/>
          <w:highlight w:val="none"/>
          <w:u w:val="single"/>
        </w:rPr>
        <w:t xml:space="preserve">　　　　　　　　　　　　 </w:t>
      </w:r>
      <w:r>
        <w:rPr>
          <w:rFonts w:hint="eastAsia" w:ascii="FangSong_GB2312" w:hAnsi="宋体" w:eastAsia="FangSong_GB2312" w:cs="Arial"/>
          <w:color w:val="000000" w:themeColor="text1"/>
          <w:kern w:val="0"/>
          <w:sz w:val="24"/>
          <w:highlight w:val="none"/>
        </w:rPr>
        <w:t xml:space="preserve">  委托代理人：</w:t>
      </w:r>
      <w:r>
        <w:rPr>
          <w:rFonts w:hint="eastAsia" w:ascii="FangSong_GB2312" w:hAnsi="宋体" w:eastAsia="FangSong_GB2312" w:cs="Arial"/>
          <w:color w:val="000000" w:themeColor="text1"/>
          <w:kern w:val="0"/>
          <w:sz w:val="24"/>
          <w:highlight w:val="none"/>
          <w:u w:val="single"/>
        </w:rPr>
        <w:t xml:space="preserve">                           </w:t>
      </w:r>
    </w:p>
    <w:p>
      <w:pPr>
        <w:widowControl/>
        <w:snapToGrid w:val="0"/>
        <w:spacing w:line="440" w:lineRule="exact"/>
        <w:jc w:val="left"/>
        <w:rPr>
          <w:rFonts w:ascii="Arial" w:hAnsi="Arial" w:cs="Arial"/>
          <w:color w:val="000000" w:themeColor="text1"/>
          <w:kern w:val="0"/>
          <w:sz w:val="14"/>
          <w:szCs w:val="14"/>
          <w:highlight w:val="none"/>
        </w:rPr>
      </w:pPr>
      <w:r>
        <w:rPr>
          <w:rFonts w:hint="eastAsia" w:ascii="FangSong_GB2312" w:hAnsi="宋体" w:eastAsia="FangSong_GB2312" w:cs="Arial"/>
          <w:color w:val="000000" w:themeColor="text1"/>
          <w:kern w:val="0"/>
          <w:sz w:val="24"/>
          <w:highlight w:val="none"/>
        </w:rPr>
        <w:t>账户名称：</w:t>
      </w:r>
      <w:r>
        <w:rPr>
          <w:rFonts w:hint="eastAsia" w:ascii="FangSong_GB2312" w:hAnsi="宋体" w:eastAsia="FangSong_GB2312" w:cs="Arial"/>
          <w:color w:val="000000" w:themeColor="text1"/>
          <w:kern w:val="0"/>
          <w:sz w:val="24"/>
          <w:highlight w:val="none"/>
          <w:u w:val="single"/>
        </w:rPr>
        <w:t xml:space="preserve">                           </w:t>
      </w:r>
      <w:r>
        <w:rPr>
          <w:rFonts w:hint="eastAsia" w:ascii="FangSong_GB2312" w:hAnsi="宋体" w:eastAsia="FangSong_GB2312" w:cs="Arial"/>
          <w:color w:val="000000" w:themeColor="text1"/>
          <w:kern w:val="0"/>
          <w:sz w:val="24"/>
          <w:highlight w:val="none"/>
        </w:rPr>
        <w:t>　账户名称：</w:t>
      </w:r>
      <w:r>
        <w:rPr>
          <w:rFonts w:hint="eastAsia" w:ascii="FangSong_GB2312" w:hAnsi="宋体" w:eastAsia="FangSong_GB2312" w:cs="Arial"/>
          <w:color w:val="000000" w:themeColor="text1"/>
          <w:kern w:val="0"/>
          <w:sz w:val="24"/>
          <w:highlight w:val="none"/>
          <w:u w:val="single"/>
        </w:rPr>
        <w:t xml:space="preserve">                             </w:t>
      </w:r>
    </w:p>
    <w:p>
      <w:pPr>
        <w:widowControl/>
        <w:snapToGrid w:val="0"/>
        <w:spacing w:line="440" w:lineRule="exact"/>
        <w:jc w:val="left"/>
        <w:rPr>
          <w:rFonts w:ascii="FangSong_GB2312" w:hAnsi="宋体" w:eastAsia="FangSong_GB2312" w:cs="Arial"/>
          <w:color w:val="000000" w:themeColor="text1"/>
          <w:kern w:val="0"/>
          <w:sz w:val="24"/>
          <w:highlight w:val="none"/>
          <w:u w:val="single"/>
        </w:rPr>
      </w:pPr>
      <w:r>
        <w:rPr>
          <w:rFonts w:hint="eastAsia" w:ascii="FangSong_GB2312" w:hAnsi="Arial" w:eastAsia="FangSong_GB2312" w:cs="Arial"/>
          <w:color w:val="000000" w:themeColor="text1"/>
          <w:kern w:val="0"/>
          <w:sz w:val="24"/>
          <w:highlight w:val="none"/>
        </w:rPr>
        <w:t>开户银行</w:t>
      </w:r>
      <w:r>
        <w:rPr>
          <w:rFonts w:hint="eastAsia" w:ascii="FangSong_GB2312" w:hAnsi="宋体" w:eastAsia="FangSong_GB2312" w:cs="Arial"/>
          <w:color w:val="000000" w:themeColor="text1"/>
          <w:kern w:val="0"/>
          <w:sz w:val="24"/>
          <w:highlight w:val="none"/>
        </w:rPr>
        <w:t>：</w:t>
      </w:r>
      <w:r>
        <w:rPr>
          <w:rFonts w:hint="eastAsia" w:ascii="FangSong_GB2312" w:hAnsi="宋体" w:eastAsia="FangSong_GB2312" w:cs="Arial"/>
          <w:color w:val="000000" w:themeColor="text1"/>
          <w:kern w:val="0"/>
          <w:sz w:val="24"/>
          <w:highlight w:val="none"/>
          <w:u w:val="single"/>
        </w:rPr>
        <w:t xml:space="preserve">　　　　　　　　　　　　　 </w:t>
      </w:r>
      <w:r>
        <w:rPr>
          <w:rFonts w:hint="eastAsia" w:ascii="FangSong_GB2312" w:hAnsi="宋体" w:eastAsia="FangSong_GB2312" w:cs="Arial"/>
          <w:color w:val="000000" w:themeColor="text1"/>
          <w:kern w:val="0"/>
          <w:sz w:val="24"/>
          <w:highlight w:val="none"/>
        </w:rPr>
        <w:t xml:space="preserve">  </w:t>
      </w:r>
      <w:r>
        <w:rPr>
          <w:rFonts w:hint="eastAsia" w:ascii="FangSong_GB2312" w:hAnsi="Arial" w:eastAsia="FangSong_GB2312" w:cs="Arial"/>
          <w:color w:val="000000" w:themeColor="text1"/>
          <w:kern w:val="0"/>
          <w:sz w:val="24"/>
          <w:highlight w:val="none"/>
        </w:rPr>
        <w:t>开户银行</w:t>
      </w:r>
      <w:r>
        <w:rPr>
          <w:rFonts w:hint="eastAsia" w:ascii="FangSong_GB2312" w:hAnsi="宋体" w:eastAsia="FangSong_GB2312" w:cs="Arial"/>
          <w:color w:val="000000" w:themeColor="text1"/>
          <w:kern w:val="0"/>
          <w:sz w:val="24"/>
          <w:highlight w:val="none"/>
        </w:rPr>
        <w:t>：</w:t>
      </w:r>
      <w:r>
        <w:rPr>
          <w:rFonts w:hint="eastAsia" w:ascii="FangSong_GB2312" w:hAnsi="宋体" w:eastAsia="FangSong_GB2312" w:cs="Arial"/>
          <w:color w:val="000000" w:themeColor="text1"/>
          <w:kern w:val="0"/>
          <w:sz w:val="24"/>
          <w:highlight w:val="none"/>
          <w:u w:val="single"/>
        </w:rPr>
        <w:t xml:space="preserve">                              </w:t>
      </w:r>
    </w:p>
    <w:p>
      <w:pPr>
        <w:widowControl/>
        <w:snapToGrid w:val="0"/>
        <w:spacing w:line="440" w:lineRule="exact"/>
        <w:jc w:val="left"/>
        <w:rPr>
          <w:rFonts w:ascii="FangSong_GB2312" w:hAnsi="宋体" w:eastAsia="FangSong_GB2312" w:cs="Arial"/>
          <w:color w:val="000000" w:themeColor="text1"/>
          <w:kern w:val="0"/>
          <w:sz w:val="24"/>
          <w:highlight w:val="none"/>
          <w:u w:val="single"/>
        </w:rPr>
      </w:pPr>
      <w:r>
        <w:rPr>
          <w:rFonts w:hint="eastAsia" w:ascii="FangSong_GB2312" w:hAnsi="宋体" w:eastAsia="FangSong_GB2312" w:cs="Arial"/>
          <w:color w:val="000000" w:themeColor="text1"/>
          <w:kern w:val="0"/>
          <w:sz w:val="24"/>
          <w:highlight w:val="none"/>
        </w:rPr>
        <w:t>账号：</w:t>
      </w:r>
      <w:r>
        <w:rPr>
          <w:rFonts w:hint="eastAsia" w:ascii="FangSong_GB2312" w:hAnsi="宋体" w:eastAsia="FangSong_GB2312" w:cs="Arial"/>
          <w:color w:val="000000" w:themeColor="text1"/>
          <w:kern w:val="0"/>
          <w:sz w:val="24"/>
          <w:highlight w:val="none"/>
          <w:u w:val="single"/>
        </w:rPr>
        <w:t>　　　　　　　　　　　　　　　</w:t>
      </w:r>
      <w:r>
        <w:rPr>
          <w:rFonts w:hint="eastAsia" w:ascii="FangSong_GB2312" w:hAnsi="宋体" w:eastAsia="FangSong_GB2312" w:cs="Arial"/>
          <w:color w:val="000000" w:themeColor="text1"/>
          <w:kern w:val="0"/>
          <w:sz w:val="24"/>
          <w:highlight w:val="none"/>
        </w:rPr>
        <w:t>　 账号：</w:t>
      </w:r>
      <w:r>
        <w:rPr>
          <w:rFonts w:hint="eastAsia" w:ascii="FangSong_GB2312" w:hAnsi="宋体" w:eastAsia="FangSong_GB2312" w:cs="Arial"/>
          <w:color w:val="000000" w:themeColor="text1"/>
          <w:kern w:val="0"/>
          <w:sz w:val="24"/>
          <w:highlight w:val="none"/>
          <w:u w:val="single"/>
        </w:rPr>
        <w:t xml:space="preserve">                                    </w:t>
      </w:r>
    </w:p>
    <w:p>
      <w:pPr>
        <w:widowControl/>
        <w:snapToGrid w:val="0"/>
        <w:spacing w:line="440" w:lineRule="exact"/>
        <w:jc w:val="left"/>
        <w:rPr>
          <w:rFonts w:ascii="FangSong_GB2312" w:hAnsi="宋体" w:eastAsia="FangSong_GB2312" w:cs="Arial"/>
          <w:color w:val="000000" w:themeColor="text1"/>
          <w:kern w:val="0"/>
          <w:sz w:val="24"/>
          <w:highlight w:val="none"/>
        </w:rPr>
      </w:pPr>
      <w:r>
        <w:rPr>
          <w:rFonts w:hint="eastAsia" w:ascii="FangSong_GB2312" w:hAnsi="宋体" w:eastAsia="FangSong_GB2312" w:cs="Arial"/>
          <w:color w:val="000000" w:themeColor="text1"/>
          <w:kern w:val="0"/>
          <w:sz w:val="24"/>
          <w:highlight w:val="none"/>
        </w:rPr>
        <w:t>签订时间：</w:t>
      </w:r>
      <w:r>
        <w:rPr>
          <w:rFonts w:hint="eastAsia" w:ascii="FangSong_GB2312" w:hAnsi="宋体" w:eastAsia="FangSong_GB2312" w:cs="Arial"/>
          <w:color w:val="000000" w:themeColor="text1"/>
          <w:kern w:val="0"/>
          <w:sz w:val="24"/>
          <w:highlight w:val="none"/>
          <w:u w:val="single"/>
        </w:rPr>
        <w:t xml:space="preserve">                                                                      </w:t>
      </w:r>
    </w:p>
    <w:p>
      <w:pPr>
        <w:pStyle w:val="20"/>
        <w:snapToGrid w:val="0"/>
        <w:jc w:val="both"/>
        <w:outlineLvl w:val="0"/>
        <w:rPr>
          <w:rFonts w:ascii="仿宋" w:hAnsi="仿宋" w:eastAsia="仿宋"/>
          <w:b/>
          <w:bCs/>
          <w:color w:val="000000" w:themeColor="text1"/>
          <w:sz w:val="36"/>
          <w:szCs w:val="32"/>
        </w:rPr>
      </w:pPr>
      <w:r>
        <w:rPr>
          <w:rFonts w:hint="eastAsia" w:ascii="FangSong_GB2312" w:hAnsi="宋体" w:eastAsia="FangSong_GB2312" w:cs="Arial"/>
          <w:color w:val="000000" w:themeColor="text1"/>
          <w:kern w:val="0"/>
          <w:sz w:val="24"/>
          <w:highlight w:val="none"/>
        </w:rPr>
        <w:t>签订地点：</w:t>
      </w:r>
      <w:r>
        <w:rPr>
          <w:rFonts w:hint="eastAsia" w:ascii="FangSong_GB2312" w:hAnsi="宋体" w:eastAsia="FangSong_GB2312" w:cs="Arial"/>
          <w:color w:val="000000" w:themeColor="text1"/>
          <w:kern w:val="0"/>
          <w:sz w:val="24"/>
          <w:highlight w:val="none"/>
          <w:u w:val="single"/>
        </w:rPr>
        <w:t xml:space="preserve">                                                                  </w:t>
      </w:r>
    </w:p>
    <w:p>
      <w:pPr>
        <w:pStyle w:val="20"/>
        <w:snapToGrid w:val="0"/>
        <w:jc w:val="center"/>
        <w:outlineLvl w:val="0"/>
        <w:rPr>
          <w:rFonts w:ascii="仿宋" w:hAnsi="仿宋" w:eastAsia="仿宋"/>
          <w:b/>
          <w:bCs/>
          <w:color w:val="000000" w:themeColor="text1"/>
          <w:sz w:val="36"/>
          <w:szCs w:val="32"/>
        </w:rPr>
      </w:pPr>
    </w:p>
    <w:p>
      <w:pPr>
        <w:pStyle w:val="20"/>
        <w:snapToGrid w:val="0"/>
        <w:jc w:val="center"/>
        <w:outlineLvl w:val="0"/>
        <w:rPr>
          <w:rFonts w:ascii="仿宋" w:hAnsi="仿宋" w:eastAsia="仿宋"/>
          <w:b/>
          <w:bCs/>
          <w:color w:val="000000" w:themeColor="text1"/>
          <w:sz w:val="36"/>
          <w:szCs w:val="32"/>
        </w:rPr>
      </w:pPr>
    </w:p>
    <w:p>
      <w:pPr>
        <w:pStyle w:val="20"/>
        <w:snapToGrid w:val="0"/>
        <w:jc w:val="center"/>
        <w:outlineLvl w:val="0"/>
        <w:rPr>
          <w:rFonts w:ascii="仿宋" w:hAnsi="仿宋" w:eastAsia="仿宋"/>
          <w:b/>
          <w:bCs/>
          <w:color w:val="000000" w:themeColor="text1"/>
          <w:sz w:val="36"/>
          <w:szCs w:val="32"/>
        </w:rPr>
      </w:pPr>
    </w:p>
    <w:p>
      <w:pPr>
        <w:pStyle w:val="20"/>
        <w:snapToGrid w:val="0"/>
        <w:jc w:val="center"/>
        <w:outlineLvl w:val="0"/>
        <w:rPr>
          <w:rFonts w:ascii="仿宋" w:hAnsi="仿宋" w:eastAsia="仿宋"/>
          <w:b/>
          <w:bCs/>
          <w:color w:val="000000" w:themeColor="text1"/>
          <w:sz w:val="36"/>
          <w:szCs w:val="32"/>
        </w:rPr>
      </w:pPr>
    </w:p>
    <w:p>
      <w:pPr>
        <w:pStyle w:val="20"/>
        <w:snapToGrid w:val="0"/>
        <w:jc w:val="center"/>
        <w:outlineLvl w:val="0"/>
        <w:rPr>
          <w:rFonts w:ascii="仿宋" w:hAnsi="仿宋" w:eastAsia="仿宋"/>
          <w:b/>
          <w:bCs/>
          <w:color w:val="000000" w:themeColor="text1"/>
          <w:sz w:val="36"/>
          <w:szCs w:val="32"/>
        </w:rPr>
      </w:pPr>
    </w:p>
    <w:p>
      <w:pPr>
        <w:pStyle w:val="20"/>
        <w:snapToGrid w:val="0"/>
        <w:jc w:val="center"/>
        <w:outlineLvl w:val="0"/>
        <w:rPr>
          <w:rFonts w:ascii="仿宋" w:hAnsi="仿宋" w:eastAsia="仿宋"/>
          <w:b/>
          <w:bCs/>
          <w:color w:val="000000" w:themeColor="text1"/>
          <w:sz w:val="36"/>
          <w:szCs w:val="32"/>
        </w:rPr>
      </w:pPr>
    </w:p>
    <w:p>
      <w:pPr>
        <w:pStyle w:val="20"/>
        <w:snapToGrid w:val="0"/>
        <w:jc w:val="center"/>
        <w:outlineLvl w:val="0"/>
        <w:rPr>
          <w:rFonts w:ascii="仿宋" w:hAnsi="仿宋" w:eastAsia="仿宋"/>
          <w:b/>
          <w:bCs/>
          <w:color w:val="000000" w:themeColor="text1"/>
          <w:sz w:val="36"/>
          <w:szCs w:val="32"/>
        </w:rPr>
      </w:pPr>
    </w:p>
    <w:p>
      <w:pPr>
        <w:pStyle w:val="20"/>
        <w:snapToGrid w:val="0"/>
        <w:jc w:val="center"/>
        <w:outlineLvl w:val="0"/>
        <w:rPr>
          <w:rFonts w:hint="eastAsia" w:ascii="仿宋" w:hAnsi="仿宋" w:eastAsia="仿宋"/>
          <w:b/>
          <w:bCs/>
          <w:color w:val="000000" w:themeColor="text1"/>
          <w:sz w:val="36"/>
          <w:szCs w:val="32"/>
        </w:rPr>
      </w:pPr>
    </w:p>
    <w:p>
      <w:pPr>
        <w:pStyle w:val="20"/>
        <w:snapToGrid w:val="0"/>
        <w:jc w:val="center"/>
        <w:outlineLvl w:val="0"/>
        <w:rPr>
          <w:rFonts w:ascii="仿宋" w:hAnsi="仿宋" w:eastAsia="仿宋"/>
          <w:b/>
          <w:bCs/>
          <w:color w:val="000000" w:themeColor="text1"/>
          <w:sz w:val="36"/>
          <w:szCs w:val="32"/>
        </w:rPr>
      </w:pPr>
      <w:r>
        <w:rPr>
          <w:rFonts w:hint="eastAsia" w:ascii="仿宋" w:hAnsi="仿宋" w:eastAsia="仿宋"/>
          <w:b/>
          <w:bCs/>
          <w:color w:val="000000" w:themeColor="text1"/>
          <w:sz w:val="36"/>
          <w:szCs w:val="32"/>
        </w:rPr>
        <w:t>第四章招标内容及需求</w:t>
      </w:r>
    </w:p>
    <w:p>
      <w:pPr>
        <w:rPr>
          <w:rFonts w:ascii="宋体" w:hAnsi="宋体"/>
          <w:b/>
          <w:color w:val="000000" w:themeColor="text1"/>
          <w:sz w:val="28"/>
          <w:szCs w:val="28"/>
        </w:rPr>
      </w:pPr>
      <w:r>
        <w:rPr>
          <w:rFonts w:hint="eastAsia" w:ascii="宋体" w:hAnsi="宋体"/>
          <w:b/>
          <w:color w:val="000000" w:themeColor="text1"/>
          <w:sz w:val="28"/>
          <w:szCs w:val="28"/>
        </w:rPr>
        <w:t>标项一：天台中学专用教室采购及安装项目</w:t>
      </w:r>
    </w:p>
    <w:p>
      <w:pPr>
        <w:rPr>
          <w:rFonts w:ascii="宋体" w:hAnsi="宋体"/>
          <w:color w:val="000000" w:themeColor="text1"/>
          <w:sz w:val="24"/>
        </w:rPr>
      </w:pPr>
      <w:r>
        <w:rPr>
          <w:rFonts w:hint="eastAsia" w:ascii="宋体" w:hAnsi="宋体"/>
          <w:b/>
          <w:color w:val="000000" w:themeColor="text1"/>
          <w:sz w:val="28"/>
          <w:szCs w:val="28"/>
        </w:rPr>
        <w:t>一、技术需求</w:t>
      </w:r>
    </w:p>
    <w:p>
      <w:pPr>
        <w:ind w:firstLine="354" w:firstLineChars="147"/>
        <w:rPr>
          <w:rFonts w:ascii="宋体" w:hAnsi="宋体"/>
          <w:b/>
          <w:color w:val="000000" w:themeColor="text1"/>
          <w:sz w:val="24"/>
        </w:rPr>
      </w:pPr>
      <w:r>
        <w:rPr>
          <w:rFonts w:hint="eastAsia" w:ascii="宋体" w:hAnsi="宋体"/>
          <w:b/>
          <w:color w:val="000000" w:themeColor="text1"/>
          <w:sz w:val="24"/>
        </w:rPr>
        <w:t>1、</w:t>
      </w:r>
      <w:r>
        <w:rPr>
          <w:rFonts w:hint="eastAsia" w:hAnsi="宋体" w:cs="宋体"/>
          <w:b/>
          <w:color w:val="000000" w:themeColor="text1"/>
          <w:kern w:val="0"/>
          <w:sz w:val="24"/>
        </w:rPr>
        <w:t>项目概述</w:t>
      </w:r>
    </w:p>
    <w:p>
      <w:pPr>
        <w:ind w:firstLine="352" w:firstLineChars="147"/>
        <w:rPr>
          <w:rFonts w:ascii="宋体" w:hAnsi="宋体" w:cs="宋体"/>
          <w:bCs/>
          <w:color w:val="000000" w:themeColor="text1"/>
          <w:kern w:val="0"/>
          <w:sz w:val="24"/>
        </w:rPr>
      </w:pPr>
      <w:r>
        <w:rPr>
          <w:rFonts w:hint="eastAsia" w:ascii="宋体" w:hAnsi="宋体"/>
          <w:color w:val="000000" w:themeColor="text1"/>
          <w:sz w:val="24"/>
        </w:rPr>
        <w:t>本项目为天台中学专用教室采购及安装项目</w:t>
      </w:r>
      <w:r>
        <w:rPr>
          <w:rFonts w:ascii="宋体" w:hAnsi="宋体" w:cs="宋体"/>
          <w:bCs/>
          <w:color w:val="000000" w:themeColor="text1"/>
          <w:kern w:val="0"/>
          <w:sz w:val="24"/>
        </w:rPr>
        <w:t>按60个教学班、</w:t>
      </w:r>
      <w:r>
        <w:rPr>
          <w:rFonts w:hint="eastAsia" w:ascii="宋体" w:hAnsi="宋体" w:cs="宋体"/>
          <w:bCs/>
          <w:color w:val="000000" w:themeColor="text1"/>
          <w:kern w:val="0"/>
          <w:sz w:val="24"/>
        </w:rPr>
        <w:t>3</w:t>
      </w:r>
      <w:r>
        <w:rPr>
          <w:rFonts w:ascii="宋体" w:hAnsi="宋体" w:cs="宋体"/>
          <w:bCs/>
          <w:color w:val="000000" w:themeColor="text1"/>
          <w:kern w:val="0"/>
          <w:sz w:val="24"/>
        </w:rPr>
        <w:t>000人规模建设。</w:t>
      </w:r>
      <w:r>
        <w:rPr>
          <w:rFonts w:hint="eastAsia" w:ascii="宋体" w:hAnsi="宋体" w:cs="宋体"/>
          <w:color w:val="000000" w:themeColor="text1"/>
          <w:kern w:val="0"/>
          <w:sz w:val="24"/>
        </w:rPr>
        <w:t>将以不断更新学科资源建设新平台，探索学习减负新机制，树立课程标准落地的新标杆为目标建设具有新时代、</w:t>
      </w:r>
      <w:r>
        <w:rPr>
          <w:rFonts w:hint="eastAsia" w:ascii="宋体" w:hAnsi="宋体" w:cs="宋体"/>
          <w:bCs/>
          <w:color w:val="000000" w:themeColor="text1"/>
          <w:kern w:val="0"/>
          <w:sz w:val="24"/>
        </w:rPr>
        <w:t>新特点、由大概念统领的综合性创新中心，着力于满足不同学科、不同层次的学生的学习需求，在多元发展的基础上，真实情境为载体建设了数字化地理学科创新实验室、化学学科创新实验室、数字化化学竞赛辅导实验室、历史学科专用教室、美术陶艺创新实验室、生物学科数码显微专用教室、生物学科组培专用教室、数学学科创新实验室、通用技术加工坊专用教室、物理学科新型学习空间专用教室、机器人创客实验室、精品录播专用教室、学生发展中心、音乐学科专用教室、民乐、舞蹈专用教室、英语学科专用教室、语文学科的书法、朗读专用教室、政治学科专用教室等。每个教室将以特定的创新主体建设具备“学习、体验、实践、创新”功能的专业化大概念学习探究中心。给我校</w:t>
      </w:r>
      <w:r>
        <w:rPr>
          <w:rFonts w:ascii="宋体" w:hAnsi="宋体" w:cs="宋体"/>
          <w:bCs/>
          <w:color w:val="000000" w:themeColor="text1"/>
          <w:kern w:val="0"/>
          <w:sz w:val="24"/>
        </w:rPr>
        <w:t>提升普通高中教育质量具有重要意义。</w:t>
      </w:r>
    </w:p>
    <w:p>
      <w:pPr>
        <w:ind w:firstLine="354" w:firstLineChars="147"/>
        <w:jc w:val="left"/>
        <w:rPr>
          <w:rFonts w:ascii="宋体" w:hAnsi="宋体" w:cs="宋体"/>
          <w:color w:val="000000" w:themeColor="text1"/>
          <w:sz w:val="24"/>
        </w:rPr>
      </w:pPr>
      <w:r>
        <w:rPr>
          <w:rFonts w:hint="eastAsia" w:ascii="宋体" w:hAnsi="宋体" w:cs="宋体"/>
          <w:b/>
          <w:color w:val="000000" w:themeColor="text1"/>
          <w:sz w:val="24"/>
        </w:rPr>
        <w:t>2、设备清单及技术参数要求</w:t>
      </w:r>
      <w:r>
        <w:rPr>
          <w:rFonts w:hint="eastAsia" w:ascii="宋体" w:hAnsi="宋体" w:cs="宋体"/>
          <w:color w:val="000000" w:themeColor="text1"/>
          <w:sz w:val="24"/>
        </w:rPr>
        <w:t>：</w:t>
      </w:r>
    </w:p>
    <w:tbl>
      <w:tblPr>
        <w:tblStyle w:val="36"/>
        <w:tblW w:w="9587" w:type="dxa"/>
        <w:jc w:val="center"/>
        <w:tblLayout w:type="fixed"/>
        <w:tblCellMar>
          <w:top w:w="0" w:type="dxa"/>
          <w:left w:w="108" w:type="dxa"/>
          <w:bottom w:w="0" w:type="dxa"/>
          <w:right w:w="108" w:type="dxa"/>
        </w:tblCellMar>
      </w:tblPr>
      <w:tblGrid>
        <w:gridCol w:w="684"/>
        <w:gridCol w:w="930"/>
        <w:gridCol w:w="1862"/>
        <w:gridCol w:w="4962"/>
        <w:gridCol w:w="708"/>
        <w:gridCol w:w="441"/>
      </w:tblGrid>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themeColor="text1"/>
                <w:sz w:val="24"/>
              </w:rPr>
            </w:pPr>
            <w:r>
              <w:rPr>
                <w:rFonts w:hint="eastAsia" w:ascii="宋体" w:hAnsi="宋体" w:cs="宋体"/>
                <w:b/>
                <w:bCs/>
                <w:color w:val="000000" w:themeColor="text1"/>
                <w:kern w:val="0"/>
                <w:sz w:val="24"/>
              </w:rPr>
              <w:t xml:space="preserve">天台中学学科专用教室(货物1) </w:t>
            </w:r>
          </w:p>
        </w:tc>
      </w:tr>
      <w:tr>
        <w:tblPrEx>
          <w:tblCellMar>
            <w:top w:w="0" w:type="dxa"/>
            <w:left w:w="108" w:type="dxa"/>
            <w:bottom w:w="0" w:type="dxa"/>
            <w:right w:w="108" w:type="dxa"/>
          </w:tblCellMar>
        </w:tblPrEx>
        <w:trPr>
          <w:trHeight w:val="254"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一、物理学科数字化新型学习空间实验室清单</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r>
              <w:rPr>
                <w:rFonts w:hint="eastAsia" w:ascii="宋体" w:hAnsi="宋体" w:cs="宋体"/>
                <w:color w:val="000000" w:themeColor="text1"/>
                <w:sz w:val="24"/>
              </w:rPr>
              <w:t>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参数要求</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18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移动式讲台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61312" behindDoc="0" locked="0" layoutInCell="1" allowOverlap="1">
                  <wp:simplePos x="0" y="0"/>
                  <wp:positionH relativeFrom="column">
                    <wp:posOffset>171450</wp:posOffset>
                  </wp:positionH>
                  <wp:positionV relativeFrom="paragraph">
                    <wp:posOffset>1778635</wp:posOffset>
                  </wp:positionV>
                  <wp:extent cx="722630" cy="665480"/>
                  <wp:effectExtent l="19050" t="0" r="1270" b="0"/>
                  <wp:wrapNone/>
                  <wp:docPr id="997" name="ID_711F099430C6487EBCEB72566F6F0747"/>
                  <wp:cNvGraphicFramePr/>
                  <a:graphic xmlns:a="http://schemas.openxmlformats.org/drawingml/2006/main">
                    <a:graphicData uri="http://schemas.openxmlformats.org/drawingml/2006/picture">
                      <pic:pic xmlns:pic="http://schemas.openxmlformats.org/drawingml/2006/picture">
                        <pic:nvPicPr>
                          <pic:cNvPr id="997" name="ID_711F099430C6487EBCEB72566F6F0747"/>
                          <pic:cNvPicPr>
                            <a:picLocks noChangeArrowheads="1"/>
                          </pic:cNvPicPr>
                        </pic:nvPicPr>
                        <pic:blipFill>
                          <a:blip r:embed="rId15"/>
                          <a:srcRect/>
                          <a:stretch>
                            <a:fillRect/>
                          </a:stretch>
                        </pic:blipFill>
                        <pic:spPr>
                          <a:xfrm>
                            <a:off x="0" y="0"/>
                            <a:ext cx="722630" cy="66548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1、钢木结构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1.1台面：采用12.7mm厚双面膜耐腐蚀实芯理化板制作，四角倒R15圆角。耐酸、耐碱、耐高温，坚固耐用，防潮、无细孔、不膨胀、不龟裂、不变形、不导电、便于维护及具有良好的承重性能；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钢木结构：主框架采用40*40矩形管焊接而成，表面经酸洗磷化、纯环氧树脂塑粉高温固化处理，平整光滑，不允许有喷涂层脱落、鼓泡、凹陷、压痕以及表面划伤、麻点、裂痕、崩角和刃口等，切割、钻孔和倒角应去毛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柜身：柜身为悬柜，基材为16mm厚E1级实验室专用三聚氰胺板制作，柜身可任意移出，便捷、灵活性强。可见截面均经过PVC封边；贴面和封边部件应严密、平整，不允许脱胶、鼓泡、凹陷、压痕以及表面划伤、麻点、裂痕、崩角和刃口，外表的圆角、倒棱应均匀一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1.4：正前方设置可移动置物架，放置教案和教具；</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1.5桌脚：采用静音医用万向轮。</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2、整体尺寸：1200*600*900mm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1038"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物理造型实验桌</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62336" behindDoc="0" locked="0" layoutInCell="1" allowOverlap="1">
                  <wp:simplePos x="0" y="0"/>
                  <wp:positionH relativeFrom="column">
                    <wp:posOffset>169545</wp:posOffset>
                  </wp:positionH>
                  <wp:positionV relativeFrom="paragraph">
                    <wp:posOffset>3486785</wp:posOffset>
                  </wp:positionV>
                  <wp:extent cx="661670" cy="569595"/>
                  <wp:effectExtent l="19050" t="0" r="5080" b="0"/>
                  <wp:wrapNone/>
                  <wp:docPr id="996" name="图片_1"/>
                  <wp:cNvGraphicFramePr/>
                  <a:graphic xmlns:a="http://schemas.openxmlformats.org/drawingml/2006/main">
                    <a:graphicData uri="http://schemas.openxmlformats.org/drawingml/2006/picture">
                      <pic:pic xmlns:pic="http://schemas.openxmlformats.org/drawingml/2006/picture">
                        <pic:nvPicPr>
                          <pic:cNvPr id="996" name="图片_1"/>
                          <pic:cNvPicPr>
                            <a:picLocks noChangeArrowheads="1"/>
                          </pic:cNvPicPr>
                        </pic:nvPicPr>
                        <pic:blipFill>
                          <a:blip r:embed="rId16"/>
                          <a:srcRect/>
                          <a:stretch>
                            <a:fillRect/>
                          </a:stretch>
                        </pic:blipFill>
                        <pic:spPr>
                          <a:xfrm>
                            <a:off x="0" y="0"/>
                            <a:ext cx="661670" cy="56959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学生六角桌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铝木结构，一体化台面。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详细参数如下：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1、规格：800mm(边)×1600mm（直径）×760mm（高）。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★2、台面：采用国内知名品牌12.7mm厚实芯（双面）理化板台面，台面边缘用同质材料板双层加厚至25.4mm，由专业生产厂家用CNC机械加工而成。具体性能如下：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A、 通过盐酸、硫酸、硝酸、氢氧化钠等不少于30种酸、碱、其它化学试剂的检验结果为无明显变化，提供国家级检测报告。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B、通过检测：重金属铅、镉、铬、汞均低于检出限量值（≤20mg/kg ）， 符合GB18585-2001或GB18586-2001等国家标准，提供国家级检测报告。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C、通过国家化学建筑材料测试中心或SGS等权威机构参照最新标准（GB/T18580-2017）检测，结果为：甲醛释放量：≤0.02mg/M3，满足E1≤0.124mgM3的限量技术要求，提供国家级检测报告。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D、通过国家化学建筑材料测试中心等机构检测依据GB/T17657-2013等标准及方法检验，物理性能结果为：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（1）表面耐磨性能检验结果磨350r无明显露底。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（2）表面耐干热性能：5级无明显变化；</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（3）表面耐香烟灼烧性能：5级无明显变化；</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（4）24h吸水率≤0.1%；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（5）漆膜附着力：0级，切割边缘完全平滑无一个格脱落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（6）表面耐龟裂：5级，用6倍放大镜观察表面无裂纹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E、平压强度＞30KN；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F、负荷变形温度大于280℃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台体框架：采用模具成型的专用铝合金型材制作，铝合金型材的壁厚1.0mm。框架的立柱为圆管，圆管外径50mm，框架的横梁为方管，截面尺寸30mm×22mm；通过ABS专用连接件组装而成，组装接缝严密，连接牢固，无松动现象。铝合金型材带凹槽，槽的宽度、深度均与所采用的柜体板材相匹配，接缝严密，无晃动现象。铝合金型材表面经静电粉沫喷涂处理，整体耐腐蚀、防火、防潮、稳固耐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（4）台体衬板：用厚度为16mm双面三聚氰胺板（即双饰面板）作为台体衬板，其内芯的基材为聚木屑纤维板，外漏截面采用1.5mm厚塑制优质封边条机械封边。</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21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物理学生实验桌</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63360" behindDoc="0" locked="0" layoutInCell="1" allowOverlap="1">
                  <wp:simplePos x="0" y="0"/>
                  <wp:positionH relativeFrom="column">
                    <wp:posOffset>169545</wp:posOffset>
                  </wp:positionH>
                  <wp:positionV relativeFrom="paragraph">
                    <wp:posOffset>3608705</wp:posOffset>
                  </wp:positionV>
                  <wp:extent cx="666750" cy="454660"/>
                  <wp:effectExtent l="19050" t="0" r="0" b="0"/>
                  <wp:wrapNone/>
                  <wp:docPr id="995" name="ID_8B09049884D84E2883569E7A6BF000F7"/>
                  <wp:cNvGraphicFramePr/>
                  <a:graphic xmlns:a="http://schemas.openxmlformats.org/drawingml/2006/main">
                    <a:graphicData uri="http://schemas.openxmlformats.org/drawingml/2006/picture">
                      <pic:pic xmlns:pic="http://schemas.openxmlformats.org/drawingml/2006/picture">
                        <pic:nvPicPr>
                          <pic:cNvPr id="995" name="ID_8B09049884D84E2883569E7A6BF000F7"/>
                          <pic:cNvPicPr>
                            <a:picLocks noChangeArrowheads="1"/>
                          </pic:cNvPicPr>
                        </pic:nvPicPr>
                        <pic:blipFill>
                          <a:blip r:embed="rId17"/>
                          <a:srcRect/>
                          <a:stretch>
                            <a:fillRect/>
                          </a:stretch>
                        </pic:blipFill>
                        <pic:spPr>
                          <a:xfrm>
                            <a:off x="0" y="0"/>
                            <a:ext cx="666750" cy="45466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1.新型塑铝结构。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台面：采用12.7mm厚双面膜耐腐蚀实芯理化板制作，四角倒R15圆角。台面后方卡入学生桌铝型槽内，前方用预埋件与桌体固定。耐酸、耐碱、耐高温，坚固耐用，防潮、无细孔、不膨胀、不龟裂、不变形、不导电、便于维护及具有良好的承重性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3.结构：新型塑铝结构，整体1200*600*780mm。学生位镂空式，符合人体工程学设计，美观大方。专用书包斗ABS注塑一体注塑成型尺寸不小于410*330*120mm，镂空设计，便于清理，不屯垃圾，中间设挂凳卡。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侧脚采用三段式高强度铝合金结构，整体规格580*750，立柱采用倾斜式设计，内嵌入上下铸铝脚40mm，后端配备加固支撑梁，厚度为80MM.各部分连接设置专用定位件，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背部档水板、前横梁、中间横梁全部采用高强度挤出铝合金模具型材，各部分连接设置专用定位件，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6.桌侧脚：桌侧脚设置专用孔位与地面固定，并配有跟台面同色ABS脚套装饰盖。</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★7.技术要求满足：GB 24820-2009 实验室家具通用技术条件：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7.1操作台台面理化性能：耐磨1 mg/100r：磨损值≤80，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磨损2：表面情况：素色：磨350r，应无露底现向，</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耐划痕：1.5N，划一周，无整圈连续划痕，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物理实验台面抗冲击 mm：冲击高度1m。冲击凹坑直径≤10mm。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7.2 操作台力学性能：水平静载荷试验：技术要求：力600N，10次。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垂直静载荷试验：主桌面：力2000N，10次。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持续垂直静载荷：载荷1.25kg/dm²，24h。</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独立操作台水平冲击稳定性：质量50kg，跌落高度40mm。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独立操作台垂直加载稳定性：力750N；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活动操作台跌落：跌落高度：150mm，10次。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垂直冲击试验：跌落高度：300mm，10次。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7.3提供由生产厂家送检满足以上技术要求具有CMA、CAL、ilac-MRA、CNAS认证的由省级或省级以上检测机构出具的物理学生实验桌检测报告复印件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626"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实验椅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64384" behindDoc="0" locked="0" layoutInCell="1" allowOverlap="1">
                  <wp:simplePos x="0" y="0"/>
                  <wp:positionH relativeFrom="column">
                    <wp:posOffset>212090</wp:posOffset>
                  </wp:positionH>
                  <wp:positionV relativeFrom="paragraph">
                    <wp:posOffset>3026410</wp:posOffset>
                  </wp:positionV>
                  <wp:extent cx="550545" cy="729615"/>
                  <wp:effectExtent l="0" t="0" r="0" b="0"/>
                  <wp:wrapNone/>
                  <wp:docPr id="994" name="ID_4D515D24F9144FC0819A12F543C51D40"/>
                  <wp:cNvGraphicFramePr/>
                  <a:graphic xmlns:a="http://schemas.openxmlformats.org/drawingml/2006/main">
                    <a:graphicData uri="http://schemas.openxmlformats.org/drawingml/2006/picture">
                      <pic:pic xmlns:pic="http://schemas.openxmlformats.org/drawingml/2006/picture">
                        <pic:nvPicPr>
                          <pic:cNvPr id="994" name="ID_4D515D24F9144FC0819A12F543C51D40"/>
                          <pic:cNvPicPr>
                            <a:picLocks noChangeArrowheads="1"/>
                          </pic:cNvPicPr>
                        </pic:nvPicPr>
                        <pic:blipFill>
                          <a:blip r:embed="rId18"/>
                          <a:srcRect/>
                          <a:stretch>
                            <a:fillRect/>
                          </a:stretch>
                        </pic:blipFill>
                        <pic:spPr>
                          <a:xfrm>
                            <a:off x="0" y="0"/>
                            <a:ext cx="550545" cy="72961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1、凳脚材质：4个凳脚采用17×34×1.7mm 无缝钢管模具一次成型。全圆满焊接完成，结构牢固，经高温粉体烤漆处理，长时间使用也不会产生表面烤漆剥落现象 螺旋升降式，升降距离为50mm，最高离地距离为500mm。Ф凳面直径315×高450-500mm。</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2、聚丙烯凳面材质：采用聚丙烯共聚级注塑。表面细纹咬花，防滑不发光，凳面底部镶嵌4枚铜质螺纹，采用不锈钢螺丝与圆型托盘固定。</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3、脚垫材质：采用PP加耐磨纤维增强塑料，实心倒勾式一体射出成型 凳面与凳脚留有一定的空间便于凳子挂在挂凳扣上。方便教室的打扫。</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★4、技术要求满足：GB/T 3325-2017 金属家具通用技术条件：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4.1椅凳类稳定性：凳子任意方向倾翻；倾翻力≥20N，应无倾翻；检测结果：无倾翻；</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4.2椅凳类强度和耐久性：座面和椅背载荷试验：单人位：座面加载力：1300N，椅背加载力：450N，加载次数：10次，加载时间：≥10S；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椅腿前向静载试验：加载力：500N，加载次数：10次，加载时间：≥10S，座面平衡载荷：1000N；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座面冲击试验：冲击高度：180mm；冲击次数：10次；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椅背冲击试验：冲击高度：210mm；冲击角度：38°；冲击次数：10次；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椅凳类强度和耐久性：跌落试验：跌落高度：200mm；跌落次数：10次；腿或基座大于200mm非叠放椅；</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提供由生产厂家送检满足以上技术要求具有CMA、CAL、ilac-MRA、CNAS认证的由省级或省级以上检测机构出具的实验凳检测报告复印件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48</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18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信息查询椅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 xml:space="preserve">★1、采用知名品牌的网布和布料，经久耐用，抗撕裂性强，透气性好，轻轻擦拭即可除污；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2、坐垫采用加厚的一体成型的高回弹定型棉作为坐垫，并且坐垫前沿有弧形设计，对腿部支撑更好，更贴合，环保健康更加舒适；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★3、全身椅子架都是采用高硬度1.5mm的钢材，设计承重达到500斤；</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4、椅子架的白色喷漆也是采用了多遍的反复喷漆，保证了漆的厚度，防止氧化；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5、坐垫底部采用了塑胶保护壳而非直接裸露的复合木板材料，更大程度的保证了坐垫的使用年限，坐垫底下的支架也是采用了双拉丝，更加的安全，牢固，更有效的保护椅子框架；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6、 桌板和椅子都采用的是可折叠的设计，便于收纳；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8 背框采用的是精选工程性的PP材料，安全可靠，耐用性好，非再生材质。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9、尺寸(mm)：总体580*500*850，定型棉坐垫：450*450，扶手高：670，坐垫高：440（不含写字板）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把</w:t>
            </w:r>
          </w:p>
        </w:tc>
      </w:tr>
      <w:tr>
        <w:tblPrEx>
          <w:tblCellMar>
            <w:top w:w="0" w:type="dxa"/>
            <w:left w:w="108" w:type="dxa"/>
            <w:bottom w:w="0" w:type="dxa"/>
            <w:right w:w="108" w:type="dxa"/>
          </w:tblCellMar>
        </w:tblPrEx>
        <w:trPr>
          <w:trHeight w:val="18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实验台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1、基本配置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1.1整体钢木结构，耐腐蚀实心理化板台面。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1.2安装静音支脚。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1.3U型铝合金拉手。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1.4柜体板材采用18mm E1级三聚氰胺饰面刨花板、PVC防水处理封边条。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1.5优质三节静音滑轨、铰链、三合一连接件。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1.6应用口字型钢架，钢架尺寸不小于38.5*58.5*1.2mm，外部环氧树脂喷塑。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1.7规格尺寸：6585*600*800mm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2、技术参数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 台面材质：采用12.7mm厚实芯理化板台面，四周边缘加厚至25mm。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2.2 柜体：钢木结构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 操作台、储物柜主要尺寸(功能尺寸）（mm）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2.3.1 台面宽度600〜1800(尺寸级差300)，应合格。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2.3.2 净操作面深度（d2）：600〜900(尺寸级差50)，应合格。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2.4 台面、正视面板翘曲度：对角线长度≥1400mm，应≤3.0mm。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2.5 操作台面不应有裂缝、渗透现象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2.6 金属件皱纹或波纹：圆管和扁线管弯曲处的皱纹高低之差应不大于0.4mm,弯曲处弧形应圆滑一致。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2.7 金属件电镀层表面应无烧焦、起泡、针孔、裂 纹、花斑（不包括镀彩锌）和划痕。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2.8 家具中有害物质限量应符合GB 18584的规定：甲醛释放量≤1.5mg/L</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 安全性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2.9.1 活动部件间距离应≤5mm或≥25 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2.9.2 与人体接触的零部件不应有毛刺、刃口、尖锐的棱角和端头.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2.9.3 所有可拉伸的部件，应装配有效的限位装置，当其包括装载物在内质量超过10 kg时，在拉手处施加200N力，该部件不应被拉脱；或者在其前端面贴一警示标签,说明该部件易被拉脱。</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★2.10操作台台面理化性能（须提供实验台第三方检测报告证明，非台面检测报告）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2.10.1磨损值≤70/mg/100r，表面素色磨350r，应无露底现象。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2.10.2耐划痕：1.5N,划一周，应无整圈连续划痕。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2.10.3抗老化：调制(23±2)'C, (50±5)%, 48h：老化 (45±5)C, 65%-90%, 72h.应无开裂。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2.10.4耐龟裂性：(20±2)*C, (24±l)h，应不低于1级。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2.10.5耐冷热循环：(80±2),C, (120±10) min. (-20±3),0, (120±10) mins四周期。应无裂纹、鼓泡、起皱和无明显变色。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2.10.6耐水蒸气：水蒸气，(60±5)mln°应无凸起、龟裂和明显变色。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2.10.7耐干热：(180±l),C, 20min，应不低于2级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2.10.8化学实验台面抗化学试剂：少许试液，24 ho光泽和颜色允许有轻微变化。</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2.10.9物理、化学实验台面耐高温：(120±3)*C, 2h，应无裂纹。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2.11操作台柜体及储物柜表面理化性能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2.11.1金属喷漆（塑）涂层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（1）硬度≥2H；</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（2）冲击强度：3.92J,应无剥落、裂纹、皱纹。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（3）耐腐蚀：24h乙酸盐雾试验(ASS),不低于7级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★2.11.2 木制件及人造板饰面（须提供实验台第三方检测报告证明）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（1）耐液：10%碳酸钠溶液和30%乙酸溶液，24h。无明显的变色、鼓泡、皱纹等。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（2）耐湿热：70°C,20min。不低于2级。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（3）耐干热：80°C,20min。不低于2级。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（4）耐冷热温差：温度(40±2)°C,相对湿度98%~99%, 和(-20±2)C,3周期。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无鼓泡、裂缝和明显失光。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（5）抗冲击：木制表面(漆膜)冲击器，200mm。应不低于2级。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（6）浸渍剥离性：II类浸渍剥离，胶层或贴面、封边条与基材间无剥离、分层现象。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 操作台力学性能（须提供实验台第三方检测报告证明）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2.12.1 水平静载荷试验：加载600N,10次。结果应符合GB/T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2.12.2 垂直静载荷试验：主桌面：加载2000N,10次。结果应符合GB/T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2.12.3 持续垂直静载荷：1.25kg/dm2,24 h。结果应符合GB/T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2.12.4 独立操作台水平冲击稳定性试验：质量：50kg,跌落高度：40mm。结果不应侧翻，并符合GB/T 10357.1第8 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2.12.5 水平耐久性试验：加载力：150N；循环次数：15000次。结果应符合GB/T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2.12.6 垂直耐久性试验：加载力：300N；循环次数：5000次。结果应符合GB/T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2.12.7 垂直冲击试验：跌落高度：150mm,10次。结果应符合GB/T 10357.1第8章的规定。</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4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展示储存柜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1.基材：采用优质E1板材，桌体台面采用2mm厚封边条、柜体侧板（除与地面接触边）、柜体顶板、门板、抽面板等可见处采用2mm厚封边条，其余部位封1mm封边条。板件之间采用三合一连接和木梢的方式连接固定。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2.封边：采用封边条厚度2.5MM的优质同色PVC封边条，无起花，异色边缘修饰平整、光滑。尺寸：3000*500*2000mm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77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仪器柜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尺寸：900*500*2000mm,全钢结构。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1.框架：采用1.0㎜厚镀锌钢板裁剪折弯后满焊点焊接，表面经EPOXY喷涂处理，连接件采用不锈钢连接件。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2.柜体：侧板、背板采用采用1.0㎜厚镀锌钢板裁剪折弯后满焊点焊接，表面经EPOXY喷涂处理，连接件采用不锈钢连接件。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3.柜门：采用1.0㎜厚镀锌钢板裁剪折弯后满焊点焊接，表面经EPOXY喷涂处理，对开门式设计。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4.铰链：采用定位铰链或2mm不锈钢合页。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5.调整脚：采用ABS新料模具一体成型的承重型可调节地脚，螺丝SUS304不锈钢材质。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7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实验台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1、基本配置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1.1整体钢木结构，耐腐蚀实心理化板台面。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1.2安装静音支脚。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1.3U型铝合金拉手。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1.4柜体板材采用18mm E1级三聚氰胺饰面刨花板、PVC防水处理封边条。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1.5优质三节静音滑轨、铰链、三合一连接件。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1.6应用口字型钢架，钢架尺寸不小于38.5*58.5*1.2mm，外部环氧树脂喷塑。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1.7规格尺寸：2400*600*750mm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2、技术参数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 台面材质：采用12.7mm厚实芯理化板台面，四周边缘加厚至25mm。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2.2 柜体：钢木结构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 操作台、储物柜主要尺寸(功能尺寸）（mm）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2.3.1 台面宽度600〜1800(尺寸级差300)，应合格。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2.3.2 净操作面深度（d2）：600〜900(尺寸级差50)，应合格。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2.4 台面、正视面板翘曲度：对角线长度≥1400mm，应≤3.0mm。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2.5 操作台面不应有裂缝、渗透现象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2.6 金属件皱纹或波纹：圆管和扁线管弯曲处的皱纹高低之差应不大于0.4mm,弯曲处弧形应圆滑一致。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2.7 金属件电镀层表面应无烧焦、起泡、针孔、裂 纹、花斑（不包括镀彩锌）和划痕。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2.8 家具中有害物质限量应符合GB 18584的规定：甲醛释放量≤1.5mg/L</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 安全性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2.9.1 活动部件间距离应≤5mm或≥25 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2.9.2 与人体接触的零部件不应有毛刺、刃口、尖锐的棱角和端头.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2.9.3 所有可拉伸的部件，应装配有效的限位装置，当其包括装载物在内质量超过10 kg时，在拉手处施加200N力，该部件不应被拉脱；或者在其前端面贴一警示标签,说明该部件易被拉脱。</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★2.10操作台台面理化性能（须提供实验台第三方检测报告证明，非台面检测报告）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2.10.1磨损值≤70/mg/100r，表面素色磨350r，应无露底现象。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2.10.2耐划痕：1.5N,划一周，应无整圈连续划痕。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2.10.3抗老化：调制(23±2)'C, (50±5)%, 48h：老化 (45±5)C, 65%-90%, 72h.应无开裂。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2.10.4耐龟裂性：(20±2)*C, (24±l)h，应不低于1级。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2.10.5耐冷热循环：(80±2),C, (120±10) min. (-20±3),0, (120±10) mins四周期。应无裂纹、鼓泡、起皱和无明显变色。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2.10.6耐水蒸气：水蒸气，(60±5)mln°应无凸起、龟裂和明显变色。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2.10.7耐干热：(180±l),C, 20min，应不低于2级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2.10.8化学实验台面抗化学试剂：少许试液，24 ho光泽和颜色允许有轻微变化。</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2.10.9物理、化学实验台面耐高温：(120±3)*C, 2h，应无裂纹。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2.11操作台柜体及储物柜表面理化性能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2.11.1金属喷漆（塑）涂层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（1）硬度≥2H；</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（2）冲击强度：3.92J,应无剥落、裂纹、皱纹。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（3）耐腐蚀：24h乙酸盐雾试验(ASS),不低于7级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★2.11.2 木制件及人造板饰面（须提供实验台第三方检测报告证明）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（1）耐液：10%碳酸钠溶液和30%乙酸溶液，24h。无明显的变色、鼓泡、皱纹等。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（2）耐湿热：70°C,20min。不低于2级。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（3）耐干热：80°C,20min。不低于2级。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（4）耐冷热温差：温度(40±2)°C,相对湿度98%~99%, 和(-20±2)C,3周期。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无鼓泡、裂缝和明显失光。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（5）抗冲击：木制表面(漆膜)冲击器，200mm。应不低于2级。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（6）浸渍剥离性：II类浸渍剥离，胶层或贴面、封边条与基材间无剥离、分层现象。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 操作台力学性能（须提供实验台第三方检测报告证明）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2.12.1 水平静载荷试验：加载600N,10次。结果应符合GB/T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2.12.2 垂直静载荷试验：主桌面：加载2000N,10次。结果应符合GB/T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2.12.3 持续垂直静载荷：1.25kg/dm2,24 h。结果应符合GB/T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2.12.4 独立操作台水平冲击稳定性试验：质量：50kg,跌落高度：40mm。结果不应侧翻，并符合GB/T 10357.1第8 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2.12.5 水平耐久性试验：加载力：150N；循环次数：15000次。结果应符合GB/T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2.12.6 垂直耐久性试验：加载力：300N；循环次数：5000次。结果应符合GB/T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2.12.7 垂直冲击试验：跌落高度：150mm,10次。结果应符合GB/T 10357.1第8章的规定。</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3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展示柜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65408" behindDoc="0" locked="0" layoutInCell="1" allowOverlap="1">
                  <wp:simplePos x="0" y="0"/>
                  <wp:positionH relativeFrom="column">
                    <wp:posOffset>141605</wp:posOffset>
                  </wp:positionH>
                  <wp:positionV relativeFrom="paragraph">
                    <wp:posOffset>161290</wp:posOffset>
                  </wp:positionV>
                  <wp:extent cx="487680" cy="349250"/>
                  <wp:effectExtent l="19050" t="0" r="7620" b="0"/>
                  <wp:wrapNone/>
                  <wp:docPr id="993" name="图片_3"/>
                  <wp:cNvGraphicFramePr/>
                  <a:graphic xmlns:a="http://schemas.openxmlformats.org/drawingml/2006/main">
                    <a:graphicData uri="http://schemas.openxmlformats.org/drawingml/2006/picture">
                      <pic:pic xmlns:pic="http://schemas.openxmlformats.org/drawingml/2006/picture">
                        <pic:nvPicPr>
                          <pic:cNvPr id="993" name="图片_3"/>
                          <pic:cNvPicPr>
                            <a:picLocks noChangeArrowheads="1"/>
                          </pic:cNvPicPr>
                        </pic:nvPicPr>
                        <pic:blipFill>
                          <a:blip r:embed="rId19"/>
                          <a:srcRect/>
                          <a:stretch>
                            <a:fillRect/>
                          </a:stretch>
                        </pic:blipFill>
                        <pic:spPr>
                          <a:xfrm>
                            <a:off x="0" y="0"/>
                            <a:ext cx="487680" cy="34925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1.尺寸：1800*320*2000mm±10mm；★2.材质：进口或者国内知名松原木；★3.工艺：环保水性漆、缓冲门铰、三节静音轨；4、结构：三抽屉六门四道档板，具体如图片所示</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25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资料矮柜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66432" behindDoc="0" locked="0" layoutInCell="1" allowOverlap="1">
                  <wp:simplePos x="0" y="0"/>
                  <wp:positionH relativeFrom="column">
                    <wp:posOffset>270510</wp:posOffset>
                  </wp:positionH>
                  <wp:positionV relativeFrom="paragraph">
                    <wp:posOffset>1266825</wp:posOffset>
                  </wp:positionV>
                  <wp:extent cx="596900" cy="520065"/>
                  <wp:effectExtent l="19050" t="0" r="0" b="0"/>
                  <wp:wrapNone/>
                  <wp:docPr id="992" name="图片_4"/>
                  <wp:cNvGraphicFramePr/>
                  <a:graphic xmlns:a="http://schemas.openxmlformats.org/drawingml/2006/main">
                    <a:graphicData uri="http://schemas.openxmlformats.org/drawingml/2006/picture">
                      <pic:pic xmlns:pic="http://schemas.openxmlformats.org/drawingml/2006/picture">
                        <pic:nvPicPr>
                          <pic:cNvPr id="992" name="图片_4"/>
                          <pic:cNvPicPr>
                            <a:picLocks noChangeArrowheads="1"/>
                          </pic:cNvPicPr>
                        </pic:nvPicPr>
                        <pic:blipFill>
                          <a:blip r:embed="rId20"/>
                          <a:srcRect/>
                          <a:stretch>
                            <a:fillRect/>
                          </a:stretch>
                        </pic:blipFill>
                        <pic:spPr>
                          <a:xfrm>
                            <a:off x="0" y="0"/>
                            <a:ext cx="596900" cy="52006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全钢结构。</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尺寸(mm)：高900、宽1180、深390；中间6抽屉，两边门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★1.框架：采用≥1.2mm厚镀锌钢板裁剪折弯后满焊点焊接，表面经EPOXY喷涂处理，连接件采用不锈钢连接件。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2.柜体：侧板、背板采用采用≥1.2mm厚镀锌钢板裁剪折弯后满焊点焊接，表面经EPOXY喷涂处理，连接件采用不锈钢连接件。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3.柜门：采用≥1.2mm厚镀锌钢板裁剪折弯后满焊点焊接，表面经EPOXY喷涂处理，对开门式设计。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4.拉手：人体工学设计，造型独特美观；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5.铰链：采用定位铰链或2mm不锈钢合页。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6.调整脚：采用ABS新料模具一体成型的承重型可调节地脚，螺丝SUS304不锈钢材质。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8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听课椅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themeColor="text1"/>
                <w:kern w:val="0"/>
                <w:sz w:val="24"/>
              </w:rPr>
            </w:pPr>
            <w:r>
              <w:rPr>
                <w:rFonts w:hint="eastAsia" w:ascii="宋体" w:hAnsi="宋体" w:cs="宋体"/>
                <w:color w:val="000000" w:themeColor="text1"/>
                <w:kern w:val="0"/>
                <w:sz w:val="24"/>
              </w:rPr>
              <w:t>★1、采用知名品牌的网布和布料，经久耐用，抗撕裂性强，透气性好，轻轻擦拭即可除污；</w:t>
            </w:r>
          </w:p>
          <w:p>
            <w:pPr>
              <w:rPr>
                <w:rFonts w:ascii="宋体" w:hAnsi="宋体" w:cs="宋体"/>
                <w:color w:val="000000" w:themeColor="text1"/>
                <w:sz w:val="24"/>
              </w:rPr>
            </w:pPr>
            <w:r>
              <w:rPr>
                <w:rFonts w:hint="eastAsia" w:ascii="宋体" w:hAnsi="宋体" w:cs="宋体"/>
                <w:color w:val="000000" w:themeColor="text1"/>
                <w:kern w:val="0"/>
                <w:sz w:val="24"/>
              </w:rPr>
              <w:t xml:space="preserve">2、坐垫采用加厚的一体成型的高回弹定型棉作为坐垫，并且坐垫前沿有弧形设计，对腿部支撑更好，更贴合，环保健康更加舒适；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★3、全身椅子架都是采用高硬度1.5mm的钢材，设计承重达到500斤；</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4、椅子架的白色喷漆也是采用了多遍的反复喷漆，保证了漆的厚度，防止氧化；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5、坐垫底部采用了塑胶保护壳而非直接裸露的复合木板材料，更大程度的保证了坐垫的使用年限，坐垫底下的支架也是采用了双拉丝，更加的安全，牢固，更有效的保护椅子框架；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6、 桌板和椅子都采用的是可折叠的设计，便于收纳；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8 背框采用的是精选工程性的PP材料，安全可靠，耐用性好，非再生材质。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9、尺寸(mm)：总体580*500*850，定型棉坐垫：450*450，扶手高：670，坐垫高：440（不含写字板）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把</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学生电源</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公牛610八位插排，线长1.8米</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10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智能系统控制柜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规格：430*200*650mm；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外形设计思路利用学生常用书籍的理念设计，让设备更好融入学生的学习氛围中，。采用优质镀锌钢板制作，设计具有现代线条感，时尚大方。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功能：采用物联网+现代生活模式、能APP控制。设置总漏电保护器 1个、每分路一个漏电保护器、总控制器一个、开关电源若干个，10寸屏一个、紧急开关一个，启动开关一个。多种元器件组合成强大保护集成电路。保障220V电源具有漏电、短路、过载保护。低压输出驱动电压、学生电源交直流电压，具有智能保护系统，短路过载具有自动复位功能。液晶屏幕能控制每个学生照明、电源升降、交直流电压及能锁定学生交直流电压。</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多功能集中控制系统</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　 10寸触摸屏集中控制系统。可执行各分项分页控制；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（1）升降控制：可以实现单个控制，可以集中控制，可以任意组合控制；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（2）补光控制：分组控制整室照明；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（3）220V电源控制：控制学生AC220V电源；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（4）低压控制：教室主控，分组控制。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顶部多模块电源供应装置</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采用ABS材质，模具一体成型。模块内预留高压、低压位置。</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模块储藏装置</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尺寸：350*350*130mm，采用ABS材质，模具一体成型。四周带氛围灯设计。</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13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低压电源模块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1、教师主控型，学生低压电源都可接收主控电源发送的锁定信号，在锁定指示灯点亮后，学生接收老师输送的设定电源电压，教师锁定时,学生自己无法操作，这样可避免学生的误操作。可以分组或独立控制；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2、学生电源采用耐磨、耐腐蚀、耐高温的PC亮光薄膜面板，学生电源的控制采用按钮式按键，可以随意设置电压，贴片元件生产技术，微电脑控制，采用1.54寸液晶显示电源学生交直流电压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3、学生交流电源通过上下键0～24V电压，最小调节单元可达1V,额定电流2A，具有过载保护智能检测功能（电流高于过载点则自动保护，电流低于过载点则自动恢复至设定值）；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4、学生直流电源也是通过上下键选取，调节范围为1.5～24V，分辨率可达0.1V,额定电流2.5A，亦具有过载保护智能检测功能。</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高压电源模块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采用220V，多功能安全插座，带漏电保护功能</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智能升降机构</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采用自动升降系统，自带保护功能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技术要求满足：1、外观要求：各部件应进行防腐处理；可触及部位应无毛刺、飞边、快口等缺陷；外壳加工规整，无明显敲击和机械损伤；部件的定位应可靠，不应有窜动、歪斜、工作卡阻等影响使用的缺陷。</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2、主体金属材料硬度，HV≥180HV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3、防护涂层的要求，um：涂层表面光滑，颜色、色泽应基本一致，无气泡，不脱落；任意五点的平均厚度应≥100um；经2H铅笔硬度试验后，涂层应无明显痕迹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4、运行平稳性：经升降200次试验后，运行应无异常现向发生。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提供由生产厂家送检满足以上技术要求由省级或省级以上检测机构出具的智能升降机构检测报告复印件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安装辅件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环氧树脂喷涂金属吊杆支架、国标五金件等。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移动学习终端</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品牌机，R3-5300U/8G/256G，14英寸IPS高清。</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物理展示墙</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1.5阻燃板打底、高清写真、定制物理知识，辅料</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物理书写墙</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尺寸3600*1200mm，26mm加厚铝合金框，进口或者国产知名品牌的实芯树脂绿板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窗帘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双道窗帘，里道为优质加厚棉麻布料制作的全遮光帘（包括窗轨），外道为高级无纺布彩色喷绘定制，在窗帘上印制相关知识内容，集教学、观赏为一体的卷帘；含窗帘图文设计与安装，不含窗帘盒。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室</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蓝牙音箱无线咪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配置参数详见附件5</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线材</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配套线材、五金、无线高清投屏器等附件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仿宋" w:hAnsi="仿宋" w:eastAsia="仿宋" w:cs="仿宋"/>
                <w:color w:val="000000" w:themeColor="text1"/>
                <w:sz w:val="24"/>
              </w:rPr>
              <w:t>86吋智能交互平板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配置参数详见附件3</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推拉式绿板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配置参数详见附件4</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数据采集器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数据采集器为科学实验专采集器，四通道并行采集，不分数字模拟通道；支持USB即插即，自动监测传感器接入或拔出，无须外接电源，采样频率80K；可根据实验教学需要，选择接插有线接口或无线接收实现与传感器通讯；支持有线/无线状态下的四通道并行采集.可进行四路声波传感器同步显示的高频采集实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无线接口</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采无线方式接入四种相同或不同的传感器并支持四通道并行采集，全数字通道，与数据采集器接插使。在此种工作状态下，传感器应转化为与采集器的无线通信状态。</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传感器通用无线发射模块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支持Windows系统,通过与各种传感器组合使之具备与采集器的无线通讯功能。自锁接头，支持热插拔连接，可充电电池供电；可进行四路声波传感器同步显示的高频采集实验。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传感器数据显示模块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1、通过与各种传感器组合使用，具备独立数据显示功能。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2、采用BT自锁接头，支持热插拔连接，接入后自动识别传感器。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3、该模块具备自动保存实验数据，并且可与计算机有线连接（兼充电）或通过手持设备(平板、手机等)扫描二维码进行无线连接，导出实验数据的功能。可充锂电池供电 </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微电流传感器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1、测量范围：-1μA~+1μA；分度：0.01μA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2、连接插口采用BT接口，具有方向性和自锁功能，可以防止传感器脱落保证数据传输稳定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3、支持与采集器的有线通讯、无线通讯和彩屏独立数据显示三种工作方式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4、支持热插拔，自带硬件调零按钮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5、可在windows系统和安卓系统下进行实验演示</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磁感应强度传感器（三维）</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量程：-50mT~+50 mT；分度：0.01 mT，支持与采集器的有线通讯、无线通讯和独立数据显示三种工作方式；可测量三个方向磁感应强度大小，可显示分值和合值；*传感器自带硬件调零按钮并支持硬件调零功能；传感器自带M6螺纹孔，轻松实现与多种实验装置的组装固定；传感器连接线插口具有方向性和自锁功能，可以防止传感器脱落保证数据传输稳定。（支持Windows、Android、苹果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力传感器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量程：-20N~+20N；测量误差不超过±0.01N.支持与采集器的有线通讯、无线通讯和独立数据显示三种工作方式；*传感器自带硬件调零按钮并支持硬件调零功能；传感器自带M6螺纹孔，轻松实现与多种实验装置的组装固定；传感器连接线插口具有方向性和自锁功能，可以防止传感器脱落保证数据传输稳定。（支持Windows、Android、苹果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微力传感器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量程：-2N~+2N；分度：0.001N；可用于测拉力（显示正值）和压力（显示负值），手柄式结构，支持与采集器的有线通讯、无线通讯和独立数据显示三种工作方式；传感器自带M6螺纹孔，轻松实现与多种实验装置的组装固定；*传感器自带硬件调零按钮并支持硬件调零功能；传感器连接线插口具有方向性和自锁功能，可以防止传感器脱落保证数据传输稳定。（支持Windows、Android、苹果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位移传感器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由发射器与接收器构成，发射器由一节7号电池供电，易与现有实验装置（运动小车、弹簧振子等）组合。接收器与采集器连接，接收发射器发出的信号，并显示与发射器前沿之间的距离，测量范围：0cm ~200cm，分度：1mm。无测量盲区，支持与采集器的有线通讯、无线通讯和独立数据显示三种工作方式。传感器连接线插口具有方向性和自锁功能，可以防止传感器脱落保证数据传输稳定。（支持Windows、Android、苹果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光电门传感器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分度：2μS；用于测量挡光片（U型、I型）的挡光时间，支持与采集器的有线通讯、无线通讯工作方式；传感器自带M6螺纹孔，轻松实现与多种实验装置的组装固定；传感器连接线插口具有方向性和自锁功能，可以防止传感器脱落保证数据传输稳定。（支持Windows、Android、苹果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声波/声级传感器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通过转换按钮切换测量声音的波形和强度，研究声音的频率、周期、振幅等特征。声波频率测量范围：20Hz~20kHz。声级测量范围：20 dB ~120dB，分度：0.1dB。支持与采集器的有线通讯、无线通讯工作方式；传感器自带M6螺纹孔，轻松实现与多种实验装置的组装固定；传感器连接线插口具有方向性和自锁功能，可以防止传感器脱落保证数据传输稳定。</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温度传感器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量程：-50℃~+200℃；分度：0.1℃；不锈钢探针，可测各种物体或溶液的温度，支持与采集器的有线通讯、无线通讯和独立数据显示三种工作方式；传感器自带M6螺纹孔，轻松实现与多种实验装置的组装固定；传感器连接线插口具有方向性和自锁功能，可以防止传感器脱落保证数据传输稳定。（支持Windows、Android、苹果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271"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压强传感器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量程：0 kPa ~700 kPa；分度：0.1 kPa；可用于直接测量气体的绝对压强；支持与采集器的有线通讯、无线通讯和独立数据显示三种工作方式，配件：20ml注射器；传感器自带M6螺纹孔，轻松实现与多种实验装置的组装固定；传感器连接线插口具有方向性和自锁功能，可以防止传感器脱落保证数据传输稳定。（支持Windows、Android、苹果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加速度传感器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量程-50m/s2~+50m/s2，三维，支持与采集器的有线通讯、无线通讯两种工作方式；传感器自带M6螺纹孔，轻松实现与多种实验装置的组装固定；传感器连接线插口具有方向性和自锁功能，可以防止传感器脱落保证数据传输稳定。</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G-M传感器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测量范围：0~40000次/分；用于测量β、γ粒子脉冲数，支持与采集器的有线通讯、无线通讯工作方式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一体式位移传感器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量程：0.15m~6m，分度：1mm；支持与采集器的有线通讯、无线通讯两种工作方式；传感器自带M6螺纹孔，轻松实现与多种实验装置的组装固定；传感器连接线插口具有方向性和自锁功能，可以防止传感器脱落保证数据传输稳定。</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多量程电流传感器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量程：-2A~+2A；分度：0.01A   量程：-200mA~+200mA；分度：1mA    量程：-20mA ~+20mA；分度：0.1 mA     支持与采集器的有线通讯、无线通讯和独立数据显示三种工作方式  *要求：为避免软件虚拟处理，传感器自带硬件选择档位；传感器自带硬件调零按钮并支持硬件调零功能；传感器自带M6螺纹孔，轻松实现与多种实验装置的组装固定；传感器连接线插口具有方向性和自锁功能，可以防止传感器脱落保证数据传输稳定。（支持Windows、Android、苹果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多量程电压传感器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量程：-20V~+20V；分度：0.01V    量程：-2V~+2V；分度：0.001V   量程：-0.2V~+0.2V；分度：0.1mV   支持与采集器的有线通讯、无线通讯和独立数据显示三种工作方式  *要求：为避免软件虚拟处理，传感器自带硬件选择档位；传感器自带硬件调零按钮并支持硬件调零功能；传感器自带M6螺纹孔，轻松实现与多种实验装置的组装固定；传感器连接线插口具有方向性和自锁功能，可以防止传感器脱落保证数据传输稳定。（支持Windows、Android、苹果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静电计实验器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测量范围：±100nC，分辨率：1nC，产品尺寸：11cm*11.4cm*2.8cm,偏差不大于0.5cm； ★传感器自带5吋液晶屏一体化设计(屏幕尺寸偏差不大于0.2吋)；自配锂电池供电，带电量1100mAh，配准用充电器、静电器底座、无线接收器、专用软件、导电小球（直径不小于0.5cm）；可测量带电物体的电荷量和极性，具有硬件调零的功能。输入端可连接金属小球或法拉第冰桶，以无线方式与计算机进行同步通讯显示，断电后数据无丢失。可完成静电感应、电荷守恒、等势体研究、静电屏蔽、光电效应等实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多功能超级模块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由20种电路模块组成，根据模块的功能又分为核心模块（4种）、输入模块（4种）、输出模块（4种）、通信模块（3种）、扩展模块（5种）五个大类。各模块采用BTB接口连接，可通过磁吸的方式相互组合，无需焊接及导线连接。系统支持使用Mixly图形化编程、兼容ArduinoIDE、Blynk（手机控制软件），支持串口、蓝牙、WIFI和GSM通信。与DISLab传感器兼容</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专用充电器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5V/0.5A直接连接传感器无线发射模块或显示模块进行充电，一端为usb接口另一端为micro usb接口。</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附件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含USB通讯线1条、转接器4只、传感器线4条；两端为BT插头，插口具有方向性和自锁功能——――插接方便、配合严密、方便教学； 技术资料需包含产品使用手册、实验案例说明手册等；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铝合金箱</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由铝合金主架、铝塑板面构成，内设隔断海棉内衬</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实验分析软件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支持Windows7/Windows8/Windows10 32/64bits系统G；软件根实验教学需求及的认知心理特征，提供中学版物理、化学、生物专软件和通用软件；专软件采了图形化的设计理念，软件平台里面包含了大量专实验模板，预设了操作流程，方便操作使，通软件具备视频区域。可进行数据处理，满足教材与课外探究的要求；光盘存储，中文简体界面；传感器插入后能自动识别和运行；支持软件版本升级，能持续兼容旧有的和新增的传感器。支持4通道无线并行采集；软件须无需设置参数自动检测传感器，并提供仪表、数值、曲线多种显示与数据采集器同一品牌。风格；软件须具有双组合曲线功能及完整的可对数据图线进行拟合的功能（一次函数、二次函数、三次函数、反比函数、反比平方、对数、正弦函数、指数、复合指数等），并自动显示拟合的函数表达式；具有中学常的预设公式，并可根据实验需求自由定义公式；软件内设可调整采样频率范围是0.1~20K；具有完善的数据处理功能（可对图线中数据进行求导、积分、平均值、绘制包络线、最大值、最小值的计算），可对无效数据图线的数据进行删除或恢复；可以对实验设置进行保存，生成实验模板；具有实验数据采集过程录播、回放功能；软件可生成实验报告，提供实验报告模板，可导入实验表格数据及插入实验图线并进行分析；可在软件中发送实验报告；提供实验帮助--可在软件中随时查询理化生实验图片及实验说明，方便教学参考使用。具备同时录制实验操作及数据显示、处理功能。</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智能力盘实验器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力/倾角传感器(双测量传感器须一体化设计，测量范围：-20N~+20N/-180°~+180°；分度：0.01N/0.1°；直柄式结构，同时可测得力与倾角数据，测力时拉力显示正值、压力显示负值；测倾角时，竖直向下方向定为0°，顺时针方向的角度为正值，逆时针方向的角度为负值，支持与采集器的有线通讯、无线通讯工作方式)、精密力盘、挂臂、固定装置组成，与铁架台、数据采集器配合使。可同时测量两个方向的分力大小与角度值，完成动态条件下力的分解实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多力学轨道</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含1.2m黑色强化铝合金轨道1条、轨道小车2辆、弹簧2条、固定柱2只、50克配重片4片、5克配重块4只、沙桶1只、挡光片五片（20×2、40、60、80）、摩擦块1块、磁碰片2片、弹性碰圈2只、滑轮1套、磁碰座架1套、小车收纳器1套、轨道倾角调节器1套、T型支撑架1只、L型挂架2只、铝合金I型支架4只、塑料I型支架2只、策动源1套、紧固件一宗</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机械能守恒实验器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底座、金属刻度板（含释放装置、挡光片）、立柱、传感器电路、摆锤（为方便教学，摆锤内置光电门传感器，不接受外置）、摆杆、固定螺栓组成，直接与计算机USB口连接通讯，通过摆锤的一次运动，可获得摆锤在六个不同高度位置的速度数据，速度采集不能由角速度或转速换算而来，进一步得到动能和势能，研究机械能守恒定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该产品必须满足以下要求：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（1）摆锤在一次下落过程中，通过其自带的光电门传感器，可以同时测量并记录摆锤在六个不同高度时的速度大小。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软件自动计算并记录出6个挡光位置的速度大小，并能进一步计算出摆锤的动能、势能和机械能，同时描绘出动能、势能和机械能随摆锤下落高度的变化图线。通过数据表格和图线可以得到随着摆锤下落时，随高度的降低，动能增大，势能减小，机械能不变的实验结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摆锤速度的记录非通过角速度或转速换算而来，为通过光电门传感器测得挡光时间，并由基本公式“V=S/T”得出瞬时速度，重力势能通过设定零势能点，由刻度板度数高度h，并由基本公式Ep=mgh得出，符合中学各年级学生学习和认知规律。</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斜面上力的分解</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由座架、L型旋臂和内置式力传感器、弧型角度标尺、环型物块构成。不需另配传感器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机械能守恒实验器I</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主板、副板、光电门传感器固定臂、磁铁夹固定臂（含磁铁夹）、摆锤（含摆锤线）、定位档、中央螺母、中央螺栓、摆锤线固定栓、测平器、蝶形螺栓、通螺栓构成。主板标尺刻度：0mm、50mm、100mm、150mm，误差为±1mm；副板标尺刻度：0mm、50mm、100mm、150mm，误差为±1mm；光电门固定在主板的后方，当调节中心螺栓和螺母的紧度时，固定臂既能任意调节，又能根据实验要求固定在主板的任意位置；光电门传感器固定臂长454mm ±2mm；磁铁夹固定臂长404 mm ±2mm。摆锤的材质为金属铁质，摆锤直径：8mm±0.5mm，质量：8.2g±0.5g；定位档片，能够准确定位，精确改变摆长；测平器测平器外侧边缘应齐平，光滑，以便将光电门传感器精确定位。与光电门传感器配合使，可完成对机械能守恒定律定性和定量的探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环形线圈</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高灵敏度、无源、塑壳封装、带屏蔽，与微电流传感器配合，可测得切割地磁场产生的感生电流，也可测得不同电器的电磁辐射强度.</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螺线管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外形尺寸：112mm*40mm*45mm(±1mm)，可接电源，通过磁传感器测量，螺线管中间位置可产生匀强磁场。</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摩擦力实验器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由轨道、摩擦台底座、多种摩擦块、电机组成，与力传感器配合使用，可实现探究摩擦面、物体重量、运动速度、接触面积等因素对摩擦力大小的影响。</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平抛运动实验器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由座架、支架、平抛轨道、光电门支架、内置式触碰传感器、小球、标尺游标、磁性回收器等组成。与光电门传感器配合，可测量平抛运动小球的初速度、运行时间与水平距离</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远红外实验加热器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220V交流供电，功率80W；圆筒型远红外辐射加热炉芯，便于对加热体均匀加热。可完成查理定律、晶体熔解和凝固、比热容等高精度热学定量实验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安培力实验器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底座、磁铁组、标有角度的转盘、矩形线框、挂钩、支架组成，配合电流传感器或多量程电流传感器和微力传感器使用，研究安培力与导线长度、供电电流以及电流方向与磁场夹角的关系。矩形线框上线圈为6种匝数，50、100、150、200、250、300匝，可研究不同匝数下的安培力大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EXB电学实验板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共23块，设有标准接插孔及开关。能够完成的实验如下：半波、全波整流、滤波；复杂电路分析；RC、RL移相；测量电池的电动势和内阻；分压、限流；二、三极管特性曲线、三极管放大电路；恒压源、恒流源；双稳态、多谐振荡；简单门电路；电容充放电及串并联；LC振荡、自感现象；描绘小灯泡的伏安特性曲线等三十多个电学实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逻辑电路实验器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与或非三种门电路、八种开关电路、三种显示模块、三种连接器、电源、信号采集器和软件等二十三个组件构成，可完成复杂的数字电路、自动控制、逻辑电路实验，可通过软件显示输入输出电平随时间变化曲线，便于数据分析</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电阻定律实验器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由直径不同的铁、铁铬、镍铬三种金属丝组成，配合电流、电压传感器使用，探究导体的电阻与长度、截面积的关系</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电磁定位系统(魔板)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支架、电磁定位板、纵横向保护槽、信号源、弹射器、附件组成。定位范围：578mm×330mm；最高采样频率：200Hz/s；定位精度：≤1mm。通过实时定位，检测跟踪信号源在定位板上的位置，研究物体在二维平面内运动规律。标配实验配件为三速弹射器，用于抛射信号源，可完成平抛运动/斜抛运动的相关实验研究。可以选配其它实验配件，完成单摆、自由落体运动、机械能守恒定律、阻尼振动、离心运动、运动的合成、圆周运动物体的投影及速度方向等十几个相关实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法拉第电磁感应实验器Ⅰ（动生）</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铝合金底座、可变3种匝数的活动线圈、可调距离的强磁铁组成、竖直运动轨道、光电门传感器及支架、挡光杆、固定螺栓等组成，通过内置传感器测量数据，直接与计算机USB口通讯；可完成探究磁场变化率或线圈匝数与感生电动势关系实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法拉第电磁感应实验器Ⅱ（感生）</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由铝合金底座、原副线圈、通过内置传感器测量感生电动势数据，直接与计算机USB口连接通讯，与磁感强度传感器、智能电源配合使，完成电磁感应实验；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274"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智能电源</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分为手动模式和智能模式输出。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手动模式直流输出：1.5V~10V连续可调。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智能模式输出：可分别调节单周期的梯形波、单周期三角波及多周期三角波三种模式输出，波形上升与下降斜率分别可调。是法拉第电磁感应定律实验器Ⅱ的必备模块，二者组合使用，可完成研究磁通量的变化率与感生电动势的关系实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271"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光学附件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由激光光源、托架、单缝、双缝、偏振片组成，安装在铁架台上，与相对光照度分布传感器配合使用，用于测量光的单缝衍射、双缝干涉分布图像。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查理定律实验器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由试管、快速温度探头、压强传感器连接器组成，结合温度与压强传感器，探究气体压强与温度的关系</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玻璃导电实验器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由底座、专用实验板、玻璃组成，与微电流传感器配合使用。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温差电流实验器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由底座、不同材料金属框组成，与微电流传感器配合使用。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音频信号发生器V2.0</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通过内置或接外部扬声器发出声波，声波频率200Hz~2000Hz，声音响度连续可调。可配合声波传感器检测音频信号进行音频分析，自带2.0寸TFT彩色液晶屏显示波形</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0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方块电路-高中学生版</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12类27种电路模块及若干配件组成：（1）电源模块×1；（2）仪表模块×2；（3）导线模块×3；（4）开关模块×3；（5）电位器模块×3；（6）可变电阻模块×3；（7）敏感电阻模块×2；（8）二极管模块×2；（9）三极管模块×2；（10）用电器模块×3；（11）扩展模块×2及插片、磁铁；（12）接口模块×1；配件： USB集线器、双头充电器及USB Type-C数据线。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可自由搭建高中课程标准中电学及控制电路实验电路，实时测量流、电压数据，满足教师课堂演示实验需求。</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作用力与反作用力实验器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由底座、滑台、两个固定柱构成，将两个力传感器分别固定在固定柱上，通过移动其中一个固定柱上力传感器来观看两个力传感器值的大小。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电磁感应与楞次定律实验器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该实验器由档位开关、线圈、接线柱和电路板组成。与多量程电流传感器或微电流传感器配合使用，用于研究电磁感应现象。档位开关分别与不同匝数相的线圈连接，探究线圈匝数与感应电流的关系。可根据曲线的变化趋势分析感应电流的方向，并由此验证楞次定律</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斜面作实验器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产品包括底座、角度板、轨道、重物、转轴、力倾角传感器、紧固螺栓、防夹手垫、轨道连接件、传感器连接件等组成。配合上位机软件使用，可在软件界面上实时显示测量的角度与力的数据。产品支持无线、有线两种数据传输方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光电计时测距实验器（π系统）</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含1.2m专用轨道1条、光电计时测距装置2台、无线接收器2套，USB Hub一套、弹簧2条、固定柱2只、5克配重块4只、50克配重块2块、100克配重块2块、沙桶1只、滑轮1套、磁碰座架1只、轨道倾角调节器1套、T型支撑架1只、L型挂架1只、I型支架1只、策动源1套、紧固件一宗、充电器1套。无线接收器直接与计算机USB口通讯，通过无线通讯的方式接收光电计时测距装置的信号，并在专用软件上显示出测量数据或图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魔板-单摆实验器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由立柱、支架、摆杆（含转轴、T型连接杆、碳纤维杆、信号源夹、配重块）、刻度盘、角码及紧固件构成。与电磁定位板、信号源配合使用，可进行单摆实验。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魔板-机械能守恒实验器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支架总成（含60mm立杆、支架、角槽连接件）、摆杆（含转轴、T型连接杆、碳纤维杆、信号源夹）及紧固件构成，配备安装工具（含2.5mm内六角扳手1只，1.5mm内六角扳手1只）。与电磁定位板、信号源配合使用，可进行“机械能守恒定律”实验，系统自动记录信号源的运动轨迹，并给出这段运动区域内信号源动能、重力势能和机械能的变化图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魔板-离心轨道实验器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轨道总成（含多功能支架、释放器、底部支架、轨道）、固定支架、回收筐及紧固件构成，有气泡水平仪，可根据气泡位置调整水平状态。与电磁定位板、信号源配合使用，可进行“离心轨道”实验，系统自动记录信号源的运动轨迹。</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魔板-阻尼振动实验器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由振动装置（含振动条、信号源仓、信号源仓盖）、支架限位器及紧固件构成。与电磁定位板、信号源配合使用，可进行“阻尼振动”实验，系统自动记录信号源的运动轨迹。</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无线向心力实验器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底座、支架、旋臂（内置传感器及无线发射电路）、挡光臂、旋臂座、砝码、连接装置、紧固件、无线接收器构成。旋臂可在水平、倾向、垂直平面内自由旋转。无线接收器与计算机USB接口通讯，无需另配数据采集器与传感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数据采集器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1.模块化设计,插拔式接口，具备便于观察的状态、电源指示灯；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2.USB 2.0或3.0通讯协议，四通道并行实时采集，全数字通道，单通道最大采样率20KByte/s，总体最大采样率80KByte/s；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3.USB接口供电，无需外接电源；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4.所有端口具备防静电保护和短路保护功能；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5.双CPU主板，CPU主频不低于48Mhz；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6.所有端口支持热插拔，即插即用；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7.采用连线方式接入四种相同或不同的传感器并支持四通道并行采集，全数字通道，采用BT自锁接口，与数据采集器接插使用；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8.可根据实验教学需要，扩展成无线接收实现与传感器通讯。</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微电流传感器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测量范围：-5μA~+5μA；分度：0.01μA，支持与采集器的有线通讯、无线通讯和独立数据显示三种工作方式。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磁感应强度传感器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测量范围：-15mT~+15 mT；分度：0.01 mT，支持与采集器的有线通讯、无线通讯和独立数据显示三种工作方式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力传感器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-20N~+20N；分度：0.01N；可用于测拉力（显示正值）和压力（显示负值），★传感器自带硬件调零按钮并支持硬件调零功能；手柄式结构，连接插口采用BT接口，具有方向性和自锁功能，可以防止传感器脱落保证数据传输稳定，支持与采集器的有线通讯、无线通讯和彩屏独立数据显示三种工作方式，支持热插拔，支持windows系统、安卓和iOS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位移传感器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由发射器和接收器构成。发射器由电池供电，易与现有实验装置（运动小车、弹簧振子等）组合；接收器与采集器连接，测量范围：0cm ~200cm，分度：1mm。连接插口采用BT接口，具有方向性和自锁功能，可以防止传感器脱落保证数据传输稳定，支持与采集器的有线通讯、无线通讯和独立彩屏数据显示三种工作方式，支持热插拔，支持windows系统、安卓和iOS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光电门传感器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分度：2μS；用于测量挡光片（U型、I型）的挡光时间，连接插口采用BT接口，具有方向性和自锁功能，可以防止传感器脱落保证数据传输稳定，可与无线传输模块自由组合，支持windows系统、安卓和iOS系统。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声波/声级传感器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能测量声音的波形，研究声音的频率、周期、振幅等特征；频率测量范围：20Hz~20kHz，声级测量范围：20 dB ~120dB，分度：0.1dB支持与采集器的有线通讯、无线通讯工作方式；传感器采用BT插口，具有方向性和自锁功能，可以防止传感器脱落保证数据传输稳定，支持热插拔。支持windows系统、安卓和iOS系统。声波传感器需满足以下要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（1）同时无线接入4只声波传感器，可观察到4路声音波形，同步采集无延迟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（2）测量并区分不同音色、频率、响度的波形，能够对声波进行频谱分析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（3）能在Windows平台和安卓/iOS手机上分别进行声波采集演示</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温度传感器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-50℃~+200℃；分度：0.1℃；不锈钢探针，可测高温物体或火焰的温度，连接插口采用BT接口，具有方向性和自锁功能，可以防止传感器脱落保证数据传输稳定，支持与采集器的有线通讯、无线通讯和彩屏独立数据显示三种工作方式，支持热插拔，支持windows系统、安卓和iOS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压强传感器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测量范围：0 kPa ~700 kPa；分度：0.1 kPa；可用于直接测量气体的绝对压强；连接插口采用BT接口，具有方向性和自锁功能，可以防止传感器脱落保证数据传输稳定，支持热插拔，支持与采集器的有线通讯、无线通讯和彩屏独立数据显示三种工作方式，支持windows系统、安卓和iOS系统，配件：20ml注射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多量程电流传感器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测量范围：-3A~+3A；分度：0.01A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测量范围：-300mA~+300mA；分度：0.1mA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测量范围：-30mA ~+30mA；分度：0.01 mA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通过按钮切换量程。连接插口采用BT接口，具有方向性和自锁功能，可以防止传感器脱落保证数据传输稳定，支持与采集器的有线通讯、无线通讯和彩屏独立数据显示三种工作方式，支持热插拔，自带硬件调零按钮，可在windows系统、安卓和iOS系统下分别进行实验演示。</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多量程电压传感器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测量范围：-20V~+20V；分度：0.01V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测量范围：-2V~+2V；分度：0.001V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测量范围：-0.2V~+0.2V；分度：0.1mV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通过按钮切换量程。连接插口采用BT接口，具有方向性和自锁功能，可以防止传感器脱落保证数据传输稳定，支持与采集器的有线通讯、无线通讯和彩屏独立数据显示三种工作方式，支持热插拔，自带硬件调零按钮，可在windows系统、安卓和iOS系统下分别进行实验演示。</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附件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含USB通讯线1条、传感器线4条、A型转接器2只、B型转接器2只、技术资料等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铝合金箱</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尺寸：410*282*180（mm），由铝合金主架、铝塑板面构成，内设隔断海棉内衬</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多力学轨道</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含1.2m黑色强化铝合金轨道1条、轨道小车2辆、弹簧2条、固定柱2只、50克配重片4片、5克配重块4只、沙桶1只、挡光片五片（20×2、40、60、80）、摩擦块1块、磁碰片2片、弹性碰圈2只、滑轮1套、磁碰座架1套、小车收纳器1套、轨道倾角调节器1套、T型支撑架1只、L型挂架2只、铝合金I型支架4只、塑料I型支架2只、策动源1套、紧固件一宗</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413"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斜面上力的分解</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由座架、L型旋臂和内置式力传感器、弧型角度标尺、环型物块构成。不需另配传感器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机械能守恒实验器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含主板、副板、圆柱型摆、固定臂、测平器、螺栓等。能够完成动能势能转化实验（定性＋定量）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环形线圈</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采用无源工作方式、塑壳封装以及方便手持使用的手柄结构，与微电流传感器配合，可测得切割地磁场产生的感生电流，也可定性测量不同电器的电磁辐射强度</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螺线管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可接学生电源，塑壳支架，在螺线管内部产生匀强磁场。</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摩擦力实验器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由轨道、摩擦台底座、多种摩擦块、电机组成，与力传感器配合使用，可实现摩擦物体做匀速直线运动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电阻定律实验器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由底座、刻度板面膜、接线排端子、锁扣、脚垫、直径不同的康铜、铁铬、镍铬五种金属丝构成，配合多量程电流传感器和多量程电压传感器使用，可研究导体的电阻与长度、横截面积、材料的关系。</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科学教育管理系统</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 xml:space="preserve">一、产品特点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1、基于SaaS管理平台，实现科学教育的移动办公，极大的简便了日常教学过程中的课程管理、教学设备管理和教学器材管理等。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★2、拥有丰富的教学资源，包括但不限于中小学科学实验课程资源，并支持各地区教育局或学校自建课程资源。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★3、系统自带对应课程的设备和器材数据库，实现了便捷的安全库存管理，及时预警，避免器材损耗过度导致教学过程无法正常开展。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★4、具备电子排课功能，电子课程表可通过教学展示机、APP、微信小程序等进行展示，确保了课程信息的线上和线下的共享。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5、离线打印系统，快捷方便，多种模板可选，实现免书写。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6、支持调课申请和审核。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二、产品技术参数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1、主服务器参数：4核CPU，内存16GB，带宽3Mbps。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2、软件登入：同时支持windows、微信小程序、APP三种接入模式。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3、课程数据库：人教版、浙教版、苏教版、北师大版、北京版、华师大版等，也可依据实际的需求增补有关课程资源。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4、校本课程自建数量：不限制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5、最大登入人数：不限制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★6、本软件拥有中华人民共和国认可的计算机软件著作权登记证书。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三、配置：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★1、软件单元：windows平台软件1套、AAP平台软件1套、微信小程序软件1套；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四、使用年限：授权年限不少于5年。</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9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双缝干涉实验仪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一、仪器采用游标读数机构，双缝及光源单缝均采用真空镀铬工艺制在玻璃片上。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二、主要结构组成：灯泡、照明透镜、遮光板、滤色片及片座、单狭缝及缝座、单缝管、拨杆、遮光管（铁质，表面喷漆，规格：φ32×600mm，管壁厚2mm）、接长管、测量头、游标尺、滑块、手轮、目镜、半圆形支架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三、主要技术指标：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1、双缝中心距d及缝宽a分别为：d1=0.200±0.003mm ,0.029mm≤a1≤0.04mm；d2=0.250±0.003mm,0.036mm≤a2≤0.050mm.光源单缝宽a=0.10±0.02mm；2、双缝至光屏之间的距离：l1=600±2mm(不接长管),l2=700±2mm(接长管)。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3、滤色片为2mm厚的光学玻璃片。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4、测量头滑块的移动范围为0-20mm，螺旋千分尺最小读书为0.02mm。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5、单色光通过双缝所产生的干涉亮条纹不少于7条。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6、白光干涉零级亮条纹所产生的中心与光轴的偏离：当l1=600mm时不大于2mm，当l2=700mm不大于3mm。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7、测定钠光波长，相对误差≤4%。</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四、泡沫定位包装。</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699"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指针万用表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67456" behindDoc="0" locked="0" layoutInCell="1" allowOverlap="1">
                  <wp:simplePos x="0" y="0"/>
                  <wp:positionH relativeFrom="column">
                    <wp:posOffset>184785</wp:posOffset>
                  </wp:positionH>
                  <wp:positionV relativeFrom="paragraph">
                    <wp:posOffset>313055</wp:posOffset>
                  </wp:positionV>
                  <wp:extent cx="473710" cy="424815"/>
                  <wp:effectExtent l="19050" t="0" r="2540" b="0"/>
                  <wp:wrapNone/>
                  <wp:docPr id="991" name="图片_5"/>
                  <wp:cNvGraphicFramePr/>
                  <a:graphic xmlns:a="http://schemas.openxmlformats.org/drawingml/2006/main">
                    <a:graphicData uri="http://schemas.openxmlformats.org/drawingml/2006/picture">
                      <pic:pic xmlns:pic="http://schemas.openxmlformats.org/drawingml/2006/picture">
                        <pic:nvPicPr>
                          <pic:cNvPr id="991" name="图片_5"/>
                          <pic:cNvPicPr>
                            <a:picLocks noChangeArrowheads="1"/>
                          </pic:cNvPicPr>
                        </pic:nvPicPr>
                        <pic:blipFill>
                          <a:blip r:embed="rId21"/>
                          <a:srcRect/>
                          <a:stretch>
                            <a:fillRect/>
                          </a:stretch>
                        </pic:blipFill>
                        <pic:spPr>
                          <a:xfrm>
                            <a:off x="0" y="0"/>
                            <a:ext cx="473710" cy="42481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ascii="宋体" w:hAnsi="宋体" w:cs="宋体"/>
                <w:color w:val="000000" w:themeColor="text1"/>
                <w:kern w:val="0"/>
                <w:sz w:val="24"/>
              </w:rPr>
              <w:t>VC7244</w:t>
            </w:r>
            <w:r>
              <w:rPr>
                <w:rFonts w:hint="eastAsia" w:ascii="宋体" w:hAnsi="宋体" w:cs="宋体"/>
                <w:color w:val="000000" w:themeColor="text1"/>
                <w:kern w:val="0"/>
                <w:sz w:val="24"/>
              </w:rPr>
              <w:t>指针式高精度防烧蜂鸣全保护万能表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直流电压±3%：0.1V、0.5V、2.5V、10V、50V、250V、500V；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交流电压±4%：10V、50V、250V、500V；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直流电流±3%：50μA、2.5mA、25mA、250mA、10A；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电阻±3%：2kΩ、20kΩ、200kΩ、2MΩ、20MΩ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具有通断蜂鸣功能，能够测试LED、配置有软胶保护套，超负荷保护线路，高灵敏度，高阻抗，带9V电池1个、1.5VAA电池2个，收纳包1个</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力学轨道小车</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利用电火花计时，车拖纸带式，打点有效距离不小于900mm，带支架、水平仪及标尺，支架可以左右、上下调节水平。小车轮子材料为铝合金。</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电压表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J0408型、2.5级 3V、15V</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电流表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J0407型、2.5级 0.6A、3A</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电磁打点计时器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工作电源：交流电9V，50Hz；打点周期为0.02秒；纸带为标准电报纸带，宽度为17.5mm；纸带移动速度≤3米/秒时，点子的增长不大于1.2mm不小于0.3mm；打点器工作时，受到的阻力不大于2.94*10²N；使用新复写纸时，不出现漏点。</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14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电火花打点计时器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1．打点周期   To=20mS   误差≤1％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2．高压脉冲强度   能击穿8mm空气间隙</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3．高压脉冲输出平均电流       150~300μA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4．打点质量        连续打点50点无漏点，点迹清晰，直径不大于0.8mm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5．实验效果  测重力加速度g，应达到以下效果：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9.9m/S2≥g≥9.5m/S2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6．工作电源        AC220V/50Hz。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7．工作环境条件    温度0℃～ +40℃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相对湿度   不大于90%（40℃）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8．计时器质量      约230g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9．重锤质量       300g±3g</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游标卡尺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BS162150不锈钢整体游标卡尺   0-150MM/ 0.02MM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螺旋测微器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范围：0-25MM，分度值：0.01MM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手摇感应发电机（感应起电机）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在温度为20℃、相对湿度为65%的环境中，摇柄转速120转／分，火花放电距离不小于55mm。在温度为0～40℃范围，相对湿度小于80%的条件下，仪器应正常工作，火花放电距离不小于30mm。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起电盘采用直径275mm，厚3mm的有机玻璃板制成。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起电机两电梳之间采用无横梁、悬臂式结构。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底座采用绝缘性能优良的木质材料制成。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起电盘径向跳动，两盘跳动量不大于1.5mm。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两盘盘面不平度应使起电盘在转动中两盘内侧任一点间距离不小于2.5mm，最大不超过5.5mm。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起电盘中心轴横向窜动量不大于1mm。手摇转柄轴横向窜动量不大于2mm。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起动盘转动应平稳灵活，在手摇转柄转速不大于120转／分的条件下，仪器无颤动现象。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电刷在起电盘上与铝箔接触良好。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 电梳由针状金属杆或柬状裸铜丝制成。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 起电盘上铝箔粘接整齐牢固。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 莱顿瓶极板涂敷高度应不低于120mm，涂敷层牢固不得有划伤或局部脱落。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 产品应符合JY115－82《感应起电机》的要求。</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（手摇式）共振受迫演示器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改变策动摆摆长，可分别使5个摆长不同的单摆共振</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手摇直流发电机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电学仪器，供中学物理演示交直流发电机的结构和工作原理使用，可兼作小功率电源；结构：由定子、转子，电刷、转动机构、集流环（或换向器）、小灯座，底板等组成，底板采用木制底，规格：300×200×16mm。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激光光学演示仪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几何光学和物理光学实验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学生电源</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交流：2V～16V/3A，每2V一档      直流稳压：2V～16V/2A，每2V一档</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铁架台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1、底板和柱杆均为不锈钢304材质。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★2、底板尺寸150*200mm，厚度不低于5mm，且进行环氧树脂喷塑，确保产品耐腐蚀性能。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★3、杆高不低于58cm，可配置至少29cm*2双杆，并可对接使用。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4、配置：万能夹、十字夹、大中小铁圈、对顶丝各1套</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5、原厂家通过ISO9001认证、ISO14001认证、OHSAS18001认证，确保产品质量和服务品质。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6.其它符合JY0001第6、7章有关规定。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7.应符合原教育部标准《方座支架》JY167-84的相关规定。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8.标志、说明书、包装、运输、贮存等应符合JY0001-2003的有关规定。</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1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平行直导线相互作用演示器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1.产品能明显、完整地演示通电平行直导线间的电流相互作用（作用力）。</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2.产品由主机箱、平行直导线、连接导线、导线支架等组成，具有过载自动保护功能。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3.通电触点为银触点，两银触点间的间距为30mm。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4.两平行直导线为铜材料制管，其直径为4mm。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5.产品能瞬间提供60A以上的电流，以供实验所需。</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6.通电动作可连续操作次数大于20次。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7.产品为低能耗产品，其功率小于25W。</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牛顿管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带释放装置</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3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纵波演示仪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1、由支架、螺旋弹簧、振源及附件、连接杆和衬布等部件组成；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2、振子为圆柱体金属件。表面电镀，振子可在弹簧钢片上调整其高度；</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3、弹簧钢片应有足够瞧的长度和钢度，表面防锈处理。通赤改变振子的位置，其频率可调；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4、螺旋弹簧需经防锈处理，有效圈数为180圈；</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5、支架为塑料注塑成型，无变形。连接后牢固可靠；</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6、衬布为白色；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7、其它应符合JY0001-2003第5章，第6章，第7章有关规定。</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横波、纵波演示仪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产品由底座、支撑架、机械传动机构、横波水平帘、纵波水平帘、纵波弹簧、横波质点、纵波质点、阻尼盘、摇柄等部件组成，仪器外形尺寸约500×250×300mm。底座为铸铁制造，底部设橡胶垫脚；支撑架由连接板及六个“人”字形支撑架组成；机械传动机构由12只偏心轮组成，每个偏心轮以转过30°角后带动下一个轮，按相位差依次转动，机械传动机构升降方便，凸轮杆和偏心轮配合后，手柄倒、顺转动灵活。横波水平帘由25根横波杆与钢带组成，横波杆采用直径不小于φ5mm圆钢制成，长460mm，在横波传动过程中，波速不大于0.6m/s，反射不少于3次；纵波水平帘由12根纵波杆、连接轴及钢丝弹簧组成，波杆由直径不小于φ5mm圆钢制成，长370mm，纵波弹簧采用δ0.6mm的弹簧钢丝绕制，直径为φ25mm，自由长度150mm，在纵波传递过程中，波速不大于0.5m/s，反射不少于2次；横波水平帘及纵波水平帘均喷涂黑色油漆；横波质点及纵波质点均采用工程塑料制作，横波质点为圆形，尺寸为φ12×6mm，共21个白色和4个红色；纵波质点为长方形，长30mm，宽11mm，厚3mm，共8个白色和4个红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仪器可完成以下实验内容：1、演示横波形成的过程；2、演示横波行波；3、演示不同波长的行波、4、演示波的反射；5、演示波的叠加；6、演示驻波；7、演示波的衰减；8、演示纵波形成过程；9、演示纵波行波；10、演示不同波长的行波；11、演示纵波反射；12、演示纵波的衰减；13、演示驻波；14、测量波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1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洛伦兹力演示仪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1.产品由洛伦兹力管，励磁线圈，控制组合，暗箱四大部分组成。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2.洛伦兹力管管径153mm，与励磁线圈同轴平行放置。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3.暗箱为木制，尺寸为340×300×440m。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4.励磁电流方向可分为顺时、断路、逆时三档，并有信号灯指示电流方向；电流幅值在0～2.5A间连续可调。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5.偏转板电压方可向可分为上正、断路、下正三档，并有参考刻度；电压幅值在50～250V间连续可调。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6.洛伦兹力管转动角度大于180°，并有刻度指示。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7.输入电压：220V±10%，50Hz；功耗45W；仪器可连续工作1小时。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8.配送1A/250V保险丝2根。</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光影画布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黄绿色 1块 1M*3M光影布和光影画专用笔</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向心力演示器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探究向心力大小与半径、角速度、质量的关系</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电容器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尼吉康电解电容 50V2200UF 18x35 2200UF50V PW高频低阻105度，寿命：8000小时。包装每袋50只</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正负毫安表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±10毫安量程</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定值电阻</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20千欧，5W金属膜电阻 精度1%</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可调电阻</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最大电阻为47千欧，5W单圈线绕电位器47K</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定值电阻</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330欧，5W金属膜电阻 精度1%</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光敏电阻</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暗电阻大于1M欧，亮电阻小于3千欧</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三极管VT</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插件8050</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继电器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HRS1H-S5V或JQX-14FC5V</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二极管D</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插件1N4007</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平底浅盘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用油膜法估测油酸分子的大小，可以使用直径21cm以上、深度约3cm的塑料盘或金属材质的平底锅</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注射器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带有刻度的容积为1-5ml的</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玻璃板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带有方格坐标的或者尺寸略大于浅盘的透明硬质塑料板，方格边长为5-10mm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彩笔</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书写字迹约1mm的东米炫彩笔金属色手账笔套装星空1.0mm彩笔中性笔，每套8支不同颜色</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干燥的爽身粉</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（或者痱子粉、细石膏粉等）150G爽身粉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盒</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粉筛</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（或粉瓶、布袋、丝袜等）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油酸</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油酸.油酸 顺式 十八烯酸 分析纯</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瓶</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酒精</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酒精.99%高浓度酒精，5000ml/瓶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瓶</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玻璃塞密封玻璃瓶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容积100ml左右的</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玻璃小烧杯</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150ml</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气体定律演示器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探究气体等温变化的规律，含有不锈钢铁架台、气压计、注射器、胶塞等，全部安装在实验箱中，并可实现便携式定格收纳，简化实验准备过程。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1、铁架台材质要求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1.1底板和柱杆均为不锈钢304材质。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★1.2底板尺寸不小于150*200mm，厚度不低于5mm，且进行环氧树脂喷塑，确保产品耐腐蚀性能。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★1.3杆高不低于58cm，可配置至少29cm*2双杆，并可对接使用。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2、演示器要求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 气压计可与注射器进行无缝连接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2.2 演示器可固定在铁架台上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3、演示器包装</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3.1 采用PP材质的实验箱进行安装，内部切割对应器材的定格海绵。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3.2 实验箱技术要求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（1）符合ROSH检测标准（至少10项），安全、环保、耐用。多溴联苯、多溴联苯醚不得检出，增塑剂不得检出。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（2）容量偏差小于2%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（3）对称部位壁厚比小于2%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（4）操作性能：扣锁结实，不存在扣不紧或卡滞现象。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（5）按0.4kg/L荷载比负载聚丙烯粒料冲击后无破损，组件功能无异常。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（6）按0.4kg/L荷载比负载聚丙烯粒料进行负载性能测试，不发生永久性变形，不发生断裂。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（7）按0.4kg/L荷载比负载聚丙烯粒料进行堆码稳定性性能测试，不倾斜、不破裂、不倒塌。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（8）箱体无气泡、黑点。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（9）箱体配置人体工程学手柄，握感舒适，便于携带和实验。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★（10）上述参数提供原厂家省级及以上第三方检测机构出具的检验报告。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（11）支持密码锁，防止内部实验器材丢失。</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石蜡、玻璃片、云母片若干</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观察玻璃和云母片上石蜡熔化区域的形状，石蜡、玻璃片、云母片若干</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玻璃管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观察毛细现象，5种内径不同的玻璃管套件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水槽</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观察毛细现象，含可固定5种内径不同的支架和底座。</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气压传感器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用传感器探究气体等温变化的规律，测量范围：550hPa ~1060hPa；分度：1 hPa；用于测量大气绝对压强数据；支持与采集器的有线通讯、无线通讯和独立数据显示三种工作方式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数据采集器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用传感器探究气体等温变化的规律，与计算机USB接口通讯，无须外接电源，最大采样率80K；可根据实验教学需要，选择接插有线接口或无线接口实现与传感器通讯；支持有线/无线状态下的四通道并行采集，采用连线方式接入四种相同或不同的传感器并支持四通道并行采集，全数字通道，采用BT自锁接口</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数据传输线4根</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用传感器探究气体等温变化的规律，含USB通讯线1条、传感器线4条、A型转接器2只、B型转接器2只、技术资料等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根</w:t>
            </w:r>
          </w:p>
        </w:tc>
      </w:tr>
      <w:tr>
        <w:tblPrEx>
          <w:tblCellMar>
            <w:top w:w="0" w:type="dxa"/>
            <w:left w:w="108" w:type="dxa"/>
            <w:bottom w:w="0" w:type="dxa"/>
            <w:right w:w="108" w:type="dxa"/>
          </w:tblCellMar>
        </w:tblPrEx>
        <w:trPr>
          <w:trHeight w:val="12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电脑</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品牌一体机台式电脑全套灵越5400。11代I5/8G内存/256G固态+1TB机械硬盘/MX330显卡2G/高清23.8寸/内置摄像头/内置扬声器、麦克风/内置无线WIFI6网卡/内置蓝牙/原装Dell无线键鼠套装/win10</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3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仪器柜（上下透明门）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尺寸：H1800*W900*D450mm；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材质：优质冷轧钢，净料厚1.0mm；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结构：上对开玻璃门，层板二档，下对开门，层板一档，层板均可调节层高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配件：优质锁具、减震垫、下方垫减少摩擦、304不锈钢实心插销锁，304不锈钢合页；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表面处理：除锈磷化后环氧树脂粉末喷涂</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1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高密无线AP</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详细参数规格见附件6，包含布线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1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立式空调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1、★3匹不少于3级能效冷暖立柜式空调。★整机10年厂家免费上门质保。具体参数规格详细见附件7.</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2、注：如果没有空调的冷凝水PVC排水管到地面，则需要安装空调冷凝水水管50PVCU到地面排水沟里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二、化学学科教室清单</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设备名称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技术参数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高清录播主机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1.设备高度≤1U，方便机架式安装。考虑设备稳定性，要求采用嵌入式ARM架构设计，Linux操作系统，高度集成多种功能应用，包括导播、录制、跟踪、直播、点播、互动等功能。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2.★视频接口：支持3G-SDI in≥2、HDMI in≥2、HDMI out≥3，采集和输出分辨率均支持1080P@30fps。SDI接口支持对接入摄像机的POC供电信号、视频信号、控制信号同步传输。为避免信号干扰，不接受多条不同接口线缆绞合成一条线缆铺设或者增加额外转换设备的方式。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3.★音频接口：支持 Digital MIC≥3、Line in≥2、Line out≥1、耳机监听Headset≥1，Digital MIC接口支持对数字麦克风进行同步供电。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4.网络接口：RJ-45≥1，支持1000/100Mbps自适应，支持IPv4、IPv6双协议栈，适应互联网通信发展需求。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5.其他接口：Console≥2、USB3.0≥2。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6.存储容量：1TB 机械硬盘。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7.电源管理：采用不高于DC36V安全电压供电，具有低功耗环保优势，采用无风扇散热设计，低噪音不影响正常授课。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8.视频录制：录制分辨率支持1080P@30fps、720P@30fps，视频编码协议支持标准H.264，支持MP4视频封装格式。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9.协议支持：支持HTTP、RTMP、RTSP视频传输协议，支持FTP文件传输协议，支持VISCA云台控制协议。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10.★互动功能：支持H.323、SIP等标准互动传输协议，便捷进行远程互动教学应用，支持H.239和BFCP双流互动协议。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11.应具备自主知识产权。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12.应具备实时采集800万以上像素的一线通双视频云镜能力。</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13.整机使用平均无故障运行时间(MTBF)应≥200000小时。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录播软件系统</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1.软件架构：支持B/S架构设计，能够方便教师使用IE、360等主流浏览器通过网络直接访问录播主机进行导播和管理。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电子云镜：支持通过电子云镜应用技术，单镜头拍摄生成全景和特写两个1080P高清画面。支持EPTZ电子云台控制功能，实现对非云台摄像机拍摄的特写画面进行电子云台控制，包括画面上下左右移动、放大缩小变焦等操作。EPTZ电子云台控制功能应具有鼠标快速定位功能，通过鼠标点击快速居中画面区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3.录制控制：支持录制、暂停、停止等基本功能操作，实现全自动、手动两种录制模式，支持录制过程中实时切换录制模式。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录制管理：支持高低码流同步录制，支持电影模式和资源模式录制，实现复合画面、每个摄像机画面及电脑课件画面的独立封装和点播。支持自定义录制分辨率、帧率和码率，最高支持1080P@30fps，码率支持512kbps到40Mbps可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5.★分段录制：支持分段录制技术，当录制的课程时间较长时，可按照用户设定的文件时长自动分割录制成多个视频文件，提供不分段、30分钟分段、60分钟分段三种方式可选。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导播管理：支持对所有接入视频和录制效果画面的实时预览，手动导播模式下支持信号源实时切换录制。提供双分屏、三分屏、画中画等录制布局，支持自定义布局方式，支持多个视频图层自由叠加组合，自定义布局时可随意拖拉画面窗口。支持渐变、缩放、切换等转场特效。支持添加LOGO，可通过鼠标直接拖拽设置LOGO在画面的显示位置。支持添加字幕，字幕颜色、字幕描边、字幕背景可设。支持设置录制的片头片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7.摄像机控制：支持鼠标快速定位功能，通过鼠标点击快速居中画面区域，通过鼠标滚轮可以调节云台摄像机的焦距。每个云台摄像机应至少支持8个预置位设置与调用功能。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8.面板管控：支持接入控制面板，对录播设备进行唤醒、录制管理。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9.视频环出：2路HDMI信号同步输出，录课模式下实时环出录课画面，双流互动模式下双HDMI输出分别实时环出互动主、辅流画面。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10.★音频处理：内置音频处理功能，支持4路音频通道同步处理，包括EQ均衡、AEC回声抑制、AGC自动增益、ANC噪声抑制。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跟踪功能：基于图像识别分析技术，无需辅助定位装置，摄像机同时完成画面拍摄和跟踪检测功能，实现课堂教师、学生行为的全自动跟踪功能。包括教师走动、授课特写、课件跟踪、学生起立等场景。课件电脑跟踪支持“鼠键触发检测”和“图像变化检测”两种自动跟踪方式，可自定义电脑信号呈现保留时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跟踪屏蔽：支持设置跟踪屏蔽区域，如主动屏蔽掉教师观摩区、窗户窗帘、教室门口、大屏液晶电视等易干扰跟踪效果的地方，所屏蔽的地方系统将不对其进行图像分析跟踪运算，以避免这些地方干扰整体的跟踪效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13.★互动通讯录管理：支持查询互动云系统的通讯录数据，查询内容包括所有已在互动云系统注册的录播账号、录播昵称。支持通过通讯录选择互动对象直接呼叫，或手动输入录播账号进行呼叫。</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互动创建：支持通过通讯录选择互动录播并“一键式”呼叫创建互动房间，支持通过会议号和会议密码直接加入已创建的互动房间。支持对每台录播设备自动分配纯数字短号，可以通过短号直接呼叫录播设备创建互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15.★互动方式：提供“授课”和“会议”两种互动模式，其中“授课”模式贴近实际同步课堂教学场景，听课端观看的互动画面有主讲端控制。支持将主讲老师和课件信号双分屏或画中画模式共享给听课端观看。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16.互动画质：录播主机双向互动过程中，在4Mbps带宽下可实现1080P@30FPS画质，支持网络自适应功能。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17.★互动网络管理：支持网络检测功能，测试录播设备与互动服务器之间的网络通讯情况，包括上下行丢包率数据、带宽数据。互动画面中可叠加显示各互动点的视频码流和丢包率。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18.★双流互动功能：互动时听课端设备支持将教学场景及教学课件画面以两路独立HDMI信号分别同时环出显示到两个显示设备中。</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19.★直播管理：支持自定义直播分辨率和码率，最高支持1080P@30fps，以适应不同网络环境下保持直播的流畅性。支持RTMP和RTSP视频传输协议，支持≥3路RTMP同步推流，可从接入的摄像机信号和电脑信号中选择自定义每路推流信号源，实现多流直播。</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20.录像管理：支持对录制视频按标题、主持人、时间、时长进行排序，便于快速检索所需视频。支持对录像文件进行回放和下载。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21.视频修复：支持硬盘格式化功能，支持对设备异常断电、宕机造成的损坏视频文件进行修复。</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22.视频上传：支持与资源平台无缝对接，录播设备通过FTP传输协议将录制视频文件自动上传至资源平台。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23.支持中英文双语版本切换，适合不同用户的应用需求。</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高清摄像机教师用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传感器类型：CMOS、1/2.3英寸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★采用逐行扫描模式，有效像素不低于1600万。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3）★为充分保障视频采集、编辑后的高清效果，图像采集分辨率支持4608*3488；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4)采用了2D和基于运动估计的3D降噪算法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最大水平视场角49°，最大垂直视场角28.2°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网络接口：RJ45，10/100/1000M自适应</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7）视频接口：3G-SDI、网络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8）编码技术：视频H.264/H.265，音频AAC</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支持POC供电、电源适配器供电两种供电方式，根据环境实际情况可灵活选择。</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 ★内置跟踪分析功能，无需辅助跟踪摄像头即可完成对象跟踪捕捉，支持教师全景和特写切换跟踪模式。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11)★整机使用平均无故障运行时间(MTBF)应≥100000小时。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 要求摄像机与录播主机为同一品牌。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高清摄像机学生用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传感器类型：CMOS、1/2.3英寸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★采用逐行扫描模式，有效像素不低于1600万。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3）★为充分保障视频采集、编辑后的高清效果，图像采集分辨率支持4608*3488；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4)采用了2D和基于运动估计的3D降噪算法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最大水平视场角82.9°，最大垂直视场角52.8°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网络接口：RJ45，10/100/1000M自适应</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7）视频接口：3G-SDI、网络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8）编码技术：视频H.264/H.265，音频AAC</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★支持POC供电、电源适配器供电两种供电方式，根据环境实际情况可灵活选择。</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 ★内置跟踪分析功能，无需辅助跟踪摄像头即可完成对象跟踪捕捉，支持学生全景和特写切换跟踪模式。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11)★整机使用平均无故障运行时间(MTBF)应≥100000小时。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12)与录播主机为同一品牌。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高清摄像机管理软件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摄像机管理软件采用B/S架构，支持通用浏览器直接访问进行管理。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支持网络参数设置与修改，支持一键恢复默认参数。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支持曝光模式设置功能，包括自动、手动。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支持抗闪烁频率、动态范围、光圈、快门参数设置。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支持自动白平衡设置功能，红、蓝增益可调范围0~200。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支持噪声抑制设置功能，支持2D、3D降噪。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支持摄像机图像质量调节功能，包括亮度、对比度、色调、饱和度。</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拾音话筒</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pStyle w:val="62"/>
              <w:widowControl/>
              <w:numPr>
                <w:ilvl w:val="0"/>
                <w:numId w:val="3"/>
              </w:numPr>
              <w:ind w:left="77" w:firstLine="0" w:firstLineChars="0"/>
              <w:jc w:val="left"/>
              <w:textAlignment w:val="center"/>
              <w:rPr>
                <w:rFonts w:ascii="宋体" w:hAnsi="宋体" w:cs="宋体"/>
                <w:color w:val="000000" w:themeColor="text1"/>
                <w:kern w:val="0"/>
                <w:sz w:val="24"/>
                <w:szCs w:val="24"/>
              </w:rPr>
            </w:pPr>
            <w:r>
              <w:rPr>
                <w:rFonts w:hint="eastAsia" w:ascii="宋体" w:hAnsi="宋体" w:cs="宋体"/>
                <w:color w:val="000000" w:themeColor="text1"/>
                <w:kern w:val="0"/>
                <w:sz w:val="24"/>
                <w:szCs w:val="24"/>
              </w:rPr>
              <w:t>指向性：超心型</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2.频率响应：40Hz—16kHz</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3.灵敏度：-29dB±3dB（1dB=1V/Pa at 1kHz）</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4.最大声压级：130dB（T.H.D≤1% at 1kHz）</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5.信噪比：70dB（1KHz at 1Pa）</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6.动态范围：106dB（1kHz at Max SPL）</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7.使用电源：麦克风一线通供电</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8.输出接口：RJ45，数字音频接口</w:t>
            </w:r>
          </w:p>
          <w:p>
            <w:pPr>
              <w:widowControl/>
              <w:ind w:left="77"/>
              <w:jc w:val="left"/>
              <w:textAlignment w:val="center"/>
              <w:rPr>
                <w:rFonts w:ascii="宋体" w:hAnsi="宋体" w:cs="宋体"/>
                <w:color w:val="000000" w:themeColor="text1"/>
                <w:sz w:val="24"/>
              </w:rPr>
            </w:pPr>
            <w:r>
              <w:rPr>
                <w:rFonts w:hint="eastAsia" w:ascii="宋体" w:hAnsi="宋体" w:cs="宋体"/>
                <w:color w:val="000000" w:themeColor="text1"/>
                <w:sz w:val="24"/>
              </w:rPr>
              <w:t>9．与</w:t>
            </w:r>
            <w:r>
              <w:rPr>
                <w:rFonts w:hint="eastAsia" w:ascii="宋体" w:hAnsi="宋体" w:cs="宋体"/>
                <w:color w:val="000000" w:themeColor="text1"/>
                <w:kern w:val="0"/>
                <w:sz w:val="24"/>
              </w:rPr>
              <w:t>高清录播主机同一品牌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bookmarkStart w:id="18" w:name="OLE_LINK3"/>
            <w:bookmarkStart w:id="19" w:name="OLE_LINK2"/>
            <w:r>
              <w:rPr>
                <w:rFonts w:hint="eastAsia" w:ascii="宋体" w:hAnsi="宋体" w:cs="宋体"/>
                <w:color w:val="000000" w:themeColor="text1"/>
                <w:kern w:val="0"/>
                <w:sz w:val="24"/>
              </w:rPr>
              <w:t>录制面板</w:t>
            </w:r>
            <w:bookmarkEnd w:id="18"/>
            <w:bookmarkEnd w:id="19"/>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ind w:left="214" w:leftChars="102"/>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1.在讲台上镶嵌式安装方式；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控制接口：RS232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信号指示灯：支持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支持一键式系统电源开关控制。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5.一键式录制、停止、锁定电脑信号；</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6.★支持本地录播全自动的开启、关闭控制。该功能同时支持录播模式和互动模式。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7.支持通过面板一键发起与远端设备互动连接；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8.★支持通过交互控制面板切换互动画面的信号源，并传输到听课室，包括本地摄像机信号、电脑信号、远端课室画面。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9.★支持对各画面的自由布局控制，包括单画面全屏、双分屏、三分屏、四分屏、画中画，并传输到听课室。</w:t>
            </w:r>
          </w:p>
          <w:p>
            <w:pPr>
              <w:widowControl/>
              <w:ind w:left="216" w:leftChars="103"/>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10.★支持远程“一键静音”功能，主讲端可一键关闭远端互动教室发言，进入主讲授课模式。</w:t>
            </w:r>
          </w:p>
          <w:p>
            <w:pPr>
              <w:widowControl/>
              <w:ind w:left="214" w:leftChars="102"/>
              <w:jc w:val="left"/>
              <w:textAlignment w:val="center"/>
              <w:rPr>
                <w:rFonts w:ascii="宋体" w:hAnsi="宋体" w:cs="宋体"/>
                <w:color w:val="000000" w:themeColor="text1"/>
                <w:sz w:val="24"/>
              </w:rPr>
            </w:pPr>
            <w:r>
              <w:rPr>
                <w:rFonts w:hint="eastAsia" w:ascii="宋体" w:hAnsi="宋体" w:cs="宋体"/>
                <w:color w:val="000000" w:themeColor="text1"/>
                <w:kern w:val="0"/>
                <w:sz w:val="24"/>
              </w:rPr>
              <w:t>11.与高清录播主机同一品牌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蓝牙音箱无线咪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配置参数详见附件5</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机柜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22U机柜。</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仿宋" w:hAnsi="仿宋" w:eastAsia="仿宋" w:cs="仿宋"/>
                <w:color w:val="000000" w:themeColor="text1"/>
                <w:sz w:val="24"/>
              </w:rPr>
              <w:t>86吋智能交互平板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配置参数详见附件3</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推拉绿板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配置参数详见附件4</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高密无线AP</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详细参数规格见附件6，包含布线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窗帘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双道窗帘，里道为优质加厚棉麻布料制作的全遮光帘（包括窗轨），外道为高级无纺布彩色喷绘定制，在窗帘上印制相关知识内容，集教学、观赏为一体的卷帘；含窗帘图文设计与安装，不含窗帘盒。。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室</w:t>
            </w:r>
          </w:p>
        </w:tc>
      </w:tr>
      <w:tr>
        <w:tblPrEx>
          <w:tblCellMar>
            <w:top w:w="0" w:type="dxa"/>
            <w:left w:w="108" w:type="dxa"/>
            <w:bottom w:w="0" w:type="dxa"/>
            <w:right w:w="108" w:type="dxa"/>
          </w:tblCellMar>
        </w:tblPrEx>
        <w:trPr>
          <w:trHeight w:val="10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立式空调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1、★3匹不少于3级能效冷暖立柜式空调。★整机10年厂家免费上门质保,具体参数规格详细见附件7.</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2、注：如果没有空调的冷凝水PVC排水管到地面，则需要安装空调冷凝水水管50PVCU到地面排水沟里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三、化学竞赛教室清单</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设备名称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技术参数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窗帘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双道窗帘，里道为优质加厚棉麻布料制作的全遮光帘（包括窗轨），外道为高级无纺布彩色喷绘定制，在窗帘上印制相关知识内容，集教学、观赏为一体的卷帘；含窗帘图文设计与安装，不含窗帘盒。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室</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86吋智能交互平板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详细参数配置见附件3</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推拉绿板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详细参数配置见附件4</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高密无线AP</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详细参数规格见附件6，包含布线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蓝牙音箱无线咪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配置参数详见附件5</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教师演示台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尺寸：不小于2400*600*850㎜ 台面：采用12.7mm实芯理化板，圆周加厚处理，总厚度为25.4mm,四角圆角,四边磨边。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箱体：采用16mm厚中密度三聚氰胺双饰面板，断面以优质2mmPVC封边条配合进口胶王热熔封边防水处理，专用连接件连接组合紧固。四角包边：采用PP改性材料，塑料注塑模一次性成型，曲面弧形造型，可以有效避免碰撞对人体产生的伤害。实验台整体封闭性设计，升降器密封于桌内，具有升降器防护罩，</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层板：采用16mm以上厚的E1级中密度三聚氰胺饰面板，周边及断面采用厚2mm以上PVC热熔封边并作防水处理；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每个箱体配四个优质的实验室仪器专用地脚，具有防腐防锈减震等特点。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柜门，抽屉：采用厚16mm的中密度三聚氰胺饰面板，柜门和抽屉面板四周注塑模注塑包边成型，拉手与注塑包边一次性成型注塑。</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讲台配有键盘和中控抽屉。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张</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教师总电源</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教师演示台配备总漏电保护和分组保护，可分组控制学生的高低压电源，确保学生实验安全方便（学生分四小组控制） 1、装置在主控台右边组合柜内，内装有教师演示电源及主控电源装置，教师能对实验室进行总体及分组控制：提供2V-24V交、直流低压及220V高压电源输出，电源总开关、漏电保护开关、工作指示灯、220V交流输出多用豪华插座； 2、控制风机开关、转速指示灯等； 3、每组220V电需带优质品牌断路器。电源必须符合教育部JY/J0374-2004标准。</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化学实验桌</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 xml:space="preserve">尺寸：1200*600*780mm，台面：采用20mm湖蓝色陶瓷板，四周带阻水边（防止化学试剂倒到桌面不会往四周外流），耐酸碱，表面哑光，不反光防滑；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框架：主体采用铝合金型材和铝压铸件连接组合框架；立柱：采用100x50mm壁厚1.8mm优质铝合金型材，内附6条铝合金加强筋连接中心支点成网状，可承重、耐侧压、不晃动；前横梁：采用50x40mm壁厚1.8mm优质铝合金拉模，台前整体呈半圆弧形，配合台面圆弧更加美观、承重、严丝合缝； 后横梁：采用130x30壁厚1.8mm的优质铝型材材料一次性成型，配8mm台面卡槽及装饰条卡槽，装饰条颜色与台面颜色相匹配；支撑横梁：采用100mm宽、壁厚10mm的优质铝型材材料一次性成型，与立柱连接采用内六角螺丝，使整个铝合金桌体牢固、不晃动；整体铝合金框架表面经过防腐氧化处理和纯环氧树脂塑粉高温固化处理，具有较强的耐蚀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书包斗：整体PP工程塑料一次性注塑成型，耐压，韧性强。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走线箱：规格400*240*730mm，分为桶体和底座两部份，底座为与桌面同色的壁厚3mmABS材质注塑成型；桶体分为两块，壁厚3mm,采用ABS材料，塑料注塑成型,表面沙面和光面相结合处理，以齿合槽配以螺丝连接，拆分组合方便，方便检修桶体内的风管或电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24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张</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学生实验圆凳</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凳面不小于300(直径）*420（高)mm，凳面采用5mm厚PP工程塑料注塑成型；支撑柱采用圆钢管，全周满焊焊接，结构牢固，长期使用也不会出现摇晃松散现象；凳面颜色湖蓝</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48</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张</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水槽台（含水嘴）</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尺寸不小于450*600*750/800mm，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水槽：采用PP改性材料，塑料注塑模一次性成型，其规格450*500*250mm，壁厚4mm，四周有10mm高挡水沿；耐强酸强碱耐＜80℃有机溶剂并耐150℃以下高温；水槽内右上角带溢水口。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下水系统：采用国际公认的韩国共聚PP材质专用连接管，配有防虹吸，防阻塞装置。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上下固定框：采用PP改性材料，600*500mm，塑料注塑模一次性成型，表面光面处理。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箱体支撑件：表面经过时效处理和纯环氧树脂塑粉高温固化处理，具有较强的耐蚀性及承重性。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水柜左右侧板：采用优质的中纤板，其插在支撑件铝型材槽内部。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水柜前后门：采用pp改性材料，不小于374*500*10mm，塑料注塑模一次性成型，表面沙面与光面相结合处理。并且采用直接成型后无需安装铰链、把手一体化设计，其内部置于两根32.5*6.6mm的铝型材为加强筋。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水嘴： 采用实验室专用三联水嘴90度瓷质阀芯，出水嘴为铜质尖嘴，可拆卸，内有螺纹，可方便连接循环等特殊用水，水管管体部分为黄铜合金制品，铜质表面经过烤漆喷涂处理，增强耐酸碱防腐蚀以及防锈性能，可360度旋转。</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13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通风系统主体构架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1650*500*1000/1500mm，整体是由钢板、铝铝型材、塑料等材质组成。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设备分三大部分：顶装主体、通风控制中央主体、通风吸风万向罩主体</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（1）顶装主体：用于固定和收纳排气罩</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（2）通风控制中央主体</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采用PVC塑料型材一次性成型，具有较强的耐蚀性,整体轻便且外形美观。其上面可安装WIFI网络终端、电源、插座、环境监测、环境监测、温度湿度检测等一系列的智能化需求均可选配安装。</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（3）通风吸风万向罩主体</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吸风罩：优质环保材料，形状如喇叭口，吸风面积大，效果好，具有阻燃、耐腐蚀等功效。</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吸风拉手：采用优质的PP材料，注塑模成型，表面光洁舒适。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通风管：采用UPVC耐腐蚀风管，风量800立方/小时，噪音≦65dB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电器：设置多功能插座，隐藏式LED日光灯，触摸式开关，操作简单，安全可靠，配四个学生安全电源。</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供电线路</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模块化设计，每组模块间采用活接式连接，方便安装、检修。采用2.5mm²电线进行系统布线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通风系统系统安装辅件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采用双方钢横梁吊装方式，减少楼板承重，防止左右晃动，可进行上下、左右的平衡调节，实验功能板离地2.4m左右。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主要辅件有：槽钢、三角构件、直角座、龙骨架连接件、吊装挂件、安装连接板等。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排风管道系统</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DN250、DN315、DN150,PVC材质，主要用于室外主管道与室内主管道的连接。</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演示通风柜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规格：尺寸不小于1200mm*850mm*2100mm，工作高度900mm,展示空间高度1100mm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1,功能模块：采用三段式结构，顶部为排风、电气及局部照明模块，中部是操作空间（由弧形玻璃板、视窗组成），下部为全钢柜体（内置给排水装置和电气管线系统）；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2，台面：采用12.7mm厚实芯理化板，四周边缘背边加工，机械磨边处理，能抗强冲击，耐强酸碱，耐高温，更具有良好的承重性能；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3，柜体：采用1.0mm镀锌冷轧钢板压制成型，表面经纯环氧树脂塑粉高温固化处理。内设活动检修板，分隔成标准储存空间和水电系统容纳空间；柜体顶端面板上安装有2个带弹簧盖的220V 16A插座和通风、照明控制开关；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4，照明：采用约30W日光灯，并设有5mm厚磨沙玻璃；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5，展示空间弧形板：无视觉死角，视线无任何遮挡，学生可以全方位观看柜内的操作过程；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6，视窗：采用为5mm厚安全防暴钢化玻璃，利用滑轮及配重上下开启，可任意高度悬停。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7，化验水斗：PP材质，模具一体成型小水杯，耐酸碱；</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8，化验水咀：采用实验室专用单联水咀，90度瓷质阀芯，出水嘴为铜质尖嘴，可拆卸，内有螺纹，可方便连接循环等特殊用水，水管管体部分为黄铜合金制品，铜质表面经过烤漆喷涂处理，增强耐酸碱防腐蚀以及防锈性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9，顶部导流板：采用6mm厚抗倍特板，安装位置与角度需使排气分布均匀，无死角；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演示通风柜配套设施</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风机一台、控制系统一套、墙体开孔、DN160通风管道</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风量分配器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PVC材质，主要用于风量分布的控制，使各吸风罩风量均匀。</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风机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功率：0.5KW。风量：6840-12700m3/h。噪音：≤55dB(A)。室内换气次数：≥20次/h。终端流速：≥11.3米/秒。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风机进出口柔性接头</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柔性材质，通风机与消声器的连接，消除因震动引起的微量错位对通风机的影响。</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弯头</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DN160,PVC材质，主要用于室外主管道与室内主管道的连接。</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15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防雨帽</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PVC材质，主要用于对专用通风机的防护。</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管卡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采用不锈钢制作</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7</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付</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紧急洗眼器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手压按把式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等线" w:hAnsi="等线" w:eastAsia="等线" w:cs="等线"/>
                <w:color w:val="000000" w:themeColor="text1"/>
                <w:sz w:val="24"/>
              </w:rPr>
            </w:pPr>
            <w:r>
              <w:rPr>
                <w:rFonts w:hint="eastAsia" w:ascii="等线" w:hAnsi="等线" w:eastAsia="等线" w:cs="等线"/>
                <w:color w:val="000000" w:themeColor="text1"/>
                <w:kern w:val="0"/>
                <w:sz w:val="24"/>
              </w:rPr>
              <w:t>套</w:t>
            </w:r>
          </w:p>
        </w:tc>
      </w:tr>
      <w:tr>
        <w:tblPrEx>
          <w:tblCellMar>
            <w:top w:w="0" w:type="dxa"/>
            <w:left w:w="108" w:type="dxa"/>
            <w:bottom w:w="0" w:type="dxa"/>
            <w:right w:w="108" w:type="dxa"/>
          </w:tblCellMar>
        </w:tblPrEx>
        <w:trPr>
          <w:trHeight w:val="14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电子分析天平</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396240" cy="5715"/>
                  <wp:effectExtent l="0" t="0" r="0" b="0"/>
                  <wp:wrapNone/>
                  <wp:docPr id="990" name="图片_12"/>
                  <wp:cNvGraphicFramePr/>
                  <a:graphic xmlns:a="http://schemas.openxmlformats.org/drawingml/2006/main">
                    <a:graphicData uri="http://schemas.openxmlformats.org/drawingml/2006/picture">
                      <pic:pic xmlns:pic="http://schemas.openxmlformats.org/drawingml/2006/picture">
                        <pic:nvPicPr>
                          <pic:cNvPr id="990" name="图片_12"/>
                          <pic:cNvPicPr>
                            <a:picLocks noChangeArrowheads="1"/>
                          </pic:cNvPicPr>
                        </pic:nvPicPr>
                        <pic:blipFill>
                          <a:blip r:embed="rId22"/>
                          <a:srcRect/>
                          <a:stretch>
                            <a:fillRect/>
                          </a:stretch>
                        </pic:blipFill>
                        <pic:spPr>
                          <a:xfrm>
                            <a:off x="0" y="0"/>
                            <a:ext cx="396240" cy="571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ES-J1220万分之一分析天平</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主要特点：可读性为0.1mg、量程220g分析天平、电磁平衡力传感器、LCD液晶背光显示屏、高精度的温度传感器、高灵敏度的湿度传感器、多种称量单位转换功能、RS232双向通讯接口、透明防风玻璃罩。</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主要参数：</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xml:space="preserve">可读性（d）：0.1mg </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称量范围（最大）：220g</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重复性误差（≤）：±0.2mg</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线性误差（≤g）：±0.2mg</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显示屏：LCD液晶显示屏</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校准方式：外部砝码校准</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净重：3.5kg</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稳定时间：2.5秒</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预热时间：30-60分钟</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秤盘（不锈钢）：Φ90mm</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可允许的环境条件：+10℃ to +30℃</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环境湿度范围：20-85%相对（非冷凝）</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电源输入电压：AC 230V,50-60HZ</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接口：RS232/RS485接口</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称量模式：基本称量、计件称量、百分比称量</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★生产厂商具有ISO9001认证证书、CE认证证书、CPA计量器具形式批准证书</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6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电子精密天平</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1、充电插电两用,液晶背光显示,,配校准砝码（200g），配置防风罩</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2、称量范围(g)：300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3、可读性(g)：0.01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4、重复性(≤g)：±0.01</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7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数显磁力搅拌器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采用磁力搅拌子搅拌技术，人性化操作设计。该产品主要适用于医学、生物工程、化学、医药、食品等研究领域，是生物实验室对各种试剂、溶液、化学物质进行搅拌混匀处理所必备的常规仪器。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1、可对50ml-20L标准或非标准反应瓶进行搅拌；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2、硅胶垫工作盘面，外壳采用金属外壳，高强度，耐高温，防腐蚀；</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3、整机设计精致小巧，30°斜面操控面板适合坐位和站位视角；</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4、高磁通量设计，搅拌能力强，采用无马达驱动方式，噪音小。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5、工作盘尺寸（mm）：Φ137mm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6、盘面材料：硅胶垫</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7、转速范围：200-1500rpm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8、定时范围：0~99h59min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9、搅拌点位数量：1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10、单个最大搅拌量：20L</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11、搅拌子最长尺寸：80mm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12、输入电源：AC220V  50/60Hz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13、功率：20W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14、熔断器：250V, 1A, Ф5x20</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2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电热恒温水浴锅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1.外观独特新颖，体积小巧，功能强大。所有与水接触表面均采用不锈钢材料和PC材料，耐腐蚀性强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2.采用一次冲压成型的不锈钢锅内胆，配合独特密封结构，杜绝漏水；三组水槽分别后置独立排水阀，可轻松清洗内胆后排净污水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3.采用微电脑程序PID自动控温，控温均匀、精度高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4.内置水位传感器，防止干烧带来的隐患，安全可靠</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5.双数码管数字全息显示温度和定时时间，参数显示准确直观，具有蜂鸣报警提示功能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6.控温范围： 室温+5~100℃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★7.温度分辨率： 0.1℃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8.温度波动度： ±0.5℃</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9.温度分布： 0.5℃</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10.孔数；2个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11.容积：2L×2孔</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★12.定时等待：0-999分钟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鼓风干燥箱</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1.适用于工矿企业、医药卫生、科研单位作干燥、烘焙、熔蜡、灭菌、固化使用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2.外壳采用静电喷涂工艺，漆膜牢固美观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3.箱门设有观察窗，可随时观察工作室内物品的加热情况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4.可选用多种控温仪表，控温精度高，稳定性能好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5.工作电压(V)：220V/50Hz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6.控温范围(℃)：室温+10～300℃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7.温度波动(℃)：±1℃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8.工作室尺寸(mm)：不小于550× 450 ×550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9.数字显示</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恒温电热套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实验室通用加热仪器容量 500ML；加热功率400W；温控范围 室温~200℃；</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高速离心机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1、采用旋钮式设计，可通过旋钮实现参数快速设定，操作灵活方便。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2、安全性能：双门锁，超速，过温，状态诊断系统及不平衡保护。</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3、采用液晶屏显示，触摸式按键设定调节。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4、具有到设定目标转速后开始离心倒计时、功能具有瞬时离心功能，运行进程显示、声音提示功能。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5、高强度生物密封转子，耐受无数次高温高压消毒。</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6、具有转速和离心力设定切换功能，可快速实现参数设定切换。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7、LCD大显示屏，显示转速，温度和时间，免维护直流无刷电机驱动，升速快。</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★8、最高转速：15000r/min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★9、最大相对离心力：21380×g（步长10×g）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10、转子容量 5ml×18；0.2ml/0.5ml/1.5ml/2ml×24；0.5ml×36；PCR8排管×4</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★11、转速精度：±20r/min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12、定时范围：30秒-99分-HOLD (连续运行)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13、整机噪声 ≤64dB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14、角转子：12×5ml</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旋转蒸发仪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1.蒸发瓶：0.5L+1L/29；</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2.收集品：1L/29；</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3.冷凝面积：0.15m2；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4.转速：20-200rpm；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5.正反向旋：有；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6.温度范围：室温~180°C；</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7.功率：1.1kw；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8.浴锅尺寸：300×300×240mm；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9.外壳防护等级：IP20；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10.加热锅干烧保护，自动断电；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11.PID精确控温，具有过温保护功能</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1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显微熔点仪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1.熔点测量范围：室温至320℃；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2.测量重复性：±1℃ （在＜200℃ 时），±2℃（在20 .0℃ 一320℃ 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3.温度显示最小值：1℃；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4.熔点观察方式：单目显微镜；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5.光学放大倍数 40*</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0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阿贝折射仪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1.折射率测量范围（nD)： 1.3000-1.7000；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2.准确度（nD)： ±0.0002；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3.蔗糖溶液质量分数（锤度Brix）读数范围：0~95%；</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4.仪器质量：2.6kg；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5.外形尺寸：200mm*100mm*240mm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6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循环水真空泵</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1.功率：180W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2.工作电源：220V/50HZ；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3.流量：60L/min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4.扬程：8m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5.最大真空度：0.098MPa；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6.单头抽气量：10L/min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7.抽气头：2个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8.水箱容积：15L</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833"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紫外可见分光光度计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1、波长范围：190-1000nm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2、光谱带宽：2nm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3、波长准确度：±1.8nm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★4、波长重复性：≤0.5nm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5、光度准确度：±0.5%T</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6、光度重复：≤0.2%T</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★7、杂散光：≤0.1%T</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8、数据输出：USB接口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9、光源：进口长寿命钨灯、氘灯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10、采用128*64位点阵式液晶显示器，主机能直接建立多点标准曲线，并可用标准曲线进行未知样测；可存储200条标准曲线，根据编号可随意调用；测量和存储的数据具有断电保持功能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11、波长自动校准、自动设定、偏差自我修复</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12、法兰基座式氘灯设计，换灯免光学调试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★13、软件完全遵循GLP规范和GMP要求，软件需具有权限管理，实现管理分级，根据不同的等级设计不同的权限，使实验数据保存完整，方便主管及时调用，保证实验数据的真实性和完整性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★14、软件采用最新的XML数据库结构，软件可实现图谱三维化，可根据用户的需求实现三维标准曲线、三维动力学、多波长三维标准曲线等功能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★15、产品需具有CE、ISO9001、FCC、ROHS、ISO4001、OHSAS 18001等认证，为保证产品质量生产厂家需提供紫外分光光度计高新技术成果转化项目证书等资料，确保技术成熟，产品稳定可靠</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★16、为了保证产品质量以及售后服务，厂家需提供售后服务体系五星认证</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4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高速粉碎机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1、粉碎室采用全不锈钢制做。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2、粉碎室上盖装有透明观察窗可以直接观察粉碎物的粉碎效果。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★3、转速：24000r/min；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★4、最大投料：100g</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9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玻璃仪器烘干器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不锈钢材质,具调温控制装置,可调温40-120℃,30孔,功率：800W</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9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微波炉</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微波加热，大于等于20L，700W快速加热</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1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综合有机制备仪器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根据综合化学使用方面要求而设计，能组装成10多种装置，满足化学竞赛实验需求</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983"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台式精密PH计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1、仪器级别：0.01级；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2、pH：(-2.00-20.00)pH</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3、电子单元示值误差：±0.01pH；</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4、mV ： （-2000.0-2000.0）mV；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5、温度：(-5.0-110.0)℃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6、配套测量范围：(0.00-14.00)pH</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大屏幕液晶，显示清晰、美观，支持多种测量模式，包括连续测量模式、平衡测量模式、定时测量模式，支持连续定时或者间隔定时；测量支持平衡条件判断，平衡条件提示；允许用户设置用户ID、样品ID，支持GLP规范。</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6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实验室电导率仪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1、仪器级别：1.0级；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2、电导率：0.00μS/cm-200mS/cm；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3、电子单元引用误差：±1.0%FS；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4、TDS：0.00mg/L-100g/L；</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5、温度：(-5.0-110.0)℃</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1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分子结构模型</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大型比例模型：18件/套，球直径50-100mm组合，组装好；包含：氢比例H2、氮比例N2、氨比例NH3、二氧化碳比例CO2、一氧化碳比例CO、甲烷比例CH4、乙烯比例C2H4、乙炔比例C2H2、苯比例C6H6、水比例H2O、氯乙烷比例CH3CH2CL、乙醇比例CH3CH2OH、苯酚比例C6H5OH、乙醛比例CH3CHO、丙酮比例CH3COCH3、乙酸比例CH3COOH、甘氨酸比例H2N-CH2COOH、乙烷比例CH3CH3</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17"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废液桶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1、材质： HDPE</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2、、容积30L</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271"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自动滴定仪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一、仪器功能：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1.指针式显示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2.具有手动、自动滴定功能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3.具有极化电压选择、终点设定选择、检测灵敏度选择功能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4.电流测量分10-9A、10-8A、10-7A、10-6A四档，以适应不同的化学分析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二、技术指标：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1.滴定范围：(0～10)mL，(0～25)mL；极化电压：30、50、100mV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2.基本误差：滴定终点控制灵敏度：±5%FS；极化电流检测误差：±2.5%FS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容量分析重复性误差：0.2%读数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3.极化电流检测灵敏度：2.0×10-9、2.0×10-8、2.0×10-7、2.0×10-6A /格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4.终点设定分档：10、20、30、40、50、60、70、80、90、100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5.电源：AC（220±22）V，（50±1）Hz</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3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移液器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1.量程为0.1-2.5uL，0.5-10μL，10-100μL，100-1000μL，1000-5000uL，；</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★2.采用极佳的耐热材质，可整支高温高压灭菌，无需拆卸。并且可整支紫外消毒；</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3.误差：最大量程误差&lt;1%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4.数字视窗，令所设定量程一目了然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5.符合人体工程学设计，轻触推杆设计，宽大放松指靠设计，使移液更轻松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6.机芯和退尖器为耐高温材料</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7.轻松地旋转计数器旋钮选择分液量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8.具有ISO9001：2008 和ISO 13485：2003证书，具有CE认证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9.使用标准配备工具，可在实验室方便快捷地进行校准和维修</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274"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移液器架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1、可旋转，平稳方便；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2、最多可同时放置6支移液器；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3、适配单道移液器和多道移液器；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4、适配Eppendorf，ThermoFinnpipette，Brand，Sartorius，Dragonlab等多品牌移液器；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15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真空抽滤系统</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1.过滤瓶采用高硼硅材料，制作精美、壁厚均匀，耐压性好，国际标准尺寸，互换性好,可与国外多种品牌互配。</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2.过滤瓶包括：滤杯(250ml)、中间过滤头、三角集液瓶（1000ml或2000ml)、铝合金夹子、0.45um滤膜一盒。</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3.无油隔膜真空泵：直接从溶剂瓶内提取溶剂，通过滤膜达到过滤收集的目的。操作更简便、除气效果显著、减少空气污染。</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3.1 抽气速度：10L/min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3.2 极限真空度：0.075mpa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★3.3 噪声小于40db（A）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★3.4 保护功能：过温保护、过载保护、短路保护</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★3.5 连续工作时间：不小于24小时。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马弗炉</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1.炉膛尺寸：≥300*200*120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2.额定温度：1000℃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3.额定功率（4Kw）控制器为PID智能表头，不冲温</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4.具有智能时间控制功能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5.温度均匀度 ：5℃垂直方向</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6．控温精度 ：±1℃</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9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电热套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1.实验室通用加热仪器容量 500ML</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2.加热功率400W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3.温控范围 室温~200℃</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24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循环水真空泵</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 xml:space="preserve">1、功率（W）： 180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2、电源（V/HZ） ： 220/50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3、流量（L/min）： 60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4、扬程（m）：8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5、最大真空度（Mpa）：0.098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6、单头抽气量（L/min）： 10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7、抽气头数（个）： 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8、安全功能：逆流防止阀</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9、水箱容积（L）：15</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球棍模型</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Style w:val="90"/>
                <w:rFonts w:hint="default"/>
                <w:color w:val="000000" w:themeColor="text1"/>
                <w:sz w:val="24"/>
                <w:szCs w:val="24"/>
              </w:rPr>
              <w:t>氢气、氯化氢、水、氨、甲烷、二氧化碳、乙烯、乙炔、苯、苯酚、乙醇、乙醛、乙酸、白磷、P</w:t>
            </w:r>
            <w:r>
              <w:rPr>
                <w:rStyle w:val="91"/>
                <w:rFonts w:hint="default"/>
                <w:color w:val="000000" w:themeColor="text1"/>
                <w:sz w:val="24"/>
                <w:szCs w:val="24"/>
              </w:rPr>
              <w:t>4</w:t>
            </w:r>
            <w:r>
              <w:rPr>
                <w:rFonts w:hint="eastAsia" w:ascii="宋体" w:hAnsi="宋体" w:cs="宋体"/>
                <w:color w:val="000000" w:themeColor="text1"/>
                <w:kern w:val="0"/>
                <w:sz w:val="24"/>
              </w:rPr>
              <w:t>O</w:t>
            </w:r>
            <w:r>
              <w:rPr>
                <w:rStyle w:val="91"/>
                <w:rFonts w:hint="default"/>
                <w:color w:val="000000" w:themeColor="text1"/>
                <w:sz w:val="24"/>
                <w:szCs w:val="24"/>
              </w:rPr>
              <w:t>6</w:t>
            </w:r>
            <w:r>
              <w:rPr>
                <w:rFonts w:hint="eastAsia" w:ascii="宋体" w:hAnsi="宋体" w:cs="宋体"/>
                <w:color w:val="000000" w:themeColor="text1"/>
                <w:kern w:val="0"/>
                <w:sz w:val="24"/>
              </w:rPr>
              <w:t>、P</w:t>
            </w:r>
            <w:r>
              <w:rPr>
                <w:rStyle w:val="91"/>
                <w:rFonts w:hint="default"/>
                <w:color w:val="000000" w:themeColor="text1"/>
                <w:sz w:val="24"/>
                <w:szCs w:val="24"/>
              </w:rPr>
              <w:t>4</w:t>
            </w:r>
            <w:r>
              <w:rPr>
                <w:rFonts w:hint="eastAsia" w:ascii="宋体" w:hAnsi="宋体" w:cs="宋体"/>
                <w:color w:val="000000" w:themeColor="text1"/>
                <w:kern w:val="0"/>
                <w:sz w:val="24"/>
              </w:rPr>
              <w:t>O</w:t>
            </w:r>
            <w:r>
              <w:rPr>
                <w:rStyle w:val="91"/>
                <w:rFonts w:hint="default"/>
                <w:color w:val="000000" w:themeColor="text1"/>
                <w:sz w:val="24"/>
                <w:szCs w:val="24"/>
              </w:rPr>
              <w:t>10</w:t>
            </w:r>
            <w:r>
              <w:rPr>
                <w:rFonts w:hint="eastAsia" w:ascii="宋体" w:hAnsi="宋体" w:cs="宋体"/>
                <w:color w:val="000000" w:themeColor="text1"/>
                <w:kern w:val="0"/>
                <w:sz w:val="24"/>
              </w:rPr>
              <w:t>、S</w:t>
            </w:r>
            <w:r>
              <w:rPr>
                <w:rStyle w:val="91"/>
                <w:rFonts w:hint="default"/>
                <w:color w:val="000000" w:themeColor="text1"/>
                <w:sz w:val="24"/>
                <w:szCs w:val="24"/>
              </w:rPr>
              <w:t>8</w:t>
            </w:r>
            <w:r>
              <w:rPr>
                <w:rFonts w:hint="eastAsia" w:ascii="宋体" w:hAnsi="宋体" w:cs="宋体"/>
                <w:color w:val="000000" w:themeColor="text1"/>
                <w:kern w:val="0"/>
                <w:sz w:val="24"/>
              </w:rPr>
              <w:t>、C</w:t>
            </w:r>
            <w:r>
              <w:rPr>
                <w:rStyle w:val="91"/>
                <w:rFonts w:hint="default"/>
                <w:color w:val="000000" w:themeColor="text1"/>
                <w:sz w:val="24"/>
                <w:szCs w:val="24"/>
              </w:rPr>
              <w:t>6</w:t>
            </w:r>
            <w:r>
              <w:rPr>
                <w:rFonts w:hint="eastAsia" w:ascii="宋体" w:hAnsi="宋体" w:cs="宋体"/>
                <w:color w:val="000000" w:themeColor="text1"/>
                <w:kern w:val="0"/>
                <w:sz w:val="24"/>
              </w:rPr>
              <w:t>H</w:t>
            </w:r>
            <w:r>
              <w:rPr>
                <w:rStyle w:val="91"/>
                <w:rFonts w:hint="default"/>
                <w:color w:val="000000" w:themeColor="text1"/>
                <w:sz w:val="24"/>
                <w:szCs w:val="24"/>
              </w:rPr>
              <w:t>12</w:t>
            </w:r>
            <w:r>
              <w:rPr>
                <w:rFonts w:hint="eastAsia" w:ascii="宋体" w:hAnsi="宋体" w:cs="宋体"/>
                <w:color w:val="000000" w:themeColor="text1"/>
                <w:kern w:val="0"/>
                <w:sz w:val="24"/>
              </w:rPr>
              <w:t>、SF</w:t>
            </w:r>
            <w:r>
              <w:rPr>
                <w:rStyle w:val="91"/>
                <w:rFonts w:hint="default"/>
                <w:color w:val="000000" w:themeColor="text1"/>
                <w:sz w:val="24"/>
                <w:szCs w:val="24"/>
              </w:rPr>
              <w:t>6</w:t>
            </w:r>
            <w:r>
              <w:rPr>
                <w:rFonts w:hint="eastAsia" w:ascii="宋体" w:hAnsi="宋体" w:cs="宋体"/>
                <w:color w:val="000000" w:themeColor="text1"/>
                <w:kern w:val="0"/>
                <w:sz w:val="24"/>
              </w:rPr>
              <w:t>、四水合铜离子、四水合氨离子</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比例模型</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氢气、氯化氢、水、氨、甲烷、二氧化碳、乙烯、乙炔、苯、苯酚、乙醇、乙醛、乙酸</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晶体结构模型</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氯化钠、二氧化碳、二氧化硅、金刚石、石墨、碳纳米管、足球烯、立方烷</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VSEPR模型</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Style w:val="90"/>
                <w:rFonts w:hint="default"/>
                <w:color w:val="000000" w:themeColor="text1"/>
                <w:sz w:val="24"/>
                <w:szCs w:val="24"/>
              </w:rPr>
              <w:t>水、氨、二氧化碳、二氧化硫、碳酸根离子、亚硝酸根离子、三氧化硫、乙醇、乙醛、乙酸、白磷、P</w:t>
            </w:r>
            <w:r>
              <w:rPr>
                <w:rStyle w:val="91"/>
                <w:rFonts w:hint="default"/>
                <w:color w:val="000000" w:themeColor="text1"/>
                <w:sz w:val="24"/>
                <w:szCs w:val="24"/>
              </w:rPr>
              <w:t>4</w:t>
            </w:r>
            <w:r>
              <w:rPr>
                <w:rFonts w:hint="eastAsia" w:ascii="宋体" w:hAnsi="宋体" w:cs="宋体"/>
                <w:color w:val="000000" w:themeColor="text1"/>
                <w:kern w:val="0"/>
                <w:sz w:val="24"/>
              </w:rPr>
              <w:t>O</w:t>
            </w:r>
            <w:r>
              <w:rPr>
                <w:rStyle w:val="91"/>
                <w:rFonts w:hint="default"/>
                <w:color w:val="000000" w:themeColor="text1"/>
                <w:sz w:val="24"/>
                <w:szCs w:val="24"/>
              </w:rPr>
              <w:t>6</w:t>
            </w:r>
            <w:r>
              <w:rPr>
                <w:rFonts w:hint="eastAsia" w:ascii="宋体" w:hAnsi="宋体" w:cs="宋体"/>
                <w:color w:val="000000" w:themeColor="text1"/>
                <w:kern w:val="0"/>
                <w:sz w:val="24"/>
              </w:rPr>
              <w:t>、P</w:t>
            </w:r>
            <w:r>
              <w:rPr>
                <w:rStyle w:val="91"/>
                <w:rFonts w:hint="default"/>
                <w:color w:val="000000" w:themeColor="text1"/>
                <w:sz w:val="24"/>
                <w:szCs w:val="24"/>
              </w:rPr>
              <w:t>4</w:t>
            </w:r>
            <w:r>
              <w:rPr>
                <w:rFonts w:hint="eastAsia" w:ascii="宋体" w:hAnsi="宋体" w:cs="宋体"/>
                <w:color w:val="000000" w:themeColor="text1"/>
                <w:kern w:val="0"/>
                <w:sz w:val="24"/>
              </w:rPr>
              <w:t>O</w:t>
            </w:r>
            <w:r>
              <w:rPr>
                <w:rStyle w:val="91"/>
                <w:rFonts w:hint="default"/>
                <w:color w:val="000000" w:themeColor="text1"/>
                <w:sz w:val="24"/>
                <w:szCs w:val="24"/>
              </w:rPr>
              <w:t>10</w:t>
            </w:r>
            <w:r>
              <w:rPr>
                <w:rFonts w:hint="eastAsia" w:ascii="宋体" w:hAnsi="宋体" w:cs="宋体"/>
                <w:color w:val="000000" w:themeColor="text1"/>
                <w:kern w:val="0"/>
                <w:sz w:val="24"/>
              </w:rPr>
              <w:t>、S</w:t>
            </w:r>
            <w:r>
              <w:rPr>
                <w:rStyle w:val="91"/>
                <w:rFonts w:hint="default"/>
                <w:color w:val="000000" w:themeColor="text1"/>
                <w:sz w:val="24"/>
                <w:szCs w:val="24"/>
              </w:rPr>
              <w:t>8</w:t>
            </w:r>
            <w:r>
              <w:rPr>
                <w:rFonts w:hint="eastAsia" w:ascii="宋体" w:hAnsi="宋体" w:cs="宋体"/>
                <w:color w:val="000000" w:themeColor="text1"/>
                <w:kern w:val="0"/>
                <w:sz w:val="24"/>
              </w:rPr>
              <w:t>、C</w:t>
            </w:r>
            <w:r>
              <w:rPr>
                <w:rStyle w:val="91"/>
                <w:rFonts w:hint="default"/>
                <w:color w:val="000000" w:themeColor="text1"/>
                <w:sz w:val="24"/>
                <w:szCs w:val="24"/>
              </w:rPr>
              <w:t>6</w:t>
            </w:r>
            <w:r>
              <w:rPr>
                <w:rFonts w:hint="eastAsia" w:ascii="宋体" w:hAnsi="宋体" w:cs="宋体"/>
                <w:color w:val="000000" w:themeColor="text1"/>
                <w:kern w:val="0"/>
                <w:sz w:val="24"/>
              </w:rPr>
              <w:t>H</w:t>
            </w:r>
            <w:r>
              <w:rPr>
                <w:rStyle w:val="91"/>
                <w:rFonts w:hint="default"/>
                <w:color w:val="000000" w:themeColor="text1"/>
                <w:sz w:val="24"/>
                <w:szCs w:val="24"/>
              </w:rPr>
              <w:t>12</w:t>
            </w:r>
            <w:r>
              <w:rPr>
                <w:rFonts w:hint="eastAsia" w:ascii="宋体" w:hAnsi="宋体" w:cs="宋体"/>
                <w:color w:val="000000" w:themeColor="text1"/>
                <w:kern w:val="0"/>
                <w:sz w:val="24"/>
              </w:rPr>
              <w:t>、SF</w:t>
            </w:r>
            <w:r>
              <w:rPr>
                <w:rStyle w:val="91"/>
                <w:rFonts w:hint="default"/>
                <w:color w:val="000000" w:themeColor="text1"/>
                <w:sz w:val="24"/>
                <w:szCs w:val="24"/>
              </w:rPr>
              <w:t>6</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油浴锅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单孔，加热功率3000W以上，温控范围0-300℃，温度均匀性±1℃，有效容积不小于φ280x300mm。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比色管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10ml，高硼硅材质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表面皿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9cm，高硼硅材质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表面皿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15cm，高硼硅材质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玻璃棒</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20cm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玻璃漏斗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60mm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不锈钢镊子</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14cm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不锈钢药勺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18cm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布氏漏斗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80mm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布氏漏斗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60mm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称量瓶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25mm*40mm，高硼硅材质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抽滤瓶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250ml</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滴管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20cm，高硼硅材质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支</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滴液漏斗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60ml</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四氟芯梨形分液漏斗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125ml</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扁形称量瓶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70mm*35mm，高硼硅材质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高型称量瓶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25mm*40mm，高硼硅材质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碱式滴定管（聚四氟乙烯）</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25ml，高硼硅材质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支</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碱式滴定管（聚四氟乙烯）</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50ml，高硼硅材质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支</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酸式滴定管（聚四氟乙烯）</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25ml，高硼硅材质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支</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酸式滴定管（聚四氟乙烯）</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50ml，高硼硅材质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支</w:t>
            </w:r>
          </w:p>
        </w:tc>
      </w:tr>
      <w:tr>
        <w:tblPrEx>
          <w:tblCellMar>
            <w:top w:w="0" w:type="dxa"/>
            <w:left w:w="108" w:type="dxa"/>
            <w:bottom w:w="0" w:type="dxa"/>
            <w:right w:w="108" w:type="dxa"/>
          </w:tblCellMar>
        </w:tblPrEx>
        <w:trPr>
          <w:trHeight w:val="16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四氟搅拌塞头</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69504" behindDoc="0" locked="0" layoutInCell="1" allowOverlap="1">
                  <wp:simplePos x="0" y="0"/>
                  <wp:positionH relativeFrom="column">
                    <wp:posOffset>87630</wp:posOffset>
                  </wp:positionH>
                  <wp:positionV relativeFrom="paragraph">
                    <wp:posOffset>198120</wp:posOffset>
                  </wp:positionV>
                  <wp:extent cx="513715" cy="411480"/>
                  <wp:effectExtent l="19050" t="0" r="635" b="0"/>
                  <wp:wrapNone/>
                  <wp:docPr id="989" name="图片_54"/>
                  <wp:cNvGraphicFramePr/>
                  <a:graphic xmlns:a="http://schemas.openxmlformats.org/drawingml/2006/main">
                    <a:graphicData uri="http://schemas.openxmlformats.org/drawingml/2006/picture">
                      <pic:pic xmlns:pic="http://schemas.openxmlformats.org/drawingml/2006/picture">
                        <pic:nvPicPr>
                          <pic:cNvPr id="989" name="图片_54"/>
                          <pic:cNvPicPr>
                            <a:picLocks noChangeArrowheads="1"/>
                          </pic:cNvPicPr>
                        </pic:nvPicPr>
                        <pic:blipFill>
                          <a:blip r:embed="rId23"/>
                          <a:srcRect/>
                          <a:stretch>
                            <a:fillRect/>
                          </a:stretch>
                        </pic:blipFill>
                        <pic:spPr>
                          <a:xfrm>
                            <a:off x="0" y="0"/>
                            <a:ext cx="513715" cy="41148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Style w:val="90"/>
                <w:rFonts w:hint="default"/>
                <w:color w:val="000000" w:themeColor="text1"/>
                <w:sz w:val="24"/>
                <w:szCs w:val="24"/>
              </w:rPr>
              <w:t>14</w:t>
            </w:r>
            <w:r>
              <w:rPr>
                <w:rStyle w:val="92"/>
                <w:rFonts w:hint="default"/>
                <w:color w:val="000000" w:themeColor="text1"/>
                <w:sz w:val="24"/>
                <w:szCs w:val="24"/>
              </w:rPr>
              <w:t>#</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四氟搅拌塞头</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Style w:val="90"/>
                <w:rFonts w:hint="default"/>
                <w:color w:val="000000" w:themeColor="text1"/>
                <w:sz w:val="24"/>
                <w:szCs w:val="24"/>
              </w:rPr>
              <w:t>19</w:t>
            </w:r>
            <w:r>
              <w:rPr>
                <w:rStyle w:val="92"/>
                <w:rFonts w:hint="default"/>
                <w:color w:val="000000" w:themeColor="text1"/>
                <w:sz w:val="24"/>
                <w:szCs w:val="24"/>
              </w:rPr>
              <w:t>#</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接引管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cs="宋体"/>
                <w:color w:val="000000" w:themeColor="text1"/>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结晶皿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150mm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具塞锥形瓶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100ml</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量筒</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5ml，高硼硅材质，包过检</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量筒</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10ml，高硼硅材质，包过检</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量筒</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25ml，高硼硅材质，包过检</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量筒</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50ml，高硼硅材质，包过检</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量筒</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100ml，高硼硅材质，包过检</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磨口漏斗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Style w:val="90"/>
                <w:rFonts w:hint="default"/>
                <w:color w:val="000000" w:themeColor="text1"/>
                <w:sz w:val="24"/>
                <w:szCs w:val="24"/>
              </w:rPr>
              <w:t>19</w:t>
            </w:r>
            <w:r>
              <w:rPr>
                <w:rStyle w:val="92"/>
                <w:rFonts w:hint="default"/>
                <w:color w:val="000000" w:themeColor="text1"/>
                <w:sz w:val="24"/>
                <w:szCs w:val="24"/>
              </w:rPr>
              <w:t>#</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磨口球芯冷凝管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14#</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磨口塞</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19#</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磨口圆底烧瓶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150ml 14#，高硼硅材</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磨口锥形瓶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100ml/14#，高硼硅材</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磨口锥形瓶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250ml，高硼硅材</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培养皿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12cm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茄形瓶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100ml</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球形冷凝管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30cm/19#</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直行冷凝管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30cm/19#</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容量瓶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100ml，高硼硅材质，包过检</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容量瓶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250ml，高硼硅材质，包过检</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三颈瓶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150/19,19,19</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砂芯漏斗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100ml/NO.4</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烧杯</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50ml，高硼硅材质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烧杯</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100ml，高硼硅材质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烧杯</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150ml，高硼硅材质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烧杯</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200ml，高硼硅材质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烧杯</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250ml，高硼硅材质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烧杯</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400ml，高硼硅材质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烧杯</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600ml，高硼硅材质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烧杯</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1000ml，高硼硅材质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试剂瓶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250ml</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四氟搅拌棒</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250ml,300mm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四颈瓶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Style w:val="90"/>
                <w:rFonts w:hint="default"/>
                <w:color w:val="000000" w:themeColor="text1"/>
                <w:sz w:val="24"/>
                <w:szCs w:val="24"/>
              </w:rPr>
              <w:t>100ml 14</w:t>
            </w:r>
            <w:r>
              <w:rPr>
                <w:rFonts w:hint="eastAsia" w:ascii="宋体" w:hAnsi="宋体" w:cs="宋体"/>
                <w:color w:val="000000" w:themeColor="text1"/>
                <w:kern w:val="0"/>
                <w:sz w:val="24"/>
              </w:rPr>
              <w:t>#*19#*14</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塑料洗瓶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250ml</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塑料洗瓶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500ml</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铁架台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1、底板和柱杆均为不锈钢304材质。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★2、底板尺寸不小于150*200mm，厚度不低于5mm，且进行环氧树脂喷塑，确保产品耐腐蚀性能。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★3、杆高不低于58cm，可配置至少29cm*2双杆，并可对接使用。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4、配置：万能夹、十字夹、大中小铁圈、对顶丝各1套</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5、原厂家通过ISO9001认证、ISO14001认证、OHSAS18001认证，确保产品质量和服务品质。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6.其它符合JY0001第6、7章有关规定。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7.应符合原教育部标准《方座支架》JY167-84的相关规定。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8.标志、说明书、包装、运输、贮存等应符合JY0001-2003的有关规定。</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万用夹</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三爪多用夹，大号双调节</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温度计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360℃</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支</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温度计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100℃</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温度计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250℃</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单咀过滤瓶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250ml，高硼硅材质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洗耳球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60ml</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细口瓶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30ml，高硼硅材质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细口瓶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500ml，高硼硅材质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橡皮管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6mm*9cm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研钵</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75mm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单标记移液吸管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20ml，高硼硅材质，包过检</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单标记移液吸管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25ml，高硼硅材质，包过检</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移液管架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有机玻璃</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圆底烧瓶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50ml/19#</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圆底烧瓶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100ml，高硼硅材质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蒸发皿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150mm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蒸馏头</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75°/14,19,19</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锥形瓶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250ml，高硼硅材质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锥形瓶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500ml，高硼硅材质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不锈钢刮刀</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2.5mm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不锈钢刮匙</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2.5mm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称量纸</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100mm*100mm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滴定管夹</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cs="宋体"/>
                <w:color w:val="000000" w:themeColor="text1"/>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滴定管架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有机玻璃吸管架，梯形</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滴定台（附蝴蝶夹）</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大理石铁架台+蝴蝶夹</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防尘手套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中号100只/盒，丁腈材质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盒</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防护眼镜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cs="宋体"/>
                <w:color w:val="000000" w:themeColor="text1"/>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副</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广泛PH试纸（1-14）</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cs="宋体"/>
                <w:color w:val="000000" w:themeColor="text1"/>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包</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剪刀</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16cm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把</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精密PH试纸（0.5-5.0）</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cs="宋体"/>
                <w:color w:val="000000" w:themeColor="text1"/>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冷凝管刷</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长毛刷</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滤纸（大）</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18cm，快速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包</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滤纸（小）</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9cm，快速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包</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酒精灯</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防腐型，150ml</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镊子</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15cm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把</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乳胶手套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大</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副</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三角架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cs="宋体"/>
                <w:color w:val="000000" w:themeColor="text1"/>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升降台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150*150*200</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十字夹</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中十字夹</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石棉网</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20*20</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试管刷</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试管刷</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大</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铁架台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1、底板和柱杆均为不锈钢304材质。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★2、底板尺寸不小于150*200mm，厚度不低于5mm，且进行环氧树脂喷塑，确保产品耐腐蚀性能。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★3、杆高不低于58cm，可配置至少29cm*2双杆，并可对接使用。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4、配置：万能夹、十字夹、大中小铁圈、对顶丝各1套</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5、原厂家通过ISO9001认证、ISO14001认证、OHSAS18001认证，确保产品质量和服务品质。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6.其它符合JY0001第6、7章有关规定。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7.应符合原教育部标准《方座支架》JY167-84的相关规定。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8.标志、说明书、包装、运输、贮存等应符合JY0001-2003的有关规定。</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线手套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劳保类，棉质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副</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橡皮管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6*9，1m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药勺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牛角药勺3*1/套</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一次性手套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100只/包，丁腈</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副</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圆形滤纸</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9cm，快速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自由夹</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二爪</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自由夹</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四爪</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晶体晶胞模型</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一套（氯化铯、氟化钙、硫化锌、金红石、简单立方堆积、体心立方堆积、面心立方堆积、六方堆积、金刚石晶胞）</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低压电源</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交流：2V～16V/3A，每2V一档      直流稳压：2V～16V/2A，每2V一档</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4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pH计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1、仪器级别：0.01 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2、测试速度15s；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3、测试范围：0-14pH；</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4、分辨率：0.01pH</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5、防水等级：IP67</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抽滤用安全瓶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瓶身溶剂500ml</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416"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数据采集器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1.模块化设计,插拔式接口，具备便于观察的状态、电源指示灯；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2.USB 2.0或3.0通讯协议，四通道并行实时采集，全数字通道，单通道最大采样率20KByte/s，总体最大采样率80KByte/s；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3.USB接口供电，无需外接电源；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4.所有端口具备防静电保护和短路保护功能；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5.双CPU主板，CPU主频不低于48Mhz；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6.所有端口支持热插拔，即插即用；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7.采用连线方式接入四种相同或不同的传感器并支持四通道并行采集，全数字通道，采用BT自锁接口，与数据采集器接插使用；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8.可根据实验教学需要，扩展成无线接收实现与传感器通讯。</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无线接口</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模块化设计，采用无线方式接入四种传感器并支持四通道并行采集，全数字通道，与数据采集器接插使用。在此种工作状态下，传感器应配合无线发射模块使用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传感器无线发射模块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支持Windows系统,通过与各种传感器组合使之具备与采集器的无线通讯功能。自锁接头，支持热插拔连接，可充电电池供电；可进行四路声波传感器同步显示的高频采集实验。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传感器数据显示模块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1、通过与各种传感器组合使用，具备独立数据显示功能。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2、采用BT自锁接头，支持热插拔连接，接入后自动识别传感器。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3、该模块具备自动保存实验数据，并且可与计算机有线连接（兼充电）或通过手持设备(平板、手机等)扫描二维码进行无线连接，导出实验数据的功能。可充锂电池供电 </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传感器转接模块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两端分别是BT接头与BT接口转换器，用于特种传感器与无线发射模块或数据显示模块的转接</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专用充电线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5V/0.5A直接连接传感器无线发射模块或显示模块进行充电，一端为usb接口另一端为micro usb接口。</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附件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含USB通讯线1条、转接器4只、传感器线4条；两端为BT插头，插口具有方向性和自锁功能——――插接方便、配合严密、方便教学； 技术资料需包含产品使用手册、实验案例说明手册等；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铝合金箱</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由铝合金主架、铝塑板面构成，内设隔断海棉内衬</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DISlab 软件包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一“件”全能——通用软件支持所有已正式发布的同系列传感器进行数据采集。</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温度传感器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量程：-50℃~+200℃；分度：0.1℃；不锈钢探针，可测各种物体或溶液的温度，支持与采集器的有线通讯、无线通讯和独立数据显示三种工作方式；传感器自带M6螺纹孔，轻松实现与多种实验装置的组装固定；传感器连接线插口具有方向性和自锁功能，可以防止传感器脱落保证数据传输稳定。（支持Windows、Android、苹果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高温传感器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0℃~1200℃；分度：1℃；不锈钢探针，可测高温物体或火焰的温度，连接插口具有方向性和自锁功能，可以防止传感器脱落保证数据传输稳定，可与数显模块和无线传输模块自由组合，支持热插拔，适用于Windows系统，安卓系统，IOS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相对压强传感器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测量范围：-20kPa~+20kPa；分度：0.01 kPa；可用于测量气体的相对压强，连接插口具有方向性和自锁功能，可以防止传感器脱落保证数据传输稳定，可与数显模块和无线传输模块自由组合，支持热插拔，具有硬件清零功能，适用于Windows系统，安卓系统，IOS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声波/声级</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通过转换按钮切换测量声音的波形和强度，研究声音的频率、周期、振幅等特征。声波频率测量范围：20Hz~20kHz。声级测量范围：20 dB ~120dB，分度：0.1dB。支持与采集器的有线通讯和无线通讯两种工作方式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多量程电流传感器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测量范围：-2A~+2A；分度：0.01；测量范围：-200mA~+200mA；分度：1mA；测量范围：-20mA ~+20mA；分度：0.1 mA，通过按钮切换量程。连接插口具有方向性和自锁功能，可以防止传感器脱落保证数据传输稳定，可与数显模块和无线传输模块自由组合，支持热插拔，自带硬件按钮，单击切换量程，长按清零，适用于Windows系统，安卓系统，IOS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多量程电压传感器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测量范围：-20V~+20V；分度：0.01V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测量范围：-2V~+2V；分度：0.001V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-0.2V~+0.2V；分度：0.1mV通过按钮切换量程。连接插口具有方向性和自锁功能，可以防止传感器脱落保证数据传输稳定，可与数显模块和无线传输模块自由组合，支持热插拔，自带硬件按钮，单击切换量程，长按清零，适用于Windows系统，安卓系统，IOS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pH传感器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测量范围：0~14；分度：0.01，具有快速响应的特点，测量数据能在5秒内达到真实值的90%， 10秒内稳定。连接插口具有方向性和自锁功能，可以防止传感器脱落保证数据传输稳定，可与数显模块和无线传输模块自由组合，支持热插拔，适用于Windows系统，安卓系统，IOS系统。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电导率传感器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测量范围：0 mS/cm ~20mS/cm；分度：0.001 mS/cm，连接插口具有方向性和自锁功能，可以防止传感器脱落保证数据传输稳定，可与数显模块和无线传输模块自由组合，支持热插拔，适用于Windows系统，安卓系统，IOS系统。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色度传感器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透光率0～100％，分度：0.1％，三波长光源（R、G、B）测量，连接插口具有方向性和自锁功能，可以防止传感器脱落保证数据传输稳定，与无线传输模块自由组合，支持热插拔，适用于Windows系统，安卓系统，IOS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浊度传感器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测量范围：0 NTU ~400NTU；分度：0.1 NTU，连接插口具有方向性和自锁功能，可以防止传感器脱落保证数据传输稳定，与无线传输模块自由组合，支持热插拔，适用于Windows系统，安卓系统，IOS系统。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二氧化硫传感器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测量范围：0 ppm～20ppm，分度0.01 ppm，连接插口具有方向性和自锁功能，可以防止传感器脱落保证数据传输稳定，与无线传输模块自由组合，支持热插拔，适用于Windows系统，安卓系统，IOS系统。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二氧化氮传感器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0~200ppm；分度：1ppm；用于检测气体中二氧化氮含量；连接插口具有方向性和自锁功能，可以防止传感器脱落保证数据传输稳定，与无线传输模块自由组合，支持热插拔，适用于Windows系统，安卓系统，IOS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氢气传感器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0~100%LEL；分度：0.1%；用于检测气体中氢气含量；连接插口具有方向性和自锁功能，可以防止传感器脱落保证数据传输稳定，与无线传输模块自由组合，支持热插拔，适用于Windows系统，安卓系统，IOS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一氧化碳传感器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0~1000ppm；分度：1ppm；用于检测气体中一氧化碳含量；连接插口具有方向性和自锁功能，可以防止传感器脱落保证数据传输稳定，与无线传输模块自由组合，支持热插拔，适用于Windows系统，安卓系统，IOS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氧气传感器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测量范围：0～100％，分度：0.1％，连接插口具有方向性和自锁功能，可以防止传感器脱落保证数据传输稳定，可与数显模块和无线传输模块自由组合，支持热插拔，</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★自带硬件校准按钮并支持硬件校准功能，适用于Windows系统，安卓系统，IOS系统。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二氧化碳传感器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★与数据采集器同一品牌。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测量范围：0 ppm～50000ppm，分度10 ppm，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★红外原理，泵动循环，连接插口具有方向性和自锁功能，可以防止传感器脱落保证数据传输稳定，可与数显模块和无线传输模块自由组合，支持热插拔，适用于Windows系统，安卓系统，IOS系统。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相对湿度传感器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Style w:val="90"/>
                <w:rFonts w:hint="default"/>
                <w:color w:val="000000" w:themeColor="text1"/>
                <w:sz w:val="24"/>
                <w:szCs w:val="24"/>
              </w:rPr>
            </w:pPr>
            <w:r>
              <w:rPr>
                <w:rStyle w:val="90"/>
                <w:rFonts w:hint="default"/>
                <w:color w:val="000000" w:themeColor="text1"/>
                <w:sz w:val="24"/>
                <w:szCs w:val="24"/>
              </w:rPr>
              <w:t>★与数据采集器同一品牌。</w:t>
            </w:r>
            <w:r>
              <w:rPr>
                <w:rStyle w:val="90"/>
                <w:rFonts w:hint="default"/>
                <w:color w:val="000000" w:themeColor="text1"/>
                <w:sz w:val="24"/>
                <w:szCs w:val="24"/>
              </w:rPr>
              <w:br w:type="textWrapping"/>
            </w:r>
            <w:r>
              <w:rPr>
                <w:rStyle w:val="90"/>
                <w:rFonts w:hint="default"/>
                <w:color w:val="000000" w:themeColor="text1"/>
                <w:sz w:val="24"/>
                <w:szCs w:val="24"/>
              </w:rPr>
              <w:t>测量范围：0～100%，分度0.1％，测量灵感件置于探管中，便于测量罐体的湿度值。</w:t>
            </w:r>
            <w:r>
              <w:rPr>
                <w:rStyle w:val="90"/>
                <w:rFonts w:hint="default"/>
                <w:color w:val="000000" w:themeColor="text1"/>
                <w:sz w:val="24"/>
                <w:szCs w:val="24"/>
              </w:rPr>
              <w:br w:type="textWrapping"/>
            </w:r>
            <w:r>
              <w:rPr>
                <w:rStyle w:val="90"/>
                <w:rFonts w:hint="default"/>
                <w:color w:val="000000" w:themeColor="text1"/>
                <w:sz w:val="24"/>
                <w:szCs w:val="24"/>
              </w:rPr>
              <w:t>★连接插口具有方向性和自锁功能，可以防止传感器脱落保证数据传输稳定，可与数显模块和无线传输模块自由组合，支持热插拔，适用于Windows系统，安卓系统，IOS系统。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钾离子传感器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Style w:val="90"/>
                <w:rFonts w:hint="default"/>
                <w:color w:val="000000" w:themeColor="text1"/>
                <w:sz w:val="24"/>
                <w:szCs w:val="24"/>
              </w:rPr>
            </w:pPr>
            <w:r>
              <w:rPr>
                <w:rStyle w:val="90"/>
                <w:rFonts w:hint="default"/>
                <w:color w:val="000000" w:themeColor="text1"/>
                <w:sz w:val="24"/>
                <w:szCs w:val="24"/>
              </w:rPr>
              <w:t>★与数据采集器同一品牌。</w:t>
            </w:r>
            <w:r>
              <w:rPr>
                <w:rStyle w:val="90"/>
                <w:rFonts w:hint="default"/>
                <w:color w:val="000000" w:themeColor="text1"/>
                <w:sz w:val="24"/>
                <w:szCs w:val="24"/>
              </w:rPr>
              <w:br w:type="textWrapping"/>
            </w:r>
            <w:r>
              <w:rPr>
                <w:rStyle w:val="90"/>
                <w:rFonts w:hint="default"/>
                <w:color w:val="000000" w:themeColor="text1"/>
                <w:sz w:val="24"/>
                <w:szCs w:val="24"/>
              </w:rPr>
              <w:t>测量范围：10-5~1mol/L；分度：10-5mol/L；用于检测溶液中钾离子浓度。连接插口具有方向性和自锁功能，可以防止传感器脱落保证数据传输稳定，与无线传输模块自由组合，支持热插拔，适用于Windows系统，安卓系统，IOS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氯离子传感器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Style w:val="90"/>
                <w:rFonts w:hint="default"/>
                <w:color w:val="000000" w:themeColor="text1"/>
                <w:sz w:val="24"/>
                <w:szCs w:val="24"/>
              </w:rPr>
            </w:pPr>
            <w:r>
              <w:rPr>
                <w:rStyle w:val="90"/>
                <w:rFonts w:hint="default"/>
                <w:color w:val="000000" w:themeColor="text1"/>
                <w:sz w:val="24"/>
                <w:szCs w:val="24"/>
              </w:rPr>
              <w:t>★与数据采集器同一品牌。</w:t>
            </w:r>
            <w:r>
              <w:rPr>
                <w:rStyle w:val="90"/>
                <w:rFonts w:hint="default"/>
                <w:color w:val="000000" w:themeColor="text1"/>
                <w:sz w:val="24"/>
                <w:szCs w:val="24"/>
              </w:rPr>
              <w:br w:type="textWrapping"/>
            </w:r>
            <w:r>
              <w:rPr>
                <w:rStyle w:val="90"/>
                <w:rFonts w:hint="default"/>
                <w:color w:val="000000" w:themeColor="text1"/>
                <w:sz w:val="24"/>
                <w:szCs w:val="24"/>
              </w:rPr>
              <w:t>测量范围：10-5~1mol/L；分度：10-5mol/L；用于检测溶液中氯离子浓度。连接插口具有方向性和自锁功能，可以防止传感器脱落保证数据传输稳定，与无线传输模块自由组合，支持热插拔，适用于Windows系统，安卓系统，IOS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铵根离子传感器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Style w:val="90"/>
                <w:rFonts w:hint="default"/>
                <w:color w:val="000000" w:themeColor="text1"/>
                <w:sz w:val="24"/>
                <w:szCs w:val="24"/>
              </w:rPr>
            </w:pPr>
            <w:r>
              <w:rPr>
                <w:rStyle w:val="90"/>
                <w:rFonts w:hint="default"/>
                <w:color w:val="000000" w:themeColor="text1"/>
                <w:sz w:val="24"/>
                <w:szCs w:val="24"/>
              </w:rPr>
              <w:t>★与数据采集器同一品牌。</w:t>
            </w:r>
            <w:r>
              <w:rPr>
                <w:rStyle w:val="90"/>
                <w:rFonts w:hint="default"/>
                <w:color w:val="000000" w:themeColor="text1"/>
                <w:sz w:val="24"/>
                <w:szCs w:val="24"/>
              </w:rPr>
              <w:br w:type="textWrapping"/>
            </w:r>
            <w:r>
              <w:rPr>
                <w:rStyle w:val="90"/>
                <w:rFonts w:hint="default"/>
                <w:color w:val="000000" w:themeColor="text1"/>
                <w:sz w:val="24"/>
                <w:szCs w:val="24"/>
              </w:rPr>
              <w:t>测量范围：10-5~1mol/L；分度：10-5mol/L；用于检测溶液中铵根浓度。连接插口具有方向性和自锁功能，可以防止传感器脱落保证数据传输稳定，与无线传输模块自由组合，支持热插拔，适用于Windows系统，安卓系统，IOS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硝酸根离子传感器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Style w:val="90"/>
                <w:rFonts w:hint="default"/>
                <w:color w:val="000000" w:themeColor="text1"/>
                <w:sz w:val="24"/>
                <w:szCs w:val="24"/>
              </w:rPr>
            </w:pPr>
            <w:r>
              <w:rPr>
                <w:rStyle w:val="90"/>
                <w:rFonts w:hint="default"/>
                <w:color w:val="000000" w:themeColor="text1"/>
                <w:sz w:val="24"/>
                <w:szCs w:val="24"/>
              </w:rPr>
              <w:t>★与数据采集器同一品牌。</w:t>
            </w:r>
            <w:r>
              <w:rPr>
                <w:rStyle w:val="90"/>
                <w:rFonts w:hint="default"/>
                <w:color w:val="000000" w:themeColor="text1"/>
                <w:sz w:val="24"/>
                <w:szCs w:val="24"/>
              </w:rPr>
              <w:br w:type="textWrapping"/>
            </w:r>
            <w:r>
              <w:rPr>
                <w:rStyle w:val="90"/>
                <w:rFonts w:hint="default"/>
                <w:color w:val="000000" w:themeColor="text1"/>
                <w:sz w:val="24"/>
                <w:szCs w:val="24"/>
              </w:rPr>
              <w:t>测量范围：10-5~1mol/L；分度：10-5mol/L；用于检测溶液中硝酸根浓度。连接插口具有方向性和自锁功能，可以防止传感器脱落保证数据传输稳定，与无线传输模块自由组合，支持热插拔，适用于Windows系统，安卓系统，IOS系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中和滴定实验装置（V8.0）</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Style w:val="90"/>
                <w:rFonts w:hint="default"/>
                <w:color w:val="000000" w:themeColor="text1"/>
                <w:sz w:val="24"/>
                <w:szCs w:val="24"/>
              </w:rPr>
            </w:pPr>
            <w:r>
              <w:rPr>
                <w:rStyle w:val="90"/>
                <w:rFonts w:hint="default"/>
                <w:color w:val="000000" w:themeColor="text1"/>
                <w:sz w:val="24"/>
                <w:szCs w:val="24"/>
              </w:rPr>
              <w:t>★与数据采集器同一品牌。</w:t>
            </w:r>
            <w:r>
              <w:rPr>
                <w:rStyle w:val="90"/>
                <w:rFonts w:hint="default"/>
                <w:color w:val="000000" w:themeColor="text1"/>
                <w:sz w:val="24"/>
                <w:szCs w:val="24"/>
              </w:rPr>
              <w:br w:type="textWrapping"/>
            </w:r>
            <w:r>
              <w:rPr>
                <w:rStyle w:val="90"/>
                <w:rFonts w:hint="default"/>
                <w:color w:val="000000" w:themeColor="text1"/>
                <w:sz w:val="24"/>
                <w:szCs w:val="24"/>
              </w:rPr>
              <w:t>有底板、控制电路、传感器电路、光传感器构成；通过传感器所采集到的数据来控制执行器的运行。基于传感器控制系统软件进行阀值设定，并拨动控制电路开关选择动作类型，一旦传感器达到改阀值（挡光时间），即可启动选定的动作。附件含miniUSB数据通讯线、传感器连线及扇叶构成</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气液相密封实验器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Style w:val="90"/>
                <w:rFonts w:hint="default"/>
                <w:color w:val="000000" w:themeColor="text1"/>
                <w:sz w:val="24"/>
                <w:szCs w:val="24"/>
              </w:rPr>
            </w:pPr>
            <w:r>
              <w:rPr>
                <w:rStyle w:val="90"/>
                <w:rFonts w:hint="default"/>
                <w:color w:val="000000" w:themeColor="text1"/>
                <w:sz w:val="24"/>
                <w:szCs w:val="24"/>
              </w:rPr>
              <w:t>★与数据采集器同一品牌。</w:t>
            </w:r>
            <w:r>
              <w:rPr>
                <w:rStyle w:val="90"/>
                <w:rFonts w:hint="default"/>
                <w:color w:val="000000" w:themeColor="text1"/>
                <w:sz w:val="24"/>
                <w:szCs w:val="24"/>
              </w:rPr>
              <w:br w:type="textWrapping"/>
            </w:r>
            <w:r>
              <w:rPr>
                <w:rStyle w:val="90"/>
                <w:rFonts w:hint="default"/>
                <w:color w:val="000000" w:themeColor="text1"/>
                <w:sz w:val="24"/>
                <w:szCs w:val="24"/>
              </w:rPr>
              <w:t>与生物化学传感器密闭连接，可完成陆水生植物光合作用、种子萌发、呼吸作用、酶的特性等实验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稀释池</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Style w:val="90"/>
                <w:rFonts w:hint="default"/>
                <w:color w:val="000000" w:themeColor="text1"/>
                <w:sz w:val="24"/>
                <w:szCs w:val="24"/>
              </w:rPr>
            </w:pPr>
            <w:r>
              <w:rPr>
                <w:rStyle w:val="90"/>
                <w:rFonts w:hint="default"/>
                <w:color w:val="000000" w:themeColor="text1"/>
                <w:sz w:val="24"/>
                <w:szCs w:val="24"/>
              </w:rPr>
              <w:t>★与数据采集器同一品牌。</w:t>
            </w:r>
            <w:r>
              <w:rPr>
                <w:rStyle w:val="90"/>
                <w:rFonts w:hint="default"/>
                <w:color w:val="000000" w:themeColor="text1"/>
                <w:sz w:val="24"/>
                <w:szCs w:val="24"/>
              </w:rPr>
              <w:br w:type="textWrapping"/>
            </w:r>
            <w:r>
              <w:rPr>
                <w:rStyle w:val="90"/>
                <w:rFonts w:hint="default"/>
                <w:color w:val="000000" w:themeColor="text1"/>
                <w:sz w:val="24"/>
                <w:szCs w:val="24"/>
              </w:rPr>
              <w:t>倒置三角烧杯结构，上端开口，底端封闭，配匀速滴管。用于稀释倍数较大，且对初始溶解有一定量要求的化学实验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多向转接头</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Style w:val="90"/>
                <w:rFonts w:hint="default"/>
                <w:color w:val="000000" w:themeColor="text1"/>
                <w:sz w:val="24"/>
                <w:szCs w:val="24"/>
              </w:rPr>
            </w:pPr>
            <w:r>
              <w:rPr>
                <w:rStyle w:val="90"/>
                <w:rFonts w:hint="default"/>
                <w:color w:val="000000" w:themeColor="text1"/>
                <w:sz w:val="24"/>
                <w:szCs w:val="24"/>
              </w:rPr>
              <w:t>★与数据采集器同一品牌。</w:t>
            </w:r>
            <w:r>
              <w:rPr>
                <w:rStyle w:val="90"/>
                <w:rFonts w:hint="default"/>
                <w:color w:val="000000" w:themeColor="text1"/>
                <w:sz w:val="24"/>
                <w:szCs w:val="24"/>
              </w:rPr>
              <w:br w:type="textWrapping"/>
            </w:r>
            <w:r>
              <w:rPr>
                <w:rStyle w:val="90"/>
                <w:rFonts w:hint="default"/>
                <w:color w:val="000000" w:themeColor="text1"/>
                <w:sz w:val="24"/>
                <w:szCs w:val="24"/>
              </w:rPr>
              <w:t>双向交叉，孔内径适应于标准铁架台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271"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磁力固定座A</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Style w:val="90"/>
                <w:rFonts w:hint="default"/>
                <w:color w:val="000000" w:themeColor="text1"/>
                <w:sz w:val="24"/>
                <w:szCs w:val="24"/>
              </w:rPr>
            </w:pPr>
            <w:r>
              <w:rPr>
                <w:rStyle w:val="90"/>
                <w:rFonts w:hint="default"/>
                <w:color w:val="000000" w:themeColor="text1"/>
                <w:sz w:val="24"/>
                <w:szCs w:val="24"/>
              </w:rPr>
              <w:t>★与数据采集器同一品牌。</w:t>
            </w:r>
            <w:r>
              <w:rPr>
                <w:rStyle w:val="90"/>
                <w:rFonts w:hint="default"/>
                <w:color w:val="000000" w:themeColor="text1"/>
                <w:sz w:val="24"/>
                <w:szCs w:val="24"/>
              </w:rPr>
              <w:br w:type="textWrapping"/>
            </w:r>
            <w:r>
              <w:rPr>
                <w:rStyle w:val="90"/>
                <w:rFonts w:hint="default"/>
                <w:color w:val="000000" w:themeColor="text1"/>
                <w:sz w:val="24"/>
                <w:szCs w:val="24"/>
              </w:rPr>
              <w:t>三角型底座配三个强力磁铁，铝合金支柱，适用于固定较大型实验器材</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多用途生化传感器支架B</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Style w:val="90"/>
                <w:rFonts w:hint="default"/>
                <w:color w:val="000000" w:themeColor="text1"/>
                <w:sz w:val="24"/>
                <w:szCs w:val="24"/>
              </w:rPr>
            </w:pPr>
            <w:r>
              <w:rPr>
                <w:rStyle w:val="90"/>
                <w:rFonts w:hint="default"/>
                <w:color w:val="000000" w:themeColor="text1"/>
                <w:sz w:val="24"/>
                <w:szCs w:val="24"/>
              </w:rPr>
              <w:t>★与数据采集器同一品牌。</w:t>
            </w:r>
            <w:r>
              <w:rPr>
                <w:rStyle w:val="90"/>
                <w:rFonts w:hint="default"/>
                <w:color w:val="000000" w:themeColor="text1"/>
                <w:sz w:val="24"/>
                <w:szCs w:val="24"/>
              </w:rPr>
              <w:br w:type="textWrapping"/>
            </w:r>
            <w:r>
              <w:rPr>
                <w:rStyle w:val="90"/>
                <w:rFonts w:hint="default"/>
                <w:color w:val="000000" w:themeColor="text1"/>
                <w:sz w:val="24"/>
                <w:szCs w:val="24"/>
              </w:rPr>
              <w:t>由机械臂、传感器电极夹及固定夹组成，机械臂固定在实验台边，能在三维空间内灵活移动并准确定位，稳定性好；电极夹口径适合常用生化传感器的电极，主便生化实验操作，具有保护传感器不受损坏、提高空间利用率和实验效率功能。机械臂长度：800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磁力搅拌器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双旋钮，最大搅拌量1L，加热和搅拌，转速范围0-1600RPM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3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立式空调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1、3匹不少于3级能效冷暖立柜式空调。★整机10年厂家免费上门质保,具体参数规格详细见附件7.</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2、注：如果没有空调的冷凝水PVC排水管到地面，则需要安装空调冷凝水水管50PVCU到地面排水沟里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四、生物数码显微镜实验室清单</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设备名称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技术参数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12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学生用数码生物显微镜（含平板和支架）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1.数字内置一体化显微镜：一体化数码摄像系统，1/2英寸逐行扫描传感器，高清晰彩色芯片，动态400万像素，静态最高可达1600万像素。</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2.数码摄像系统非外置式，和显微镜集成一体。</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3.物镜： ASC Plan平场独立消色差物镜，P/b无铅玻璃材质，4X/0.10，成像清晰圆直径≥16.8mm；10X/0.25成像清晰圆直径≥16.6mm，景深范围内像面的偏摆≤0.01mm；40X/0.65（弹簧），成像清晰圆直径≥16.6mm；100X/1.25（弹簧/油），成像清晰圆直径≥15.7mm，所有物镜均保证齐焦。显微镜物镜放大率准确度≤0.95%。</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4.齐焦性：物镜10→4倍≤0.025mm，10→40倍≤0.010mm，40→100倍≤0.005mm。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5.转换器：内倾式四孔同心球轴转换器，定位准确，并带有限位装置，转换器定位稳定性≤0.003mm。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★6.载物台：U形机械移动载物台，140×140（mm），移动范围75×50（mm）最小读数值0.1mm。防腐耐磨涂层。X、Y轴同轴调节，载物台受5N水平方向作用力最大位移≤0.010mm；不重复性≤0.002mm。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7.用机械使标本在5mm*5mm范围内移动时的离焦量≤0.005mm。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8.微调： 粗微调同轴调节载物台，配有限位打滑装置，微调机构空回≤0.004mm。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9.目镜：带有指针定位的WF10X/20mm,补偿平场目镜。显微镜目镜放大率准确度不超过±0.55%。</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目镜筒：铰链式目镜筒，360°旋转时目镜焦平面上像中心的位移≤0.20mm，左右两系统放大率差≤0.23%，双目系统左右两像面光谱色一致，明暗差≤7.2%；双目系统左右系统像面方差≤32；双目系统左右视场中心偏差：上下≤0.02mm、左右内侧≤0.02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11.照明：3WLED照明系统。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12.聚光镜：N.A.1.25阿贝聚光镜。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13.液晶显示屏：10.1寸便携式智能平板（≥4GB+32GB，4*Cortex-A53 2.36GHz+4*Cortex-A53 1.7GHz架构处理器，双频WIFI版，分辨率：1920X1200，电池容量：≥5100mah，摄像头：2+5MP）输出，平板可放置在显微镜上观察，也可以拿下移动观察，平板为主流品牌原装机（如小米、华为等等）。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14.传输方式：内置RJ45网络接口，可以通过网络连接成像；平板上的图像通过wifi传输，非USB连接。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15.数码系统：处理器四核，内存：2GB，硬盘：16G；屏幕分辨率：2048：1536（16：12或8：6），录像分辨率1080P/30FPS，超高清成像装置，画面无拖尾延迟现象，1080P HDMI 高清数字信号输出。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16.操作系统：软件支持Android、苹果和windows操作系统。Android、苹果和windows操作系统终端设备可以同时连接显微镜，实时成像。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★17.一体化供电：平板、数码摄像系统和显微镜采用一体化供电（仅需一根电源线），避免充电线繁杂，整体美观。机身自带USB输出，支持给平板供电。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18.连接器：方便学生调整观察角度。19. 提供原产商显微镜产品的样本彩页。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20.提供“国家光学仪器质量监督检验中心”出具的检测报告复印件。要求检测数据符合以上的数据要求。</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教师端数码生物显微镜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与学生用数码生物显微镜同一品牌</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1.光学系统：采用无限远色差校正光学系统。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目镜：大视野，高眼点UC-WF10X/22mm ，视度可调节。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观察筒：铰链式双目观察筒，瞳距48-75mm可调；目镜观察筒可360度任意旋转。</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4.物镜：无限远平场UC物镜：UC Plan 4X成像清晰圆直径≥17.5mm；UC Plan 10X成像清晰圆直径≥17.6mm；UC Plan 40X成像清晰圆直径≥18.9mm；UCPlan100X成像清晰圆直径≥18.6mm；显微镜物镜放大率准确度≤0.87%</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5.齐焦性：物镜10→4倍≤0.030mm，10→20倍≤0.023mm，10→40倍≤0.008mm，40→100倍≤0.005mm。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物镜转换器：内倾式5孔转换器。转换器定位稳定性≤0.015mm。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调焦机构：粗微同轴调焦手轮，微调0.1mm/转，格值0.001mm。粗动松紧可调，工作台上限位置可用镜臂中的滚花螺钉调节；并通过锁紧手轮来限位。微调机构空回≤0.006mm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8.载物台：防刮伤防脱落新镂空式切片夹； X、Y轴采用钢丝传动无突出式设计，矩形，面积：≥185 x 145mm；行程：≥76 x 50mm；X、Y向低位同轴调节手轮，且其扭矩（松紧）可调。表面石墨喷涂涂层，防腐、耐磨。整机采用顶级优选喷涂材料，防潮防腐蚀；载物台受5N水平方向作用力最大位移≤0.015mm；不重复性≤0.003mm。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9.用机械使标本在5mm*5mm范围内移动时的离焦量≤0.005mm。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10.柯拉照明系统：新型LED聚光镜：N.A.0.9/0.13消色差聚光镜,三片式透镜设计，集成了集光镜和聚光镜功能。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★11.3WLED 、6V/30W卤素灯照明光源可选。采用抽屉式光源更换盒，光源更换方便。提供“国家光学仪器质量监督检验中心”检测报告证明所投产品具有‘光源可选’功能。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12.数字内置一体化显微镜：1/2”逐行扫描数字图像传感器,400万纯物理像素,高分辨率实时显示,保证输出图象色彩不能失真，最大传输速率可达12帧/秒；拍照可达1600像素。</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★13.机身自带二维码，可以扫描下载软件。内置RJ45网络接口，可以直接连接交换机组建网络；也可以通过RJ45口连接计算机采集图像。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智能环形指示灯，在内置智能处理器控制下，能够指示显微镜的各种工作状态，如：工作或是休眠、光源亮度等信息，从而带给用户更好的操作体验。提供“国家光学仪器质量监督检验中心”检测报告证明所投产品具有‘智能环形指示灯’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物镜照明记忆功能：各物镜定义的光线强度会被自动记忆并在下次使用该物镜时自动调出，免除再次手动调整的繁琐。提供“国家光学仪器质量监督检验中心”检测报告证明所投产品具有‘物镜照明记忆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★16.多功能操作旋钮，可实现调节照明亮度和休眠功能。提供“国家光学仪器质量监督检验中心”检测报告证明所投产品具有‘多功能操作旋钮’功能。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17.操作系统：软件支持Android、苹果和windows操作系统。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18.其他：整机防霉，滤色片，护眼罩，防尘罩，香柏油。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19.提供制造商关于该显微镜产品的样本彩页。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20.提供由制造商盖章的“国家光学仪器质量监督检验中心”出具的检测报告复印件，要求检测数据符合以上的数据要求。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21.制造厂商必须同时通过ISO9001/14001/13485质量体系认证，以保证所投标产品的质量。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显微实验教学无线智能互动系统软件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与学生用数码生物显微镜同一品牌</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（一）基本功能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1.1学生端通过无线的方式汇聚到教师端控制系统。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1.2学生智能终端不受种类、操作系统、品牌的限制，学生端具备有多种类型、多种操作系统无线智能终端。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1.3确保系统在同时满足以下条件的前提下，显微图像能实时传输、互动，无延时。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1.4无线智能终端在28个点位以上，实现稳定传输。</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（二）软件主要功能：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2.1、系统具备：微观图像、宏观图像、课堂交互、教学求助等功能模块。用户可通过系统进行微观实验和宏观实验，并进行实时交流。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2.2、教学示范：把教师电脑屏幕上的授课内容传送到每个学生端，教师可根据需求选择强制性、非强制性两种示教模式。学生端可选择性接收非强制性教学示范，确保学生在操作实验时不受到干扰，同时可以自主选择学习。</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2.3、实验评估：可设置课堂实验报告，并进行现场评级。可对单个学生实验进行评级，也可对多个学生实验同时进行评级。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2.4、授课评估：具备授课效果实时接收系统。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2.5、设备登记：具备显微镜使用管理登记系统。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2.6、图像对比：可同时打开两张或四张图片，进行对比教学。</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2.7、图像捕捉：可实时采集、宏观图像、微观图像。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2.8、图像处理：可对采集下来的图片进行各种图像处理，测量、计数、报告打印等。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2.9、作业下发：可以将图片或office文件下发给学生作为课后作业。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2.10、语言选择：中英文可选，双语教学。</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（三）系统使用及更新：用户可通过外网下载学生端APP，并实时进行厂商最新程序的更新。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教师端专业图像分析软件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与学生用数码生物显微镜同一品牌</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1.图像采集：可对实时图像进行捕捉、间隔捕捉、录像。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2.图像管理：对图像文件进行新建、打开、编辑、保存、打印报告及相册管理(含图像合并)等。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3.图像处理：调整、镜像、反转、白平衡、改变图像尺寸、三维化显示、放大镜、平滑、低通滤波、高通滤波、灰度形态学、其它过滤器、直方图均衡、发现边缘、自定义滤波器。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4.校准与测量：校准尺度后对图像进行直线、矩形、圆、圆(3点)、椭圆、多边形、不规则多边形、角度、折线等的测量。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学生端图像分析软件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与学生用数码生物显微镜同一品牌</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1.学生端用户可通过APP下载、安装软件应用程序，并实时进行最新软件程序更新。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2.软件系统具备：微观实验、宏观实验、教学示范、师生交流等功能模块。</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3.用户可通过系统进行微观实验和宏观实验，并进行实时交流。</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数码显微镜系统集成</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1、无线路由器1台：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2、适用频段：2.4GHz；5GHz；2.4GHz+5GHz；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3、传输标准：IEEE 802.11n；IEEE 802.11g；IEEE 802.11b；IEEE 802.11.ac；IEEE 802.11.a；IEEE 802.3；IEEE 802.3u；IEEE 802.3ab网络协议：TCP/IP协议传输率：2184Mbps无线协议：802.11ac支持无线桥接，Qos限速，WPS,防蹭网等功能；无外置天线吸顶式AP；POE/DC供电。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4、用6类网线构建局域网，保证每根网线到达学生端和教师端；互动系统安装、调试。</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教师端主控处理终端</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商用品牌机i5十代/8G/2TB HDD/256SSD/2GB 独显Win10/鼠标、键盘、鼠标垫，≥23寸高清显示器，五年上门免费服务</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仿宋" w:hAnsi="仿宋" w:eastAsia="仿宋" w:cs="仿宋"/>
                <w:color w:val="000000" w:themeColor="text1"/>
                <w:sz w:val="24"/>
              </w:rPr>
              <w:t>86吋智能交互平板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配置参数详见附件3</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推拉绿板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配置参数详见附件4</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蓝牙音箱无线咪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配置参数详见附件5</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83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教师演示台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70528" behindDoc="0" locked="0" layoutInCell="1" allowOverlap="1">
                  <wp:simplePos x="0" y="0"/>
                  <wp:positionH relativeFrom="column">
                    <wp:posOffset>85090</wp:posOffset>
                  </wp:positionH>
                  <wp:positionV relativeFrom="paragraph">
                    <wp:posOffset>444500</wp:posOffset>
                  </wp:positionV>
                  <wp:extent cx="631825" cy="464185"/>
                  <wp:effectExtent l="19050" t="0" r="0" b="0"/>
                  <wp:wrapNone/>
                  <wp:docPr id="988" name="ID_FA6C5B3A0AC8481AA82ECA5D1520C855"/>
                  <wp:cNvGraphicFramePr/>
                  <a:graphic xmlns:a="http://schemas.openxmlformats.org/drawingml/2006/main">
                    <a:graphicData uri="http://schemas.openxmlformats.org/drawingml/2006/picture">
                      <pic:pic xmlns:pic="http://schemas.openxmlformats.org/drawingml/2006/picture">
                        <pic:nvPicPr>
                          <pic:cNvPr id="988" name="ID_FA6C5B3A0AC8481AA82ECA5D1520C855"/>
                          <pic:cNvPicPr>
                            <a:picLocks noChangeArrowheads="1"/>
                          </pic:cNvPicPr>
                        </pic:nvPicPr>
                        <pic:blipFill>
                          <a:blip r:embed="rId24"/>
                          <a:srcRect/>
                          <a:stretch>
                            <a:fillRect/>
                          </a:stretch>
                        </pic:blipFill>
                        <pic:spPr>
                          <a:xfrm>
                            <a:off x="0" y="0"/>
                            <a:ext cx="631825" cy="46418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1.全木结构，尺寸3000*700*900mm。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2.面板：采用12.7mm厚双面膜耐腐蚀实芯理化板制作，四角倒R15圆角。耐酸、耐碱、耐高温，坚固耐用，防潮、无细孔、不膨胀、不龟裂、不变形、不导电、便于维护及具有良好的承重性能；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3.柜身：采用E1级环保型三聚氰胺板制作，可见截面均经过PVC封边；整体结构设计合理，预留电脑主机、键盘托、实物展台、教师电源位置。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4.滑轨：采用优质品牌三节静音滑轨；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5.铰链：采用知名品牌大弯铰链，开合十万次以上；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6.连接件：ABS专用连接组装件；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7.桌脚：采用ABS注塑专用桌垫固定；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8.防撞胶垫：采用橡胶材质，装于抽屉及门板内侧，减缓碰撞，保护柜体；</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9.其他：台面装置教师电源主控台，预留多媒体设备（电脑；实物展台、DVD）等设备位置。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11.配置含：水槽（550*445*300mm）、三联水龙头各1套</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11.1 采用实验室专用高密度PP一体化成型水槽，易清洁，耐腐蚀，且利于台面残水自然回流，美观实用；具耐酸碱、耐有机溶剂、耐紫外线等特点。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11.2 鹅颈式实验室专用优质化验水嘴：要求防酸碱、防锈、防虹吸、防阻塞，表面环氧树脂喷涂。出水嘴为铜质瓷芯，高头，便于多用途使用，可拆卸清洗阻塞。出水嘴可拆卸，内有成型螺纹，可方便连接循环等特殊用水水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11.3 预留1个手持洗眼器的安装位置</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29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洗眼器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1、洗眼喷头：采用不助燃PC材质模铸一体成形制作，具有过滤泡棉及防尘功能，上面防尘盖平常可防尘，使用时可随时被水冲开，并降低突然打开时短暂的高水压，避免冲伤眼睛。</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2、安装在教室演示讲台上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★3、技术要求满足：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3.1管螺纹精度：应符合GB/T7306.1或GB/T7306.2或GB/T7307的规定；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3.2螺纹表面：不得有凹痕、断牙等明显缺陷，表面粗糙度Ra值不大于6.3µm；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3.3抗压强度：1.2MPa静水压状态下关闭无渗漏，皮管无鼓胀现向；</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3.4外观：主体无掉漆现向，手柄无明显注塑缺陷；</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3.5启动开关灵活：压下开关松开后，开关能立即复位，无滞后现向，通水后无渗漏现向；</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3.6水柱喷射高度，cm：0.3MPa动水压状态下，喷洒头方向向上，压下控制开关，水柱喷射高度≥46cm；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3.7水流量，L/s：0.3MPa动水压下打开开关，流量≥0.15L/s。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提供由生产厂家送检满足以上技术要求由省级或省级以上检测机构出具的实验室专用洗眼器检测报告复印件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1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教师总电源</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1.教师演示台配备总漏电保护和分组保护，可分组控制学生的高低压电源，确保学生实验安全方便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2.教师电源总控采用"电容式"触摸按键，采用段码液晶显示，智能控制按键同时显示电源电压；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3.教师交流电源通过智能控制按键直接选取0V～24V电压，最小调节单元可达1V,额定电流3A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4.教师直流电源也是通过智能控制按键直接选取，调节范围为1.5～24V，分辨率可达0.1V,额定电流3A；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5.低压大电流值为40A，自动关断；</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6.220V交流输出为带安全门的新国标插座，带有电源指示 ，学生低压交流电源可通过智能控制按键直接选取6～24V电压，最小调节单元为1V，分组输送至学生桌，低压直流电压无法准确控制，偏差1V-6V；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7.钢制电箱，内置1000W变压器，分组控制学生端低压输出，带分组接线口。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8.技术要求满足：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8.1标志：调节装置、输出插孔应有清晰明了，耐用的提示文字和符号；直流电压输出应能显示电压；内部布线接线端子应有文字或符号明示；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8.2内部导线连接：连接后应无应力；黄绿双色线必须是接地端子；部件固定牢固，无松动现向；</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8.3漏电保护：输入端应有漏电保护断路装置；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8.4接地措施：接地电阻≤0.1Ω；绝缘电阻≥7MΩ；变压器、插座应可靠接地；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8.5发热、K：变压器在1.06倍额定电压（233.2V）工作至温度状态，其绕组温升≤90K；</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8.6操作性：各按组插座、开关工作有效，无影响正常工作和安全的异常现向；指示灯正常，无闪烁，损坏现向；漏电开关经试验后电路能正常断开；电压指示正常，无闪烁和损坏现向；</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8.7电压设置性能指示性：电压按设定值输入确认后，显示和输出应一致；电压设定值与实际输出值的误差应≤10%；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★8.8提供由生产厂家送检满足以上技术要求由省级或省级以上检测机构出具的教师演示电源检测报告复印件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271"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资料查询台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1400*700*730mm。桌面采用标准E0级板，厚度25mm，面贴优质防火板，ABS直封边制作，钢架采用满焊焊接，经高温粉体烤漆，长时间使用也不会产生表面漆剥落现象；配有接线槽，方便安装插座等。配套全钢活动柜一组。</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9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教师办公椅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配套教师椅一张，背靠网布中背设计，五星尼龙脚，优质气压棒升降。</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14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生物学生桌</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71552" behindDoc="0" locked="0" layoutInCell="1" allowOverlap="1">
                  <wp:simplePos x="0" y="0"/>
                  <wp:positionH relativeFrom="column">
                    <wp:posOffset>-45720</wp:posOffset>
                  </wp:positionH>
                  <wp:positionV relativeFrom="paragraph">
                    <wp:posOffset>91440</wp:posOffset>
                  </wp:positionV>
                  <wp:extent cx="777240" cy="568325"/>
                  <wp:effectExtent l="19050" t="0" r="3810" b="0"/>
                  <wp:wrapNone/>
                  <wp:docPr id="987" name="图片_969"/>
                  <wp:cNvGraphicFramePr/>
                  <a:graphic xmlns:a="http://schemas.openxmlformats.org/drawingml/2006/main">
                    <a:graphicData uri="http://schemas.openxmlformats.org/drawingml/2006/picture">
                      <pic:pic xmlns:pic="http://schemas.openxmlformats.org/drawingml/2006/picture">
                        <pic:nvPicPr>
                          <pic:cNvPr id="987" name="图片_969"/>
                          <pic:cNvPicPr>
                            <a:picLocks noChangeArrowheads="1"/>
                          </pic:cNvPicPr>
                        </pic:nvPicPr>
                        <pic:blipFill>
                          <a:blip r:embed="rId25"/>
                          <a:srcRect/>
                          <a:stretch>
                            <a:fillRect/>
                          </a:stretch>
                        </pic:blipFill>
                        <pic:spPr>
                          <a:xfrm>
                            <a:off x="0" y="0"/>
                            <a:ext cx="777240" cy="56832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1.台面：采用12.7mm厚双面膜耐腐蚀实芯理化板制作，前面两角倒R30圆角，后面两角倒R15圆角。</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2.新型钢塑结构，学生位镂空式，符合人体工程学设计，美观大方。专用书包斗ABS工程塑料一次性注塑成型结合，成型尺寸410*330*120mm。镂空设计，底部设有排水孔，便于清理，不屯垃圾，中间设挂凳卡。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脚架：采用多材质组合结构，组合尺寸760*530*58mm，定制81*55*2mm椭圆管采用模具一体成型为”Y”字型（没有二次焊接，牢固性可靠、美观实用），下开口采用磨具成型改性工程塑料材料装饰，上端连接件采用铸铝一体成型，上框采用20*30距形管焊接成型，并用高强度内六角螺丝连接，便于组装及拆卸，外观流线形设计，简洁美观，易碰撞处全部采用倒圆角，产品款式要求整体设计美观、合理、安全、牢固、耐用。金属表面经环氧树脂粉末喷涂高温固化处理。要做到承重性能强和耐酸碱、耐腐蚀。</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4.外观流线形设计，简洁美观,易碰撞处全部采用倒圆角，产品款式要求整体设计美观、合理、安全、牢固、耐用。金属表面经环氧树脂粉末喷涂高温固化处理。要做到承重性能强和耐酸碱、耐腐蚀。</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5.桌脚：采用一体注塑模具成型，结构美观牢固，并用专用注塑模具件装饰。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6.整体规格：2400*1500*780mm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12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实验凳</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1、凳脚材质：4个凳脚采用17×34×1.7mm 无缝钢管模具一次成型。全圆满焊接完成，结构牢固，经高温粉体烤漆处理，长时间使用也不会产生表面烤漆剥落现象 螺旋升降式，升降距离为50mm，最高离地距离为500mm。Ф凳面直径315×高450-500mm。</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2、聚丙烯凳面材质：采用聚丙烯共聚级注塑。表面细纹咬花，防滑不发光，凳面底部镶嵌4枚铜质螺纹，采用不锈钢螺丝与圆型托盘固定。</w:t>
            </w:r>
          </w:p>
          <w:p>
            <w:pPr>
              <w:rPr>
                <w:rFonts w:ascii="宋体" w:hAnsi="宋体" w:cs="宋体"/>
                <w:color w:val="000000" w:themeColor="text1"/>
                <w:sz w:val="24"/>
              </w:rPr>
            </w:pPr>
            <w:r>
              <w:rPr>
                <w:rFonts w:hint="eastAsia" w:ascii="宋体" w:hAnsi="宋体" w:cs="宋体"/>
                <w:color w:val="000000" w:themeColor="text1"/>
                <w:kern w:val="0"/>
                <w:sz w:val="24"/>
              </w:rPr>
              <w:t>3、脚垫材质：采用PP加耐磨纤维增强塑料，实心倒勾式一体射出成型 凳面与凳脚留有一定的空间便于凳子挂在挂凳扣上。方便教室的打扫。</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★4、技术要求满足：GB/T 3325-2017 金属家具通用技术条件：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4.1椅凳类稳定性：凳子任意方向倾翻；倾翻力≥20N，应无倾翻；检测结果：无倾翻；</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4.2椅凳类强度和耐久性：座面和椅背载荷试验：单人位：座面加载力：1300N，椅背加载力：450N，加载次数：10次，加载时间：≥10S；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椅腿前向静载试验：加载力：500N，加载次数：10次，加载时间：≥10S，座面平衡载荷：1000N；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座面冲击试验：冲击高度：180mm；冲击次数：10次；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椅背冲击试验：冲击高度：210mm；冲击角度：38°；冲击次数：10次；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椅凳类强度和耐久性：跌落试验：跌落高度：200mm；跌落次数：10次；腿或基座大于200mm非叠放椅；</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提供由生产厂家送检满足以上技术要求具有CMA、CAL、ilac-MRA、CNAS认证的由省级或省级以上检测机构出具的实验凳检测报告复印件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48</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21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水槽台（含水嘴）</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72576" behindDoc="0" locked="0" layoutInCell="1" allowOverlap="1">
                  <wp:simplePos x="0" y="0"/>
                  <wp:positionH relativeFrom="column">
                    <wp:posOffset>165735</wp:posOffset>
                  </wp:positionH>
                  <wp:positionV relativeFrom="paragraph">
                    <wp:posOffset>87630</wp:posOffset>
                  </wp:positionV>
                  <wp:extent cx="502285" cy="842645"/>
                  <wp:effectExtent l="0" t="0" r="0" b="0"/>
                  <wp:wrapNone/>
                  <wp:docPr id="986" name="ID_E131BDFC21514BDA9C97575C78C0A491"/>
                  <wp:cNvGraphicFramePr/>
                  <a:graphic xmlns:a="http://schemas.openxmlformats.org/drawingml/2006/main">
                    <a:graphicData uri="http://schemas.openxmlformats.org/drawingml/2006/picture">
                      <pic:pic xmlns:pic="http://schemas.openxmlformats.org/drawingml/2006/picture">
                        <pic:nvPicPr>
                          <pic:cNvPr id="986" name="ID_E131BDFC21514BDA9C97575C78C0A491"/>
                          <pic:cNvPicPr>
                            <a:picLocks noChangeArrowheads="1"/>
                          </pic:cNvPicPr>
                        </pic:nvPicPr>
                        <pic:blipFill>
                          <a:blip r:embed="rId26"/>
                          <a:srcRect/>
                          <a:stretch>
                            <a:fillRect/>
                          </a:stretch>
                        </pic:blipFill>
                        <pic:spPr>
                          <a:xfrm>
                            <a:off x="0" y="0"/>
                            <a:ext cx="502285" cy="84264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1、尺寸：438*600*855mm；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2、结构：三段组合式结构，分为水槽、柜体、地脚三部分；整体造型美观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水槽：采用具有抗弯曲、抗拉伸、抗压强度；不导电、抗老化、耐高温、耐腐蚀、性能稳定、具备良好的阻燃性GFRP纤维增强塑料，内外双层设计，模具一次成型。水槽后侧台面上设计有点状的沥水点，水槽前沿高度低于两侧及后部70mm，为不同年级段的使用者提供便利。底部带S弯防臭设计，可接触面都做圆角处理，无安全隐患。水槽后部有设计三级滤网设计，保证下水的流畅性。不锈钢上下水面板，自带上下快速接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内置式扬程水泵，新型环保增压水泵，不生锈，无铅无重金属，无毒无味，符合饮用水标准；电压，24V，功率，60W，流量，12L/min，高效节能，安装体积小；具有防水，防漏电，防腐蚀，防空转，自带止回阀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5、柜体：采用1.0mm优质高强度镀锌钢板制作，经切割、圆角折弯、焊接、打磨成型，表面经环氧树脂喷涂处理，耐酸碱；柜门圆弧设计。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6、地脚：采用PP材质，磨具一次成型，耐酸碱。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★技术要求满足：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1、外观要求：外表面光洁，色泽清晰，人体触及部位应无毛刺，快口，棱边等缺陷；金属件均应进行电镀，喷涂等防腐处理；金属件成型完整，无裂纹，凹坑、皱折等缺陷；塑料件色泽一致，无缺角、回料斑、缩痕、溢料、变形等缺陷；</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2、焊接要求：焊点美观，焊接可靠，平整，无穿孔等不良现向；</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3、平整性：底座与上台面定位应可靠，平整，连接件无松动，歪斜等装配缺陷；底平面和台面的高低差应≤4mm；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4、封闭门盖要求：安装，拆卸便利，各卡口定位有效可靠，安装后应平服，不应有自行脱落和翘曲现向；</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提供由生产厂家送检满足以上技术要求由省级或省级以上检测机构出具的全新钢塑水槽柜检测报告复印件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4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准备台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钢木结构，尺寸不小于宽600*750mm，但须结合图纸进行合理设计，不得造成廊道过窄。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台面：采用12.7mm厚实验室专用理化板,周边加厚至25.4mm,倒圆角处理. ,防强酸强碱，耐磨耐高温；不含任何有毒物质，无辐射，受热不产生有毒气体和物质；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柜身：柜身为悬柜，基材为16mm厚E1级实验室专用三聚氰胺板制作。可见截面均经过PVC封边；贴面和封边部件应严密、平整，不允许脱胶、鼓泡、凹陷、压痕以及表面划伤、麻点、裂痕、崩角和刃口，外表的圆角、倒棱应均匀一致；整体采用组合式柜体，含2个座人空位；</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钢架部分：主框架采用40*60*1.5mm优质方管，焊接成型，表面经酸洗磷化、纯环氧树脂塑粉高温固化处理，平整光滑，不允许有喷涂层脱落、鼓泡、凹陷、压痕以及表面划伤、麻点、裂痕、崩角和刃口等，切割、钻孔和倒角应去毛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导轨及铰链：优质三节静音导轨及大弯铰链，抽拉及开合次数达到500万次以上；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拉手：铝合金条形暗拉手；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可调脚：采用ABS专用注塑可调脚，金属螺杆，高度可调节，防滑减震；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★技术要求满足：GB 24820-2009 实验室家具通用技术条件：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(1)操作台台面理化性能：耐磨1 mg/100r：磨损值≤80，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磨损2：表面情况：素色：磨350r，应无露底现向，</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耐划痕：1.5N，划一周，无整圈连续划痕，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物理实验台面抗冲击 mm：冲击高度1m。冲击凹坑直径≤10mm。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(2)操作台力学性能：水平静载荷试验：技术要求：力600N，10次。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垂直静载荷试验：主桌面：力2000N，10次。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持续垂直静载荷：载荷1.25kg/dm²，24h。</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独立操作台水平冲击稳定性：质量50kg，跌落高度40mm。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独立操作台垂直加载稳定性：750N。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活动操作台跌落：跌落高度：150mm，10次。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垂直冲击试验：跌落高度：300mm，10次。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(3)提供由生产厂家送检满足以上技术要求具有CMA、CAL、ilac-MRA、CNAS认证的由省级或省级以上检测机构出具的实验台检测报告复印件。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米</w:t>
            </w:r>
          </w:p>
        </w:tc>
      </w:tr>
      <w:tr>
        <w:tblPrEx>
          <w:tblCellMar>
            <w:top w:w="0" w:type="dxa"/>
            <w:left w:w="108" w:type="dxa"/>
            <w:bottom w:w="0" w:type="dxa"/>
            <w:right w:w="108" w:type="dxa"/>
          </w:tblCellMar>
        </w:tblPrEx>
        <w:trPr>
          <w:trHeight w:val="13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水槽套装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一、高密度PP一体化成型水槽，易清洁，耐腐蚀，且利于台面残水自然回流，美观实用；具耐酸碱、耐有机溶剂、耐紫外线等特点。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二、水龙头：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1、涂层：高亮度环氧树脂涂层,耐腐蚀、耐热,防紫外线辐射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2、陶瓷阀芯：90°旋转,使用寿命开关50万次,静态耐压10巴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3、附件：可拆卸铜质水嘴,可加接防溅滤水器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4、开关旋钮：高密度PP,人体工学设计,手感舒适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5、鹅颈管：可360°旋转</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窗帘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双道窗帘，里道为优质加厚棉麻布料制作的全遮光帘（包括窗轨），外道为高级无纺布彩色喷绘定制，在窗帘上印制相关知识内容，集教学、观赏为一体的卷帘；含窗帘图文设计与安装，不含窗帘盒。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室</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高密无线AP</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详细参数规格见附件6</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271"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空调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1、★3匹不少于3级能效冷暖立柜式空调。★整机10年厂家免费上门质保,具体参数规格详细见附件7.</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2、注：如果没有空调的冷凝水PVC排水管到地面，则需要安装空调冷凝水水管50PVCU到地面排水沟里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五、生物组培专用实验室清单</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设备名称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技术参数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20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学生实验凳</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1、凳脚材质：4个凳脚采用17×34×1.7mm 无缝钢管模具一次成型。全圆满焊接完成，结构牢固，经高温粉体烤漆处理，长时间使用也不会产生表面烤漆剥落现象 螺旋升降式，升降距离为50mm，最高离地距离为500mm。Ф凳面直径315×高450-500mm。</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2、聚丙烯凳面材质：采用聚丙烯共聚级注塑。表面细纹咬花，防滑不发光，凳面底部镶嵌4枚铜质螺纹，采用不锈钢螺丝与圆型托盘固定。</w:t>
            </w:r>
          </w:p>
          <w:p>
            <w:pPr>
              <w:rPr>
                <w:rFonts w:ascii="宋体" w:hAnsi="宋体" w:cs="宋体"/>
                <w:color w:val="000000" w:themeColor="text1"/>
                <w:sz w:val="24"/>
              </w:rPr>
            </w:pPr>
            <w:r>
              <w:rPr>
                <w:rFonts w:hint="eastAsia" w:ascii="宋体" w:hAnsi="宋体" w:cs="宋体"/>
                <w:color w:val="000000" w:themeColor="text1"/>
                <w:kern w:val="0"/>
                <w:sz w:val="24"/>
              </w:rPr>
              <w:t>3、脚垫材质：采用PP加耐磨纤维增强塑料，实心倒勾式一体射出成型 凳面与凳脚留有一定的空间便于凳子挂在挂凳扣上。方便教室的打扫。</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★4、技术要求满足：GB/T 3325-2017 金属家具通用技术条件：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4.1椅凳类稳定性：凳子任意方向倾翻；倾翻力≥20N，应无倾翻；检测结果：无倾翻；</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4.2椅凳类强度和耐久性：座面和椅背载荷试验：单人位：座面加载力：1300N，椅背加载力：450N，加载次数：10次，加载时间：≥10S；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椅腿前向静载试验：加载力：500N，加载次数：10次，加载时间：≥10S，座面平衡载荷：1000N；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座面冲击试验：冲击高度：180mm；冲击次数：10次；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椅背冲击试验：冲击高度：210mm；冲击角度：38°；冲击次数：10次；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椅凳类强度和耐久性：跌落试验：跌落高度：200mm；跌落次数：10次；腿或基座大于200mm非叠放椅；</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提供由生产厂家送检满足以上技术要求具有CMA、CAL、ilac-MRA、CNAS认证的由省级或省级以上检测机构出具的实验凳检测报告复印件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271"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无菌区操作边台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1、基本配置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1.1整体钢木结构，耐腐蚀实心理化板台面。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1.2安装静音支脚。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1.3U型铝合金拉手。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1.4柜体板材采用18mm E1级三聚氰胺饰面刨花板、PVC防水处理封边条。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1.5优质三节静音滑轨、铰链、三合一连接件。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1.6应用口字型钢架，钢架尺寸不小于38.5*58.5*1.2mm，外部环氧树脂喷塑。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1.7岛式插座不少于8个。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1.8 规格尺寸：2260*600*800mm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2、技术参数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 台面材质：采用12.7mm厚实芯理化板台面，四周边缘加厚至25mm。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2.2 柜体：钢木结构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 操作台、储物柜主要尺寸(功能尺寸）（mm）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2.3.1 台面宽度600〜1800(尺寸级差300)，应合格。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2.3.2 净操作面深度（d2）：600〜900(尺寸级差50)，应合格。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2.4 台面、正视面板翘曲度：对角线长度≥1400mm，应≤3.0mm。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2.5 操作台面不应有裂缝、渗透现象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2.6 金属件皱纹或波纹：圆管和扁线管弯曲处的皱纹高低之差应不大于0.4mm,弯曲处弧形应圆滑一致。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2.7 金属件电镀层表面应无烧焦、起泡、针孔、裂 纹、花斑（不包括镀彩锌）和划痕。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2.8 家具中有害物质限量应符合GB 18584的规定：甲醛释放量≤1.5mg/L</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 安全性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2.9.1 活动部件间距离应≤5mm或≥25 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2.9.2 与人体接触的零部件不应有毛刺、刃口、尖锐的棱角和端头.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2.9.3 所有可拉伸的部件，应装配有效的限位装置，当其包括装载物在内质量超过10 kg时，在拉手处施加200N力，该部件不应被拉脱；或者在其前端面贴一警示标签,说明该部件易被拉脱。</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★2.10操作台台面理化性能（须提供实验台第三方检测报告证明，非台面检测报告）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2.10.1磨损值≤70/mg/100r，表面素色磨350r，应无露底现象。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2.10.2耐划痕：1.5N,划一周，应无整圈连续划痕。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2.10.3抗老化：调制(23±2)'C, (50±5)%, 48h：老化 (45±5)C, 65%-90%, 72h.应无开裂。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2.10.4耐龟裂性：(20±2)*C, (24±l)h，应不低于1级。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2.10.5耐冷热循环：(80±2),C, (120±10) min. (-20±3),0, (120±10) mins四周期。应无裂纹、鼓泡、起皱和无明显变色。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2.10.6耐水蒸气：水蒸气，(60±5)mln°应无凸起、龟裂和明显变色。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2.10.7耐干热：(180±l),C, 20min，应不低于2级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2.10.8化学实验台面抗化学试剂：少许试液，24 ho光泽和颜色允许有轻微变化。</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2.10.9物理、化学实验台面耐高温：(120±3)*C, 2h，应无裂纹。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2.11操作台柜体及储物柜表面理化性能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2.11.1金属喷漆（塑）涂层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（1）硬度≥2H；</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（2）冲击强度：3.92J,应无剥落、裂纹、皱纹。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（3）耐腐蚀：24h乙酸盐雾试验(ASS),不低于7级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★2.11.2 木制件及人造板饰面（须提供实验台第三方检测报告证明）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（1）耐液：10%碳酸钠溶液和30%乙酸溶液，24h。无明显的变色、鼓泡、皱纹等。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（2）耐湿热：70°C,20min。不低于2级。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（3）耐干热：80°C,20min。不低于2级。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（4）耐冷热温差：温度(40±2)°C,相对湿度98%~99%, 和(-20±2)C,3周期。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无鼓泡、裂缝和明显失光。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（5）抗冲击：木制表面(漆膜)冲击器，200mm。应不低于2级。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（6）浸渍剥离性：II类浸渍剥离，胶层或贴面、封边条与基材间无剥离、分层现象。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 操作台力学性能（须提供实验台第三方检测报告证明）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2.12.1 水平静载荷试验：加载600N,10次。结果应符合GB/T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2.12.2 垂直静载荷试验：主桌面：加载2000N,10次。结果应符合GB/T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2.12.3 持续垂直静载荷：1.25kg/dm2,24 h。结果应符合GB/T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2.12.4 独立操作台水平冲击稳定性试验：质量：50kg,跌落高度：40mm。结果不应侧翻，并符合GB/T 10357.1第8 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2.12.5 水平耐久性试验：加载力：150N；循环次数：15000次。结果应符合GB/T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2.12.6 垂直耐久性试验：加载力：300N；循环次数：5000次。结果应符合GB/T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2.12.7 垂直冲击试验：跌落高度：150mm,10次。结果应符合GB/T 10357.1第8章的规定。</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699"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组培操作边台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1、基本配置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1.1整体钢木结构，耐腐蚀实心理化板台面。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1.2安装静音支脚。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1.3U型铝合金拉手。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1.4柜体板材采用18mm E1级三聚氰胺饰面刨花板、PVC防水处理封边条。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1.5优质三节静音滑轨、铰链、三合一连接件。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1.6应用口字型钢架，钢架尺寸不小于38.5*58.5*1.2mm，外部环氧树脂喷塑。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1.7岛式插座不少于8个。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1.8 规格尺寸：1840*600*800mm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2、技术参数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 台面材质：采用12.7mm厚实芯理化板台面，四周边缘加厚至25mm。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2.2 柜体：钢木结构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 操作台、储物柜主要尺寸(功能尺寸）（mm）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2.3.1 台面宽度600〜1800(尺寸级差300)，应合格。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2.3.2 净操作面深度（d2）：600〜900(尺寸级差50)，应合格。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2.4 台面、正视面板翘曲度：对角线长度≥1400mm，应≤3.0mm。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2.5 操作台面不应有裂缝、渗透现象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2.6 金属件皱纹或波纹：圆管和扁线管弯曲处的皱纹高低之差应不大于0.4mm,弯曲处弧形应圆滑一致。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2.7 金属件电镀层表面应无烧焦、起泡、针孔、裂 纹、花斑（不包括镀彩锌）和划痕。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2.8 家具中有害物质限量应符合GB 18584的规定：甲醛释放量≤1.5mg/L</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 安全性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2.9.1 活动部件间距离应≤5mm或≥25 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2.9.2 与人体接触的零部件不应有毛刺、刃口、尖锐的棱角和端头.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2.9.3 所有可拉伸的部件，应装配有效的限位装置，当其包括装载物在内质量超过10 kg时，在拉手处施加200N力，该部件不应被拉脱；或者在其前端面贴一警示标签,说明该部件易被拉脱。</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★2.10操作台台面理化性能（须提供实验台第三方检测报告证明，非台面检测报告）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2.10.1磨损值≤70/mg/100r，表面素色磨350r，应无露底现象。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2.10.2耐划痕：1.5N,划一周，应无整圈连续划痕。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2.10.3抗老化：调制(23±2)'C, (50±5)%, 48h：老化 (45±5)C, 65%-90%, 72h.应无开裂。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2.10.4耐龟裂性：(20±2)*C, (24±l)h，应不低于1级。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2.10.5耐冷热循环：(80±2),C, (120±10) min. (-20±3),0, (120±10) mins四周期。应无裂纹、鼓泡、起皱和无明显变色。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2.10.6耐水蒸气：水蒸气，(60±5)mln°应无凸起、龟裂和明显变色。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2.10.7耐干热：(180±l),C, 20min，应不低于2级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2.10.8化学实验台面抗化学试剂：少许试液，24 ho光泽和颜色允许有轻微变化。</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2.10.9物理、化学实验台面耐高温：(120±3)*C, 2h，应无裂纹。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2.11操作台柜体及储物柜表面理化性能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2.11.1金属喷漆（塑）涂层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（1）硬度≥2H；</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（2）冲击强度：3.92J,应无剥落、裂纹、皱纹。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（3）耐腐蚀：24h乙酸盐雾试验(ASS),不低于7级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★2.11.2 木制件及人造板饰面（须提供实验台第三方检测报告证明）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（1）耐液：10%碳酸钠溶液和30%乙酸溶液，24h。无明显的变色、鼓泡、皱纹等。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（2）耐湿热：70°C,20min。不低于2级。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（3）耐干热：80°C,20min。不低于2级。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（4）耐冷热温差：温度(40±2)°C,相对湿度98%~99%, 和(-20±2)C,3周期。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无鼓泡、裂缝和明显失光。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（5）抗冲击：木制表面(漆膜)冲击器，200mm。应不低于2级。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（6）浸渍剥离性：II类浸渍剥离，胶层或贴面、封边条与基材间无剥离、分层现象。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 操作台力学性能（须提供实验台第三方检测报告证明）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2.12.1 水平静载荷试验：加载600N,10次。结果应符合GB/T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2.12.2 垂直静载荷试验：主桌面：加载2000N,10次。结果应符合GB/T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2.12.3 持续垂直静载荷：1.25kg/dm2,24 h。结果应符合GB/T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2.12.4 独立操作台水平冲击稳定性试验：质量：50kg,跌落高度：40mm。结果不应侧翻，并符合GB/T 10357.1第8 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2.12.5 水平耐久性试验：加载力：150N；循环次数：15000次。结果应符合GB/T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2.12.6 垂直耐久性试验：加载力：300N；循环次数：5000次。结果应符合GB/T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2.12.7 垂直冲击试验：跌落高度：150mm,10次。结果应符合GB/T 10357.1第8章的规定。</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435"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培养室边台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1、基本配置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1.1整体钢木结构，耐腐蚀实心理化板台面。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1.2安装静音支脚。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1.3U型铝合金拉手。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1.4柜体板材采用18mm E1级三聚氰胺饰面刨花板、PVC防水处理封边条。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1.5优质三节静音滑轨、铰链、三合一连接件。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1.6应用口字型钢架，钢架尺寸不小于38.5*58.5*1.2mm，外部环氧树脂喷塑。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1.7岛式插座不少于8个。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1.8 规格尺寸：3100*600*800mm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2、技术参数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 台面材质：采用12.7mm厚实芯理化板台面，四周边缘加厚至25mm。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2.2 柜体：钢木结构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 操作台、储物柜主要尺寸(功能尺寸）（mm）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2.3.1 台面宽度600〜1800(尺寸级差300)，应合格。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2.3.2 净操作面深度（d2）：600〜900(尺寸级差50)，应合格。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2.4 台面、正视面板翘曲度：对角线长度≥1400mm，应≤3.0mm。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2.5 操作台面不应有裂缝、渗透现象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2.6 金属件皱纹或波纹：圆管和扁线管弯曲处的皱纹高低之差应不大于0.4mm,弯曲处弧形应圆滑一致。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2.7 金属件电镀层表面应无烧焦、起泡、针孔、裂 纹、花斑（不包括镀彩锌）和划痕。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2.8 家具中有害物质限量应符合GB 18584的规定：甲醛释放量≤1.5mg/L</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 安全性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2.9.1 活动部件间距离应≤5mm或≥25 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2.9.2 与人体接触的零部件不应有毛刺、刃口、尖锐的棱角和端头.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2.9.3 所有可拉伸的部件，应装配有效的限位装置，当其包括装载物在内质量超过10 kg时，在拉手处施加200N力，该部件不应被拉脱；或者在其前端面贴一警示标签,说明该部件易被拉脱。</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★2.10操作台台面理化性能（须提供实验台第三方检测报告证明，非台面检测报告）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2.10.1磨损值≤70/mg/100r，表面素色磨350r，应无露底现象。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2.10.2耐划痕：1.5N,划一周，应无整圈连续划痕。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2.10.3抗老化：调制(23±2)'C, (50±5)%, 48h：老化 (45±5)C, 65%-90%, 72h.应无开裂。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2.10.4耐龟裂性：(20±2)*C, (24±l)h，应不低于1级。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2.10.5耐冷热循环：(80±2),C, (120±10) min. (-20±3),0, (120±10) mins四周期。应无裂纹、鼓泡、起皱和无明显变色。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2.10.6耐水蒸气：水蒸气，(60±5)mln°应无凸起、龟裂和明显变色。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2.10.7耐干热：(180±l),C, 20min，应不低于2级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2.10.8化学实验台面抗化学试剂：少许试液，24 ho光泽和颜色允许有轻微变化。</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2.10.9物理、化学实验台面耐高温：(120±3)*C, 2h，应无裂纹。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2.11操作台柜体及储物柜表面理化性能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2.11.1金属喷漆（塑）涂层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（1）硬度≥2H；</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（2）冲击强度：3.92J,应无剥落、裂纹、皱纹。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（3）耐腐蚀：24h乙酸盐雾试验(ASS),不低于7级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★2.11.2 木制件及人造板饰面（须提供实验台第三方检测报告证明）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（1）耐液：10%碳酸钠溶液和30%乙酸溶液，24h。无明显的变色、鼓泡、皱纹等。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（2）耐湿热：70°C,20min。不低于2级。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（3）耐干热：80°C,20min。不低于2级。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（4）耐冷热温差：温度(40±2)°C,相对湿度98%~99%, 和(-20±2)C,3周期。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无鼓泡、裂缝和明显失光。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（5）抗冲击：木制表面(漆膜)冲击器，200mm。应不低于2级。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（6）浸渍剥离性：II类浸渍剥离，胶层或贴面、封边条与基材间无剥离、分层现象。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 操作台力学性能（须提供实验台第三方检测报告证明）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2.12.1 水平静载荷试验：加载600N,10次。结果应符合GB/T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2.12.2 垂直静载荷试验：主桌面：加载2000N,10次。结果应符合GB/T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2.12.3 持续垂直静载荷：1.25kg/dm2,24 h。结果应符合GB/T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2.12.4 独立操作台水平冲击稳定性试验：质量：50kg,跌落高度：40mm。结果不应侧翻，并符合GB/T 10357.1第8 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2.12.5 水平耐久性试验：加载力：150N；循环次数：15000次。结果应符合GB/T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2.12.6 垂直耐久性试验：加载力：300N；循环次数：5000次。结果应符合GB/T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2.12.7 垂直冲击试验：跌落高度：150mm,10次。结果应符合GB/T 10357.1第8章的规定。</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554"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衣柜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全钢结构。★1.框架：采用1.0㎜厚镀锌钢板裁剪折弯后满焊点焊接，表面经EPOXY喷涂处理，连接件采用不锈钢连接件。2.柜体：侧板、背板采用采用1.0㎜厚镀锌钢板裁剪折弯后满焊点焊接，表面经EPOXY喷涂处理，连接件采用不锈钢连接件。3.柜门：采用1.0㎜厚镀锌钢板裁剪折弯后满焊点焊接，表面经EPOXY喷涂处理，对开门式设计。</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4.拉手：采用SUS304不锈钢C型拉手。</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5.铰链：采用定位铰链或2mm不锈钢合页。</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6.调整脚：采用ABS新料模具一体成型的承重型可调节地脚，螺丝SUS304不锈钢材质。门板钢化玻璃视窗。</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7.尺寸：1250*500*2000mm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学生电源</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PP电源，国标三孔可转换插座，用于实验仪器取电使用，安装于桌体正面，含接线。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337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超净工作台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73600" behindDoc="0" locked="0" layoutInCell="1" allowOverlap="1">
                  <wp:simplePos x="0" y="0"/>
                  <wp:positionH relativeFrom="column">
                    <wp:posOffset>97790</wp:posOffset>
                  </wp:positionH>
                  <wp:positionV relativeFrom="paragraph">
                    <wp:posOffset>1237615</wp:posOffset>
                  </wp:positionV>
                  <wp:extent cx="662940" cy="268605"/>
                  <wp:effectExtent l="19050" t="0" r="3810" b="0"/>
                  <wp:wrapNone/>
                  <wp:docPr id="985" name="图片_16"/>
                  <wp:cNvGraphicFramePr/>
                  <a:graphic xmlns:a="http://schemas.openxmlformats.org/drawingml/2006/main">
                    <a:graphicData uri="http://schemas.openxmlformats.org/drawingml/2006/picture">
                      <pic:pic xmlns:pic="http://schemas.openxmlformats.org/drawingml/2006/picture">
                        <pic:nvPicPr>
                          <pic:cNvPr id="985" name="图片_16"/>
                          <pic:cNvPicPr>
                            <a:picLocks noChangeArrowheads="1"/>
                          </pic:cNvPicPr>
                        </pic:nvPicPr>
                        <pic:blipFill>
                          <a:blip r:embed="rId27"/>
                          <a:srcRect/>
                          <a:stretch>
                            <a:fillRect/>
                          </a:stretch>
                        </pic:blipFill>
                        <pic:spPr>
                          <a:xfrm>
                            <a:off x="0" y="0"/>
                            <a:ext cx="662940" cy="268605"/>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674624" behindDoc="0" locked="0" layoutInCell="1" allowOverlap="1">
                  <wp:simplePos x="0" y="0"/>
                  <wp:positionH relativeFrom="column">
                    <wp:posOffset>165735</wp:posOffset>
                  </wp:positionH>
                  <wp:positionV relativeFrom="paragraph">
                    <wp:posOffset>179705</wp:posOffset>
                  </wp:positionV>
                  <wp:extent cx="492760" cy="700405"/>
                  <wp:effectExtent l="19050" t="0" r="2540" b="0"/>
                  <wp:wrapNone/>
                  <wp:docPr id="984" name="图片_15"/>
                  <wp:cNvGraphicFramePr/>
                  <a:graphic xmlns:a="http://schemas.openxmlformats.org/drawingml/2006/main">
                    <a:graphicData uri="http://schemas.openxmlformats.org/drawingml/2006/picture">
                      <pic:pic xmlns:pic="http://schemas.openxmlformats.org/drawingml/2006/picture">
                        <pic:nvPicPr>
                          <pic:cNvPr id="984" name="图片_15"/>
                          <pic:cNvPicPr>
                            <a:picLocks noChangeArrowheads="1"/>
                          </pic:cNvPicPr>
                        </pic:nvPicPr>
                        <pic:blipFill>
                          <a:blip r:embed="rId28"/>
                          <a:srcRect/>
                          <a:stretch>
                            <a:fillRect/>
                          </a:stretch>
                        </pic:blipFill>
                        <pic:spPr>
                          <a:xfrm>
                            <a:off x="0" y="0"/>
                            <a:ext cx="492760" cy="70040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空气经侧面的初效空气过滤器和低噪音离心式通风机压入静压箱，经高效空气过滤器从顶部均匀吹出，形成高洁净度的空气幕，去除工作区域内的原自然空气，开机后五分钟即达到理想的高洁净度空间。采用可调风机双速调节风量大小，轻触型开关调节电压，保证工作区内的风速始终处于理想状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【产品特点】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水平流形，准闭合式玻璃风门，操作方便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万向滑轮设计，可根据需要移动工作台放置于合适的位置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采用快慢双速控制风机系统，保证工作区风速始终处于理想状态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工作台前后配有弹簧式上下移门，定位灵活方便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气幕式隔离设计，防止内外交叉污染</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304不锈钢工作台面，304不锈钢内壁更有效保证洁净度</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【技术参数】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洁净等级：100级@≥0.5μM（美联邦209E）</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菌 落 数：≤0.5个/皿•时（Φ90mm培养平皿）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平均风速：0.3～0.6m/s（快慢双速）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噪    音：≤62dB（A）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振动半峰值：≤0.5μM（x、y、z方向）</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照    度：≥300Lx</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    源：AC单相220V/50Hz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最大功率：300W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工作区尺寸W1×D1×H1：不小于700×420×510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适用人数：单人单面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高效过滤器规格及数量：700×510×46×①</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荧光/紫外：15W×①/15W×①</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学科展板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规格：450×650mm,KT板。含相关学科内容介绍等，集教学、观赏为一体。生物学科相关内容。</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26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梯度pcr</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TC1000-G主要特点</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 彩色触摸面板，中英文双语切换，双击编辑程序，简单直观；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高性能长效Peltier，分区jing准控温；</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边缘温度补偿技术，温度均一性表现出色；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可进行Touchdown PCR和Long PCR实验；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适配兼容不同高度常见PCR管、八连排管及96孔板；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文件自定义，多文件存储；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赠送电枪式触屏笔，减少交叉污染。</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产品参数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★可适配样品规格： 96X0.2mL PCR 管,8X12 PCR 板或96孔板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★加热温度范围：4~105°C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加热盖温度范围：30~110°C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温度显示精度：±0.1°C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温度控制精度：（55°C时）±0.3°C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温度均一性：（55°C时） &lt;0.3°C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★最大变温速率：5°C/Sec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梯度设定范围：30~99°C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梯度跨度：1~42°C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承载模块材质：铝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显示屏尺寸：7” LCD 800x480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★输入方式：触摸屏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用户定义文件系统：单个程序可多至30步，99个循环16个文件夹，每个文件夹最多16个文件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断电保护：是</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xml:space="preserve">输入电压：100~120V/200~240V,50/60Hz     </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 xml:space="preserve">尺寸（长x宽x高）：280x370x250 mm    </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547"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电泳仪电源</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产品特点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1、在工作状态中，可以实时微调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2、微电脑智能控制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3、液晶显示，同时显示电压、电流和定时时间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4、连续可调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5、采用开关电源输出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6、具有存储记忆功能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7、具有过压、过流、过载、变载、空载等多项报警保护功能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电压范围：5-600V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电流范围：2-200mA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功率范围：120W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控制类型：恒压/恒流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显示类型：LCD液晶屏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输出插孔：2组并联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具有存储功能、定时功能、具有1组自动记忆功能、报警功能、稳定状态指示、过载保护功能、短路保护功能 、空载保护功能 </w:t>
            </w:r>
          </w:p>
          <w:p>
            <w:pPr>
              <w:widowControl/>
              <w:jc w:val="left"/>
              <w:rPr>
                <w:rFonts w:ascii="宋体" w:hAnsi="宋体" w:cs="宋体"/>
                <w:color w:val="000000" w:themeColor="text1"/>
                <w:sz w:val="24"/>
              </w:rPr>
            </w:pPr>
            <w:r>
              <w:rPr>
                <w:rFonts w:hint="eastAsia" w:ascii="宋体" w:hAnsi="宋体" w:cs="宋体"/>
                <w:color w:val="000000" w:themeColor="text1"/>
                <w:kern w:val="0"/>
                <w:sz w:val="24"/>
              </w:rPr>
              <w:t>体积（L×W×H）mm：315×290×128</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696"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水平电泳槽</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特点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1、制胶器模具成型，可以制作四种尺寸不同的胶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2、透明上盖开孔式设计，便于散热，方便观察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3、凝胶托盘带有荧光标尺，便于观察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4、高柔韧性导线，开盖断电，确保安全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5、聚碳酸酯注塑成型，无渗漏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6、桥式设计，节省缓冲液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7、耐高温，不变形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8、限位功能，操作准确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9、可拆卸电极架及电极头，方便彻底清洗和维修</w:t>
            </w:r>
          </w:p>
          <w:p>
            <w:pPr>
              <w:widowControl/>
              <w:jc w:val="left"/>
              <w:rPr>
                <w:rFonts w:ascii="宋体" w:hAnsi="宋体" w:cs="宋体"/>
                <w:color w:val="000000" w:themeColor="text1"/>
                <w:sz w:val="24"/>
              </w:rPr>
            </w:pPr>
            <w:r>
              <w:rPr>
                <w:rFonts w:hint="eastAsia" w:ascii="宋体" w:hAnsi="宋体" w:cs="宋体"/>
                <w:color w:val="000000" w:themeColor="text1"/>
                <w:kern w:val="0"/>
                <w:sz w:val="24"/>
              </w:rPr>
              <w:t>外型尺寸：（L × W × H）：310 × 150 ×120mm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凝胶板规格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（L×W）：大胶 120×120mm；宽胶60 × 120mm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长胶 120×60mm；小胶 60 × 60mm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试样格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 齿（ 2.0mm 厚），6+13 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8+18 齿（1.5mm 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11+25 齿（1.0mm 厚）可用排枪加样</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缓冲液总容量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650ml</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配置清单(编号非限定)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编号/ 名称/ 标配数量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413-1402/ 电泳仪（主体）/1 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413-1403/ 电泳仪（上盖）/1 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141-3143/1.0mm25 齿/11 齿试样格/4 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141-3141/1.5mm13 齿/6 齿试样格/1 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141-3142/1.5mm18 齿/8 齿试样格/1 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141-3144/2.0mm3 齿/2 齿试样格/1 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143-3146/ 制胶器/1 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143-3143/60mm*60mm 凝胶托盘/2 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143-3142/60mm*120mm 凝胶托盘/1 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143-3141/120mm*60mm 凝胶托盘/1 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143-3144/120mm*120mm 凝胶托盘/1个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144-0011/ 电泳导线/1 付</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双垂直电泳槽</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特点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1、采用创新技术原位制胶，玻板安装轻松入位。</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2、胶室面积国际通用基础规格，兼容主流品牌产品。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3、采用定制的蓝冰冰盒冷却，可辅助以转子进行磁力搅拌，散热更均匀。</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4、产品全部采用聚碳酸酯材料模具注塑成型，耐腐蚀，槽体高透明度，产品稳定可靠。</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5、产品结构新颖美观，人性化设计，易于操作与维护。</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6、为较佳重复性实验结果提供优良标准制式平台。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7、创新特制 1mm 不碎胶室玻板。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8、适配通用预制胶，量身配置专属预制液。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9、电极采用耐电解腐蚀、耐高温，纯度≥ 99.95% 贵金属纯铂丝。</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10、配置清单(编号非限定)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编号 / 名称 / 标配数量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412-4701-1/ 电泳仪主体 /1 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412-4721/ 电泳仪下槽 /1 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412-4722/ 电泳仪上盖 /1 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412-4704/ 斜插板 /2 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412-4705/ 制胶座 /1 套（含 2 块矩形胶垫）；</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412-4706/ 单胶堵板 /1 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1440011/ 电泳导线（固定在上盖顶部）/1 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142-2471/ 矮玻璃板（1.0mm）/4 块；</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142-2473/ 高玻璃板（胶室 1.0mm）/2 块；</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142-2474/ 高玻璃板（胶室 1.5mm）/2 块；</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141-2476/1.0mm 10 齿试样格 /2 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141-2477/1.5mm 10 齿试样格 /2 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141-2479/1.0mm 15 齿试样格 /2 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141-2480/1.5mm 15 齿试样格 /2 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141-2481/ 加样引导（10 槽配 10 齿）/1 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141-2482/ 加样引导（15 槽配 15 齿）/1 把</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694"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DNA图谱观察仪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DNA电泳图谱观察仪是根据教育部生物新课标和高中生物新教材，研究、设计和生产的仪器，提供教师做DNA电泳凝胶实验， 并对其结果作观察之用。DNA电泳图谱观察仪采用非紫外线光源，而是采用新型的LED光源，做到了安全、环保、灵敏、效果好， 确保实验更好进行。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主要参数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1、技术参数：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输出电压：220V 工作电压：12V 工作电流：0.6A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2、高能量特定波长的大功率LED蓝光光源；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3、观察窗：100×100mm </w:t>
            </w:r>
          </w:p>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24"/>
              </w:rPr>
              <w:t>4、机壳：300*200*100mm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电子分析天平</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1．最大称量(g)：220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2．最小读数(mg) ：0.1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3．去皮范围(g)：0~220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4．重复性(mg)：±0.5</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5．稳定时间(s)：≤8</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笔式酸度计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1、仪器级别：0.01 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2、测试速度15s；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3、测试范围：0-14pH；</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4、分辨率：0.01pH</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5、防水等级：IP67</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支</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水浴锅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一列两孔1.温度范围：室温-100℃2.功率：600w3.精度：0.1℃4.工作盘尺寸：30*15*14cm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移液器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1、单道可调移液枪，量程范围广（0.1μl-5000μl）</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2、配置规格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 0.5-10μL， 1支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2.2 10-100μL，1支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 20-200μL，1支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2.4 100-1000μL，1支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2.5 1000-5000μL，1支</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移液器架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1、可旋转，平稳方便；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2、最多可同时放置6支移液器；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3、适配单道移液器和多道移液器；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4、适配Eppendorf，ThermoFinnpipette，Brand，Sartorius，Dragonlab等多品牌移液器；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13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鼓风干燥箱</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1.适用于工矿企业、医药卫生、科研单位作干燥、烘焙、熔蜡、灭菌、固化使用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2.外壳采用静电喷涂工艺，漆膜牢固美观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3.箱门设有观察窗，可随时观察工作室内物品的加热情况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4.可选用多种控温仪表，控温精度高，稳定性能好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5.工作电压(V)：220V/50Hz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6.控温范围(℃)：室温+10～300℃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7.温度波动(℃)：±1℃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8.工作室尺寸(mm)：不小于550× 450 ×550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9.数字显示</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9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超声波清洗器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1、断电记忆、变波、脱气、自动扫频、自动追频、快速锁频、大功率工业级震头、加厚304不锈钢内胆，一次冲压成型、铜排水阀、3C认证电源线、不锈钢清洗篮。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2、超声功率：360W（6个工业级震头）；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3、加热功率：300W；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4、时间设置：0-99分钟可调；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5、频率：40KHZ；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6、温度控制：常温-80℃可调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7、内胆尺寸：不小于300*240*150mm；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低速离心机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电压：220V或者110V；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频率：50HZ；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转速：300-4500rpm，步长100rpm；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转子容量：10ml/7ml/5ml×12,15ml×8；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最大相对离心力：2490×g，步长100×g，转速离心力切换显示；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角转子规格：15ml*8；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安全性能：过速保护，状态诊断系统；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功率：200W；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显示方式：LCD；</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30秒-99分 定时和连续运行两种模式；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机器尺寸：340*300*260mm；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离心完毕后，声音提示并自动开盖，便于样品降温；</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允许环境温度：5-40度；</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其他功能：转速/离心力转换功能，瞬时离心功能，运行进程显示，错误代码提示，声音提示功能。</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416"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光照培养架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1、尺寸：1300*500*2000mm，实用四层，每层实用面积120cm×40cm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2、灯管和灯架一体化设计；每层配二到三组高效T8LED组培灯，每灯额定功率18W,每灯5000lux,每层灯独立开关。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3、层板用透气防锈多孔板，每层承重250kg；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4、电源：220v 50Hz，最大功率360W,总电源带漏电保护器。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5、控时器参数：即时工作指示灯；铜片结构优化设计，寿命更长；夏令时/冬令时功能；大屏幕液晶显示设定；最小时间间隔为1分钟,每天最多可设置20组开与关,每周可设置140组。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6、该产品采用3mm厚角钢材质，稳固耐用；采用卡扣式结构，方便安装和更换；产品采用静电喷涂工艺，保证长期不锈不掉漆；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7、电线已布，即插即用。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炼苗架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1、尺寸：1300*500*2000mm，实用四层，每层实用面积120cm×40cm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2、灯管和灯架一体化设计；每层配二到三组高效T8LED组培灯，每灯额定功率18W,每灯5000lux,每层灯独立开关。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3、层板用透气防锈多孔板，每层承重250kg；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4、电源：220v 50Hz，最大功率360W,总电源带漏电保护器。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5、控时器参数：即时工作指示灯；铜片结构优化设计，寿命更长；夏令时/冬令时功能；大屏幕液晶显示设定；最小时间间隔为1分钟,每天最多可设置20组开与关,每周可设置140组。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6、该产品采用3mm厚角钢材质，稳固耐用；采用卡扣式结构，方便安装和更换；产品采用静电喷涂工艺，保证长期不锈不掉漆；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7、电线已布，即插即用。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695"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生化培养箱</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1容积：250L，工作室尺寸：不小于500*500*950mm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2.控温范围：0～60℃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3.温度波动度：±1.0℃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4.温度分辨率：0.1℃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5.温度最大可编程段数：多段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6.升温时间：10℃升至40℃为60分钟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7.降温时间：40℃降至10℃为60分钟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8.输入功率：1000W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9.压缩机动延时保护时间：3分钟左右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10.制冷剂：R12或R134a（无氟）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11.工作方式：连续运行（压缩机间歇工作）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12.工作环境：温度0～40℃湿度85%RH以下，无腐蚀性气体</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13.智能PID微电脑温控面板，液晶显示屏；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14.不锈钢内壁；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15.玻璃观察窗；</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16.内置观察照明灯；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17.可调节隔板，标配2块隔板；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18.双密封条；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19.采用PT100传感器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紫外灭菌系统</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1.无菌室闪烁警示灯提醒装置；2.单独控制，独立线路；3.含安装。4.配合装修进度进行布线安装等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试剂盒</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植物的组织培养；大肠杆菌的培养与分离；分离以尿素为氮源的微生物；果酒果醋的制作；PCR、DNA粗提取与鉴定、电泳等新教材配套实验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9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药品柜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PP材质，尺寸不小于1000*500*1970mm。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柜体：侧板、顶底板采用改性PP材料增加强度，注塑模一次性成型，表面沙面和光面相结合处理,保证柜体之坚固及密封性，耐腐蚀性强。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下储物柜门：内框采用改性PP材质注塑模一次成型, 外嵌4.6mm厚钢化烤漆玻璃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上柜视窗们：内框采用改性PP材质注塑模一次成型, 外嵌4.6mm厚钢化烤漆玻璃，中间烤漆镂空制作。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5. 层板：上部配置两块活动层板，下部配置一块活动层板，层板全部采用改性PP材质注塑模一次成型，表面沙面和光面相结合处理，四周有阻水边，底部镶嵌钢质横梁，承重力强。整体设计为活动式，可随意抽取放在合适的隔层，自由组合各层空间。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门把手：采用经过改性PP材质注塑模一次成型，与柜门平行，开启方便。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门铰链：采用经过射出成型的PP材料制成，耐腐蚀性好。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螺丝：PP材质，可选不锈钢304材质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备注 ：可以用于各种腐蚀性化学品的储存，如硫酸、盐酸、硝酸、乙酸、硫磺酸等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271"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仪器柜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PP材质，尺寸不小于1000*500*1970mm。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柜体：侧板、顶底板采用改性PP材料增加强度，注塑模一次性成型，表面沙面和光面相结合处理,保证柜体之坚固及密封性，耐腐蚀性强。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下储物柜门：内框采用改性PP材质注塑模一次成型, 外嵌4.6mm厚钢化烤漆玻璃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上柜视窗们：内框采用改性PP材质注塑模一次成型, 外嵌4.6mm厚钢化烤漆玻璃，中间烤漆镂空制作。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5. 层板：上部配置两块活动层板，下部配置一块活动层板，层板全部采用改性PP材质注塑模一次成型，表面沙面和光面相结合处理，四周有阻水边，底部镶嵌钢质横梁，承重力强。整体设计为活动式，可随意抽取放在合适的隔层，自由组合各层空间。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门把手：采用经过改性PP材质注塑模一次成型，与柜门平行，开启方便。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门铰链：采用经过射出成型的PP材料制成，耐腐蚀性好。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螺丝：PP材质，可选不锈钢304材质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备注 ：可以用于各种腐蚀性化学品的储存，如硫酸、盐酸、硝酸、乙酸、硫磺酸等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双层小推车</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全部304不锈钢双层小推车,加厚钢板（304不锈钢板），每层带护栏及单侧推手，规格660*440*850mm，推车台面底部都加装承重管</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电磁炉</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功率≥2000W，8当可调，配套锅</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G6玻璃砂漏斗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250ml</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10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吸顶空调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xml:space="preserve">1、★3匹不少于3级能效冷暖吸顶空调。★整机10年厂家免费上门质保,具体参数规格详细见附件7. </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2、配合装修进度进行布线安装</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3、如果没有空调的冷凝水PVC排水管到地面，则需要安装空调冷凝水水管50PVCU到地面排水沟里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壁挂空调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1、★大1匹不少于3级能效冷暖壁挂式空调。★整机10年厂家免费上门质保,具体参数规格详细见附件7.</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2、配合装修进度进行布线安装</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3、如果没有空调的冷凝水PVC排水管到地面，则需要安装空调冷凝水水管50PVCU到地面排水沟里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研磨过滤器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1、聚丙烯工程塑料，带展层瓶，耐丙酮、酒精、石油醚、甲醇、乙酸、四氯化碳等有机溶剂；2、容积：25ml；3、研磨头和研磨筒研磨5万转无明显磨损。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冰箱</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尺寸：670*603*1775mm,面板材质：彩晶玻璃，总容量：309L,冷冻室：136L，变温室：31L，冷藏室：142L，制冷方式：电子，能效等级：1级，压缩机类型：变频。</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制冰机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尺寸：270*250*307mm,日制冰量：15KG/天，储水量：1L，进水方式：手动注水，</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试剂盒</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质壁分离试剂盒、极速PCR试剂盒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组培瓶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实验用组培瓶（ZP9-150组培瓶(150mL)，可反复使用，无需更换封口膜）1箱（120瓶每箱）</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箱</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组培苗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生长状况健康，良好，不少于3种</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瓶</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PCR扩增试剂盒</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多重PCR扩增试剂盒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0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DNA提取试剂盒</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1、植物基因组DNA提取试剂盒</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2、（研磨液50mlX2瓶，二苯胺试剂A33mlX1瓶，二苯胺试剂500μLX1管，无水乙醇（60mL自备）</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通风净化系统（无菌室）</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无菌室采用高效送风过滤；包含洁净风管、风管保温板、高效风口GK-8、高效风口GK-12、新回风阻尼网板、高效送风过滤送风箱、压差表、风管调节阀等，含安装，配合装修进度进行有关安装</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紫外灭菌系统</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杀菌线紫外灯加延时警示灯，单独控制，独立线路，含安装，配合装修进度进行布线及安装</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6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净化门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1.加厚板材、优质配件、钢化玻璃、性能稳定、密封性强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2、尺寸：900*2100mm单开门；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3、材质：净化门采用烤漆冷轧钢板，门框用1.2mmSUS304不锈钢，门板0.8mm冷轧钢板，门体用EPS夹心，三周安装密封胶条，底部安装扫地胶条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4、锁具：圆形防火弯管锁；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5、五金：3副不锈钢铰链；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6、视窗：双层钢化玻璃，内胆不锈钢过渡；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7、表面处理：高温烤漆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8、颜色：由业主确定</w:t>
            </w:r>
          </w:p>
          <w:p>
            <w:pPr>
              <w:widowControl/>
              <w:jc w:val="left"/>
              <w:textAlignment w:val="center"/>
              <w:rPr>
                <w:rFonts w:ascii="宋体" w:hAnsi="宋体" w:cs="宋体"/>
                <w:color w:val="000000" w:themeColor="text1"/>
                <w:sz w:val="24"/>
              </w:rPr>
            </w:pPr>
            <w:r>
              <w:rPr>
                <w:rFonts w:hint="eastAsia" w:ascii="宋体" w:hAnsi="宋体" w:cs="宋体"/>
                <w:color w:val="000000" w:themeColor="text1"/>
                <w:sz w:val="24"/>
              </w:rPr>
              <w:t>9.配合装修进度进行安装调试</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扇</w:t>
            </w:r>
          </w:p>
        </w:tc>
      </w:tr>
      <w:tr>
        <w:tblPrEx>
          <w:tblCellMar>
            <w:top w:w="0" w:type="dxa"/>
            <w:left w:w="108" w:type="dxa"/>
            <w:bottom w:w="0" w:type="dxa"/>
            <w:right w:w="108" w:type="dxa"/>
          </w:tblCellMar>
        </w:tblPrEx>
        <w:trPr>
          <w:trHeight w:val="14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传递窗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1.尺寸：外部：600*600*600mm，内部：465*510*535mm；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★2、类型：双门电子互锁；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★3、材质：304不锈钢；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4、灯具：紫外线灯一支</w:t>
            </w:r>
          </w:p>
          <w:p>
            <w:pPr>
              <w:widowControl/>
              <w:jc w:val="left"/>
              <w:textAlignment w:val="center"/>
              <w:rPr>
                <w:rFonts w:ascii="宋体" w:hAnsi="宋体" w:cs="宋体"/>
                <w:color w:val="000000" w:themeColor="text1"/>
                <w:sz w:val="24"/>
              </w:rPr>
            </w:pPr>
            <w:r>
              <w:rPr>
                <w:rFonts w:hint="eastAsia" w:ascii="宋体" w:hAnsi="宋体" w:cs="宋体"/>
                <w:color w:val="000000" w:themeColor="text1"/>
                <w:sz w:val="24"/>
              </w:rPr>
              <w:t>5. 配合装修进度进行安装调试</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5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风淋室</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1.单人双吹风淋室</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2．特点：优质闭门器、360度旋转喷嘴、专业回风窗、不锈钢拉手、304不锈钢材、LED照明灯、电子连锁控制面板、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3．尺寸：外：1240*1000*2040mmmm，内：800*900*1950mm；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4．★箱体主要材料：304不锈钢；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5．门材料：304不锈钢半玻璃门二扇；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6．喷嘴数量：不锈钢12只，可360度旋转；</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7．过滤器：初效G2*1，高效H12*1只；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8．风机：1250W*1台/2800立方/小时；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9．灯光：LED5W*1；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10．风速：22-25m/s；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11．电源：3N，380V，50Hz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12．吹淋时间：0-99s，可调；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13．控制系统：自动语音提示，感应吹淋系统一套；</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14．消毒：紫外灯（带独立开关）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适用人数：2人</w:t>
            </w:r>
          </w:p>
          <w:p>
            <w:pPr>
              <w:widowControl/>
              <w:jc w:val="left"/>
              <w:textAlignment w:val="center"/>
              <w:rPr>
                <w:rFonts w:ascii="宋体" w:hAnsi="宋体" w:cs="宋体"/>
                <w:color w:val="000000" w:themeColor="text1"/>
                <w:sz w:val="24"/>
              </w:rPr>
            </w:pPr>
            <w:r>
              <w:rPr>
                <w:rFonts w:hint="eastAsia" w:ascii="宋体" w:hAnsi="宋体" w:cs="宋体"/>
                <w:color w:val="000000" w:themeColor="text1"/>
                <w:sz w:val="24"/>
              </w:rPr>
              <w:t>15. 配合装修进度进行安装调试</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1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系统集成服务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净化系统集成：拆除、安装、调试、运输、卫生清洁等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六、生物准备室清单</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设备名称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技术参数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13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试剂架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1.钢架：整体采用≥1.2㎜厚镀锌钢板裁剪折弯后满焊点焊接，表面经EPOXY喷涂处理。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2.防水、耐潮，耐腐蚀。</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3.层板：采用≥8㎜厚钢化玻璃。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4.护栏：采用直径14mm的玻璃纤维管，细巧耐用具有一定弹性，可以防止试剂瓶碰撞和跌落</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米</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七、通用技术加工坊专用实验室清单（科技楼105室）</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技术参数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1263"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智能3D打印机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基本参数</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1.打印原理：熔铸堆积成型原理</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2.喷头数量：1个</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3.耗材规格：1KG/1.75mm（±0.07mm）</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4.喷头温度：265</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5.打印精度：0.1mm</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6.喷头直径：0.4MM</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7.打印速度：150mm/s</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8.构建尺寸：220*200*250mm</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9.控制面板：4.5英寸智能触控液晶屏</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10.平台加热最高温度设定：110</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硬件功能</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1.圆润造型工业设计，无棱角、无高温部件及电线裸露，教学使用更安全</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2.透明外观视窗，方便观察打印情况；全封闭机壳，使用安全；</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3.耗材内置设计：全封闭耗材腔体，显著延长已开封耗材的使用寿命，降低使用成本</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4.★调平模式：机器免调平，操作方便</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5.★平台形式：柔性钢板磁吸式平台</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6.★文件输入方式：手机APP\云平台\U盘\以太网\WIFI\内存卡</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7.兼容耗材：PLA/ABS/PC/PETG/PLA-CF/PETG-CF</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8.★设备配置摄像头并具有延时视频功能</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9.机器骨架：稳固的工业铣床结构</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10.一键喷头快拆，方便售后维护</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11.断电续打功能</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12.内置8G存储空间，常用文件直接存在机器内，无需再次传输文件接收后，通过内存文件打印，确保打印成功率</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13.丝料检测功能</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14.机器兼容切片软件：Slic3r、Skeinforge、Cura、simplify3D</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15.HEPA空气过滤功能</w:t>
            </w: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软件功能</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1.★匹配中文版多功能片软件，并提供软件著作权证书（Flashprint）</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2.★自带云平台打印功能</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3.切片多机控制，智能联动；</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4.可读取文件格式：3MF/STL/OBJ/FPP/BMP/PNG/JPG/JPEG文件</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5.操作系统：Winxp/Vista/7/8/10、MacOS、Linux</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6.切片软件语言：简/繁体中文、英语、阿拉伯语、捷克语、德语、西班牙语、法语、日语、波兰语、土耳其语</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7.支持云平台切片、远程打印控制，并提供云端海量免费模型库</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8.提供免费云端储存空间，及云端队列打印功能，便于学生云端提交作业及教师统一安排所有设备的打印进度</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9.提供自主研发的免费全功能中文版版3D设计软件，软件在PC端、移动端均可安装使用。提供软件著作权证书（HAPPY 3D）</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配置如下：</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1、 以上性能的3D打印机一台；</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xml:space="preserve">2、 耗材：ABS-Pro 常见三色耗材各0.5KG，PLA常见三色耗材各0.5KG，合计3KG </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3、 电源线一根；</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4、 说明书/售后服务卡各一份；</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5、 气管接头一个；</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6、 0.3-265、0.4-265、0.6-265喷嘴各二个；</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7、 润滑脂一袋；</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8、 16G优盘一个；</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9、 调平卡一个；</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10、 十字螺丝刀、内六角扳手、通针</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271"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数据处理设备</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商用品牌机i5十代/8G/1TB HDD/256GSSD/2GB 独显Win10/鼠标、键盘、鼠标垫，≥23寸高清显示器，五年上门免费服务</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无线路由器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AX3 Pro wifi6+</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台式圆盘锯</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r>
              <w:rPr>
                <w:rFonts w:ascii="宋体" w:hAnsi="宋体" w:cs="宋体"/>
                <w:color w:val="000000" w:themeColor="text1"/>
                <w:sz w:val="24"/>
              </w:rPr>
              <w:drawing>
                <wp:inline distT="0" distB="0" distL="0" distR="0">
                  <wp:extent cx="1025525" cy="628015"/>
                  <wp:effectExtent l="19050" t="0" r="3175" b="0"/>
                  <wp:docPr id="10" name="图片 1" descr="27006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27006_RGB.jpg"/>
                          <pic:cNvPicPr>
                            <a:picLocks noChangeAspect="1" noChangeArrowheads="1"/>
                          </pic:cNvPicPr>
                        </pic:nvPicPr>
                        <pic:blipFill>
                          <a:blip r:embed="rId29"/>
                          <a:srcRect/>
                          <a:stretch>
                            <a:fillRect/>
                          </a:stretch>
                        </pic:blipFill>
                        <pic:spPr>
                          <a:xfrm>
                            <a:off x="0" y="0"/>
                            <a:ext cx="1025525" cy="628015"/>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主要功能：高寿命低噪声的交流电机. 配有齿形皮带的锯片轴可以确保锯片转速并且使扭矩倍增. 可切割10mm以内的软木, 3mm塑料 (包括亚克力和印刷线路板PCB).1.5mm的有色金属. 也可以配合硬质合金锯片来切割玻璃纤维和PC卡。带有可刻度的角度规. 压铸铝的工作平台 (160 x 160mm).</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1.额定电压220 - 240V；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2.额定功率 85W；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★3.最高转速：8000rpm；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4.工作台尺寸：160x160mm，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5.能力：硬木5mm，软木12mm，铜铝1.5，压克力板4mm，PC板1.5-2mm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6.圆锯片内孔10mm，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7.重量不大于1.8kg,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8.体积不大于：24x18.5x10cm。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9.附属零件：2支固定机器用螺丝，1个吸尘器用橡胶接头。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★10.切割台最大厚度：8mm；</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11.中标后签合同前提供生产厂家或者代理商的质保函、中文说明书，以下产品是同一品牌都要求如此</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微型台式木工车床</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r>
              <w:rPr>
                <w:rFonts w:ascii="宋体" w:hAnsi="宋体" w:cs="宋体"/>
                <w:color w:val="000000" w:themeColor="text1"/>
                <w:sz w:val="24"/>
              </w:rPr>
              <w:drawing>
                <wp:inline distT="0" distB="0" distL="0" distR="0">
                  <wp:extent cx="1113155" cy="771525"/>
                  <wp:effectExtent l="19050" t="0" r="0" b="0"/>
                  <wp:docPr id="11" name="图片 2" descr="27020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27020_RGB.jpg"/>
                          <pic:cNvPicPr>
                            <a:picLocks noChangeAspect="1" noChangeArrowheads="1"/>
                          </pic:cNvPicPr>
                        </pic:nvPicPr>
                        <pic:blipFill>
                          <a:blip r:embed="rId30"/>
                          <a:srcRect/>
                          <a:stretch>
                            <a:fillRect/>
                          </a:stretch>
                        </pic:blipFill>
                        <pic:spPr>
                          <a:xfrm>
                            <a:off x="0" y="0"/>
                            <a:ext cx="1113155" cy="771525"/>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可以加工微型的眼镜、杯、碟、花瓶圆形的样品。可以用在做木质房屋模型栏杆立柱，火车模型用照明桅杆、信号杆，船模桅杆，四肢木偶和数以百计的经典的微型车削任务可能轻松进行。</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★与台式圆盘锯同一品牌</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1.电压：230V；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2.额定功率：100W；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3.电压频率：50/60HZ；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★4.转速：1000-5000rpm；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5.轴心间距：250mm；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6.轴心高度：40mm；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7.加工物最大直径：25mm；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★8.转速：1000-5000rpm；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9.主轴穿膛孔径：10mm；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10.尾顶心可移动行程：20mm；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11.六个筒夹头：2-3-4-6-8-10mm；</w:t>
            </w:r>
          </w:p>
          <w:p>
            <w:pPr>
              <w:widowControl/>
              <w:jc w:val="left"/>
              <w:textAlignment w:val="center"/>
              <w:rPr>
                <w:rFonts w:ascii="宋体" w:hAnsi="宋体" w:cs="宋体"/>
                <w:color w:val="000000" w:themeColor="text1"/>
                <w:sz w:val="24"/>
              </w:rPr>
            </w:pPr>
            <w:r>
              <w:rPr>
                <w:rFonts w:hint="eastAsia" w:ascii="宋体" w:hAnsi="宋体" w:cs="宋体"/>
                <w:color w:val="000000" w:themeColor="text1"/>
                <w:sz w:val="24"/>
              </w:rPr>
              <w:t>12.尺寸约：480*134*87mm，</w:t>
            </w:r>
          </w:p>
          <w:p>
            <w:pPr>
              <w:widowControl/>
              <w:jc w:val="left"/>
              <w:textAlignment w:val="center"/>
              <w:rPr>
                <w:rFonts w:ascii="宋体" w:hAnsi="宋体" w:cs="宋体"/>
                <w:color w:val="000000" w:themeColor="text1"/>
                <w:sz w:val="24"/>
              </w:rPr>
            </w:pPr>
            <w:r>
              <w:rPr>
                <w:rFonts w:hint="eastAsia" w:ascii="宋体" w:hAnsi="宋体" w:cs="宋体"/>
                <w:color w:val="000000" w:themeColor="text1"/>
                <w:sz w:val="24"/>
              </w:rPr>
              <w:t>13.重量约：3KG</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color w:val="000000" w:themeColor="text1"/>
              </w:rPr>
              <w:fldChar w:fldCharType="begin"/>
            </w:r>
            <w:r>
              <w:rPr>
                <w:color w:val="000000" w:themeColor="text1"/>
              </w:rPr>
              <w:instrText xml:space="preserve"> HYPERLINK "http://www.prox-tech.cn/Show_Product.asp?Id=291" \o "http://www.prox-tech.cn/Show_Product.asp?Id=291" </w:instrText>
            </w:r>
            <w:r>
              <w:rPr>
                <w:color w:val="000000" w:themeColor="text1"/>
              </w:rPr>
              <w:fldChar w:fldCharType="separate"/>
            </w:r>
            <w:r>
              <w:rPr>
                <w:rStyle w:val="42"/>
                <w:rFonts w:hint="eastAsia" w:ascii="宋体" w:hAnsi="宋体" w:cs="宋体"/>
                <w:color w:val="000000" w:themeColor="text1"/>
                <w:sz w:val="24"/>
                <w:u w:val="none"/>
              </w:rPr>
              <w:t>刨厚度木工刨床</w:t>
            </w:r>
            <w:r>
              <w:rPr>
                <w:rStyle w:val="42"/>
                <w:rFonts w:hint="eastAsia" w:ascii="宋体" w:hAnsi="宋体" w:cs="宋体"/>
                <w:color w:val="000000" w:themeColor="text1"/>
                <w:sz w:val="24"/>
                <w:u w:val="none"/>
              </w:rPr>
              <w:fldChar w:fldCharType="end"/>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r>
              <w:rPr>
                <w:rFonts w:ascii="宋体" w:hAnsi="宋体" w:cs="宋体"/>
                <w:color w:val="000000" w:themeColor="text1"/>
                <w:sz w:val="24"/>
              </w:rPr>
              <w:drawing>
                <wp:inline distT="0" distB="0" distL="0" distR="0">
                  <wp:extent cx="1002030" cy="1590040"/>
                  <wp:effectExtent l="19050" t="0" r="7620" b="0"/>
                  <wp:docPr id="12" name="图片 3" descr="27040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27040_RGB.jpg"/>
                          <pic:cNvPicPr>
                            <a:picLocks noChangeAspect="1" noChangeArrowheads="1"/>
                          </pic:cNvPicPr>
                        </pic:nvPicPr>
                        <pic:blipFill>
                          <a:blip r:embed="rId31"/>
                          <a:srcRect/>
                          <a:stretch>
                            <a:fillRect/>
                          </a:stretch>
                        </pic:blipFill>
                        <pic:spPr>
                          <a:xfrm>
                            <a:off x="0" y="0"/>
                            <a:ext cx="1002030" cy="1590040"/>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可高效的将软硬木上表面刨平整，光滑。可刨出上下平面平行木块，能在较小的工件上实现刨平。</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★与台式圆盘锯同一品牌。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1.电压：230V；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2.额定功率：200W；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3.额定频率：50/60Hz；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★4.出料尺寸：厚度40mm宽度80mm；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5.最大刨削厚度：0.8mm；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6.刨刀转速：6000rpm；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★7.进给速率：4.8m/min；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8.工作面长度：232mm；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9.重量不大于：约8kg；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10.体积不大于：约280 x 230 x 235mm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color w:val="000000" w:themeColor="text1"/>
              </w:rPr>
              <w:fldChar w:fldCharType="begin"/>
            </w:r>
            <w:r>
              <w:rPr>
                <w:color w:val="000000" w:themeColor="text1"/>
              </w:rPr>
              <w:instrText xml:space="preserve"> HYPERLINK "http://www.prox-tech.cn/Show_Product.asp?Id=290" \o "http://www.prox-tech.cn/Show_Product.asp?Id=290" </w:instrText>
            </w:r>
            <w:r>
              <w:rPr>
                <w:color w:val="000000" w:themeColor="text1"/>
              </w:rPr>
              <w:fldChar w:fldCharType="separate"/>
            </w:r>
            <w:r>
              <w:rPr>
                <w:rStyle w:val="42"/>
                <w:rFonts w:hint="eastAsia" w:ascii="宋体" w:hAnsi="宋体" w:cs="宋体"/>
                <w:color w:val="000000" w:themeColor="text1"/>
                <w:sz w:val="24"/>
                <w:u w:val="none"/>
              </w:rPr>
              <w:t>刨平面木工刨床</w:t>
            </w:r>
            <w:r>
              <w:rPr>
                <w:rStyle w:val="42"/>
                <w:rFonts w:hint="eastAsia" w:ascii="宋体" w:hAnsi="宋体" w:cs="宋体"/>
                <w:color w:val="000000" w:themeColor="text1"/>
                <w:sz w:val="24"/>
                <w:u w:val="none"/>
              </w:rPr>
              <w:fldChar w:fldCharType="end"/>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r>
              <w:rPr>
                <w:rFonts w:ascii="宋体" w:hAnsi="宋体" w:cs="宋体"/>
                <w:color w:val="000000" w:themeColor="text1"/>
                <w:sz w:val="24"/>
              </w:rPr>
              <w:drawing>
                <wp:inline distT="0" distB="0" distL="0" distR="0">
                  <wp:extent cx="1065530" cy="850900"/>
                  <wp:effectExtent l="19050" t="0" r="1270" b="0"/>
                  <wp:docPr id="13" name="图片 4" descr="2704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27044_RGB.jpg"/>
                          <pic:cNvPicPr>
                            <a:picLocks noChangeAspect="1" noChangeArrowheads="1"/>
                          </pic:cNvPicPr>
                        </pic:nvPicPr>
                        <pic:blipFill>
                          <a:blip r:embed="rId32"/>
                          <a:srcRect/>
                          <a:stretch>
                            <a:fillRect/>
                          </a:stretch>
                        </pic:blipFill>
                        <pic:spPr>
                          <a:xfrm>
                            <a:off x="0" y="0"/>
                            <a:ext cx="1065530" cy="850900"/>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可高效的将软硬木下表面刨平整，光滑。能在较小的工件上实现刨平。</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★与台式圆盘锯同一品牌。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1.额定电压：230V；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2.功率：200W；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★3.工作台：400*80mm；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4.工件最大宽度：80mm；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5.刨刀最大进刀量：0.8mm；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★6.转速：6000rpm；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7.刨刀长度：82mm；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8.体积不大于：350x180x220mm；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9.重量不大于：5.5KG；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10.绝缘等级：1级；</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color w:val="000000" w:themeColor="text1"/>
              </w:rPr>
              <w:fldChar w:fldCharType="begin"/>
            </w:r>
            <w:r>
              <w:rPr>
                <w:color w:val="000000" w:themeColor="text1"/>
              </w:rPr>
              <w:instrText xml:space="preserve"> HYPERLINK "http://www.prox-tech.cn/Show_Product.asp?Id=287" \o "http://www.prox-tech.cn/Show_Product.asp?Id=287" </w:instrText>
            </w:r>
            <w:r>
              <w:rPr>
                <w:color w:val="000000" w:themeColor="text1"/>
              </w:rPr>
              <w:fldChar w:fldCharType="separate"/>
            </w:r>
            <w:r>
              <w:rPr>
                <w:rStyle w:val="42"/>
                <w:rFonts w:hint="eastAsia" w:ascii="宋体" w:hAnsi="宋体" w:cs="宋体"/>
                <w:color w:val="000000" w:themeColor="text1"/>
                <w:sz w:val="24"/>
                <w:u w:val="none"/>
              </w:rPr>
              <w:t>微型台式木工修边机</w:t>
            </w:r>
            <w:r>
              <w:rPr>
                <w:rStyle w:val="42"/>
                <w:rFonts w:hint="eastAsia" w:ascii="宋体" w:hAnsi="宋体" w:cs="宋体"/>
                <w:color w:val="000000" w:themeColor="text1"/>
                <w:sz w:val="24"/>
                <w:u w:val="none"/>
              </w:rPr>
              <w:fldChar w:fldCharType="end"/>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r>
              <w:rPr>
                <w:rFonts w:ascii="宋体" w:hAnsi="宋体" w:cs="宋体"/>
                <w:color w:val="000000" w:themeColor="text1"/>
                <w:sz w:val="24"/>
              </w:rPr>
              <w:drawing>
                <wp:inline distT="0" distB="0" distL="0" distR="0">
                  <wp:extent cx="1057275" cy="930275"/>
                  <wp:effectExtent l="19050" t="0" r="9525" b="0"/>
                  <wp:docPr id="14" name="图片 5" descr="27050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27050_RGB.jpg"/>
                          <pic:cNvPicPr>
                            <a:picLocks noChangeAspect="1" noChangeArrowheads="1"/>
                          </pic:cNvPicPr>
                        </pic:nvPicPr>
                        <pic:blipFill>
                          <a:blip r:embed="rId33"/>
                          <a:srcRect/>
                          <a:stretch>
                            <a:fillRect/>
                          </a:stretch>
                        </pic:blipFill>
                        <pic:spPr>
                          <a:xfrm>
                            <a:off x="0" y="0"/>
                            <a:ext cx="1057275" cy="930275"/>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适合对木材、纤维板、普通塑料板等进行边缘及纵向的精细加工如倒角、开槽等</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★与台式圆盘锯同一品牌。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1.额定电压：230V；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2.额定功率：100W；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3.电压频率：50/60Hz；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★4.最高转速：25000rpm；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5.工件最大厚度：40mm；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6.工作台尺寸：300*150mm；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7.进给手轮：1转=1mm,1刻度=0.05mm；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8.体积不大于：310*185*100mm，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9.重量不大于：2kg；</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color w:val="000000" w:themeColor="text1"/>
              </w:rPr>
              <w:fldChar w:fldCharType="begin"/>
            </w:r>
            <w:r>
              <w:rPr>
                <w:color w:val="000000" w:themeColor="text1"/>
              </w:rPr>
              <w:instrText xml:space="preserve"> HYPERLINK "http://www.prox-tech.cn/Show_Product.asp?Id=303" \o "http://www.prox-tech.cn/Show_Product.asp?Id=303" </w:instrText>
            </w:r>
            <w:r>
              <w:rPr>
                <w:color w:val="000000" w:themeColor="text1"/>
              </w:rPr>
              <w:fldChar w:fldCharType="separate"/>
            </w:r>
            <w:r>
              <w:rPr>
                <w:rStyle w:val="42"/>
                <w:rFonts w:hint="eastAsia" w:ascii="宋体" w:hAnsi="宋体" w:cs="宋体"/>
                <w:color w:val="000000" w:themeColor="text1"/>
                <w:sz w:val="24"/>
                <w:u w:val="none"/>
              </w:rPr>
              <w:t>微型台式砂光机</w:t>
            </w:r>
            <w:r>
              <w:rPr>
                <w:rStyle w:val="42"/>
                <w:rFonts w:hint="eastAsia" w:ascii="宋体" w:hAnsi="宋体" w:cs="宋体"/>
                <w:color w:val="000000" w:themeColor="text1"/>
                <w:sz w:val="24"/>
                <w:u w:val="none"/>
              </w:rPr>
              <w:fldChar w:fldCharType="end"/>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r>
              <w:rPr>
                <w:rFonts w:ascii="宋体" w:hAnsi="宋体" w:cs="宋体"/>
                <w:color w:val="000000" w:themeColor="text1"/>
                <w:sz w:val="24"/>
              </w:rPr>
              <w:drawing>
                <wp:inline distT="0" distB="0" distL="0" distR="0">
                  <wp:extent cx="1057275" cy="787400"/>
                  <wp:effectExtent l="19050" t="0" r="9525" b="0"/>
                  <wp:docPr id="15" name="图片 6" descr="27060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27060_RGB.jpg"/>
                          <pic:cNvPicPr>
                            <a:picLocks noChangeAspect="1" noChangeArrowheads="1"/>
                          </pic:cNvPicPr>
                        </pic:nvPicPr>
                        <pic:blipFill>
                          <a:blip r:embed="rId34"/>
                          <a:srcRect/>
                          <a:stretch>
                            <a:fillRect/>
                          </a:stretch>
                        </pic:blipFill>
                        <pic:spPr>
                          <a:xfrm>
                            <a:off x="0" y="0"/>
                            <a:ext cx="1057275" cy="787400"/>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用于精细打磨和小型材修整</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★与台式圆盘锯同一品牌。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1.额定电压：230V；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2.额定功率：140W；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3.工作频率：50/60Hz；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★4.打磨转速：1150-3600rpm；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5.砂光片尺寸：125mm；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6.工作台尺寸：98*140mm；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7.砂光片半径高度：62.5mm；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8.机身尺寸不大于：300*140*160mm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★9.机身重量：不大于3kg；</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color w:val="000000" w:themeColor="text1"/>
              </w:rPr>
              <w:fldChar w:fldCharType="begin"/>
            </w:r>
            <w:r>
              <w:rPr>
                <w:color w:val="000000" w:themeColor="text1"/>
              </w:rPr>
              <w:instrText xml:space="preserve"> HYPERLINK "http://www.prox-tech.cn/Show_Product.asp?Id=297" \o "http://www.prox-tech.cn/Show_Product.asp?Id=297" </w:instrText>
            </w:r>
            <w:r>
              <w:rPr>
                <w:color w:val="000000" w:themeColor="text1"/>
              </w:rPr>
              <w:fldChar w:fldCharType="separate"/>
            </w:r>
            <w:r>
              <w:rPr>
                <w:rStyle w:val="42"/>
                <w:rFonts w:hint="eastAsia" w:ascii="宋体" w:hAnsi="宋体" w:cs="宋体"/>
                <w:color w:val="000000" w:themeColor="text1"/>
                <w:sz w:val="24"/>
                <w:u w:val="none"/>
              </w:rPr>
              <w:t>微型台式曲线锯机</w:t>
            </w:r>
            <w:r>
              <w:rPr>
                <w:rStyle w:val="42"/>
                <w:rFonts w:hint="eastAsia" w:ascii="宋体" w:hAnsi="宋体" w:cs="宋体"/>
                <w:color w:val="000000" w:themeColor="text1"/>
                <w:sz w:val="24"/>
                <w:u w:val="none"/>
              </w:rPr>
              <w:fldChar w:fldCharType="end"/>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r>
              <w:rPr>
                <w:rFonts w:ascii="宋体" w:hAnsi="宋体" w:cs="宋体"/>
                <w:color w:val="000000" w:themeColor="text1"/>
                <w:sz w:val="24"/>
              </w:rPr>
              <w:drawing>
                <wp:inline distT="0" distB="0" distL="0" distR="0">
                  <wp:extent cx="1057275" cy="810895"/>
                  <wp:effectExtent l="19050" t="0" r="9525" b="0"/>
                  <wp:docPr id="16" name="图片 7" descr="27088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27088_RGB.jpg"/>
                          <pic:cNvPicPr>
                            <a:picLocks noChangeAspect="1" noChangeArrowheads="1"/>
                          </pic:cNvPicPr>
                        </pic:nvPicPr>
                        <pic:blipFill>
                          <a:blip r:embed="rId35"/>
                          <a:srcRect/>
                          <a:stretch>
                            <a:fillRect/>
                          </a:stretch>
                        </pic:blipFill>
                        <pic:spPr>
                          <a:xfrm>
                            <a:off x="0" y="0"/>
                            <a:ext cx="1057275" cy="810895"/>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可切割的软木（最大厚度达40mm，如巴尔沙木），硬木（最大厚度10mm），塑料（最大厚度4mm），有色金属（最大厚度2mm）。</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★与台式圆盘锯同一品牌。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1.额定电压：220-240V；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2.额定功率：85W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★3.工作台尺寸：不大于160*160mm，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4.能力：软木：40mm，硬木：10mm，亚克力：4mm,铜铝：2mm。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5.体积不大于：43x24x25cm；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6.体重不大于：2.5KG，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7.附属零件：2支固定机器用螺丝，3支粗齿（木工用）线锯片，2支粗齿（铜铝用）线锯片，一个吸尘器用橡胶接头。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8.马达速度：8000rpm；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9.锯片往复速：150-2500回/min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10.锯条行程：7mm；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微型台式切断机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r>
              <w:rPr>
                <w:rFonts w:ascii="宋体" w:hAnsi="宋体" w:cs="宋体"/>
                <w:color w:val="000000" w:themeColor="text1"/>
                <w:sz w:val="24"/>
              </w:rPr>
              <w:drawing>
                <wp:inline distT="0" distB="0" distL="0" distR="0">
                  <wp:extent cx="1057275" cy="954405"/>
                  <wp:effectExtent l="19050" t="0" r="9525" b="0"/>
                  <wp:docPr id="17" name="图片 8" descr="27150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27150_RGB.jpg"/>
                          <pic:cNvPicPr>
                            <a:picLocks noChangeAspect="1" noChangeArrowheads="1"/>
                          </pic:cNvPicPr>
                        </pic:nvPicPr>
                        <pic:blipFill>
                          <a:blip r:embed="rId36"/>
                          <a:srcRect/>
                          <a:stretch>
                            <a:fillRect/>
                          </a:stretch>
                        </pic:blipFill>
                        <pic:spPr>
                          <a:xfrm>
                            <a:off x="0" y="0"/>
                            <a:ext cx="1057275" cy="954405"/>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用于金属、木材或塑料制成的小物件的准确切割</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★与台式圆盘锯同一品牌。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1.额定电压：230V；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2.额定功率：85W；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3.工作频率：50/60Hz；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4.锯片边缘线速度：20米/秒；</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5.夹钳钳口宽：27mm；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6.最大工件直径：20mm；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7.切割深度：13mm；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8.限位杆最大长度：140mm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6.重量不大于：1.5kg；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7.体积不大于：不大于130*150*100mm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微型台式切断机配件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★与台式圆盘锯同一品牌。金刚石圆锯片 50mm*1、80齿圆锯片 58mm*1、10齿钨钢齿圆锯片 50mm*1、20齿钨钢齿圆锯片 50mm*1、80直齿圆锯片 50mm*1、树脂砂轮切断片*1、带网强化切断砂轮片*1</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电动木工雕刻刀</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r>
              <w:rPr>
                <w:rFonts w:ascii="宋体" w:hAnsi="宋体" w:cs="宋体"/>
                <w:color w:val="000000" w:themeColor="text1"/>
                <w:sz w:val="24"/>
              </w:rPr>
              <w:drawing>
                <wp:inline distT="0" distB="0" distL="0" distR="0">
                  <wp:extent cx="1057275" cy="1137285"/>
                  <wp:effectExtent l="19050" t="0" r="9525" b="0"/>
                  <wp:docPr id="18" name="图片 9" descr="28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28644.jpg"/>
                          <pic:cNvPicPr>
                            <a:picLocks noChangeAspect="1" noChangeArrowheads="1"/>
                          </pic:cNvPicPr>
                        </pic:nvPicPr>
                        <pic:blipFill>
                          <a:blip r:embed="rId37"/>
                          <a:srcRect/>
                          <a:stretch>
                            <a:fillRect/>
                          </a:stretch>
                        </pic:blipFill>
                        <pic:spPr>
                          <a:xfrm>
                            <a:off x="0" y="0"/>
                            <a:ext cx="1057275" cy="1137285"/>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可在所有类型的木头上雕刻的完美工具，如家具修理和加工、古董翻新、漆布切割、精密地清除油漆和加工熟石膏。</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台式圆盘锯同一品牌。可在所有类型的木头上雕刻的完美工具，如家具修理和加工、古董翻新、漆布切割、精密地清除油漆和加工熟石膏。玻璃纤维加强的尼龙壳体。铝压铸齿轮箱外壳。多个球轴承和止推轴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9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电动木工雕刻刀配件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★与台式圆盘锯同一品牌。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1、雕刻刀组  （5支）：V型刀，大凹槽，小凹槽，平圆和平直刀刃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2、雕刻刀专用多形状磨石：100*63*15mm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1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专业钻磨机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r>
              <w:rPr>
                <w:rFonts w:ascii="宋体" w:hAnsi="宋体" w:cs="宋体"/>
                <w:color w:val="000000" w:themeColor="text1"/>
                <w:sz w:val="24"/>
              </w:rPr>
              <w:drawing>
                <wp:inline distT="0" distB="0" distL="0" distR="0">
                  <wp:extent cx="1057275" cy="636270"/>
                  <wp:effectExtent l="19050" t="0" r="9525" b="0"/>
                  <wp:docPr id="19" name="图片 13" descr="28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28481.jpg"/>
                          <pic:cNvPicPr>
                            <a:picLocks noChangeAspect="1" noChangeArrowheads="1"/>
                          </pic:cNvPicPr>
                        </pic:nvPicPr>
                        <pic:blipFill>
                          <a:blip r:embed="rId38"/>
                          <a:srcRect/>
                          <a:stretch>
                            <a:fillRect/>
                          </a:stretch>
                        </pic:blipFill>
                        <pic:spPr>
                          <a:xfrm>
                            <a:off x="0" y="0"/>
                            <a:ext cx="1057275" cy="636270"/>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用于钻，铣，打磨，抛光，清洁，切割，雕刻，刻字。是机械维修师，模型制造者，珠宝加工师，眼睛制作者，艺术家和电子爱好者的理想工具。</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★与台式圆盘锯同一品牌。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1、可较持久连续用于钻、铣、研磨、抛光、清洁、切割甚至是刻模。是机修工、模型制造者、宝石匠、眼镜商和电子爱好者和专业人士的理想工具。</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2、转速：5,000 ~ 22,000 rpm,电压：220-240 V,功率100W,</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3、长度：不大于230mm</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4、重量：不大于500g,夹紧范围：1.0,1.5,2.0,2.4,3.0,3.2</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22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冷焊机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75648" behindDoc="0" locked="0" layoutInCell="1" allowOverlap="1">
                  <wp:simplePos x="0" y="0"/>
                  <wp:positionH relativeFrom="column">
                    <wp:posOffset>72390</wp:posOffset>
                  </wp:positionH>
                  <wp:positionV relativeFrom="paragraph">
                    <wp:posOffset>187325</wp:posOffset>
                  </wp:positionV>
                  <wp:extent cx="769620" cy="554355"/>
                  <wp:effectExtent l="19050" t="0" r="0" b="0"/>
                  <wp:wrapNone/>
                  <wp:docPr id="983" name="图片_19"/>
                  <wp:cNvGraphicFramePr/>
                  <a:graphic xmlns:a="http://schemas.openxmlformats.org/drawingml/2006/main">
                    <a:graphicData uri="http://schemas.openxmlformats.org/drawingml/2006/picture">
                      <pic:pic xmlns:pic="http://schemas.openxmlformats.org/drawingml/2006/picture">
                        <pic:nvPicPr>
                          <pic:cNvPr id="983" name="图片_19"/>
                          <pic:cNvPicPr>
                            <a:picLocks noChangeArrowheads="1"/>
                          </pic:cNvPicPr>
                        </pic:nvPicPr>
                        <pic:blipFill>
                          <a:blip r:embed="rId39"/>
                          <a:srcRect/>
                          <a:stretch>
                            <a:fillRect/>
                          </a:stretch>
                        </pic:blipFill>
                        <pic:spPr>
                          <a:xfrm>
                            <a:off x="0" y="0"/>
                            <a:ext cx="769620" cy="55435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1．低温脉冲 精密冷焊）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2．额定输入功率（KW）4.6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3．输出电流（A） 180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4．电流调节方式 数字</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5．电流调节精度 1A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6．额定输入电压（V） 220V±20%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7．频率（HZ） 50/60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8．持续负载率（%） 80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9．效率（%） 85</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10．功率因数（W） 0.85</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11．电流调节范围（A） 10-250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12．单脉冲频率 4-0.01S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13．冷焊时间 1-999S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14．后气时间 0.5-5S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15．焊接材料厚度（mm）氩弧热焊 0.8-8，低温脉冲 0.4-3，精密冷焊 0.4-3</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16．应用范围 塑料模、冲压模、压铸模、铸件、铜、铝、不锈钢薄板等等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随机子包含 保修卡、接地夹带线4米、热焊冷焊枪各4米、外角瓷嘴10只、变光焊帽、脚踏开关（含线）、LED照明灯、瓷嘴20个、不锈钢焊丝0.6与2各一管，每管2KG、氩气管3米、喉箍2个、钨针夹20个、长皮手套一双、控压气表一套、8升气瓶一个、灰头钨针20根、9F石英瓷嘴一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1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准备室货架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76672" behindDoc="0" locked="0" layoutInCell="1" allowOverlap="1">
                  <wp:simplePos x="0" y="0"/>
                  <wp:positionH relativeFrom="column">
                    <wp:posOffset>106045</wp:posOffset>
                  </wp:positionH>
                  <wp:positionV relativeFrom="paragraph">
                    <wp:posOffset>146050</wp:posOffset>
                  </wp:positionV>
                  <wp:extent cx="744855" cy="514350"/>
                  <wp:effectExtent l="19050" t="0" r="0" b="0"/>
                  <wp:wrapNone/>
                  <wp:docPr id="982" name="图片_20"/>
                  <wp:cNvGraphicFramePr/>
                  <a:graphic xmlns:a="http://schemas.openxmlformats.org/drawingml/2006/main">
                    <a:graphicData uri="http://schemas.openxmlformats.org/drawingml/2006/picture">
                      <pic:pic xmlns:pic="http://schemas.openxmlformats.org/drawingml/2006/picture">
                        <pic:nvPicPr>
                          <pic:cNvPr id="982" name="图片_20"/>
                          <pic:cNvPicPr>
                            <a:picLocks noChangeArrowheads="1"/>
                          </pic:cNvPicPr>
                        </pic:nvPicPr>
                        <pic:blipFill>
                          <a:blip r:embed="rId40"/>
                          <a:srcRect/>
                          <a:stretch>
                            <a:fillRect/>
                          </a:stretch>
                        </pic:blipFill>
                        <pic:spPr>
                          <a:xfrm>
                            <a:off x="0" y="0"/>
                            <a:ext cx="744855" cy="51435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尺寸：1500*500*1980mm</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框架六层全钢结构，材料厚度≥1.0mm,双层通体立柱宽度≥38mm，横樑宽度≥51mm，层板高低自由调整，层板可以放入横樑内凹槽，承重≥200KG。表面烤漆或者喷塑处理，配置脚轮和塑胶脚垫。</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9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准备室仪器柜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ascii="宋体" w:hAnsi="宋体" w:cs="宋体"/>
                <w:color w:val="000000" w:themeColor="text1"/>
                <w:sz w:val="24"/>
              </w:rPr>
              <w:drawing>
                <wp:inline distT="0" distB="0" distL="0" distR="0">
                  <wp:extent cx="1002030" cy="858520"/>
                  <wp:effectExtent l="19050" t="0" r="7620" b="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noChangeArrowheads="1"/>
                          </pic:cNvPicPr>
                        </pic:nvPicPr>
                        <pic:blipFill>
                          <a:blip r:embed="rId41"/>
                          <a:srcRect/>
                          <a:stretch>
                            <a:fillRect/>
                          </a:stretch>
                        </pic:blipFill>
                        <pic:spPr>
                          <a:xfrm>
                            <a:off x="0" y="0"/>
                            <a:ext cx="1002030" cy="858520"/>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尺寸：H1800*W900*D450mm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材质：优质冷轧钢，净料厚1.0mm；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结构：上对开玻璃门，层板二档，下对开铁门，层板一档，层板均可调节层高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配件：优质锁具、减震垫、下方垫减少摩擦、304不锈钢实心把手、304不锈钢实心插销锁，304不锈钢合页；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表面处理：除锈磷化后环氧树脂粉末喷涂</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5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重型台虎钳</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77696" behindDoc="0" locked="0" layoutInCell="1" allowOverlap="1">
                  <wp:simplePos x="0" y="0"/>
                  <wp:positionH relativeFrom="column">
                    <wp:posOffset>10160</wp:posOffset>
                  </wp:positionH>
                  <wp:positionV relativeFrom="paragraph">
                    <wp:posOffset>248920</wp:posOffset>
                  </wp:positionV>
                  <wp:extent cx="807720" cy="548640"/>
                  <wp:effectExtent l="19050" t="0" r="0" b="0"/>
                  <wp:wrapNone/>
                  <wp:docPr id="981" name="图片_22"/>
                  <wp:cNvGraphicFramePr/>
                  <a:graphic xmlns:a="http://schemas.openxmlformats.org/drawingml/2006/main">
                    <a:graphicData uri="http://schemas.openxmlformats.org/drawingml/2006/picture">
                      <pic:pic xmlns:pic="http://schemas.openxmlformats.org/drawingml/2006/picture">
                        <pic:nvPicPr>
                          <pic:cNvPr id="981" name="图片_22"/>
                          <pic:cNvPicPr>
                            <a:picLocks noChangeArrowheads="1"/>
                          </pic:cNvPicPr>
                        </pic:nvPicPr>
                        <pic:blipFill>
                          <a:blip r:embed="rId42"/>
                          <a:srcRect/>
                          <a:stretch>
                            <a:fillRect/>
                          </a:stretch>
                        </pic:blipFill>
                        <pic:spPr>
                          <a:xfrm>
                            <a:off x="0" y="0"/>
                            <a:ext cx="807720" cy="54864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工业级重型台虎钳5寸.材质：球墨铸铁实心钳体，纯钢丝杆，螺纹加深，实心钢质摇手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夹持长度：110mm；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钳口长度：125mm；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钳口深度：65mm；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砧板台长宽：80*95mm；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台虎钳长*高：350*195mm；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底座直径：170mm；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底座安装螺孔距L1\L：190\135mm；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底座安装螺孔直径：10mm；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丝杠直径：17mm；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13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重型平口钳</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78720" behindDoc="0" locked="0" layoutInCell="1" allowOverlap="1">
                  <wp:simplePos x="0" y="0"/>
                  <wp:positionH relativeFrom="column">
                    <wp:posOffset>33655</wp:posOffset>
                  </wp:positionH>
                  <wp:positionV relativeFrom="paragraph">
                    <wp:posOffset>158750</wp:posOffset>
                  </wp:positionV>
                  <wp:extent cx="670560" cy="306070"/>
                  <wp:effectExtent l="19050" t="0" r="0" b="0"/>
                  <wp:wrapNone/>
                  <wp:docPr id="980" name="图片_23"/>
                  <wp:cNvGraphicFramePr/>
                  <a:graphic xmlns:a="http://schemas.openxmlformats.org/drawingml/2006/main">
                    <a:graphicData uri="http://schemas.openxmlformats.org/drawingml/2006/picture">
                      <pic:pic xmlns:pic="http://schemas.openxmlformats.org/drawingml/2006/picture">
                        <pic:nvPicPr>
                          <pic:cNvPr id="980" name="图片_23"/>
                          <pic:cNvPicPr>
                            <a:picLocks noChangeArrowheads="1"/>
                          </pic:cNvPicPr>
                        </pic:nvPicPr>
                        <pic:blipFill>
                          <a:blip r:embed="rId43"/>
                          <a:srcRect/>
                          <a:stretch>
                            <a:fillRect/>
                          </a:stretch>
                        </pic:blipFill>
                        <pic:spPr>
                          <a:xfrm>
                            <a:off x="0" y="0"/>
                            <a:ext cx="670560" cy="30607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金丰精密加长带底盘平口钳。最大夹持200mm，钳口宽度160m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547"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桌面抗高温保护膜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防静电耐高温橡胶垫。尺寸：480*360*3毫米；硬度：60º±5</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密度：1.4；</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表面电阻：1000K-1000000K；</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底面电阻：1K-100K；</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体积电阻：100K-100000K；</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磨耗率：0.02G/CM²；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静电散出时间：≤0.1S；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拉伸强度：3.6MPA；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断裂伸长率：188%；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回弹性：14%；</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冲击脆化温度：300°C无破坏；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颜色：表面蓝色，底面黑色；</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17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微型加工区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79744" behindDoc="0" locked="0" layoutInCell="1" allowOverlap="1">
                  <wp:simplePos x="0" y="0"/>
                  <wp:positionH relativeFrom="column">
                    <wp:posOffset>8255</wp:posOffset>
                  </wp:positionH>
                  <wp:positionV relativeFrom="paragraph">
                    <wp:posOffset>123825</wp:posOffset>
                  </wp:positionV>
                  <wp:extent cx="762635" cy="662940"/>
                  <wp:effectExtent l="19050" t="0" r="0" b="0"/>
                  <wp:wrapNone/>
                  <wp:docPr id="979" name="图片_24"/>
                  <wp:cNvGraphicFramePr/>
                  <a:graphic xmlns:a="http://schemas.openxmlformats.org/drawingml/2006/main">
                    <a:graphicData uri="http://schemas.openxmlformats.org/drawingml/2006/picture">
                      <pic:pic xmlns:pic="http://schemas.openxmlformats.org/drawingml/2006/picture">
                        <pic:nvPicPr>
                          <pic:cNvPr id="979" name="图片_24"/>
                          <pic:cNvPicPr>
                            <a:picLocks noChangeArrowheads="1"/>
                          </pic:cNvPicPr>
                        </pic:nvPicPr>
                        <pic:blipFill>
                          <a:blip r:embed="rId44"/>
                          <a:srcRect/>
                          <a:stretch>
                            <a:fillRect/>
                          </a:stretch>
                        </pic:blipFill>
                        <pic:spPr>
                          <a:xfrm>
                            <a:off x="0" y="0"/>
                            <a:ext cx="762635" cy="66294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钢木桌.尺寸：2000*600*750mm，桌面厚度≥50mm,桌面材质：进口或者是国产知名松木原木，桌面长条拼缝非指接表面非贴皮，环保油漆，原木颜色，桌脚材质：冷轧方钢50*50mm，厚度不少于1mm,桌脚表面涂装：所有金属部件经过流水线抛丸工艺除锈和高温除油处理，采用静电喷塑高温固化，使涂层与金属表面的附着力更强，耐腐蚀，不易脱落。涂层需光滑均匀，色泽一致，需无流挂、疙瘩、皱皮、飞漆。涂层需平整光滑、清晰，需无明显粒子、涨边现象；应无明显加工痕迹、划痕、雾光、白棱、白点、鼓泡、油白、流挂、缩孔、刷毛、积粉和杂渣。</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812"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吊柜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尺寸：1800*400*500mm；</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主材：樟子松原木指接板；</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优质缓冲铰链、原木色环保水性油漆</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4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操作台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1.台面：采用≥40mm厚实木指接板。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2.结构：采用全钢结构。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3.柜体：采用1.0mm优质镀锌钢板，采用CO2保护焊焊接，打磨处理，表面经耐酸碱EPOXY粉末烤漆处理（烤漆膜厚度平均值≥70μm），表面硬度附着力、耐腐蚀性符合国家GB/T3668-200X标准；整体结构设计合理。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4.拉手：人体工学设计，造型独特美观；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5.防撞胶垫：装于抽屉及门板内侧，减缓碰撞，保护柜体；</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6.门板及抽面：采用双层钢板，必须两层组装是设计，保证两层双面都喷涂处理，中间采用隔音材料，保证关门减少噪音；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7.连接件：采用ABS专用连接组装件；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8.合页：采用优质不锈钢模具一体成型，强度必须达到一个正常成年座在门上方合页不脱落；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9.滑轨：三节重型滚珠滑轨，承重性强，滑动性能良好，无噪音；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10.固定桌脚：采用柜体内置可调ABS调整脚，保证调整脚前后都可以调节高低。</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256"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展示柜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80768" behindDoc="0" locked="0" layoutInCell="1" allowOverlap="1">
                  <wp:simplePos x="0" y="0"/>
                  <wp:positionH relativeFrom="column">
                    <wp:posOffset>76835</wp:posOffset>
                  </wp:positionH>
                  <wp:positionV relativeFrom="paragraph">
                    <wp:posOffset>179705</wp:posOffset>
                  </wp:positionV>
                  <wp:extent cx="742315" cy="452755"/>
                  <wp:effectExtent l="19050" t="0" r="635" b="0"/>
                  <wp:wrapNone/>
                  <wp:docPr id="978" name="图片_25"/>
                  <wp:cNvGraphicFramePr/>
                  <a:graphic xmlns:a="http://schemas.openxmlformats.org/drawingml/2006/main">
                    <a:graphicData uri="http://schemas.openxmlformats.org/drawingml/2006/picture">
                      <pic:pic xmlns:pic="http://schemas.openxmlformats.org/drawingml/2006/picture">
                        <pic:nvPicPr>
                          <pic:cNvPr id="978" name="图片_25"/>
                          <pic:cNvPicPr>
                            <a:picLocks noChangeArrowheads="1"/>
                          </pic:cNvPicPr>
                        </pic:nvPicPr>
                        <pic:blipFill>
                          <a:blip r:embed="rId45"/>
                          <a:srcRect/>
                          <a:stretch>
                            <a:fillRect/>
                          </a:stretch>
                        </pic:blipFill>
                        <pic:spPr>
                          <a:xfrm>
                            <a:off x="0" y="0"/>
                            <a:ext cx="742315" cy="45275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1.尺寸：1800*320*2000mm±10mm；2.材质：进口或者是国产知名松原木；3.工艺：环保水性漆、缓冲门铰、三节静音轨；4、结构：三抽屉六门四道档板，具体如图片所示</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1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工具墙</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1、五金工具洞洞板,方孔.采用优质1.7mm厚冷轧钢板，表面采用高温粉体烤漆，耐腐蚀，不易生锈。挂钩样式及数量可以选择调整。安装方式墙上打孔后，用螺丝固定。（每套含配套实用挂钩30个）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2、500*1500mm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6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3D打印台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81792" behindDoc="0" locked="0" layoutInCell="1" allowOverlap="1">
                  <wp:simplePos x="0" y="0"/>
                  <wp:positionH relativeFrom="column">
                    <wp:posOffset>69215</wp:posOffset>
                  </wp:positionH>
                  <wp:positionV relativeFrom="paragraph">
                    <wp:posOffset>167640</wp:posOffset>
                  </wp:positionV>
                  <wp:extent cx="652780" cy="592455"/>
                  <wp:effectExtent l="19050" t="0" r="0" b="0"/>
                  <wp:wrapNone/>
                  <wp:docPr id="977" name="图片_26"/>
                  <wp:cNvGraphicFramePr/>
                  <a:graphic xmlns:a="http://schemas.openxmlformats.org/drawingml/2006/main">
                    <a:graphicData uri="http://schemas.openxmlformats.org/drawingml/2006/picture">
                      <pic:pic xmlns:pic="http://schemas.openxmlformats.org/drawingml/2006/picture">
                        <pic:nvPicPr>
                          <pic:cNvPr id="977" name="图片_26"/>
                          <pic:cNvPicPr>
                            <a:picLocks noChangeArrowheads="1"/>
                          </pic:cNvPicPr>
                        </pic:nvPicPr>
                        <pic:blipFill>
                          <a:blip r:embed="rId46"/>
                          <a:srcRect/>
                          <a:stretch>
                            <a:fillRect/>
                          </a:stretch>
                        </pic:blipFill>
                        <pic:spPr>
                          <a:xfrm>
                            <a:off x="0" y="0"/>
                            <a:ext cx="652780" cy="59245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钢木桌.尺寸：1600*700*750mm，桌面厚度≥50mm,桌面材质：进口或者是国产知名松木原木，桌面长条拼缝非指接表面非贴皮，环保油漆，原木颜色，桌脚材质：冷轧方钢50*50mm，厚度不少于1mm,桌脚表面涂装：所有金属部件经过流水线抛丸工艺除锈和高温除油处理，采用静电喷塑高温固化，使涂层与金属表面的附着力更强，耐腐蚀，不易脱落。涂层需光滑均匀，色泽一致，需无流挂、疙瘩、皱皮、飞漆。涂层需平整光滑、清晰，需无明显粒子、涨边现象；应无明显加工痕迹、划痕、雾光、白棱、白点、鼓泡、油白、流挂、缩孔、刷毛、积粉和杂渣。</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6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打印后处理台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82816" behindDoc="0" locked="0" layoutInCell="1" allowOverlap="1">
                  <wp:simplePos x="0" y="0"/>
                  <wp:positionH relativeFrom="column">
                    <wp:posOffset>61595</wp:posOffset>
                  </wp:positionH>
                  <wp:positionV relativeFrom="paragraph">
                    <wp:posOffset>162560</wp:posOffset>
                  </wp:positionV>
                  <wp:extent cx="634365" cy="579120"/>
                  <wp:effectExtent l="19050" t="0" r="0" b="0"/>
                  <wp:wrapNone/>
                  <wp:docPr id="976" name="图片_27"/>
                  <wp:cNvGraphicFramePr/>
                  <a:graphic xmlns:a="http://schemas.openxmlformats.org/drawingml/2006/main">
                    <a:graphicData uri="http://schemas.openxmlformats.org/drawingml/2006/picture">
                      <pic:pic xmlns:pic="http://schemas.openxmlformats.org/drawingml/2006/picture">
                        <pic:nvPicPr>
                          <pic:cNvPr id="976" name="图片_27"/>
                          <pic:cNvPicPr>
                            <a:picLocks noChangeArrowheads="1"/>
                          </pic:cNvPicPr>
                        </pic:nvPicPr>
                        <pic:blipFill>
                          <a:blip r:embed="rId47"/>
                          <a:srcRect/>
                          <a:stretch>
                            <a:fillRect/>
                          </a:stretch>
                        </pic:blipFill>
                        <pic:spPr>
                          <a:xfrm>
                            <a:off x="0" y="0"/>
                            <a:ext cx="634365" cy="57912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钢木桌.尺寸：1400*600*750mm，桌面厚度≥50mm,桌面材质：进口或者是国产知名松木原木，桌面长条拼缝非指接表面非贴皮，环保油漆，原木颜色，桌脚材质：冷轧方钢50*50mm，厚度不少于1mm,桌脚表面涂装：所有金属部件经过流水线抛丸工艺除锈和高温除油处理，采用静电喷塑高温固化，使涂层与金属表面的附着力更强，耐腐蚀，不易脱落。涂层需光滑均匀，色泽一致，需无流挂、疙瘩、皱皮、飞漆。涂层需平整光滑、清晰，需无明显粒子、涨边现象；应无明显加工痕迹、划痕、雾光、白棱、白点、鼓泡、油白、流挂、缩孔、刷毛、积粉和杂渣。</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838"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展示隔板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基材：采用优质E1板材，采用2mm厚封边条</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23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储存矮柜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ascii="宋体" w:hAnsi="宋体" w:cs="宋体"/>
                <w:color w:val="000000" w:themeColor="text1"/>
                <w:sz w:val="24"/>
              </w:rPr>
              <w:drawing>
                <wp:inline distT="0" distB="0" distL="0" distR="0">
                  <wp:extent cx="1113155" cy="620395"/>
                  <wp:effectExtent l="19050" t="0" r="0" b="0"/>
                  <wp:docPr id="2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pic:cNvPicPr>
                            <a:picLocks noChangeAspect="1" noChangeArrowheads="1"/>
                          </pic:cNvPicPr>
                        </pic:nvPicPr>
                        <pic:blipFill>
                          <a:blip r:embed="rId48"/>
                          <a:srcRect/>
                          <a:stretch>
                            <a:fillRect/>
                          </a:stretch>
                        </pic:blipFill>
                        <pic:spPr>
                          <a:xfrm>
                            <a:off x="0" y="0"/>
                            <a:ext cx="1113155" cy="620395"/>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全钢结构。</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尺寸(mm)：高900、宽1180、深390；</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中间6抽屉，两边门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1.框架：采用≥1.2mm厚镀锌钢板裁剪折弯后满焊点焊接，表面经EPOXY喷涂处理，连接件采用不锈钢连接件。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2.柜体：侧板、背板采用采用≥1.2mm厚镀锌钢板裁剪折弯后满焊点焊接，表面经EPOXY喷涂处理，连接件采用不锈钢连接件。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3.柜门：采用≥1.2mm厚镀锌钢板裁剪折弯后满焊点焊接，表面经EPOXY喷涂处理，对开门式设计。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4.拉手：人体工学设计，造型独特美观；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5.铰链：采用定位铰链或2mm不锈钢合页。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6.调整脚：采用ABS新料模具一体成型的承重型可调节地脚，螺丝SUS304不锈钢材质。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高密无线AP</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详细参数规格见附件6</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9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窗帘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双道窗帘，里道为优质加厚棉麻布料制作的全遮光帘（包括窗轨），外道为高级无纺布彩色喷绘定制，在窗帘上印制相关知识内容，集教学、观赏为一体的卷帘；含窗帘图文设计与安装，不含窗帘盒。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室</w:t>
            </w:r>
          </w:p>
        </w:tc>
      </w:tr>
      <w:tr>
        <w:tblPrEx>
          <w:tblCellMar>
            <w:top w:w="0" w:type="dxa"/>
            <w:left w:w="108" w:type="dxa"/>
            <w:bottom w:w="0" w:type="dxa"/>
            <w:right w:w="108" w:type="dxa"/>
          </w:tblCellMar>
        </w:tblPrEx>
        <w:trPr>
          <w:trHeight w:val="14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空调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★1、3匹不少于3级能效冷暖立柜式空调。★整机10年厂家免费上门质保,具体参数规格详细见附件7.</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2、注：如果没有空调的冷凝水PVC排水管到地面，则需要安装空调冷凝水水管50PVCU到地面排水沟里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八、机器人创客实验室清单</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技术参数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14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移动讲台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83840" behindDoc="0" locked="0" layoutInCell="1" allowOverlap="1">
                  <wp:simplePos x="0" y="0"/>
                  <wp:positionH relativeFrom="column">
                    <wp:posOffset>104775</wp:posOffset>
                  </wp:positionH>
                  <wp:positionV relativeFrom="paragraph">
                    <wp:posOffset>381635</wp:posOffset>
                  </wp:positionV>
                  <wp:extent cx="722630" cy="665480"/>
                  <wp:effectExtent l="19050" t="0" r="1270" b="0"/>
                  <wp:wrapNone/>
                  <wp:docPr id="975" name="ID_711F099430C6487EBCEB72566F6F0747_SpCnt_1"/>
                  <wp:cNvGraphicFramePr/>
                  <a:graphic xmlns:a="http://schemas.openxmlformats.org/drawingml/2006/main">
                    <a:graphicData uri="http://schemas.openxmlformats.org/drawingml/2006/picture">
                      <pic:pic xmlns:pic="http://schemas.openxmlformats.org/drawingml/2006/picture">
                        <pic:nvPicPr>
                          <pic:cNvPr id="975" name="ID_711F099430C6487EBCEB72566F6F0747_SpCnt_1"/>
                          <pic:cNvPicPr>
                            <a:picLocks noChangeArrowheads="1"/>
                          </pic:cNvPicPr>
                        </pic:nvPicPr>
                        <pic:blipFill>
                          <a:blip r:embed="rId15"/>
                          <a:srcRect/>
                          <a:stretch>
                            <a:fillRect/>
                          </a:stretch>
                        </pic:blipFill>
                        <pic:spPr>
                          <a:xfrm>
                            <a:off x="0" y="0"/>
                            <a:ext cx="722630" cy="66548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1、钢木结构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1.1台面：采用12.7mm厚双面膜耐腐蚀实芯理化板制作，四角倒R15圆角。耐酸、耐碱、耐高温，坚固耐用，防潮、无细孔、不膨胀、不龟裂、不变形、不导电、便于维护及具有良好的承重性能；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钢木结构：主框架采用40*40矩形管焊接而成，表面经酸洗磷化、纯环氧树脂塑粉高温固化处理，平整光滑，不允许有喷涂层脱落、鼓泡、凹陷、压痕以及表面划伤、麻点、裂痕、崩角和刃口等，切割、钻孔和倒角应去毛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柜身：柜身为悬柜，基材为16mm厚E1级实验室专用三聚氰胺板制作，柜身可任意移出，便捷、灵活性强。可见截面均经过PVC封边；贴面和封边部件应严密、平整，不允许脱胶、鼓泡、凹陷、压痕以及表面划伤、麻点、裂痕、崩角和刃口，外表的圆角、倒棱应均匀一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1.4：正前方设置可移动置物架，放置教案和教具；</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1.5桌脚：采用静音医用万向轮。</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2、整体尺寸：1200*600*900mm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15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组装台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1、主体采用优质铝合金框架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2、台面：采用12.7mm厚实验室专用理化板，四角倒R15圆角。耐酸、耐碱、耐高温，坚固耐用，防潮、无细孔、不膨胀、不龟裂、不变形、不导电、便于维护及具有良好的承重性能；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3、框架采用100*45水滴型异性铝合金型材，连接件采用专用铸铝铝合金，采用标准件紧固连接。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4、桌脚采用优质ABS注塑成型。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3、尺寸1200*1200*800mm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21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学生椅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84864" behindDoc="0" locked="0" layoutInCell="1" allowOverlap="1">
                  <wp:simplePos x="0" y="0"/>
                  <wp:positionH relativeFrom="column">
                    <wp:posOffset>174625</wp:posOffset>
                  </wp:positionH>
                  <wp:positionV relativeFrom="paragraph">
                    <wp:posOffset>587375</wp:posOffset>
                  </wp:positionV>
                  <wp:extent cx="550545" cy="729615"/>
                  <wp:effectExtent l="0" t="0" r="0" b="0"/>
                  <wp:wrapNone/>
                  <wp:docPr id="974" name="ID_4D515D24F9144FC0819A12F543C51D40_SpCnt_1"/>
                  <wp:cNvGraphicFramePr/>
                  <a:graphic xmlns:a="http://schemas.openxmlformats.org/drawingml/2006/main">
                    <a:graphicData uri="http://schemas.openxmlformats.org/drawingml/2006/picture">
                      <pic:pic xmlns:pic="http://schemas.openxmlformats.org/drawingml/2006/picture">
                        <pic:nvPicPr>
                          <pic:cNvPr id="974" name="ID_4D515D24F9144FC0819A12F543C51D40_SpCnt_1"/>
                          <pic:cNvPicPr>
                            <a:picLocks noChangeArrowheads="1"/>
                          </pic:cNvPicPr>
                        </pic:nvPicPr>
                        <pic:blipFill>
                          <a:blip r:embed="rId18"/>
                          <a:srcRect/>
                          <a:stretch>
                            <a:fillRect/>
                          </a:stretch>
                        </pic:blipFill>
                        <pic:spPr>
                          <a:xfrm>
                            <a:off x="0" y="0"/>
                            <a:ext cx="550545" cy="72961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1、凳脚材质：4个凳脚采用17×34×1.7mm 无缝钢管模具一次成型。全圆满焊接完成，结构牢固，经高温粉体烤漆处理，长时间使用也不会产生表面烤漆剥落现象 螺旋升降式，升降距离为50mm，最高离地距离为500mm。Ф凳面直径315×高450-500mm。</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2、聚丙烯凳面材质：采用聚丙烯共聚级注塑。表面细纹咬花，防滑不发光，凳面底部镶嵌4枚铜质螺纹，采用不锈钢螺丝与圆型托盘固定。</w:t>
            </w:r>
          </w:p>
          <w:p>
            <w:pPr>
              <w:rPr>
                <w:rFonts w:ascii="宋体" w:hAnsi="宋体" w:cs="宋体"/>
                <w:color w:val="000000" w:themeColor="text1"/>
                <w:sz w:val="24"/>
              </w:rPr>
            </w:pPr>
            <w:r>
              <w:rPr>
                <w:rFonts w:hint="eastAsia" w:ascii="宋体" w:hAnsi="宋体" w:cs="宋体"/>
                <w:color w:val="000000" w:themeColor="text1"/>
                <w:kern w:val="0"/>
                <w:sz w:val="24"/>
              </w:rPr>
              <w:t>3、脚垫材质：采用PP加耐磨纤维增强塑料，实心倒勾式一体射出成型 凳面与凳脚留有一定的空间便于凳子挂在挂凳扣上。方便教室的打扫。</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★4、技术要求满足：GB/T 3325-2017 金属家具通用技术条件：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4.1椅凳类稳定性：凳子任意方向倾翻；倾翻力≥20N，应无倾翻；检测结果：无倾翻；</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4.2椅凳类强度和耐久性：座面和椅背载荷试验：单人位：座面加载力：1300N，椅背加载力：450N，加载次数：10次，加载时间：≥10S；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椅腿前向静载试验：加载力：500N，加载次数：10次，加载时间：≥10S，座面平衡载荷：1000N；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座面冲击试验：冲击高度：180mm；冲击次数：10次；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椅背冲击试验：冲击高度：210mm；冲击角度：38°；冲击次数：10次；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椅凳类强度和耐久性：跌落试验：跌落高度：200mm；跌落次数：10次；腿或基座大于200mm非叠放椅；</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提供由生产厂家送检满足以上技术要求具有CMA、CAL、ilac-MRA、CNAS认证的由省级或省级以上检测机构出具的实验凳检测报告复印件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20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编程边台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1.钢木结构；6000*600*800mm。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台面：采用12.7mm厚实验室专用理化板,周边加厚至25.4mm,倒圆角处理. ,防强酸强碱，耐磨耐高温；不含任何有毒物质，无辐射，受热不产生有毒气体和物质；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柜身：柜身为悬柜，基材为16mm厚E1级实验室专用三聚氰胺板制作。可见截面均经过PVC封边；贴面和封边部件应严密、平整，不允许脱胶、鼓泡、凹陷、压痕以及表面划伤、麻点、裂痕、崩角和刃口，外表的圆角、倒棱应均匀一致；整体采用组合式柜体，含座人空位；</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钢架部分：主框架采用40*60*1.5mm优质方管，焊接成型，表面经酸洗磷化、纯环氧树脂塑粉高温固化处理，平整光滑，不允许有喷涂层脱落、鼓泡、凹陷、压痕以及表面划伤、麻点、裂痕、崩角和刃口等，切割、钻孔和倒角应去毛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导轨及铰链：优质三节静音导轨及大弯铰链，抽拉及开合次数达到500万次以上；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拉手：铝合金条形暗拉手；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可调脚：采用ABS专用注塑可调脚，金属螺杆，高度可调节，防滑减震；</w:t>
            </w:r>
          </w:p>
          <w:p>
            <w:pPr>
              <w:widowControl/>
              <w:jc w:val="left"/>
              <w:textAlignment w:val="center"/>
              <w:rPr>
                <w:rFonts w:ascii="宋体" w:hAnsi="宋体" w:cs="宋体"/>
                <w:color w:val="000000" w:themeColor="text1"/>
                <w:sz w:val="24"/>
              </w:rPr>
            </w:pPr>
            <w:r>
              <w:rPr>
                <w:rFonts w:hint="eastAsia" w:ascii="宋体" w:hAnsi="宋体" w:cs="宋体"/>
                <w:color w:val="000000" w:themeColor="text1"/>
                <w:sz w:val="24"/>
              </w:rPr>
              <w:t>8.符合人体工学，放置5台电脑主机、键盘及5人</w:t>
            </w:r>
            <w:r>
              <w:rPr>
                <w:rFonts w:hint="eastAsia" w:ascii="宋体" w:hAnsi="宋体" w:cs="宋体"/>
                <w:color w:val="000000" w:themeColor="text1"/>
                <w:kern w:val="0"/>
                <w:sz w:val="24"/>
              </w:rPr>
              <w:t>编程办公需要</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838"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实验台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1、基本配置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1.1整体钢木结构，耐腐蚀实心理化板台面。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1.2安装静音支脚。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1.3U型铝合金拉手。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1.4柜体板材采用18mm E1级三聚氰胺饰面刨花板、PVC防水处理封边条。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1.5优质三节静音滑轨、铰链、三合一连接件。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1.6应用口字型钢架，钢架尺寸不小于38.5*58.5*1.2mm，外部环氧树脂喷塑。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1.7岛式插座不少于8个。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1.8 规格尺寸：5600*600*800mm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2、技术参数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 台面材质：采用12.7mm厚实芯理化板台面，四周边缘加厚至25mm。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2.2 柜体：钢木结构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 操作台、储物柜主要尺寸(功能尺寸）（mm）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2.3.1 台面宽度600〜1800(尺寸级差300)，应合格。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2.3.2 净操作面深度（d2）：600〜900(尺寸级差50)，应合格。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2.4 台面、正视面板翘曲度：对角线长度≥1400mm，应≤3.0mm。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2.5 操作台面不应有裂缝、渗透现象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2.6 金属件皱纹或波纹：圆管和扁线管弯曲处的皱纹高低之差应不大于0.4mm,弯曲处弧形应圆滑一致。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2.7 金属件电镀层表面应无烧焦、起泡、针孔、裂 纹、花斑（不包括镀彩锌）和划痕。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2.8 家具中有害物质限量应符合GB 18584的规定：甲醛释放量≤1.5mg/L</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 安全性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2.9.1 活动部件间距离应≤5mm或≥25 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2.9.2 与人体接触的零部件不应有毛刺、刃口、尖锐的棱角和端头.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2.9.3 所有可拉伸的部件，应装配有效的限位装置，当其包括装载物在内质量超过10 kg时，在拉手处施加200N力，该部件不应被拉脱；或者在其前端面贴一警示标签,说明该部件易被拉脱。</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★2.10操作台台面理化性能（须提供实验台第三方检测报告证明，非台面检测报告）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2.10.1磨损值≤70/mg/100r，表面素色磨350r，应无露底现象。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2.10.2耐划痕：1.5N,划一周，应无整圈连续划痕。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2.10.3抗老化：调制(23±2)'C, (50±5)%, 48h：老化 (45±5)C, 65%-90%, 72h.应无开裂。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2.10.4耐龟裂性：(20±2)*C, (24±l)h，应不低于1级。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2.10.5耐冷热循环：(80±2),C, (120±10) min. (-20±3),0, (120±10) mins四周期。应无裂纹、鼓泡、起皱和无明显变色。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2.10.6耐水蒸气：水蒸气，(60±5)mln°应无凸起、龟裂和明显变色。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2.10.7耐干热：(180±l),C, 20min，应不低于2级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2.10.8化学实验台面抗化学试剂：少许试液，24 ho光泽和颜色允许有轻微变化。</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2.10.9物理、化学实验台面耐高温：(120±3)*C, 2h，应无裂纹。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2.11操作台柜体及储物柜表面理化性能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2.11.1金属喷漆（塑）涂层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（1）硬度≥2H；</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（2）冲击强度：3.92J,应无剥落、裂纹、皱纹。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（3）耐腐蚀：24h乙酸盐雾试验(ASS),不低于7级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★2.11.2 木制件及人造板饰面（须提供实验台第三方检测报告证明）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（1）耐液：10%碳酸钠溶液和30%乙酸溶液，24h。无明显的变色、鼓泡、皱纹等。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（2）耐湿热：70°C,20min。不低于2级。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（3）耐干热：80°C,20min。不低于2级。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（4）耐冷热温差：温度(40±2)°C,相对湿度98%~99%, 和(-20±2)C,3周期。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无鼓泡、裂缝和明显失光。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（5）抗冲击：木制表面(漆膜)冲击器，200mm。应不低于2级。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（6）浸渍剥离性：II类浸渍剥离，胶层或贴面、封边条与基材间无剥离、分层现象。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 操作台力学性能（须提供实验台第三方检测报告证明）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2.12.1 水平静载荷试验：加载600N,10次。结果应符合GB/T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2.12.2 垂直静载荷试验：主桌面：加载2000N,10次。结果应符合GB/T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2.12.3 持续垂直静载荷：1.25kg/dm2,24 h。结果应符合GB/T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2.12.4 独立操作台水平冲击稳定性试验：质量：50kg,跌落高度：40mm。结果不应侧翻，并符合GB/T 10357.1第8 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2.12.5 水平耐久性试验：加载力：150N；循环次数：15000次。结果应符合GB/T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2.12.6 垂直耐久性试验：加载力：300N；循环次数：5000次。结果应符合GB/T 10357.1第8章的规定。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2.12.7 垂直冲击试验：跌落高度：150mm,10次。结果应符合GB/T 10357.1第8章的规定。</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编程椅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背靠网布中背设计，五星尼龙脚，优质气压棒升降。</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把</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置物架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尺寸：1500*500*900mm金属框架结构，基材采用原木橡木板，坚固安全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3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作品展示柜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尺寸：6270*500*2000mm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1.基材：采用优质实木板材，桌体台面采用原木橡木板、柜体侧板（除与地面接触边）、柜体顶板、门板、抽面板等采用E1级硬木多层板。板件之间采用三合一连接和木梢的方式连接固定。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2.多层板封边：采用封边条厚度2.5MM的优质同色PVC封边条，无起花，异色边缘修饰平整、光滑。</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2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展示书柜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1.尺寸：1800*320*2000mm±10mm；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★2.材质：进口或者是国产知名松原木；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★3.工艺：环保水性漆、缓冲门铰、三节静音轨；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4、结构：三抽屉六门四道档板。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仿宋" w:hAnsi="仿宋" w:eastAsia="仿宋" w:cs="仿宋"/>
                <w:color w:val="000000" w:themeColor="text1"/>
                <w:sz w:val="24"/>
              </w:rPr>
              <w:t>86吋智能交互平板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配置参数详细见附件3</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3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壁挂式实物展台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w:t>
            </w:r>
            <w:r>
              <w:rPr>
                <w:rFonts w:hint="eastAsia" w:ascii="仿宋" w:hAnsi="仿宋" w:eastAsia="仿宋" w:cs="仿宋"/>
                <w:color w:val="000000" w:themeColor="text1"/>
                <w:sz w:val="24"/>
              </w:rPr>
              <w:t>86吋智能交互平板</w:t>
            </w:r>
            <w:r>
              <w:rPr>
                <w:rFonts w:hint="eastAsia" w:ascii="宋体" w:hAnsi="宋体" w:cs="宋体"/>
                <w:color w:val="000000" w:themeColor="text1"/>
                <w:kern w:val="0"/>
                <w:sz w:val="24"/>
              </w:rPr>
              <w:t>同一品牌一、硬件参数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 采用≥800万像素摄像头；采用 USB五伏电源直接供电，无需额外配置电源适配器，环保无辐射；箱内USB连线采用隐藏式设计，箱内无可见连线且USB口下出，有效防止积尘，且方便布线和返修。（提供国家级检验中心所出具的权威检测报告）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A4大小拍摄幅面，1080P动态视频预览达到30帧/秒；托板及挂墙部分采用金属加强，托板可承重3kg，整机壁挂式安装。（提供国家级检验中心所出具的权威检测报告）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支持展台成像画面实时批注，预设多种笔划粗细及颜色供选择，且支持对展台成像画面联同批注内容进行同步缩放、移动。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整机采用圆弧式设计，无锐角；同时托板采用磁吸吸附式机构，防止托板打落，方便打开及固定，避免机械式锁具故障率高的问题。（提供国家级检验中心所出具的权威检测报告）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展示托板正上方具备LED补光灯，保证展示区域的亮度及展示效果，补光灯开关采用触摸按键设计，同时可通过</w:t>
            </w:r>
            <w:r>
              <w:rPr>
                <w:rFonts w:hint="eastAsia" w:ascii="仿宋" w:hAnsi="仿宋" w:eastAsia="仿宋" w:cs="仿宋"/>
                <w:color w:val="000000" w:themeColor="text1"/>
                <w:sz w:val="24"/>
              </w:rPr>
              <w:t>86吋智能交互平板</w:t>
            </w:r>
            <w:r>
              <w:rPr>
                <w:rFonts w:hint="eastAsia" w:ascii="宋体" w:hAnsi="宋体" w:cs="宋体"/>
                <w:color w:val="000000" w:themeColor="text1"/>
                <w:kern w:val="0"/>
                <w:sz w:val="24"/>
              </w:rPr>
              <w:t>中的软件直接控制开关。（提供国家级检验中心所出具的权威检测报告）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带自动对焦摄像头；外壳在摄像头部分带保护镜片密封，防止灰尘沾染摄像头，防护等级达到IP4X级别。（提供国家级检验中心所出具的权威检测报告）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具有故障自动检测功能：在调用展台却无法出现镜头采集画面信号时，可自动出现检测链接，并给出导致性原因。（提供国家级检验中心所出具的权威检测报告）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为保证兼容性及稳定性，视频展台需与</w:t>
            </w:r>
            <w:r>
              <w:rPr>
                <w:rFonts w:hint="eastAsia" w:ascii="仿宋" w:hAnsi="仿宋" w:eastAsia="仿宋" w:cs="仿宋"/>
                <w:color w:val="000000" w:themeColor="text1"/>
                <w:sz w:val="24"/>
              </w:rPr>
              <w:t>86吋智能交互平板</w:t>
            </w:r>
            <w:r>
              <w:rPr>
                <w:rFonts w:hint="eastAsia" w:ascii="宋体" w:hAnsi="宋体" w:cs="宋体"/>
                <w:color w:val="000000" w:themeColor="text1"/>
                <w:kern w:val="0"/>
                <w:sz w:val="24"/>
              </w:rPr>
              <w:t>为同一品牌厂家，提供国家认证认可监督管理委员会认可的证书（例如CCC证书、自声明证书）复印件证明。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二、软件参数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支持对展台画面进行放大、缩小、旋转、自适应、冻结画面等操作。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 支持展台画面实时批注，预设多种笔划粗细及颜色供选择，且支持对展台画面联同批注内容进行同步缩放、移动。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 支持展台画面拍照截图并进行多图预览，可对任一图片进行全屏显示。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 老师可在一体机或电脑上选择延时拍照功能，支持5秒或10秒延时模式，预留充足时间以便调整拍摄内容。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 具备图像增强功能，可自动裁剪背景并增强文字显示，使文档画面更清晰。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 可选择图像、文本或动态等多种情景模式，适应不同展示内容。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 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16. 支持二维码扫码功能：打开扫一扫功能后，将书本上的二维码放入扫描框内即可自动扫描，并进入系统浏览器获取二维码的链接内容，帮助老师快速获取电子教学资源。</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r>
      <w:tr>
        <w:tblPrEx>
          <w:tblCellMar>
            <w:top w:w="0" w:type="dxa"/>
            <w:left w:w="108" w:type="dxa"/>
            <w:bottom w:w="0" w:type="dxa"/>
            <w:right w:w="108" w:type="dxa"/>
          </w:tblCellMar>
        </w:tblPrEx>
        <w:trPr>
          <w:trHeight w:val="15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智能笔</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w:t>
            </w:r>
            <w:r>
              <w:rPr>
                <w:rFonts w:hint="eastAsia" w:ascii="仿宋" w:hAnsi="仿宋" w:eastAsia="仿宋" w:cs="仿宋"/>
                <w:color w:val="000000" w:themeColor="text1"/>
                <w:sz w:val="24"/>
              </w:rPr>
              <w:t>86吋智能交互平板</w:t>
            </w:r>
            <w:r>
              <w:rPr>
                <w:rFonts w:hint="eastAsia" w:ascii="宋体" w:hAnsi="宋体" w:cs="宋体"/>
                <w:color w:val="000000" w:themeColor="text1"/>
                <w:kern w:val="0"/>
                <w:sz w:val="24"/>
              </w:rPr>
              <w:t>同一品牌，1. 支持电容触摸设备书写、无线控制发射器一体化设计。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笔身配置不少于四个物理按键，具备翻页、模拟激光笔、智能语音控制功能，兼顾触摸书写以及远程操控的握持姿态。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兼容白板软件、PPT、PDF等多种演示软件课件的远程翻页控制。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内置高精度陀螺仪，具备模拟激光笔功能，可通过笔身按钮激活陀螺仪模拟激光功能，适用于加载防眩光设计的教学显示设备。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支持笔身翻转矫正，笔身轻微倾斜时，水平移动智能笔，可瞬时矫正识别光标动作为水平移动。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支持按键唤醒语音识别功能，避免杂音造成误唤醒。</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支持唤醒语音识别时，可直接通过语音打开PC内已安装的应用，可直接通过语音调用网络搜索引擎搜索查询相应资料，可进行语音转写输入，支持语音控制屏幕黑屏、亮屏，音量大小调整，返回桌面，截屏，关机等操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支持白板软件内，通过语音控制：切换备授课模式，切换书写、擦除、选择模式，最小化返回桌面，打开板中板，清空书写批注等操作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采用无线连接方式，远程控制最远距离：语音识别：5m；模拟激光：10m；上翻页、下翻页：25米</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推拉式绿板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配置参数详细见附件4</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蓝牙音箱无线咪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配置参数详细见附件5</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高密无线AP</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详细参数规格见附件6，包含布线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窗帘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双道窗帘，里道为优质加厚棉麻布料制作的全遮光帘（包括窗轨），外道为高级无纺布彩色喷绘定制，在窗帘上印制相关知识内容，集教学、观赏为一体的卷帘；含窗帘图文设计与安装，不含窗帘盒。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室</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九、精品录播专用教室清单</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技术参数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416"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教师演示台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1.全木结构，尺寸2400*700*900mm。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2.面板：采用12.7mm厚双面膜耐腐蚀实芯理化板制作，四角倒R15圆角。耐酸、耐碱、耐高温，坚固耐用，防潮、无细孔、不膨胀、不龟裂、不变形、不导电、便于维护及具有良好的承重性能；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3.柜身：采用E1级环保型三聚氰胺板制作，可见截面均经过PVC封边；整体结构设计合理，预留电脑主机、键盘托、实物展台、教师电源位置。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4.滑轨：采用优质品牌三节静音滑轨；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5.铰链：采用知名品牌大弯铰链，开合十万次以上；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6.连接件：ABS专用连接组装件；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7.桌脚：采用ABS注塑专用桌垫固定；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8.防撞胶垫：采用橡胶材质，装于抽屉及门板内侧，减缓碰撞，保护柜体；</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9.其他：台面装置教师电源主控台，预留多媒体设备（电脑；实物展台、DVD）等设备位置。</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2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移动讲台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1、钢木结构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1.1台面：采用12.7mm厚双面膜耐腐蚀实芯理化板制作，四角倒R15圆角。耐酸、耐碱、耐高温，坚固耐用，防潮、无细孔、不膨胀、不龟裂、不变形、不导电、便于维护及具有良好的承重性能；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钢木结构：主框架采用40*40矩形管焊接而成，表面经酸洗磷化、纯环氧树脂塑粉高温固化处理，平整光滑，不允许有喷涂层脱落、鼓泡、凹陷、压痕以及表面划伤、麻点、裂痕、崩角和刃口等，切割、钻孔和倒角应去毛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柜身：柜身为悬柜，基材为16mm厚E1级实验室专用三聚氰胺板制作，柜身可任意移出，便捷、灵活性强。可见截面均经过PVC封边；贴面和封边部件应严密、平整，不允许脱胶、鼓泡、凹陷、压痕以及表面划伤、麻点、裂痕、崩角和刃口，外表的圆角、倒棱应均匀一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1.4：正前方设置可移动置物架，放置教案和教具；</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1.5桌脚：采用静音医用万向轮。</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2、整体尺寸：1200*600*900mm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10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学生课桌椅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配置参数详细见附件1.2</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48</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储存矮柜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全钢结构，1500*500*900mm。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1.框架：采用≥1.2mm厚镀锌钢板裁剪折弯后满焊点焊接，表面经EPOXY喷涂处理，连接件采用不锈钢连接件。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2.柜体：侧板、背板采用采用≥1.2mm厚镀锌钢板裁剪折弯后满焊点焊接，表面经EPOXY喷涂处理，连接件采用不锈钢连接件。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3.柜门：采用≥1.2mm厚镀锌钢板裁剪折弯后满焊点焊接，表面经EPOXY喷涂处理，对开门式设计。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4.拉手：采用SUS304不锈钢C型拉手。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5.铰链：采用定位铰链或2mm不锈钢合页。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6.调整脚：采用ABS新料模具一体成型的承重型可调节地脚，螺丝SUS304不锈钢材质。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8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控制台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尺寸：1500*600*750mm。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1.台面：采用实验室专用12mm厚抗倍特板台面精制而成；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2.结构：采用钢木结构,一边抽屉+电脑柜另一边为标准19寸机架可安装19寸标准设备。</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965"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操作椅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85888" behindDoc="0" locked="0" layoutInCell="1" allowOverlap="1">
                  <wp:simplePos x="0" y="0"/>
                  <wp:positionH relativeFrom="column">
                    <wp:posOffset>179070</wp:posOffset>
                  </wp:positionH>
                  <wp:positionV relativeFrom="paragraph">
                    <wp:posOffset>-5080</wp:posOffset>
                  </wp:positionV>
                  <wp:extent cx="588010" cy="531495"/>
                  <wp:effectExtent l="19050" t="0" r="2540" b="0"/>
                  <wp:wrapNone/>
                  <wp:docPr id="973" name="图片_31"/>
                  <wp:cNvGraphicFramePr/>
                  <a:graphic xmlns:a="http://schemas.openxmlformats.org/drawingml/2006/main">
                    <a:graphicData uri="http://schemas.openxmlformats.org/drawingml/2006/picture">
                      <pic:pic xmlns:pic="http://schemas.openxmlformats.org/drawingml/2006/picture">
                        <pic:nvPicPr>
                          <pic:cNvPr id="973" name="图片_31"/>
                          <pic:cNvPicPr>
                            <a:picLocks noChangeArrowheads="1"/>
                          </pic:cNvPicPr>
                        </pic:nvPicPr>
                        <pic:blipFill>
                          <a:blip r:embed="rId49"/>
                          <a:srcRect/>
                          <a:stretch>
                            <a:fillRect/>
                          </a:stretch>
                        </pic:blipFill>
                        <pic:spPr>
                          <a:xfrm>
                            <a:off x="0" y="0"/>
                            <a:ext cx="588010" cy="53149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椅面采用工程塑料人体工学设计，耐用环保，椅脚采用圆钢脚，舒适稳固。</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16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听课椅（剧场椅）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color w:val="000000" w:themeColor="text1"/>
              </w:rPr>
              <w:object>
                <v:shape id="_x0000_i1025" o:spt="75" type="#_x0000_t75" style="height:118.2pt;width:80.15pt;" o:ole="t" filled="f" o:preferrelative="t" stroked="f" coordsize="21600,21600">
                  <v:path/>
                  <v:fill on="f" focussize="0,0"/>
                  <v:stroke on="f" joinstyle="miter"/>
                  <v:imagedata r:id="rId51" o:title=""/>
                  <o:lock v:ext="edit" aspectratio="t"/>
                  <w10:wrap type="none"/>
                  <w10:anchorlock/>
                </v:shape>
                <o:OLEObject Type="Embed" ProgID="PBrush" ShapeID="_x0000_i1025" DrawAspect="Content" ObjectID="_1468075725" r:id="rId50">
                  <o:LockedField>false</o:LockedField>
                </o:OLEObject>
              </w:objec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规格：椅高1000mm×座深(座垫放平，座垫前沿与背外沿投影尺寸)×740mm×中心距580mm</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座椅靠背板18mm、座底板15mm，采用甲醛释放量达到E1级的多层板（外履红榉木皮经热压一次成型），座底板面上带有吸音孔（穿孔率&gt;5.1%），以加强座椅的吸音功能。扶手、写字板选用进口或者是国产知名红榉实木,经脱水、脱脂及精加工处理，扶手宽80mm，配钢轴旋转式包边写字板，写字板厚度17mm，配置支架，所有木制件表面喷环保聚酯亚光漆，表面平滑细腻。</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2、座椅靠背海绵及座垫海绵采用高回弹聚氨酯高压冷发泡一次成型技术，靠背海绵密度≥45Kg/m3， 座垫海绵密度≥55Kg/m3，座框（冷板钢座结构），设计采用海绵、座框、5根"S"型弹簧三合一体，以保证椅座的牢固度和长久使用无故障、无异响，发泡海绵回弹性能≥50%，压缩永久变形≤6%，海绵表面加180g丝棉，拉伸强度不少于85Kpa。配置网兜(书网)及杯架（圆杯桶）。</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3、面料采用耐磨、防静电的高档优质B1级阻燃毛麻专用面料，（座椅扶手、面板、面料实际颜色由中标供应商与采购单位在合同签订时确定），要求色牢度：3-4级及以上，弹子顶破强力≥1130N，耐磨性：平磨≥50000次，环保：甲醛含量﹤20mg/kg。</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4、座椅的回复采用优质拉簧钢60SiCrMn经热处理与防锈电镀处理而制成进口或者国产知名的阻尼装置的自动回位系统，定位精确，人离开座垫后自动缓慢掀起，无冲击、无噪音。座垫回位速度可任意调节，噪音低至A声级（≤25dB）,故障率低，座面翻转耐久性达到5万次无损。回复速度可根据现场需要进行调节，并能随使用年限对回位机构进行维护，方法简单、可靠。</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5、座椅椅架、扶手站脚等金属件采用2mm净厚的优质冷轧钢板冲压卷制而成，所有金属件经除锈、磷化处理后静电喷塑，以确保永不生锈。承重机构（活动底脚 铝合金模具高温一次性压铸成型，高温静电喷涂或精磨抛光）、座软垫、背软垫等拆装容易，安装方便，具有互换性。</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6、座排号由特殊的反光材料制成，号码能在微弱的光线下清楚地显示出来。</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7、安装要求：供方要按需方认可图纸施工。</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8、椅座及靠背曲弧为人体工学曲面成型弧度，让使用者倍感舒适，结构牢固，座椅力学性能符合QB/和2602-2003《影剧院公共座椅》标准要求，人造板部件应满足GB18580-2001标准中的E1级标准要求。</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9、椅背面装有书网和圆杯桶。</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10、配置半包高端加厚高弹耐磨不易起褶皱的彩色印刷椅背套（材料颜色及印刷文字与图案由业主确定）</w:t>
            </w:r>
          </w:p>
          <w:p>
            <w:pPr>
              <w:widowControl/>
              <w:jc w:val="left"/>
              <w:textAlignment w:val="center"/>
              <w:rPr>
                <w:rFonts w:ascii="宋体" w:hAnsi="宋体" w:cs="宋体"/>
                <w:b/>
                <w:color w:val="000000" w:themeColor="text1"/>
                <w:sz w:val="24"/>
              </w:rPr>
            </w:pPr>
            <w:r>
              <w:rPr>
                <w:rFonts w:hint="eastAsia" w:ascii="宋体" w:hAnsi="宋体" w:cs="宋体"/>
                <w:b/>
                <w:color w:val="000000" w:themeColor="text1"/>
                <w:kern w:val="0"/>
                <w:sz w:val="24"/>
              </w:rPr>
              <w:t>注：本次采购，要求中标供应商在签合同前提供报告厅剧场椅样品一张，样品允许进行破坏性试验检测，样品不合格则拒签合同，直至提供的样品为合格为止，检测合格的样品封存在采购人处，作为以后验收依据之一。</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座</w:t>
            </w:r>
          </w:p>
        </w:tc>
      </w:tr>
      <w:tr>
        <w:tblPrEx>
          <w:tblCellMar>
            <w:top w:w="0" w:type="dxa"/>
            <w:left w:w="108" w:type="dxa"/>
            <w:bottom w:w="0" w:type="dxa"/>
            <w:right w:w="108" w:type="dxa"/>
          </w:tblCellMar>
        </w:tblPrEx>
        <w:trPr>
          <w:trHeight w:val="9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交流椅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r>
              <w:rPr>
                <w:rFonts w:ascii="宋体" w:hAnsi="宋体" w:cs="宋体"/>
                <w:color w:val="000000" w:themeColor="text1"/>
                <w:sz w:val="24"/>
              </w:rPr>
              <w:drawing>
                <wp:inline distT="0" distB="0" distL="0" distR="0">
                  <wp:extent cx="771525" cy="445135"/>
                  <wp:effectExtent l="19050" t="0" r="9525" b="0"/>
                  <wp:docPr id="2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
                          <pic:cNvPicPr>
                            <a:picLocks noChangeAspect="1" noChangeArrowheads="1"/>
                          </pic:cNvPicPr>
                        </pic:nvPicPr>
                        <pic:blipFill>
                          <a:blip r:embed="rId52"/>
                          <a:srcRect/>
                          <a:stretch>
                            <a:fillRect/>
                          </a:stretch>
                        </pic:blipFill>
                        <pic:spPr>
                          <a:xfrm>
                            <a:off x="0" y="0"/>
                            <a:ext cx="771525" cy="445135"/>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尺寸：430*480*765mm,材质：全水曲柳木；坐面板为全水曲柳木厚度不少于15mm，上覆超纤皮；榫卯结构，环保油漆，原木颜色</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把</w:t>
            </w:r>
          </w:p>
        </w:tc>
      </w:tr>
      <w:tr>
        <w:tblPrEx>
          <w:tblCellMar>
            <w:top w:w="0" w:type="dxa"/>
            <w:left w:w="108" w:type="dxa"/>
            <w:bottom w:w="0" w:type="dxa"/>
            <w:right w:w="108" w:type="dxa"/>
          </w:tblCellMar>
        </w:tblPrEx>
        <w:trPr>
          <w:trHeight w:val="10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交流桌</w:t>
            </w:r>
          </w:p>
        </w:tc>
        <w:tc>
          <w:tcPr>
            <w:tcW w:w="1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ascii="宋体" w:hAnsi="宋体" w:cs="宋体"/>
                <w:color w:val="000000" w:themeColor="text1"/>
                <w:sz w:val="24"/>
              </w:rPr>
              <w:drawing>
                <wp:inline distT="0" distB="0" distL="0" distR="0">
                  <wp:extent cx="1065530" cy="349885"/>
                  <wp:effectExtent l="19050" t="0" r="1270" b="0"/>
                  <wp:docPr id="2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0"/>
                          <pic:cNvPicPr>
                            <a:picLocks noChangeAspect="1" noChangeArrowheads="1"/>
                          </pic:cNvPicPr>
                        </pic:nvPicPr>
                        <pic:blipFill>
                          <a:blip r:embed="rId53"/>
                          <a:srcRect/>
                          <a:stretch>
                            <a:fillRect/>
                          </a:stretch>
                        </pic:blipFill>
                        <pic:spPr>
                          <a:xfrm>
                            <a:off x="0" y="0"/>
                            <a:ext cx="1065530" cy="349885"/>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美式实木会议桌.尺寸：桌面3000*1200*750mm，桌面厚度≥50mm,桌面桌脚材质：进口或者是国产知名松原木，桌面长条拼缝非指接表面非贴皮，榫卯结构，环保油漆，原木颜色</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656"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展示书柜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尺寸：5950*350*2000mm。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1.基材：采用优质E1板材，桌体台面采用2mm厚封边条、柜体侧板（除与地面接触边）、柜体顶板、门板、抽面板等可见处采用2mm厚封边条，其余部位封1mm封边条。板件之间采用三合一连接和木梢的方式连接固定。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2.封边：采用封边条厚度2.5MM的优质同色PVC封边条，无起花，异色边缘修饰平整、光滑。</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窗帘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双道窗帘，里道为优质加厚棉麻布料制作的全遮光帘（包括窗轨），外道为高级无纺布彩色喷绘定制，在窗帘上印制相关知识内容，集教学、观赏为一体的卷帘；含窗帘图文设计与安装，不含窗帘盒。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室</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bookmarkStart w:id="20" w:name="OLE_LINK5"/>
            <w:bookmarkStart w:id="21" w:name="OLE_LINK4"/>
            <w:r>
              <w:rPr>
                <w:rFonts w:hint="eastAsia" w:ascii="仿宋" w:hAnsi="仿宋" w:eastAsia="仿宋" w:cs="仿宋"/>
                <w:color w:val="000000" w:themeColor="text1"/>
                <w:sz w:val="24"/>
              </w:rPr>
              <w:t>86吋智能交互平板</w:t>
            </w:r>
            <w:bookmarkEnd w:id="20"/>
            <w:bookmarkEnd w:id="21"/>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配置参数详细见附件3</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3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壁挂式实物展台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w:t>
            </w:r>
            <w:r>
              <w:rPr>
                <w:rFonts w:hint="eastAsia" w:ascii="仿宋" w:hAnsi="仿宋" w:eastAsia="仿宋" w:cs="仿宋"/>
                <w:color w:val="000000" w:themeColor="text1"/>
                <w:sz w:val="24"/>
              </w:rPr>
              <w:t>86吋智能交互平板</w:t>
            </w:r>
            <w:r>
              <w:rPr>
                <w:rFonts w:hint="eastAsia" w:ascii="宋体" w:hAnsi="宋体" w:cs="宋体"/>
                <w:color w:val="000000" w:themeColor="text1"/>
                <w:kern w:val="0"/>
                <w:sz w:val="24"/>
              </w:rPr>
              <w:t>同一品牌一、硬件参数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 采用≥800万像素摄像头；采用 USB五伏电源直接供电，无需额外配置电源适配器，环保无辐射；箱内USB连线采用隐藏式设计，箱内无可见连线且USB口下出，有效防止积尘，且方便布线和返修。（提供国家级检验中心所出具的权威检测报告）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A4大小拍摄幅面，1080P动态视频预览达到30帧/秒；托板及挂墙部分采用金属加强，托板可承重3kg，整机壁挂式安装。（提供国家级检验中心所出具的权威检测报告）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支持展台成像画面实时批注，预设多种笔划粗细及颜色供选择，且支持对展台成像画面联同批注内容进行同步缩放、移动。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整机采用圆弧式设计，无锐角；同时托板采用磁吸吸附式机构，防止托板打落，方便打开及固定，避免机械式锁具故障率高的问题。（提供国家级检验中心所出具的权威检测报告）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展示托板正上方具备LED补光灯，保证展示区域的亮度及展示效果，补光灯开关采用触摸按键设计，同时可通过</w:t>
            </w:r>
            <w:r>
              <w:rPr>
                <w:rFonts w:hint="eastAsia" w:ascii="仿宋" w:hAnsi="仿宋" w:eastAsia="仿宋" w:cs="仿宋"/>
                <w:color w:val="000000" w:themeColor="text1"/>
                <w:sz w:val="24"/>
              </w:rPr>
              <w:t>86吋智能交互平板</w:t>
            </w:r>
            <w:r>
              <w:rPr>
                <w:rFonts w:hint="eastAsia" w:ascii="宋体" w:hAnsi="宋体" w:cs="宋体"/>
                <w:color w:val="000000" w:themeColor="text1"/>
                <w:kern w:val="0"/>
                <w:sz w:val="24"/>
              </w:rPr>
              <w:t>中的软件直接控制开关。（提供国家级检验中心所出具的权威检测报告）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带自动对焦摄像头；外壳在摄像头部分带保护镜片密封，防止灰尘沾染摄像头，防护等级达到IP4X级别。（提供国家级检验中心所出具的权威检测报告）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具有故障自动检测功能：在调用展台却无法出现镜头采集画面信号时，可自动出现检测链接，并给出导致性原因。（提供国家级检验中心所出具的权威检测报告）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为保证兼容性及稳定性，视频展台需与</w:t>
            </w:r>
            <w:r>
              <w:rPr>
                <w:rFonts w:hint="eastAsia" w:ascii="仿宋" w:hAnsi="仿宋" w:eastAsia="仿宋" w:cs="仿宋"/>
                <w:color w:val="000000" w:themeColor="text1"/>
                <w:sz w:val="24"/>
              </w:rPr>
              <w:t>86吋智能交互平板</w:t>
            </w:r>
            <w:r>
              <w:rPr>
                <w:rFonts w:hint="eastAsia" w:ascii="宋体" w:hAnsi="宋体" w:cs="宋体"/>
                <w:color w:val="000000" w:themeColor="text1"/>
                <w:kern w:val="0"/>
                <w:sz w:val="24"/>
              </w:rPr>
              <w:t>为同一品牌厂家，提供国家认证认可监督管理委员会认可的证书（例如CCC证书、自声明证书）复印件证明。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二、软件参数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支持对展台画面进行放大、缩小、旋转、自适应、冻结画面等操作。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 支持展台画面实时批注，预设多种笔划粗细及颜色供选择，且支持对展台画面联同批注内容进行同步缩放、移动。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 支持展台画面拍照截图并进行多图预览，可对任一图片进行全屏显示。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 老师可在一体机或电脑上选择延时拍照功能，支持5秒或10秒延时模式，预留充足时间以便调整拍摄内容。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 具备图像增强功能，可自动裁剪背景并增强文字显示，使文档画面更清晰。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 可选择图像、文本或动态等多种情景模式，适应不同展示内容。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 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16. 支持二维码扫码功能：打开扫一扫功能后，将书本上的二维码放入扫描框内即可自动扫描，并进入系统浏览器获取二维码的链接内容，帮助老师快速获取电子教学资源。</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5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智能笔</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w:t>
            </w:r>
            <w:r>
              <w:rPr>
                <w:rFonts w:hint="eastAsia" w:ascii="仿宋" w:hAnsi="仿宋" w:eastAsia="仿宋" w:cs="仿宋"/>
                <w:color w:val="000000" w:themeColor="text1"/>
                <w:sz w:val="24"/>
              </w:rPr>
              <w:t>86吋智能交互平板</w:t>
            </w:r>
            <w:r>
              <w:rPr>
                <w:rFonts w:hint="eastAsia" w:ascii="宋体" w:hAnsi="宋体" w:cs="宋体"/>
                <w:color w:val="000000" w:themeColor="text1"/>
                <w:kern w:val="0"/>
                <w:sz w:val="24"/>
              </w:rPr>
              <w:t>同一品牌，1. 支持电容触摸设备书写、无线控制发射器一体化设计。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笔身配置不少于四个物理按键，具备翻页、模拟激光笔、智能语音控制功能，兼顾触摸书写以及远程操控的握持姿态。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兼容白板软件、PPT、PDF等多种演示软件课件的远程翻页控制。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内置高精度陀螺仪，具备模拟激光笔功能，可通过笔身按钮激活陀螺仪模拟激光功能，适用于加载防眩光设计的教学显示设备。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支持笔身翻转矫正，笔身轻微倾斜时，水平移动智能笔，可瞬时矫正识别光标动作为水平移动。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支持按键唤醒语音识别功能，避免杂音造成误唤醒。</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支持唤醒语音识别时，可直接通过语音打开PC内已安装的应用，可直接通过语音调用网络搜索引擎搜索查询相应资料，可进行语音转写输入，支持语音控制屏幕黑屏、亮屏，音量大小调整，返回桌面，截屏，关机等操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支持白板软件内，通过语音控制：切换备授课模式，切换书写、擦除、选择模式，最小化返回桌面，打开板中板，清空书写批注等操作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采用无线连接方式，远程控制最远距离：语音识别：5m；模拟激光：10m；上翻页、下翻页：25米</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推拉式绿板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配置参数详细见附件4</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资源平台主机硬盘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主机利用原HP服务器，添加8块原装HP的SAS/10K/900G服务器硬盘，需要配置必要的阵列供录播资源平台用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教学视频资源管理系统</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pStyle w:val="62"/>
              <w:widowControl/>
              <w:numPr>
                <w:ilvl w:val="0"/>
                <w:numId w:val="4"/>
              </w:numPr>
              <w:ind w:firstLineChars="0"/>
              <w:jc w:val="left"/>
              <w:textAlignment w:val="center"/>
              <w:rPr>
                <w:rFonts w:ascii="宋体" w:hAnsi="宋体" w:cs="宋体"/>
                <w:color w:val="000000" w:themeColor="text1"/>
                <w:kern w:val="0"/>
                <w:sz w:val="24"/>
                <w:szCs w:val="24"/>
              </w:rPr>
            </w:pPr>
            <w:r>
              <w:rPr>
                <w:rFonts w:hint="eastAsia" w:ascii="宋体" w:hAnsi="宋体" w:cs="宋体"/>
                <w:color w:val="000000" w:themeColor="text1"/>
                <w:kern w:val="0"/>
                <w:sz w:val="24"/>
                <w:szCs w:val="24"/>
              </w:rPr>
              <w:t>信息管理系统</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（1）★录播管理：支持把录播设备接入平台，实现自动转码、无缝直播点播，并具备直播和点播功能。支持对录播进行远程关机、休眠唤醒、启动录制等操作。</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（2）多级平台对接：支持校平台与上级区平台进行对接，校平台资源可像区平台提交，并能参加区平台组织的活动。</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（3）★录制预约：平台支持用户远程进行在线录课预约，可实现单个或批量预约；可直接导入课表实现预约；支持预约信息的申请和审核管理。</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（4）资源颗粒度管理：支持视频资源多维度分类，如按年级、学科等分类管理，支持用户自定义分类类型。并支持根据关注度、用户推荐度和点击热度的不同维度在平台呈现。</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（5）视频专辑：支持用户可灵活创建各种视频专辑，并自定义专辑类型，可将一同类型的视频进行归类，便于视频的归整和便捷查询。</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（6）公告发布：平台首页提供公告模块，支持通过平台发布校务公告、活动通知、行政公告、直播通知、紧急通告等多种类型公告。公告支持按定义的类型进行归类查询，支持用户自定义公告类型。</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（7）自动转码功能：支持视频下载、上传、编辑、管理。可实现所有主流视频文件格式自动转码，包括asf、mpg、rmvb、mov、rm、avi、3gp、wmv、flv、mp4等，可设置下载及观看权限。</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8）★虚拟切片：支持视频自动划分知识点和教学环节片段，且不破坏视频原来的完整性。知识点与教学环节目录支持在全屏状态下呈现，支持快速点击跳转到相应节点播放，支持片段循环播放。支持对上传的视频添加和修改“知识点”和“教学环节”。</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（9）教学行为分析：支持弗兰德斯教学行为分析法（S-T），平台根据跟踪数据生成S-T曲线图，帮助用户进行教学技能提升和评估。S-T行为数据支持后期在线编辑修改，便于教师进行错误修正。</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（10）文件检索：支持关键字搜索功能，用户可直接在资源管理平台的页面搜索框输入关键字，对某个视频标题、知识点和教学环节进行搜索。</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（11）一键置灰：支持平台肤色一键置灰功能，切合特殊纪念日氛围。</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（12）强制播放：支持强制设置播放源，用户点击任意视频均强制播放指定视频源，便于学校进行统一播放和管理。</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13）★流量统计：支持平台对用户访问数、页面访问数进行数量统计，用户流量可按日、周、月、年、总浏览数进行分类统计。支持对视频直播流量、点播流量统计，并以曲线图形式展现10天内的访问流量变化趋势。</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14）★存储管理：平台支持自定义视频的保存期限，支持永久保存，支持自定义视频保存天数期限，到达期限后自动删除；同时支持平台对录播内的视频保存期限进行管理，支持永久保存和自定义期限并在到达期限后录播自动删除视频文件。</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2.直播点播系统</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（1）★基于flash+html5技术，无需安装插件即可进行跨平台（Windows、Linux、IOS）视频点播观看。</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（2）★支持流媒体转发服务，平台支持不少于200点以上高清直播功能。</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（3）集群技术：支持直播集群技术，以支持系统的横向拓展，随系统应用规模的拓展逐渐增加转发服务器以支持更大规模直播。</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（4）多码率支持：要求转发时支持标清、高清两种清晰度设置，点播视频时可根据网络情况在播放器窗口进行高标清切换观看。</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（5）支持直播权限及密码设置，让直播信息更加安全。</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（6）支持上传教案、课件等视频附件，附件可与视频进行绑定。支持word、excel、ppt、PDF、jpeg等格式。用户在点播视频时下载附件。</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（7）提供视频转发分享功能，支持二维码分享和一键转发分享至新浪微博、QQ、微信等社交平台中。</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3.微课管理系统</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（1）提供微课管理模块，支持自定义微课时长限制，在规定时长内的视频上传平台后自动归类到微课模块当中，并支持按学段、学科进行自动归类整理。</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（2）★提供专业微课录制软件，支持直接从平台下载微课录制软件并安装于笔记本电脑中。微课视频录制完毕后支持一键上传到平台，或下载到本地电脑保存。</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（3）★微课录制软件需满足包括教师头像、实物展台、课件PPT在内的三路视频源切换及组合布局录制，支持课件与老师画中画模式。</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（4）支持PPT课件导入、课件批注，在微课录制的同时支持PPT分页预览，并进行切换录制。</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4.移动APP应用服务</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（1）提供自主研发的平台移动端APP，支持与视频资源管理平台对接。</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（2）★移动端APP应提供视频在线直播、视频点播、专辑点播等功能。</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（3）★移动端同步支持虚拟切片功能，实现知识点的快速跳转观看、学习，提高学生的学习效率。</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（4）移动端APP支持直接播放视频，无需调用其它播放器直播。</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（5）支持移动端APP点播视频时查看视频信息、视频附件。</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2.要求与录播主机为同一品牌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视频编辑软件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1.★为保证操作的简便，必须可通过平台启动非编系统对资源进行非编，启动后非编资源可自动上传非编系统。便于教师能够对自己已经录制好的视频进行快速编辑处理；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2) ★教师能够同时导入多个视频，进行多轨道同步编辑，包括合并、剪辑等功能。支持添加视频轨道、音频轨道、图片轨道和文字轨道。实现了音频、视频、字幕的同步编辑与多格式同步输出。最少支持10个以上音视频、文字轨道；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提供“用户专辑”栏，展示用户添加的各种视音频文件、图片，可按“视频”、“图像”和“音频”进行分类展示，并支持按“名称”、“时长”和“类型”进行快速排列筛选。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文件持续时间”和“类型”进行排列。</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提供输出效果实时预览窗口，支持对编辑效果的实时输出预览，可对预览视频进行进度条拖动、全屏播放、画面抓拍功能。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具有转场特技功能，支持16种以上转场特技效果可供选择。具有滤镜处理功能，支持28种以上滤镜效果可供选择。具有多种视频布局功能，包括2分屏、4分屏、6分屏等至少15种布局模式。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★资源非编完成后，教师可根据需求设置编辑好的视频码流，并能够一键上传到应用云平台的个人空间当中，同时也能够保存到教师电脑端，以便教师通过移动存储设备拷贝和存档。</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8) 要求与录播主机为同一品牌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高清录播主机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1.整体设计：标准1U机架式外观设计，便于机柜安装。要求采用嵌入式ARM架构设计，Linux操作系统。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★2.内置互动功能：兼容H.323主流互动协议，支持多台录播之间互动教学、教研应用。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3.内置跟踪功能：无需额外配置跟踪主机即可实现图像识别跟踪分析与处理功能。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4.内置音频处理功能：支持混音、EQ均衡、回声抑制、幻象供电功能。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★5.视频采集：支持1080P@30高清采集和编码录制，支持5路1080P高清摄像机输入、2路1080P高清HDMI信号接入。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★6.视频传输：高清摄像机采用3G-SDI方式传输，保证视频传输质量，不接受网络传输方式。支持PoC供电，实现高清摄像机视频信号、PoC供电信号和控制信号同传。</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7.视频输出：支持3路HDMI输出，输出分辨率支持1080P@60，输出内容包括导播画面、录制效果画面和互动画面。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8.视频编码：兼容H.265和H.264两种视频编码协议，实现更高效率和更好质量的编码技术。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9.音频编码：采用AAC编码协议，支持2路XLR平衡音频输入、2路Line in、1路Line out、1路耳机监听输出。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10.视频存储：内置2T存储硬盘，支持录制文件本地保存，支持标准MP4视频封装格式。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11.视频直播：支持RTMP视频传输协议，满足向云端服务器或直播平台的直播推送功能。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12.导播控制：支持2个USB2.0，支持U盘同步录制、视频拷贝，支持接入鼠标键盘的本地导播操作；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13.文件上传：支持FTP文件传输协议，与资源平台无缝对接，通过FTP方式实现视频自动/手动上传至资源平台。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★14.整机使用平均无故障运行时间(MTBF)应≥100000小时。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流媒体管理软件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pStyle w:val="62"/>
              <w:widowControl/>
              <w:numPr>
                <w:ilvl w:val="0"/>
                <w:numId w:val="5"/>
              </w:numPr>
              <w:ind w:firstLineChars="0"/>
              <w:jc w:val="left"/>
              <w:textAlignment w:val="center"/>
              <w:rPr>
                <w:rFonts w:ascii="宋体" w:hAnsi="宋体" w:cs="宋体"/>
                <w:color w:val="000000" w:themeColor="text1"/>
                <w:kern w:val="0"/>
                <w:sz w:val="24"/>
                <w:szCs w:val="24"/>
              </w:rPr>
            </w:pPr>
            <w:r>
              <w:rPr>
                <w:rFonts w:hint="eastAsia" w:ascii="宋体" w:hAnsi="宋体" w:cs="宋体"/>
                <w:color w:val="000000" w:themeColor="text1"/>
                <w:kern w:val="0"/>
                <w:sz w:val="24"/>
                <w:szCs w:val="24"/>
              </w:rPr>
              <w:t>支持B/S架构设计，能够方便教师使用IE、360等主流浏览器通过网络直接访问录播主机进行管理。</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2）支持录制、暂停、停止等基本功能操作。</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3）支持全自动、半自动、手动三种录制模式，支持录制过程中实时切换录制模式。</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4）支持导播管理、系统参数管理、用户管理、录制管理、网络参数管理。</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5）支持三种上电模式，包括关机模式、休眠模式和工作模式。</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6）★支持硬盘格式化功能，支持对设备异常断电、宕机造成的损坏视频文件进行修复。</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7）支持中英文双语版本切换，适合不同用户的应用需求。</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8）支持系统软件版本管理，包括软件版本查询，在线升级与系统授权。支持查询录播主机的设备型号、版本信息、机身号和设备运行的实时CPU温度。</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9）★录播跟踪一体化设计，录播内置跟踪功能，无需额外配置跟踪主机。采用图像识别主动跟踪技术，有较强的防干扰性，跟踪系统应不影响教师正常的教学，教师和学生无需佩戴任何辅助设备，也无需在座椅安装辅助设施。</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10）支持多种逻辑跟踪技术，支持自定义教师、学生的画面布局，支持学生起立回答问题时切换为“学生特写画面”或者“教师与学生双分屏互动画面”。支持VGA信号自动检测跟踪，支持自定义VGA保留时间。</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11）支持10个以上任意区域主动屏蔽功能，比如主动屏蔽掉教师观摩区、窗户窗帘、教室门口、大屏液晶电视等易干扰跟踪效果的地方，所屏蔽的地方系统将不对其进行图像分析跟踪运算，以避免这些地方干扰整体的跟踪效果。</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12）支持RTSP、H.323视频传输协议。</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13）支持预设互动数据，包括互动对象的名称、IP、协议方式等。支持预设20个互动录播教室信息，支持互动课室数据的批量导入和导出功能。</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14）★支持录播模式和互动模式两种工作模式。互动模式下，支持通过导播画面实时监视远端互动录播教室学生画面，支持实时预览传到远端互动录播教室的最终互动画面。互动画面支持实时进行本地教师信号、学生信号、电脑信号以及远端信号的自由组合布局。</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15）支持网络检测功能，实时检测与远端设备的连接丢包数、网速情况。支持启动网络自适应功能。提供上述功能的软件界面截图并加盖厂家投标专用章或公章。</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16）★双向互动时，互动画面中可实时显示远端互动视频的码流和网络丢包率，提供上述技术指标演示视频进行佐证。</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17）★支持双流互动功能，双向互动时，互动双方具备两路HDMI高清输出口可同时输出显示互动画面和对方的VGA/HDMI电脑画面。</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18）★录播主机双向互动过程中，在5Mbps带宽下可实现1080P@30FPS和1080P@60FPS画质，在系统总丢包率≤20%的网络环境下，视频清晰无破损，语音清晰连贯。</w:t>
            </w:r>
          </w:p>
          <w:p>
            <w:pPr>
              <w:pStyle w:val="62"/>
              <w:widowControl/>
              <w:numPr>
                <w:ilvl w:val="0"/>
                <w:numId w:val="6"/>
              </w:numPr>
              <w:ind w:firstLineChars="0"/>
              <w:jc w:val="left"/>
              <w:textAlignment w:val="center"/>
              <w:rPr>
                <w:rFonts w:ascii="宋体" w:hAnsi="宋体" w:cs="宋体"/>
                <w:color w:val="000000" w:themeColor="text1"/>
                <w:sz w:val="24"/>
                <w:szCs w:val="24"/>
              </w:rPr>
            </w:pPr>
            <w:r>
              <w:rPr>
                <w:rFonts w:hint="eastAsia" w:ascii="宋体" w:hAnsi="宋体" w:cs="宋体"/>
                <w:color w:val="000000" w:themeColor="text1"/>
                <w:kern w:val="0"/>
                <w:sz w:val="24"/>
                <w:szCs w:val="24"/>
              </w:rPr>
              <w:t>要求与录播主机为同一品牌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流媒体直播软件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pStyle w:val="62"/>
              <w:widowControl/>
              <w:numPr>
                <w:ilvl w:val="0"/>
                <w:numId w:val="7"/>
              </w:numPr>
              <w:ind w:firstLineChars="0"/>
              <w:jc w:val="left"/>
              <w:textAlignment w:val="center"/>
              <w:rPr>
                <w:rFonts w:ascii="宋体" w:hAnsi="宋体" w:cs="宋体"/>
                <w:color w:val="000000" w:themeColor="text1"/>
                <w:kern w:val="0"/>
                <w:sz w:val="24"/>
                <w:szCs w:val="24"/>
              </w:rPr>
            </w:pPr>
            <w:r>
              <w:rPr>
                <w:rFonts w:hint="eastAsia" w:ascii="宋体" w:hAnsi="宋体" w:cs="宋体"/>
                <w:color w:val="000000" w:themeColor="text1"/>
                <w:kern w:val="0"/>
                <w:sz w:val="24"/>
                <w:szCs w:val="24"/>
              </w:rPr>
              <w:t>支持录播一键开启“直播”功能。</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2）支持网络直播参数设置、直播码流设置</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3）支持主码流、子码流双码流直播功能，主、子码流可设不同的分辨率与码流。</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4）支持自定义直播分辨率、码流大小，以适应不同网络环境下保持直播的流畅性。提供超清（1080P/4Mbps）、高清（720P/2Mbps）、标清（960*540/1Mbps）等多种直播分辨率与码流可选。</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5）支持HTTP、RTMP、RTSP多种直播视频流协议，支持TCP和UDP传输协议。</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6）★支持RTMP推流功能，除录播向资源平台实现FTP推流上传外，至少额外支持3路以上RTMP推流功能，实现与第三方平台和系统的推流对接。</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7）支持VLC缓冲设置功能，可精确到毫秒，缓冲时间阈值280~500ms可设。</w:t>
            </w:r>
          </w:p>
          <w:p>
            <w:pPr>
              <w:widowControl/>
              <w:jc w:val="left"/>
              <w:textAlignment w:val="center"/>
              <w:rPr>
                <w:rFonts w:ascii="宋体" w:hAnsi="宋体" w:cs="宋体"/>
                <w:color w:val="000000" w:themeColor="text1"/>
                <w:sz w:val="24"/>
              </w:rPr>
            </w:pPr>
            <w:r>
              <w:rPr>
                <w:rFonts w:hint="eastAsia" w:ascii="宋体" w:hAnsi="宋体" w:cs="宋体"/>
                <w:color w:val="000000" w:themeColor="text1"/>
                <w:sz w:val="24"/>
              </w:rPr>
              <w:t>8）</w:t>
            </w:r>
            <w:r>
              <w:rPr>
                <w:rFonts w:hint="eastAsia" w:ascii="宋体" w:hAnsi="宋体" w:cs="宋体"/>
                <w:color w:val="000000" w:themeColor="text1"/>
                <w:kern w:val="0"/>
                <w:sz w:val="24"/>
              </w:rPr>
              <w:t>要求与录播主机为同一品牌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流媒体导播软件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pStyle w:val="62"/>
              <w:widowControl/>
              <w:numPr>
                <w:ilvl w:val="0"/>
                <w:numId w:val="8"/>
              </w:numPr>
              <w:ind w:firstLineChars="0"/>
              <w:jc w:val="left"/>
              <w:textAlignment w:val="center"/>
              <w:rPr>
                <w:rFonts w:ascii="宋体" w:hAnsi="宋体" w:cs="宋体"/>
                <w:color w:val="000000" w:themeColor="text1"/>
                <w:kern w:val="0"/>
                <w:sz w:val="24"/>
                <w:szCs w:val="24"/>
              </w:rPr>
            </w:pPr>
            <w:r>
              <w:rPr>
                <w:rFonts w:hint="eastAsia" w:ascii="宋体" w:hAnsi="宋体" w:cs="宋体"/>
                <w:color w:val="000000" w:themeColor="text1"/>
                <w:kern w:val="0"/>
                <w:sz w:val="24"/>
                <w:szCs w:val="24"/>
              </w:rPr>
              <w:t>提供所有接入摄像机画面和1路教师电脑画面预览窗口，支持视频画面任意切换。</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2）支持9种以上可选布局模式，包括双分屏、三分屏、画中画等。支持自定义布局方式，支持多个视频图层自由叠加组合，支持叠加纯色图层，自定义布局时可随意拖拉画面窗口。</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3）应具有鼠标快速定位功能，通过鼠标点击快速居中画面区域，通过鼠标滚轮可以调节云台摄像机的焦距。每个云台摄像机应至少支持8个预置位设置与调用功能。</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4）提供8种以上转场特效，包括渐变、缩放、切换等。支持在添加LOGO、字幕功能，支持通过鼠标直接拖拽设置LOGO和字幕在画面的显示位置。</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5）支持快速调用预设的字幕内容，支持实时添加字幕，支持通过辅助软件远程实时添加字幕，字幕颜色、字幕描边、字幕背景可设。支持字幕和背景的透明度设置功能。支持字幕滚动和固定位置两种显示方式。</w:t>
            </w:r>
          </w:p>
          <w:p>
            <w:pPr>
              <w:widowControl/>
              <w:jc w:val="left"/>
              <w:textAlignment w:val="center"/>
              <w:rPr>
                <w:rFonts w:ascii="宋体" w:hAnsi="宋体" w:cs="宋体"/>
                <w:color w:val="000000" w:themeColor="text1"/>
                <w:sz w:val="24"/>
              </w:rPr>
            </w:pPr>
            <w:r>
              <w:rPr>
                <w:rFonts w:hint="eastAsia" w:ascii="宋体" w:hAnsi="宋体" w:cs="宋体"/>
                <w:color w:val="000000" w:themeColor="text1"/>
                <w:sz w:val="24"/>
              </w:rPr>
              <w:t>8）</w:t>
            </w:r>
            <w:r>
              <w:rPr>
                <w:rFonts w:hint="eastAsia" w:ascii="宋体" w:hAnsi="宋体" w:cs="宋体"/>
                <w:color w:val="000000" w:themeColor="text1"/>
                <w:kern w:val="0"/>
                <w:sz w:val="24"/>
              </w:rPr>
              <w:t>要求与录播主机为同一品牌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教师/学生特写摄像机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Style w:val="90"/>
                <w:rFonts w:hint="default"/>
                <w:color w:val="000000" w:themeColor="text1"/>
                <w:sz w:val="24"/>
                <w:szCs w:val="24"/>
              </w:rPr>
              <w:t>1.视频输出接口：HDMI、SDI</w:t>
            </w:r>
            <w:r>
              <w:rPr>
                <w:rStyle w:val="90"/>
                <w:rFonts w:hint="default"/>
                <w:color w:val="000000" w:themeColor="text1"/>
                <w:sz w:val="24"/>
                <w:szCs w:val="24"/>
              </w:rPr>
              <w:br w:type="textWrapping"/>
            </w:r>
            <w:r>
              <w:rPr>
                <w:rStyle w:val="90"/>
                <w:rFonts w:hint="default"/>
                <w:color w:val="000000" w:themeColor="text1"/>
                <w:sz w:val="24"/>
                <w:szCs w:val="24"/>
              </w:rPr>
              <w:t>2.传感器类型：CMOS，1/2.33英寸</w:t>
            </w:r>
            <w:r>
              <w:rPr>
                <w:rStyle w:val="90"/>
                <w:rFonts w:hint="default"/>
                <w:color w:val="000000" w:themeColor="text1"/>
                <w:sz w:val="24"/>
                <w:szCs w:val="24"/>
              </w:rPr>
              <w:br w:type="textWrapping"/>
            </w:r>
            <w:r>
              <w:rPr>
                <w:rStyle w:val="90"/>
                <w:rFonts w:hint="default"/>
                <w:color w:val="000000" w:themeColor="text1"/>
                <w:sz w:val="24"/>
                <w:szCs w:val="24"/>
              </w:rPr>
              <w:t>3.传感器像素：有效像素</w:t>
            </w:r>
            <w:r>
              <w:rPr>
                <w:rFonts w:hint="eastAsia" w:ascii="宋体" w:hAnsi="宋体" w:cs="宋体"/>
                <w:color w:val="000000" w:themeColor="text1"/>
                <w:kern w:val="0"/>
                <w:sz w:val="24"/>
              </w:rPr>
              <w:t>800万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4.焦距：22倍变焦</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5.水平转动速度范围：1.0° ~ 94.2°/s，垂直转动速度范围：1.0° ~ 74.8°/s，水平视场角：72.0° ~ 6.7°，垂直视场角：43.2° ~ 3.7°</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6.支持水平、垂直翻转</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7.背光补偿：支持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8.数字降噪：2D&amp;3D数字降噪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9.网络流传输协议：RTP、RTSP</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10.预置位数量：255</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11.网络接口：RJ45</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12.音频接口：Line In,3.5mm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13.通讯接口：RS232、RS422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14.USB接口：USB Type-A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15.支持的协议类型：VISCA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16.编码技术：视频H.265、H.264</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★17.电源支持：DC12V 2.0A、PoC</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18.要求摄像机与录播主机为同一品牌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教师/学生特写摄像机管理软件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摄像机管理软件采用B/S架构，支持通用浏览器直接访问进行管理。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支持网络参数设置与修改，支持一键恢复默认参数。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支持曝光模式设置功能，包括自动、手动。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支持抗闪烁频率、动态范围、光圈、快门参数设置。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支持自动白平衡设置功能，红、蓝增益可调范围0~200。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支持噪声抑制设置功能，支持2D、3D降噪。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支持摄像机图像质量调节功能，包括亮度、对比度、色调、饱和度。</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支持摄像机控制功能，包括云台控制、预置位设置与调用、焦距调节等。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教师/学生全景摄像机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Style w:val="90"/>
                <w:rFonts w:hint="default"/>
                <w:color w:val="000000" w:themeColor="text1"/>
                <w:sz w:val="24"/>
                <w:szCs w:val="24"/>
              </w:rPr>
              <w:t>1.视频输出接口：HDMI、SDI</w:t>
            </w:r>
            <w:r>
              <w:rPr>
                <w:rStyle w:val="90"/>
                <w:rFonts w:hint="default"/>
                <w:color w:val="000000" w:themeColor="text1"/>
                <w:sz w:val="24"/>
                <w:szCs w:val="24"/>
              </w:rPr>
              <w:br w:type="textWrapping"/>
            </w:r>
            <w:r>
              <w:rPr>
                <w:rStyle w:val="90"/>
                <w:rFonts w:hint="default"/>
                <w:color w:val="000000" w:themeColor="text1"/>
                <w:sz w:val="24"/>
                <w:szCs w:val="24"/>
              </w:rPr>
              <w:t>2.传感器类型：CMOS，1/2.33英寸</w:t>
            </w:r>
            <w:r>
              <w:rPr>
                <w:rStyle w:val="90"/>
                <w:rFonts w:hint="default"/>
                <w:color w:val="000000" w:themeColor="text1"/>
                <w:sz w:val="24"/>
                <w:szCs w:val="24"/>
              </w:rPr>
              <w:br w:type="textWrapping"/>
            </w:r>
            <w:r>
              <w:rPr>
                <w:rStyle w:val="90"/>
                <w:rFonts w:hint="default"/>
                <w:color w:val="000000" w:themeColor="text1"/>
                <w:sz w:val="24"/>
                <w:szCs w:val="24"/>
              </w:rPr>
              <w:t>3.传感器像素：有效像素</w:t>
            </w:r>
            <w:r>
              <w:rPr>
                <w:rFonts w:hint="eastAsia" w:ascii="宋体" w:hAnsi="宋体" w:cs="宋体"/>
                <w:color w:val="000000" w:themeColor="text1"/>
                <w:kern w:val="0"/>
                <w:sz w:val="24"/>
              </w:rPr>
              <w:t>800万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4.焦距：22倍变焦</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5.水平转动速度范围：1.0° ~ 94.2°/s，垂直转动速度范围：1.0° ~ 74.8°/s，水平视场角：72.0° ~ 6.7°，垂直视场角：43.2° ~ 3.7°</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6.支持水平、垂直翻转</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7.背光补偿：支持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8.数字降噪：2D&amp;3D数字降噪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9.网络流传输协议：RTP、RTSP</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10.预置位数量：255</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11.网络接口：RJ45</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12.音频接口：Line In,3.5mm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13.通讯接口：RS232、RS422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14.USB接口：USB Type-A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15.支持的协议类型：VISCA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16.编码技术：视频H.265、H.264</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★17.电源支持：DC12V 2.0A、PoC</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18.要求摄像机与录播主机为同一品牌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教师/学生全景摄像机管理软件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摄像机管理软件采用B/S架构，支持通用浏览器直接访问进行管理。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支持网络参数设置与修改，支持一键恢复默认参数。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支持曝光模式设置功能，包括自动、手动。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支持抗闪烁频率、动态范围、光圈、快门参数设置。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支持自动白平衡设置功能，红、蓝增益可调范围0~200。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支持噪声抑制设置功能，支持2D、3D降噪。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支持摄像机图像质量调节功能，包括亮度、对比度、色调、饱和度。</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支持摄像机控制功能，包括云台控制、预置位设置与调用、焦距调节等。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554"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教师/学生定位分析仪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★视频输出接口：HDMI*1、SDI*2，同步输出图像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传感器类型：CMOS、1/3.0英寸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传感器像素：不小于200万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镜头焦距：10倍光学变焦、8倍数字变焦</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采用了2D和基于运动估计的3D降噪算法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水平视场角80.7° ~ 8.77°，垂直视场角45.3° ~ 4.92°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水平转动范围：±170°，垂直转动范围：-30° ~ +120°；水平转速1.0° ~ 94.2°/s，垂直转速1.0° ~ 74.8°/s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支持水平、垂直翻转</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预置位数量：255</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 网络接口：RJ45</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 音频接口：Line In,3.5mm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 通讯接口：RS232、RS422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 支持的协议类型：VISCA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 编码技术：视频H.264，音频AAC</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 电源支持：DC12V、PoE、PoC</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16) 要求摄像机与录播主机为同一品牌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17) 提供产品无故障运行时间MTBF＞60000小时。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教师定位分析软件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采用B/S架构设计，支持通用浏览器进行远程访问进行管理；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采用图像识别定位分析技术，智能识别教学行为，根据预设的跟踪分析逻辑触发跟踪信号，与录播主机进行跟踪数据对接；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支持两种跟踪模式：紧跟模式、“特写”与“全景”切换跟踪模式。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支持多个区域屏蔽功能，避免屏蔽区域内的干扰，提高系统识别效果；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支持检测区域设置，对指定区域进行跟踪分析，支持同时划分多个检测区域。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具有“模糊防抖”功能，避免人员小幅度活动时引起的摄像机画面抖动现象；</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学生定位分析软件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采用B/S架构设计，支持通用浏览器进行远程访问进行管理；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采用图像识别定位分析技术，智能识别教学行为，根据预设的跟踪分析逻辑触发跟踪信号，与录播主机进行跟踪数据对接；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支持学生起立跟踪功能，支持当学生起立特写跟踪拍摄，同时支持学生起立后自定义为学生与老师双分屏交互画面；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支持多个学生起立跟踪功能，多学生起立切换为学生全景拍摄；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支持自定义规定时间间隔自动切换为学生全景画面；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支持多个区域屏蔽功能，避免屏蔽区域内的干扰，提高系统识别效果；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支持检测区域设置，对指定区域进行跟踪分析，支持同时划分多个检测区域；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具有“模糊防抖”功能，避免人员小幅度活动时引起的摄像机画面抖动现象；</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696"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板书定位分析软件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采用B/S架构设计，支持通用浏览器进行远程访问进行管理；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采用图像识别定位分析技术，智能识别教学行为，根据预设的跟踪分析逻辑触发跟踪信号，与录播主机进行跟踪数据对接；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支持板书行为跟踪拍摄，当老师书写板书是自动切换为板书特写画面；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支持板书画面大小、位置的自定义调节；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支持多个区域屏蔽功能，避免屏蔽区域内的干扰，提高系统识别效果；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支持检测区域设置，对指定区域进行跟踪分析，支持同时划分多个检测区域；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具有“模糊防抖”功能，避免人员小幅度活动时引起的摄像机画面抖动现象；</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“一键式”录播控制面板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pStyle w:val="62"/>
              <w:widowControl/>
              <w:numPr>
                <w:ilvl w:val="0"/>
                <w:numId w:val="9"/>
              </w:numPr>
              <w:ind w:firstLineChars="0"/>
              <w:jc w:val="left"/>
              <w:textAlignment w:val="center"/>
              <w:rPr>
                <w:rFonts w:ascii="宋体" w:hAnsi="宋体" w:cs="宋体"/>
                <w:color w:val="000000" w:themeColor="text1"/>
                <w:kern w:val="0"/>
                <w:sz w:val="24"/>
                <w:szCs w:val="24"/>
              </w:rPr>
            </w:pPr>
            <w:r>
              <w:rPr>
                <w:rFonts w:hint="eastAsia" w:ascii="宋体" w:hAnsi="宋体" w:cs="宋体"/>
                <w:color w:val="000000" w:themeColor="text1"/>
                <w:kern w:val="0"/>
                <w:sz w:val="24"/>
                <w:szCs w:val="24"/>
              </w:rPr>
              <w:t>在讲台上镶嵌式安装方式；</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2) 控制接口：RS232</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3) 信号指示灯：支持</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4) 支持一键式系统电源开关控制。</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5) 一键式录制、停止、锁定电脑信号；</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6) ★支持本地录播全自动的开启、关闭控制。该功能同时支持录播模式和互动模式。</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7) 支持通过面板一键发起与远端设备互动连接；</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8) ★支持通过交互控制面板切换互动画面的信号源，并传输到听课室，包括本地老师信号、学生信号、电脑信号、远端课室画面。</w:t>
            </w:r>
            <w:r>
              <w:rPr>
                <w:rFonts w:hint="eastAsia" w:ascii="宋体" w:hAnsi="宋体" w:cs="宋体"/>
                <w:color w:val="000000" w:themeColor="text1"/>
                <w:kern w:val="0"/>
                <w:sz w:val="24"/>
                <w:szCs w:val="24"/>
              </w:rPr>
              <w:br w:type="textWrapping"/>
            </w:r>
            <w:r>
              <w:rPr>
                <w:rFonts w:hint="eastAsia" w:ascii="宋体" w:hAnsi="宋体" w:cs="宋体"/>
                <w:color w:val="000000" w:themeColor="text1"/>
                <w:kern w:val="0"/>
                <w:sz w:val="24"/>
                <w:szCs w:val="24"/>
              </w:rPr>
              <w:t>9) ★支持对各画面的自由布局控制，包括单画面全屏、双分屏、三分屏、四分屏、画中画，并传输到听课室。</w:t>
            </w:r>
          </w:p>
          <w:p>
            <w:pPr>
              <w:widowControl/>
              <w:jc w:val="left"/>
              <w:textAlignment w:val="center"/>
              <w:rPr>
                <w:rFonts w:ascii="宋体" w:hAnsi="宋体" w:cs="宋体"/>
                <w:color w:val="000000" w:themeColor="text1"/>
                <w:sz w:val="24"/>
              </w:rPr>
            </w:pPr>
            <w:r>
              <w:rPr>
                <w:rFonts w:hint="eastAsia" w:ascii="宋体" w:hAnsi="宋体" w:cs="宋体"/>
                <w:color w:val="000000" w:themeColor="text1"/>
                <w:sz w:val="24"/>
              </w:rPr>
              <w:t>10）</w:t>
            </w:r>
            <w:r>
              <w:rPr>
                <w:rFonts w:hint="eastAsia" w:ascii="宋体" w:hAnsi="宋体" w:cs="宋体"/>
                <w:color w:val="000000" w:themeColor="text1"/>
                <w:kern w:val="0"/>
                <w:sz w:val="24"/>
              </w:rPr>
              <w:t>要求与录播主机为同一品牌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电源管理器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 xml:space="preserve">1） ★向录播视频系统、音频系统、显示系统提供统一的、至少八路电源管理；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支持对录播系统控制功能，实现通过录制面板一键启动录播系统相关设备的电源；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支持录播系统的远程集中统一控制，实现录播主机远程开关机；</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导播控制台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支持远程操作录播主机的开关机；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支持不少于5种特技效果；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支持不少于6布局选择；6路视频直播切换；6个预置位；6个视频预选功能；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支持云台控制功能：上下左右及变焦功能；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支持录制、暂停、停止功能；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支持全自动录播模式和手动录播模式。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支持通过USB线缆连接录播主机；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安装导播控制台软件，并设置录播地址；</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导播界面与导播控制台按键/状态同步对应；</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 ★导播控制台关机按键为控制录播系统软关机/唤醒功能。</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吊麦</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★ACE安恒利行货垂吊话筒 ,超心形包含电缆、串联式前置放大器以及支架转接器.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频率响应50 至 17,000 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输出阻抗 有效阻抗为 180 欧姆（EIA 额定为 150 欧姆）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灵敏度（1,000 Hz，开路电压*）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心形：-35.0 dBV/Pa (17.8 mV)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超心形：-33.5 dBV/Pa (21.1 mV)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全向：-27.5 dBV/Pa (42.2 mV)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0 增益时，所有值为 -12 dB；*1 Pa = 94 dB 声压级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最大声压级（1 kHz，1% 总谐波失真，1 千欧负载）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心形：124.2 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超心形：122.7 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全向：116.7 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0 增益时，所有值均为 +6 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等效输出噪声（A 权重）心形：28.0 dB 声压级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超心形：26.5 dB 声压级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全向：20.5 dB 声压级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信噪比（参考 94 dB 声压级）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心形：66.0 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超心形：67.5 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全向：73.5 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 千欧负载时的动态范围 96.2 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0 增益时为 100 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共模抑制  最小为 45.0 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前置放大器输出限幅电平（1% 总谐波失真） -6.0 dBV (.5 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0 增益时为 -12 dBV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极性  振膜上的正声压会在输出接头的针脚 2 上产生正电压（相对于针脚 3）。</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电源要求11 至 52 Vdc，幻象，2.0 mA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环境要求  使用温度范围：-18 至 57 摄氏度（0 至 135 华氏度）相对湿度：0 至 95%</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与无线手持话筒同一品牌，中标后签合同前提供原厂商或国内总代针对本项目的授权书及质保函原件并加盖鲜章。</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自动话筒混音器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 xml:space="preserve">★ACE安恒利行货八通道数字自动混音器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8通道平衡式凤凰插输入，8通道平衡式凤凰插直接输出接口；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非平衡式AUX辅助输入接口，1个耳机监控输出接口；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MIX A/B双通道混合输出接口；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每个通道独立的输入增益调节，输入电平显示，削波指示灯，低切，高频搁架式滤波器等功能；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RJ45 网口联网远程控制混音功能；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主输出限幅设置，增益调节功能；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每通道独立的输入电平模式选择，LINE/MIC模式，以及﹢48V幻象供功能；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专利技术的IntelliMix®技术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通过动态通道选通和衰减，提供无缝自动混音并减少背景噪声；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NAT（噪声自适应阈值）功能 － 可持续调节激活阈值来配合开启通道；</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多路话筒开启增益衰减 (NOMA) 功能 － 在开启的话筒数量发生改变时, 根据开启数量而自动调整输出增益；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最后一支话筒锁定 (LMLO)功能 － 可以使最近启用的话筒保持开启，直到启用另一支话筒；</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最大总线 － 可确保每个音源只有一个通道开启，减少梳状滤波，确保演讲清晰可辨；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Intellimix®模式提供了五种不同的混音器模式预设值，包含可靠的自动混音风格（经典、平滑、极值、自定义或手动），可为具体应用快速定制混音效果；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频率响应：20-20KHz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动态范围：20-20KHz，A-加权，典型指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模拟到模拟：110dB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AD/DA转换：24bit，48KHz，113dB动态范围，典型值；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削波电平：通道输入：线路(+0)： +20 dBV，话筒 (+26)： -6 dBV，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话筒(+46)： -26 dBV，辅助输入：+10 dBV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最大输出电平：线路(+0)： +20 dBV，线路(-20)： 0 dBV，话筒(-46)： -26 dBV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直接输出：最大输出电平：+20dBV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延时：模拟到模拟：0.51 ms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工作温度：-18°C (0°F) 至 63°C (145°F)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电源要求：100至240 V AC，50-60 Hz，1 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与无线手持话筒同一品牌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投标人中标后签合同前提供原厂商或国内总代针对本项目的质保函原件并加盖鲜章。</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调音台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★ACE安恒利行货调音台. 1、8路单声道与2组立体声输入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2、高品质、低噪音的平衡式话筒输入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3、单声道及主输出配有的信号插入点，方便外接信号处理器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4、每路麦克风输入都配备优质+48V幻像电源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5、中频扫频的三段均衡,英国风格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6、两组AUX辅助输出，可以外接处理器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7、高精度三色精确电平柱，准确显示输出电平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8、60MM行程高分析度推子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9、内置式静噪电源器,使用方便灵活</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10、简单的可选项架子安装（选配件）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技术参数：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频率响应：话筒/线路输入到任何输出端：(20Hz-20KHz)+1dB  /-3dB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总谐波失真和噪声：&lt;0.007%  130dB输入到混音, 话筒增益30dB 话筒输入的等效输入噪声： 22Hz-22KHz不加权-128dB(信源内阻150Ω)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母线噪声： 20Hz-20KHz宽带线路输入, 终端负载为150Ω, RMS(有效值)测量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混音： 推子在下面, 最大混音电平：&lt;-85dB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通道之间串音： 通道哑音, &gt;96dB；推子位置(标记+0) &gt;96dB    辅助发送端口：&gt;86dB  输入和输出阻抗：话筒输入：2.4KΩ单声输入：11KΩ立体声输入：100KΩ输出：75Ω输入和输出电平：话筒/线路的最大输入电平：+17dBu 线路的最大输入电平：+30dBu 立体声输入最大电平：+30dBu 最大混音输出电平：+20dBu  耳机最大输出电平：300mw/200Ω  均衡器：HF(高频) 12KHz,±15dB,搁架式 MF(中频) 140Hz-3KHz,±15dB, Q=15LF(低频) 80Hz,±15dB,搁架式</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投标人中标后签合同前提供原厂商或国内总代针对本项目的质保函原件并加盖鲜章。</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无线话筒</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ACE安恒利行货一拖二无线话筒手持加头戴式麦克风耳麦会议演讲舞台演出培训，包含：BLX88双通道无线接收机；BLX2腰包式发射机；PG31心形电容头戴式话筒，配备防风罩；BLX2手持式发射机，配备集成PG58心形动圈话筒振膜；话筒夹；中标后签合同前提供原厂商或国内总代针对本项目的授权书及质保函原件并加盖鲜章。</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教室音箱</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kern w:val="0"/>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★ACE安恒利行货音箱</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频率范围：60Hz-20kHz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节目功率（峰值功率）：200W连续节目功率（2小时），400W连续粉红噪声（2小时），300W连续粉红噪声（100小时）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较大输入电压：25.3V PMS（2小时），50.6V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峰值灵敏度：90dB，1W/1m(100Hz-KHz)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覆盖角度：100°×100°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指向性指数：7.6dB(1kHz-16kHz)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额定阻抗：8ohms（直通）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建议高通保护：60Hz高通(dB/oct)(8Ω和所有70V或100V插头设定)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低频单元：135mm（5.25寸）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高频单元：19mm</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中标后签合同前提供原厂商或国内总代针对本项目的授权书及质保函原件并加盖鲜章。</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观摩室音箱</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★ACE安恒利行货音箱</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频率范围：60Hz-20kHz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节目功率（峰值功率）：200W连续节目功率（2小时），400W连续粉红噪声（2小时），300W连续粉红噪声（100小时）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较大输入电压：25.3V PMS（2小时），50.6V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峰值灵敏度：90dB，1W/1m(100Hz-KHz)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覆盖角度：100°×100°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指向性指数：7.6dB(1kHz-16kHz)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额定阻抗：8ohms（直通）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建议高通保护：60Hz高通(dB/oct)(8Ω和所有70V或100V插头设定)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低频单元：135mm（5.25寸）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高频单元：19mm</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中标后签合同前提供原厂商或国内总代针对本项目的授权书及质保函原件并加盖鲜章。</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功放</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kern w:val="0"/>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★ACE安恒利行货CROWN 功放。2x200W/8欧，2x300W/4欧</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中标后签合同前提供原厂商或国内总代针对本项目的授权书及质保函原件并加盖鲜章。</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电源时序器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FROSS M20 时序器产品特色：</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xml:space="preserve"> 整机输出电流30A，满足大功率系统供电需求</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xml:space="preserve"> 恢复出厂设置功能</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xml:space="preserve"> 配置2.0英寸超大彩色显示屏，实时显示工作电压,及工作状态</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xml:space="preserve"> 8+2路供电输出，每路输出AC220V-13A，采用16万能插座，适用各种类型插座；采用30A欧姆龙继电器</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xml:space="preserve"> 配备标准RS232串行数据接口,开放控制协议,</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xml:space="preserve"> 配备标准RS232输出接口，扩展更方便</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xml:space="preserve"> 时序行为记忆功能，使开关时序突破传统，变得随心所欲</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xml:space="preserve"> 每路间隔时间在0-999秒间可设，可配置常开、互锁</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xml:space="preserve"> 按键开关指示一体化设计，更智能</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xml:space="preserve"> 键盘锁(LOCK)功能,防止误操作，便于用户管理</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xml:space="preserve"> 一体化扩展功能，确保关机时序正确，彻底解决关机冲设备问题</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xml:space="preserve"> 每路独立净化专用EMI滤波功能，消除系统间特别是灯光系统的电磁干扰，保证系统工作稳定，对于音频系统提高音质也有明显作用</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2U标准机箱，铝合金面板</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技术参数：</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额定输出电压：交流220V.50Hz</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可控制电源：8路+2路辅助通道</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魅蓝工作延时时间：0-999S</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供电电源：AC 220V 50/60Hz 30A</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状态显示：2寸液晶彩色屏幕；当前电压、日期、时间、每路状态</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单路总输出电流：13A</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额定总输出电流：30A</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定时器功能：支持</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尺寸（宽X深X高）：408毫米×305毫米×45毫米</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重量：6.0KG。</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高清视频分配器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绿联、hdmi分配器1进2出</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电视机（含吊装支架）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70英寸 大屏4K超高清 智能液晶平板电视机</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管理电脑</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品牌电脑i5-10400F/16G/512G SSD/6T机械硬盘/GT1030 2G独显/23.8寸/60Hz刷新率/QHD-2560*1440 IPS面板/99%sRGB色域/旋转升降/正版win10/键鼠套装</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0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24口千兆交换机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整机交换容量3.36Tbps, 转发性能126Mpps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24*10/100/1000Base-T电口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4个千兆SFP。与学校原有网络设备无缝兼容</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高密无线AP</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详细参数规格见附件6，</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无线AC授权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EWP-WX3510H（单位现有在使用的AC）的AP授权数128个</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POE交换机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LS-S5130S-28S-PWR-HI 24口全千兆POE+供电交换机.安装在交换机房。24个10/100/1000Base-T自适应以太网端口（PoE+），4个万兆SFP+口，背板带宽 336Gbps/3.36Tbps，包转发率 126Mpps，配双360W：678W（PoE为600W）包含上下联千兆光模块。安装在四楼弱电机房，供科技楼无线AP使用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无线AP布线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全部用国标6类线从4楼机房出发通过管道井、走廊桥架（走廊没有桥架的需增加金属国标防火桥架），然后进入4楼的精品录播教室、机器人创客教室、3楼的物理学科教室、2楼的生物学科教室、1楼的化学学科教室与竞赛教室、通用技术专用教室、数学专用教室。艺术楼的弱电桥架从底楼机房出发沿着走廊布设到一二楼的8个教室，同时该桥架也用于监控布线，桥架尺寸不少于150*100mm，厚度不少于1.0mm，包括国标6类线及有关配件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机柜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国标36U机柜600*800配置5套档板、2套8位PDU</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网线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国标六类非屏蔽网线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箱</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配套管线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国产、音视频线材必须采用秋叶原等品牌正品线材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包括SDI视频线、VGA线、RVVP2*0.5话筒线、RVVP2*1.0音频线、HDMI高清信号线，音频接插件须选用正品甬声等品牌。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国标电源线、控制线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布线符合国家规范，走线整洁，强弱电必须分开，弱电线路须套屏蔽管，其余暗线须套波达管材。设备及管线安装调试。</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批</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十、数学学科创新教室清单(科技楼104室)</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技术参数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271"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教师教学教具套装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1、三角尺：60°、45°尺各1，60°尺的长直角边与45°尺的斜边长度相等且不小于450mm，榉木材质；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2、圆规：适合在黑板上画圆，附橡胶定位脚，两用；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3、直角坐标黑板：铝合金边框；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4、固定几何体模型：演示柱（含正方体）、锥、台、球的简单组合或分解,大号18件；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5、圆锥曲线模型：演示平面截圆锥所得的圆锥曲线；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6、凸凹多面体模型：能演示凹凸多面体，高度大于200mm；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7、平摆线形成模型：依定义画平摆线；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8、渐开线形成模型：依定义画渐开线。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立体几何活动模型</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立体几何教具大号铁质高中数学题模型18件框架教师用。18件套模型清单：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1.正三棱锥（高考题模型）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2.直三棱锥（也叫直角四面体，高考题模型）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3.正四棱柱（高考题模型）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4.正四棱锥（高考题模型）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5.直三棱柱（高考题模型）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6.正四面体（演示高考题模型，可选可内切球类型，但不含内切球)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7.正方体（高考题模型，大号正方体，可选可内切球类型，但不含内切球)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8.金字塔四棱锥（高考题模型）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9-11.分体三棱柱（三棱锥体积公式模型，可分为3个三棱锥，组成正三棱柱）</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12.长方体（高考题模型）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13.直四棱锥（高考题模型）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14.正六棱锥（或五棱锥，高考题模型）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15.圆台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16.圆锥（高考题模型）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17.圆柱（高考题模型）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18.球 （可配辅助线，无旋转面，可选外切正方体类型 高考题模型）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本套模型配赠4米辅助线，可以组建高考题模型，也可以根据平时教学或解题的需要任意添加辅助线，组建习题模型。</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23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中文图形计算器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86912" behindDoc="0" locked="0" layoutInCell="1" allowOverlap="1">
                  <wp:simplePos x="0" y="0"/>
                  <wp:positionH relativeFrom="column">
                    <wp:posOffset>97790</wp:posOffset>
                  </wp:positionH>
                  <wp:positionV relativeFrom="paragraph">
                    <wp:posOffset>226060</wp:posOffset>
                  </wp:positionV>
                  <wp:extent cx="618490" cy="372110"/>
                  <wp:effectExtent l="19050" t="0" r="0" b="0"/>
                  <wp:wrapNone/>
                  <wp:docPr id="972" name="图片_33"/>
                  <wp:cNvGraphicFramePr/>
                  <a:graphic xmlns:a="http://schemas.openxmlformats.org/drawingml/2006/main">
                    <a:graphicData uri="http://schemas.openxmlformats.org/drawingml/2006/picture">
                      <pic:pic xmlns:pic="http://schemas.openxmlformats.org/drawingml/2006/picture">
                        <pic:nvPicPr>
                          <pic:cNvPr id="972" name="图片_33"/>
                          <pic:cNvPicPr>
                            <a:picLocks noChangeArrowheads="1"/>
                          </pic:cNvPicPr>
                        </pic:nvPicPr>
                        <pic:blipFill>
                          <a:blip r:embed="rId54"/>
                          <a:srcRect/>
                          <a:stretch>
                            <a:fillRect/>
                          </a:stretch>
                        </pic:blipFill>
                        <pic:spPr>
                          <a:xfrm>
                            <a:off x="0" y="0"/>
                            <a:ext cx="618490" cy="37211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一、硬件指标：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中文彩屏显示；显示屏尺寸≥3.2寸；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显示屏像素≥320 x 240；分辨率≥125 DPI；电池：充电电池（内置）；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内存≥100 MB储存内存 ；操作内存：不小于64MB操作内存；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★独立的英文字母按键，符合学生在数学学习中，中英文和公式输入的要求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★单独公式编辑器快捷键，常用公式不低于20个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★主要功能键中文标识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USB支持：用于连接电脑以及图形计算器之间的互连；能够和操作系统相连，并通过编程进行控制。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二、内置软件功能：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全中文菜单显示，全中文输入(学生机可直接输入中文)。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软件主要功能：CAS（计算机符号代数系统）功能，函数及二次曲线作图分析；几何；电子表格；统计分析，记事本，数据采集程序。ＷＩＮＤＯＷＳ菜单风格；支持页面管理功能。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★1.最多可分四屏显示,每个屏幕的内容可以在计算，图形，表格，统计，实验等模块间自由组合，比如可以同时呈现函数、图像、表格之间的相关关系,当三者之间任一参数发生变化, 与其对应的表达式、图像、数据同时改变。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2.动态图像与绘图：在坐标系中输入函数表达式,即可直接抓移该函数图像，实现平移、放缩等图形变换，并观察相对应的方程和数据的变化。</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★3.具有三维坐标系,可直接输入函数表达式绘制立体图形，并进行各种图形变化。</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★4.可在课件中插入JPG等图片格式，可以在计算器、图形、几何、数据和统计等应用程序中通过软件插入多种格式图片进行分析，将数学知识与实际生活紧密相连。</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5.通过配套计算器软件，可以把office办公软件中的数据、文字、公式、图片等以简单的复制粘贴的方式，制作到课件中，并发送到学生的图形计算器中，便于学生学习研究。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三、可扩展性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1、可与传感器进行连接，能够方便地采集数据进行理科实验。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2、可与机器人小车操作系统连接，满足创客的所有需求。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3、通过无线课堂教学系统，可同时与课堂内所有图形计算器实时连接，实现课堂中教师与学生之间的实时信息交流，反馈和评价，实现互动教学，提高学生的课堂参与度。</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4、本次配置：主机+收纳盒+电池+充电器+数据线+学习卡+说明书</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937"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无线收发模块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87936" behindDoc="0" locked="0" layoutInCell="1" allowOverlap="1">
                  <wp:simplePos x="0" y="0"/>
                  <wp:positionH relativeFrom="column">
                    <wp:posOffset>144145</wp:posOffset>
                  </wp:positionH>
                  <wp:positionV relativeFrom="paragraph">
                    <wp:posOffset>-48895</wp:posOffset>
                  </wp:positionV>
                  <wp:extent cx="704215" cy="365760"/>
                  <wp:effectExtent l="19050" t="0" r="635" b="0"/>
                  <wp:wrapNone/>
                  <wp:docPr id="971" name="图片_34"/>
                  <wp:cNvGraphicFramePr/>
                  <a:graphic xmlns:a="http://schemas.openxmlformats.org/drawingml/2006/main">
                    <a:graphicData uri="http://schemas.openxmlformats.org/drawingml/2006/picture">
                      <pic:pic xmlns:pic="http://schemas.openxmlformats.org/drawingml/2006/picture">
                        <pic:nvPicPr>
                          <pic:cNvPr id="971" name="图片_34"/>
                          <pic:cNvPicPr>
                            <a:picLocks noChangeArrowheads="1"/>
                          </pic:cNvPicPr>
                        </pic:nvPicPr>
                        <pic:blipFill>
                          <a:blip r:embed="rId55"/>
                          <a:srcRect/>
                          <a:stretch>
                            <a:fillRect/>
                          </a:stretch>
                        </pic:blipFill>
                        <pic:spPr>
                          <a:xfrm>
                            <a:off x="0" y="0"/>
                            <a:ext cx="704215" cy="36576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无线收发模块，图形计算器专用配套无线信号收发器，轻便小巧。</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集成管理平台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88960" behindDoc="0" locked="0" layoutInCell="1" allowOverlap="1">
                  <wp:simplePos x="0" y="0"/>
                  <wp:positionH relativeFrom="column">
                    <wp:posOffset>19685</wp:posOffset>
                  </wp:positionH>
                  <wp:positionV relativeFrom="paragraph">
                    <wp:posOffset>128270</wp:posOffset>
                  </wp:positionV>
                  <wp:extent cx="765810" cy="361950"/>
                  <wp:effectExtent l="19050" t="0" r="0" b="0"/>
                  <wp:wrapNone/>
                  <wp:docPr id="970" name="图片_35"/>
                  <wp:cNvGraphicFramePr/>
                  <a:graphic xmlns:a="http://schemas.openxmlformats.org/drawingml/2006/main">
                    <a:graphicData uri="http://schemas.openxmlformats.org/drawingml/2006/picture">
                      <pic:pic xmlns:pic="http://schemas.openxmlformats.org/drawingml/2006/picture">
                        <pic:nvPicPr>
                          <pic:cNvPr id="970" name="图片_35"/>
                          <pic:cNvPicPr>
                            <a:picLocks noChangeArrowheads="1"/>
                          </pic:cNvPicPr>
                        </pic:nvPicPr>
                        <pic:blipFill>
                          <a:blip r:embed="rId56"/>
                          <a:srcRect/>
                          <a:stretch>
                            <a:fillRect/>
                          </a:stretch>
                        </pic:blipFill>
                        <pic:spPr>
                          <a:xfrm>
                            <a:off x="0" y="0"/>
                            <a:ext cx="765810" cy="36195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★平台连接电脑后能够一次为10 台图形计算器进行充电、操作系统升级或文件传输等工作，实现集中管理，免去教师对于课堂使用和课后设备管理的后顾之忧。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★与中文彩屏图形计算器同品牌，以保证质量及兼容性。</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547"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无线导航系统+AP</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89984" behindDoc="0" locked="0" layoutInCell="1" allowOverlap="1">
                  <wp:simplePos x="0" y="0"/>
                  <wp:positionH relativeFrom="column">
                    <wp:posOffset>107950</wp:posOffset>
                  </wp:positionH>
                  <wp:positionV relativeFrom="paragraph">
                    <wp:posOffset>138430</wp:posOffset>
                  </wp:positionV>
                  <wp:extent cx="583565" cy="494030"/>
                  <wp:effectExtent l="19050" t="0" r="6985" b="0"/>
                  <wp:wrapNone/>
                  <wp:docPr id="969" name="图片_36"/>
                  <wp:cNvGraphicFramePr/>
                  <a:graphic xmlns:a="http://schemas.openxmlformats.org/drawingml/2006/main">
                    <a:graphicData uri="http://schemas.openxmlformats.org/drawingml/2006/picture">
                      <pic:pic xmlns:pic="http://schemas.openxmlformats.org/drawingml/2006/picture">
                        <pic:nvPicPr>
                          <pic:cNvPr id="969" name="图片_36"/>
                          <pic:cNvPicPr>
                            <a:picLocks noChangeArrowheads="1"/>
                          </pic:cNvPicPr>
                        </pic:nvPicPr>
                        <pic:blipFill>
                          <a:blip r:embed="rId57"/>
                          <a:srcRect/>
                          <a:stretch>
                            <a:fillRect/>
                          </a:stretch>
                        </pic:blipFill>
                        <pic:spPr>
                          <a:xfrm>
                            <a:off x="0" y="0"/>
                            <a:ext cx="583565" cy="49403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一、 演示功能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截取屏幕：可以截取全班或部分学生屏幕，截屏可以任意的放大缩小。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实时演示：实时演示的同时可以把学生的操作过程录制成视频，并能记录操作按键顺序，能回放或共享。</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截屏和实时演示无延迟感，保证课堂时间及教学过程流畅。</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二、 管理功能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班级管理系统：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1.由电脑软件统一输入学生中文姓名，用户名，ID等内容，并可以选择显示内容。要求中文实名登录管理，帮助教师实现点对点教学方式。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2.实现分班管理，设定若干个班，每班成员固定，采集数据独立。符合教师多班授课模式。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3.学生管理平台界面人性化，学生姓名可中文实名或匿名显示；有平铺、列表等多种显示方式。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4.可实时监控每位学生的连线状态，帮助教师实时了解学生情况。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★课堂控制：锁屏功能：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控制手持计算器实现暂停使用，锁死学生机键盘，亦可一键恢复学生机正常使用，方便课堂控制。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★课件传输与收集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可以直接发送教师成品课件或探究课件到学生手持机，供学生探究学习。并能采集回学生手持机中的探究结果及操作过程。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无线课堂导航系统软件的功能集图形计算器教师软件与无线导航软件于一身，实现无线课堂的教学和师生的互动；可管理在无线接收平台指定教室内的图形计算器，数量≥60</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416"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教师版单机软件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91008" behindDoc="0" locked="0" layoutInCell="1" allowOverlap="1">
                  <wp:simplePos x="0" y="0"/>
                  <wp:positionH relativeFrom="column">
                    <wp:posOffset>119380</wp:posOffset>
                  </wp:positionH>
                  <wp:positionV relativeFrom="paragraph">
                    <wp:posOffset>161290</wp:posOffset>
                  </wp:positionV>
                  <wp:extent cx="613410" cy="499745"/>
                  <wp:effectExtent l="19050" t="0" r="0" b="0"/>
                  <wp:wrapNone/>
                  <wp:docPr id="968" name="图片_37"/>
                  <wp:cNvGraphicFramePr/>
                  <a:graphic xmlns:a="http://schemas.openxmlformats.org/drawingml/2006/main">
                    <a:graphicData uri="http://schemas.openxmlformats.org/drawingml/2006/picture">
                      <pic:pic xmlns:pic="http://schemas.openxmlformats.org/drawingml/2006/picture">
                        <pic:nvPicPr>
                          <pic:cNvPr id="968" name="图片_37"/>
                          <pic:cNvPicPr>
                            <a:picLocks noChangeArrowheads="1"/>
                          </pic:cNvPicPr>
                        </pic:nvPicPr>
                        <pic:blipFill>
                          <a:blip r:embed="rId58"/>
                          <a:srcRect/>
                          <a:stretch>
                            <a:fillRect/>
                          </a:stretch>
                        </pic:blipFill>
                        <pic:spPr>
                          <a:xfrm>
                            <a:off x="0" y="0"/>
                            <a:ext cx="613410" cy="49974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支持Windows操作系统和Mac OS操作系统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可以实现课件制作、保存、拷贝和网上发布，方便教师下载、编辑，以实现教师间的交流共享。</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可以通过复制、粘贴的简单方式，插入文本、图片、视频和所有图形计算器程序。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教师可以向全班演示，学生们则可以轻松地跟进老师的教学内容。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可同时对至少50台图形计算器进行操作系统升级、文件传输等日常维护工作。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该软件能够与所有电子白板和数字投影仪兼容使用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8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三维立体几何模型教学系统</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包含不低于100种以上的几何体和点线面关系演示内容；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可以实现几何截面的上下、水平移动，可以在任意位置上停止并可以实现复位，能够表现平面截取几何体的过程和截面形状；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通过勾选项就能实现几何体特定部位的隐藏或显现，如对角线/高度线/中线等辅助线、辅助面，并可以实现几何体本身的隐藏或显现；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可以直观展示几何定理（例如：祖暅原理）并运用其解决数学难点；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能够测量和计算模型的体积，并进行相关实验；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能够实现几何体外表面展开与复原，可以展示几何体的动态变化，如三维旋转、扭动、分离以及几何体的内接关系；</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可以直观演示生活中的常见几何原理运用，如接水管、修旋转楼梯；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通过灵活设置包括角度、周期、高、半径、边长、棱数、系数等参数，能够直接改变截面倾斜角度、函数运动周期、几何体大小，从而呈现出不同的几何体。</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图形计算器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教师用书</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人教版普通高中数学课程标准实验教科书，</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必修模块配套教学资源，教师用书</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（与图形计算器配套），</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必须是人民教育出版社正式出版。</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图形计算器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学生用书</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人教版普通高中数学课程标准实验教科书，必修模块配套教学资源，学生用书（与图形计算器配套），必须是人民教育出版社正式出版。</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图形计算器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操作手册</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★人教版普通高中数学课程标准实验教科书，必修模块配套教学资源，操作手册（与图形计算器配套），必须是人民教育出版社正式出版。</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23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移动教学车</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92032" behindDoc="0" locked="0" layoutInCell="1" allowOverlap="1">
                  <wp:simplePos x="0" y="0"/>
                  <wp:positionH relativeFrom="column">
                    <wp:posOffset>97790</wp:posOffset>
                  </wp:positionH>
                  <wp:positionV relativeFrom="paragraph">
                    <wp:posOffset>179705</wp:posOffset>
                  </wp:positionV>
                  <wp:extent cx="582295" cy="507365"/>
                  <wp:effectExtent l="19050" t="0" r="8255" b="0"/>
                  <wp:wrapNone/>
                  <wp:docPr id="967" name="图片_38"/>
                  <wp:cNvGraphicFramePr/>
                  <a:graphic xmlns:a="http://schemas.openxmlformats.org/drawingml/2006/main">
                    <a:graphicData uri="http://schemas.openxmlformats.org/drawingml/2006/picture">
                      <pic:pic xmlns:pic="http://schemas.openxmlformats.org/drawingml/2006/picture">
                        <pic:nvPicPr>
                          <pic:cNvPr id="967" name="图片_38"/>
                          <pic:cNvPicPr>
                            <a:picLocks noChangeArrowheads="1"/>
                          </pic:cNvPicPr>
                        </pic:nvPicPr>
                        <pic:blipFill>
                          <a:blip r:embed="rId59"/>
                          <a:srcRect/>
                          <a:stretch>
                            <a:fillRect/>
                          </a:stretch>
                        </pic:blipFill>
                        <pic:spPr>
                          <a:xfrm>
                            <a:off x="0" y="0"/>
                            <a:ext cx="582295" cy="50736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产品尺寸：不小于550×500×980 ㎜ ,提供移动教学并可为设备充电，使普通教室成为专业无线数学实验室，方便教学管理。内部可放置 6 个集成智能管理平台及 60 个图形计算器，预留笔记本、无线发射模块位置。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技术参数：全钢结构，钢板厚度不小于 1mm，带贯穿式天地锁，上盖采用侧翻式结构，增加台面有效使用面积。前柜门采用进口或者国产知名 kav 铰链实现打开 270°，便于教学使用。采用薄膜触摸式电源开关及指示灯，外部配有 220V 电源插座可供笔记本等设备使用，内部装备漏电保护装置及自动散热系统。配有金属推车把手，移动静音脚轮（前面为定向轮，后面为万向轮可自锁）内部可抽拉三层隔板采用 DTC 三节优质滑轨，含有一个抽屉。表面采用进口塑粉喷涂。</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资料查询机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商用品牌一体机电脑台式全套灵越5400。11代I5/8G内存/256G固态+1TB机械硬盘/MX330显卡2G/高清23.8寸/内置摄像头/内置扬声器、麦克风/内置无线WIFI6网卡/内置蓝牙/原装Dell无线键鼠套装/win10/3年上门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仿宋" w:hAnsi="仿宋" w:eastAsia="仿宋" w:cs="仿宋"/>
                <w:color w:val="000000" w:themeColor="text1"/>
                <w:sz w:val="24"/>
              </w:rPr>
              <w:t>86吋智能交互平板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配置参数详见附件3</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推拉式绿板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配置参数详见附件4</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公告栏</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软木板材质，加厚边框。（尺寸依据投标人的设计效果进行调整）</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6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移动讲台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93056" behindDoc="0" locked="0" layoutInCell="1" allowOverlap="1">
                  <wp:simplePos x="0" y="0"/>
                  <wp:positionH relativeFrom="column">
                    <wp:posOffset>119380</wp:posOffset>
                  </wp:positionH>
                  <wp:positionV relativeFrom="paragraph">
                    <wp:posOffset>50800</wp:posOffset>
                  </wp:positionV>
                  <wp:extent cx="607060" cy="612140"/>
                  <wp:effectExtent l="19050" t="0" r="2540" b="0"/>
                  <wp:wrapNone/>
                  <wp:docPr id="966" name="ID_711F099430C6487EBCEB72566F6F0747_SpCnt_2"/>
                  <wp:cNvGraphicFramePr/>
                  <a:graphic xmlns:a="http://schemas.openxmlformats.org/drawingml/2006/main">
                    <a:graphicData uri="http://schemas.openxmlformats.org/drawingml/2006/picture">
                      <pic:pic xmlns:pic="http://schemas.openxmlformats.org/drawingml/2006/picture">
                        <pic:nvPicPr>
                          <pic:cNvPr id="966" name="ID_711F099430C6487EBCEB72566F6F0747_SpCnt_2"/>
                          <pic:cNvPicPr>
                            <a:picLocks noChangeArrowheads="1"/>
                          </pic:cNvPicPr>
                        </pic:nvPicPr>
                        <pic:blipFill>
                          <a:blip r:embed="rId60"/>
                          <a:srcRect/>
                          <a:stretch>
                            <a:fillRect/>
                          </a:stretch>
                        </pic:blipFill>
                        <pic:spPr>
                          <a:xfrm>
                            <a:off x="0" y="0"/>
                            <a:ext cx="607060" cy="61214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1、钢木结构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1.1台面：采用12.7mm厚双面膜耐腐蚀实芯理化板制作，四角倒R15圆角。耐酸、耐碱、耐高温，坚固耐用，防潮、无细孔、不膨胀、不龟裂、不变形、不导电、便于维护及具有良好的承重性能；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钢木结构：主框架采用40*40矩形管焊接而成，表面经酸洗磷化、纯环氧树脂塑粉高温固化处理，平整光滑，不允许有喷涂层脱落、鼓泡、凹陷、压痕以及表面划伤、麻点、裂痕、崩角和刃口等，切割、钻孔和倒角应去毛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柜身：柜身为悬柜，基材为16mm厚E1级实验室专用三聚氰胺板制作，柜身可任意移出，便捷、灵活性强。可见截面均经过PVC封边；贴面和封边部件应严密、平整，不允许脱胶、鼓泡、凹陷、压痕以及表面划伤、麻点、裂痕、崩角和刃口，外表的圆角、倒棱应均匀一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1.4：正前方设置可移动置物架，放置教案和教具；</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1.5桌脚：采用静音医用万向轮。</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2、整体尺寸：1200*600*900mm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14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学生探究桌</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94080" behindDoc="0" locked="0" layoutInCell="1" allowOverlap="1">
                  <wp:simplePos x="0" y="0"/>
                  <wp:positionH relativeFrom="column">
                    <wp:posOffset>120015</wp:posOffset>
                  </wp:positionH>
                  <wp:positionV relativeFrom="paragraph">
                    <wp:posOffset>172085</wp:posOffset>
                  </wp:positionV>
                  <wp:extent cx="501015" cy="433070"/>
                  <wp:effectExtent l="19050" t="0" r="0" b="0"/>
                  <wp:wrapNone/>
                  <wp:docPr id="965" name="图片_39"/>
                  <wp:cNvGraphicFramePr/>
                  <a:graphic xmlns:a="http://schemas.openxmlformats.org/drawingml/2006/main">
                    <a:graphicData uri="http://schemas.openxmlformats.org/drawingml/2006/picture">
                      <pic:pic xmlns:pic="http://schemas.openxmlformats.org/drawingml/2006/picture">
                        <pic:nvPicPr>
                          <pic:cNvPr id="965" name="图片_39"/>
                          <pic:cNvPicPr>
                            <a:picLocks noChangeArrowheads="1"/>
                          </pic:cNvPicPr>
                        </pic:nvPicPr>
                        <pic:blipFill>
                          <a:blip r:embed="rId61"/>
                          <a:srcRect/>
                          <a:stretch>
                            <a:fillRect/>
                          </a:stretch>
                        </pic:blipFill>
                        <pic:spPr>
                          <a:xfrm>
                            <a:off x="0" y="0"/>
                            <a:ext cx="501015" cy="43307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钢木桌.尺寸：桌面1200*600*740mm，桌面厚度≥50mm,桌面材质：进口或者国产知名松木原木，桌面长条拼缝非指接表面非贴皮，环保油漆，原木颜色，桌脚材质：冷轧方钢50*50mm，厚度不少于1mm,桌脚表面涂装：所有金属部件经过流水线抛丸工艺除锈和高温除油处理，采用静电喷塑高温固化，使涂层与金属表面的附着力更强，耐腐蚀，不易脱落。涂层需光滑均匀，色泽一致，需无流挂、疙瘩、皱皮、飞漆。涂层需平整光滑、清晰，需无明显粒子、涨边现象；应无明显加工痕迹、划痕、雾光、白棱、白点、鼓泡、油白、流挂、缩孔、刷毛、积粉和杂渣。</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4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学生建模桌</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95104" behindDoc="0" locked="0" layoutInCell="1" allowOverlap="1">
                  <wp:simplePos x="0" y="0"/>
                  <wp:positionH relativeFrom="column">
                    <wp:posOffset>163195</wp:posOffset>
                  </wp:positionH>
                  <wp:positionV relativeFrom="paragraph">
                    <wp:posOffset>106680</wp:posOffset>
                  </wp:positionV>
                  <wp:extent cx="556895" cy="523875"/>
                  <wp:effectExtent l="19050" t="0" r="0" b="0"/>
                  <wp:wrapNone/>
                  <wp:docPr id="964" name="图片_40"/>
                  <wp:cNvGraphicFramePr/>
                  <a:graphic xmlns:a="http://schemas.openxmlformats.org/drawingml/2006/main">
                    <a:graphicData uri="http://schemas.openxmlformats.org/drawingml/2006/picture">
                      <pic:pic xmlns:pic="http://schemas.openxmlformats.org/drawingml/2006/picture">
                        <pic:nvPicPr>
                          <pic:cNvPr id="964" name="图片_40"/>
                          <pic:cNvPicPr>
                            <a:picLocks noChangeArrowheads="1"/>
                          </pic:cNvPicPr>
                        </pic:nvPicPr>
                        <pic:blipFill>
                          <a:blip r:embed="rId62"/>
                          <a:srcRect/>
                          <a:stretch>
                            <a:fillRect/>
                          </a:stretch>
                        </pic:blipFill>
                        <pic:spPr>
                          <a:xfrm>
                            <a:off x="0" y="0"/>
                            <a:ext cx="556895" cy="52387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钢木桌.尺寸：桌面1600*600*750mm，桌面厚度≥50mm,桌面材质：进口或者国产知名松木原木，桌面长条拼缝非指接表面非贴皮，环保油漆，原木颜色，桌脚材质：冷轧方钢50*50mm，厚度不少于1mm,桌脚表面涂装：所有金属部件经过流水线抛丸工艺除锈和高温除油处理，采用静电喷塑高温固化，使涂层与金属表面的附着力更强，耐腐蚀，不易脱落。涂层需光滑均匀，色泽一致，需无流挂、疙瘩、皱皮、飞漆。涂层需平整光滑、清晰，需无明显粒子、涨边现象；应无明显加工痕迹、划痕、雾光、白棱、白点、鼓泡、油白、流挂、缩孔、刷毛、积粉和杂渣。</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4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交流探讨桌</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96128" behindDoc="0" locked="0" layoutInCell="1" allowOverlap="1">
                  <wp:simplePos x="0" y="0"/>
                  <wp:positionH relativeFrom="column">
                    <wp:posOffset>108585</wp:posOffset>
                  </wp:positionH>
                  <wp:positionV relativeFrom="paragraph">
                    <wp:posOffset>128905</wp:posOffset>
                  </wp:positionV>
                  <wp:extent cx="501650" cy="413385"/>
                  <wp:effectExtent l="19050" t="0" r="0" b="0"/>
                  <wp:wrapNone/>
                  <wp:docPr id="963" name="图片_41"/>
                  <wp:cNvGraphicFramePr/>
                  <a:graphic xmlns:a="http://schemas.openxmlformats.org/drawingml/2006/main">
                    <a:graphicData uri="http://schemas.openxmlformats.org/drawingml/2006/picture">
                      <pic:pic xmlns:pic="http://schemas.openxmlformats.org/drawingml/2006/picture">
                        <pic:nvPicPr>
                          <pic:cNvPr id="963" name="图片_41"/>
                          <pic:cNvPicPr>
                            <a:picLocks noChangeArrowheads="1"/>
                          </pic:cNvPicPr>
                        </pic:nvPicPr>
                        <pic:blipFill>
                          <a:blip r:embed="rId63"/>
                          <a:srcRect/>
                          <a:stretch>
                            <a:fillRect/>
                          </a:stretch>
                        </pic:blipFill>
                        <pic:spPr>
                          <a:xfrm>
                            <a:off x="0" y="0"/>
                            <a:ext cx="501650" cy="41338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美式实木会议桌.尺寸：桌面2800*1200*750mm，桌面厚度≥50mm,桌面桌脚材质：新西兰松木，桌面长条拼缝非指接表面非贴皮，榫卯结构，环保油漆，原木颜色</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学生凳</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配置参数详见附件1</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把</w:t>
            </w:r>
          </w:p>
        </w:tc>
      </w:tr>
      <w:tr>
        <w:tblPrEx>
          <w:tblCellMar>
            <w:top w:w="0" w:type="dxa"/>
            <w:left w:w="108" w:type="dxa"/>
            <w:bottom w:w="0" w:type="dxa"/>
            <w:right w:w="108" w:type="dxa"/>
          </w:tblCellMar>
        </w:tblPrEx>
        <w:trPr>
          <w:trHeight w:val="13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数学模型展示柜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4500*500*2000mm。1.基材：采用优质E0级双面免漆多层板板材，采用2mm厚封边条、柜体侧板（除与地面接触边）、柜体顶板、门板、抽面板等可见处采用2mm厚封边条，其余部位封1mm封边条。板件之间采用三合一连接和木梢的方式连接固定。</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4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展示书柜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2000*400*2000mm。1.基材：采用优质E0级双面免漆多层板板材，采用2mm厚封边条、柜体侧板（除与地面接触边）、柜体顶板、门板、抽面板等可见处采用2mm厚封边条，其余部位封1mm封边条。板件之间采用三合一连接和木梢的方式连接固定。</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8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教师办公桌</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97152" behindDoc="0" locked="0" layoutInCell="1" allowOverlap="1">
                  <wp:simplePos x="0" y="0"/>
                  <wp:positionH relativeFrom="column">
                    <wp:posOffset>131445</wp:posOffset>
                  </wp:positionH>
                  <wp:positionV relativeFrom="paragraph">
                    <wp:posOffset>157480</wp:posOffset>
                  </wp:positionV>
                  <wp:extent cx="484505" cy="499110"/>
                  <wp:effectExtent l="19050" t="0" r="0" b="0"/>
                  <wp:wrapNone/>
                  <wp:docPr id="962" name="图片_42"/>
                  <wp:cNvGraphicFramePr/>
                  <a:graphic xmlns:a="http://schemas.openxmlformats.org/drawingml/2006/main">
                    <a:graphicData uri="http://schemas.openxmlformats.org/drawingml/2006/picture">
                      <pic:pic xmlns:pic="http://schemas.openxmlformats.org/drawingml/2006/picture">
                        <pic:nvPicPr>
                          <pic:cNvPr id="962" name="图片_42"/>
                          <pic:cNvPicPr>
                            <a:picLocks noChangeArrowheads="1"/>
                          </pic:cNvPicPr>
                        </pic:nvPicPr>
                        <pic:blipFill>
                          <a:blip r:embed="rId64"/>
                          <a:srcRect/>
                          <a:stretch>
                            <a:fillRect/>
                          </a:stretch>
                        </pic:blipFill>
                        <pic:spPr>
                          <a:xfrm>
                            <a:off x="0" y="0"/>
                            <a:ext cx="484505" cy="49911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钢木桌.尺寸：桌面1400*700*750mm，桌面厚度≥50mm,桌面材质：进口或者国产知名松木原木，桌面长条拼缝非指接表面非贴皮，环保油漆，原木颜色，桌脚材质：冷轧方钢50*50mm，厚度不少于1mm,桌脚表面涂装：所有金属部件经过流水线抛丸工艺除锈和高温除油处理，采用静电喷塑高温固化，使涂层与金属表面的附着力更强，耐腐蚀，不易脱落。涂层需光滑均匀，色泽一致，需无流挂、疙瘩、皱皮、飞漆。涂层需平整光滑、清晰，需无明显粒子、涨边现象；应无明显加工痕迹、划痕、雾光、白棱、白点、鼓泡、油白、流挂、缩孔、刷毛、积粉和杂渣。配置实木牛角椅一把，3抽屉矮柜一个</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蓝牙音箱无线咪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配置参数详见附件5</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无线AP</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配置参数详见附件6</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窗帘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双道窗帘，里道为优质加厚棉麻布料制作的全遮光帘（包括窗轨），外道为高级无纺布彩色喷绘定制，在窗帘上印制相关知识内容，集教学、观赏为一体的卷帘；含窗帘图文设计与安装，不含窗帘盒。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室</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主题墙展示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尺寸：2400*2500mm内容设计与排版，内容要求满足整体设计要求，材质采用高强度高弗板，贴高清写真画面。含人工。</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作品展示墙</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尺寸：2400*2500mm双面磁性背胶铁皮，毛毡，磁钉。含墙面找平，装饰墙装修。</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面</w:t>
            </w:r>
          </w:p>
        </w:tc>
      </w:tr>
      <w:tr>
        <w:tblPrEx>
          <w:tblCellMar>
            <w:top w:w="0" w:type="dxa"/>
            <w:left w:w="108" w:type="dxa"/>
            <w:bottom w:w="0" w:type="dxa"/>
            <w:right w:w="108" w:type="dxa"/>
          </w:tblCellMar>
        </w:tblPrEx>
        <w:trPr>
          <w:trHeight w:val="10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立式空调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1、★3匹不少于3级能效冷暖立柜式空调。★整机10年厂家免费上门质保,具体参数规格详细见附件7.</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2、注：如果没有空调的冷凝水PVC排水管到地面，则需要安装空调冷凝水水管50PVCU到地面排水沟里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十一、美术学科陶艺专用教室清单</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设备名称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技术参数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15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硅碳棒电窑</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外观框架尺寸：W740*D1120*H1400(mm)（含温控器）</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炉膛内部尺寸： W360*D410*H550(mm)</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容积：0.07m³</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重量：≈430kg</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开门方式：侧开门</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xml:space="preserve">电压：380±10%  </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电流： 36A</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额定功率： 8KW</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xml:space="preserve">最高工作温度：1450℃ </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xml:space="preserve">常规工作温度：1240℃ </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空开建议： 3P/63A</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线径： 10平方国标铜芯线（地线6平方）</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用途：主要用于常规作品氧化烧制</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棚板尺寸： 30*34（cm）</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1.炉丝：采用硅碳棒发热，发热最高温度可达1450度；</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2.保温砖：采用低导热率、低热容及低杂质含量的高品质莫来石砖，具有节能、耐用、环保的特点，吸热量小，保证窑炉内部热量最大程度作用在作品上，提升作品的良品率。莫来石砖氧化铝含量55%，体积密度0.8g/cm3，使得窑炉蓄热性差。常温耐压强度≥2MPa，高温强压的工作状态下气氛适应性更强，延长使用寿命；加工工艺采用数控机械进行精密加工，表面平整均一、尺寸误差小，准确控制炉丝与内衬间距，炉膛美观、结实耐用。</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3.温控器：窑炉控制器采用最新一代的控制器，采用人工智能调节PID控制算法，全程用中文和数字形式呈现，界面提示更直观，简单快捷；温控器内部可存储24段烧成曲线，具有断电自动续烧功能和记忆存储功能，可自由设置烧制曲线。界面集成电流电压显示功能，自带一键烧成按键，可在2秒内完成四个常用曲线的烧制设置。软件控制系统符合《计算机软件保护条例》和《计算机软件著作权登记办法》的规定且提供由中华人民共和国国家版权局出具的计算机软件著作权登记证书复印件并加盖制造商公章。</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4.炉体材质：采用国标Q235冷轧板，板材厚度1.2mm,门板材厚度2.5mm，表面采用两遍底漆两遍面漆的加工工艺，防锈耐高温，内部经过防锈处理，耐热防锈，坚固稳定；产品成型采用专业工控夹具治具以及检具对产品进行制程控制，主体框架结构稳定，安全可靠。</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5.铰链结构：铰链座插设于凹槽内的一端开设有开口槽，当顺时针转动操作把手使得炉门铰接端紧密贴合于炉体时，该开口槽可插接到钢板的两侧，使得炉门无法打开，起到闭锁的作用，提供有资质的第三方检测机构出具的检测报告或提供质量检验检测机构或者知识产权机构出具的证明文件；</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6.窑炉外壁：设有空气隔热层，有效确保外壁的使用寿命，使窑炉外的表面温度控制在安全水平，确保使用过程的安全性.</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窑具</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规格参数：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棚板30cm*34cm：8块（8层）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马脚5cm：20个（5层）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马脚8cm：16个（4层）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马脚10cm：12个（3层）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马脚18cm：8个（2层）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功能特点：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1、热传导度极大，高温抗侵蚀特优，耐磨耗性极优。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2、使用烧成的温度范围宽：可在800℃-1450℃的范围内使用。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3、产品强度高，厚度薄，可以最大限度的提高窑炉的利用率和能源的节约率。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4、陶艺作品烧制时用于棚板的支柱。</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416"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可手机控制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急速降温高温电窑</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外形尺寸：不小于W1250*D1500*H1450(mm)（含温控器）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炉膛尺寸：不小于W620*D750*H650(mm)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棚板尺寸：28*34（cm）*4块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输入电压：AC380v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功率：24kw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工作电流：36A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棚板尺寸：280*340*4块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建议空开：3P/100A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线径：10平方铜芯线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常规工作范围：0-1300℃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容   积：0.3m³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炉丝：采用特制的合金电阻丝，最高温度可达1300度,使用寿命长、表面负荷高、抗氧化性能好；采用内嵌式结构，更安全耐用。炉丝以国标电热合金丝为原料，富含26.8%的铬和1.8%的钼金属含量，具有抗高温、升温快、热效应高的效果，使得窑炉工作温度可达1240-1260°C，可延长使用寿命。炉丝线径4.0MM；成型工艺采用计算机软件精准控制炉丝每段的毫米级功率，并且通过自动高速缠绕机进行高温快速一次性缠绕成型，该工艺确保炉丝的精密度高、螺距均匀、表面光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保温砖：采用低导热率、低热容及低杂质含量的高品质莫来石砖，具有节能、耐用、环保的特点，吸热量小，保证窑炉内部热量最大程度作用在作品上，提升作品的良品率。莫来石砖氧化铝含量55%，体积密度0.8g/cm3，使得窑炉蓄热性差。常温耐压强度≥2MPa，高温强压的工作状态下气氛适应性更强，延长使用寿命；加工工艺采用数控机械进行精密加工，表面平整均一、尺寸误差小，准确控制炉丝与内衬间距，炉膛美观、结实耐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温控器：窑炉控制器采用最新一代的控制器，采用人工智能调节PID控制算法，内置自动烧成曲线，一键操作。全程用中文和数字形式呈现，界面提示更直观，简单快捷；温控器采用可触摸式液晶屏，内部预设四个程序，可一键烤花、低温、中温、高温烧制。全程实时监控数据，并可用USB将数据导出。软件控制系统符合《计算机软件保护条例》和《计算机软件著作权登记办法》的规定且提供由中华人民共和国国家版权局出具的计算机软件著作权登记证书复印件并加盖制造商公章。</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炉体材质：采用国标Q235冷轧板，板材厚度1.2mm,门板材厚度2.5mm，表面采用两遍底漆两遍面漆的加工工艺，防锈耐高温，内部经过防锈处理，耐热防锈，坚固稳定；产品成型采用专业工控夹具治具以及检具对产品进行制程控制，主体框架结构稳定，安全可靠。</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铰链结构：铰链座插设于凹槽内的一端开设有开口槽，当顺时针转动操作把手使得炉门铰接端紧密贴合于炉体时，该开口槽可插接到钢板的两侧，使得炉门无法打开，起到闭锁的作用，提供有资质的第三方检测机构出具的检测报告或提供质量检验检测机构或者知识产权机构出具的证明文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6.窑炉外壁：设有空气隔热层，有效确保外壁的使用寿命，使窑炉外的表面温度控制在安全水平，确保使用过程的安全性.</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窑具</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规格参数：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棚板28cm*34cm：36块(4块/层)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马脚5cm：27个（3层）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马脚8cm：54个（6层）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马脚10cm：45个（5层）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马脚18cm：24个（3层）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功能特点：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1、热传导度极大，高温抗侵蚀特优，耐磨耗性极优。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2、使用烧成的温度范围宽：可在800℃-1450℃的范围内使用。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3、产品强度高，厚度薄，可以最大限度的提高窑炉的利用率和能源的节约率。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4、陶艺作品烧制时用于棚板的支柱。</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1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窑具收纳车</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 xml:space="preserve">外形尺寸：不小于700*560*460mm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1、窑具一车收纳，规整码放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2、安装360°旋转轮，方便随意移动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3、最大可放宽度为52cm的棚板。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4、采用杉木材质，具有防腐作用。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辆</w:t>
            </w:r>
          </w:p>
        </w:tc>
      </w:tr>
      <w:tr>
        <w:tblPrEx>
          <w:tblCellMar>
            <w:top w:w="0" w:type="dxa"/>
            <w:left w:w="108" w:type="dxa"/>
            <w:bottom w:w="0" w:type="dxa"/>
            <w:right w:w="108" w:type="dxa"/>
          </w:tblCellMar>
        </w:tblPrEx>
        <w:trPr>
          <w:trHeight w:val="9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DD拉坯机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外型框架尺寸：不小于685*640*300-400(mm)（含水盆高度）</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(最低和最高高度均不包括水盆)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支脚：可调节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电压：220V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功率：400W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转盘转速：0～300r/min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转盘直径：315mm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整机噪音：≤39.19dB（提供第三方检测报告）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电机：采用DD直驱电机，通过主板程序软件控制，使电机可达到低速3转/分钟，且最低速运行的状态下仍可以运转流畅不卡顿。通过线性加减速控制系统使电机运行精准，加减速无延时。通过控制器和主控面板双向调节，可以急启急停，且急停后不会出现回摆造成坯体变形。经过专业静音房测试，电机噪音控制在39.19dB以下，有效降低整个拉坯作业噪声。大扭力输出，可根据负载自动补偿扭矩，扭矩补偿最大输出功率可达800W，最低转速下单手也无法抓停电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2工艺：三角支撑，且面板框架使用ABS塑胶料，开发专用模具，采用350吨的注塑机一次注塑成型。核心部件全封闭结构，水盆可拆卸；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★4、水盆：使用无卡位磁吸式水盆，可旋转360度，组装过程中不需要对准卡位，提供有资质的第三方检测机构出具的检测报告或提供质量检验检测机构或者知识产权机构出具的证明文件；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5、脚踏板：拉坯机踏板下踏板上开有磁铁插入孔，磁铁插入孔为矩形并与霍尔元件固定座相邻，提供有资质的第三方检测机构出具的检测报告或提供质量检验检测机构或者知识产权机构出具的证明文件；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5、安全性：航空插头智能漏电保护装置，使用过程防护更安全。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4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实木拉坯凳</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长27宽23高30厘米厚2.5cm。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★材质：进口或者国产知名橡胶木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1、适合儿童拉坯和在高度在30cm左右的拉坯机上拉坯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★2、全实木打造，木材质地均匀，纹理清晰，厚实稳重，坚固耐用，色调柔和流畅，环保油漆，采用入榫式接口，加厚免钉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3、加宽凳面，提供从容坐感，外形圆润，线条利落，边角不失圆润感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★4、凳脚配搭脚垫，使凳子静音防滑</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20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真空双轴练泥机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外形尺寸：不小于L1300*W430*H880（mm）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出泥口直径：70mm；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总功率：1.65KW；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螺旋片送料轴转速：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0～35r/min无极变频调速；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抽真空度：-0.085Mpa；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练泥产量：0～270KG/H；</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备注：标配接泥凳1个。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 减速系统：采用三相异步电机驱动，该电机具有高效节能，启动转矩大，噪音低，结构合理，运行可靠，外形美观大方的特点。电机防护等级IP54,额定功率1.1KW,满载时电流2.9A，效率75.0%，功率因素（cos¢)0.77.额定转矩7.5N.m。 为减速机提供可靠稳定的动力，产品安全，稳定可靠。</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2.工艺：用国标优质钢材，表面质量好，光洁度高，具有优良的焊接和喷涂性能；混泥箱采用优质铝合金一体成型，结构稳定，练泥轴采用304不锈钢材质，具有良好的耐蚀性、耐热性，低温强度和机械特性。投泥口采用高强度亚克力板与高分子材料加工而成，外表美观透明，方便实用、安全保湿。出泥口采用质地柔软、密封好的高分子材料制作而成，安全保湿、方便实用。且外观采用高温金属烤漆技术，表面具备色泽美观、安全可靠、附着力强的特点，同时具备耐磨性高、耐候性强的特性。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4.泥桶：采用铝合金材料一体成型，有效保持泥桶强度。其中铝材质占比95%以上， 铝合金材质具有质地轻、耐腐蚀、氧化性要求高、加工性佳的特性，使练泥机泥桶结构坚固耐用。储泥箱封盖使用高分透明材料加工成型，光线透过率为90%以上，耐电绝缘力达到20V/MM。且可拆卸结构，便于清理泥筒内积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5、电机：动力系统采用变频器驱动电机，效率高，能耗低，环保节能。采用变频器控制，可实现无极调速，提高练泥产量和质量。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6.安全性：采用全封闭设计，安全性高、体积小、重量轻、噪音低。且通过变频器和减速机对电机进行过载保护，安全可靠，稳定性高，维护、维修便捷。</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20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气动泥条机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外形尺寸：不小于500*500*1680（mm）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电压：220v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功率：550w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泥筒直径：100mm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泥筒长度：300mm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模块数量：8块　PP板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泥筒材质：304不锈钢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备注：标配：8款PP模板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1.产品采用空气压缩装置（空压机）驱动，气压连接脚踏板控制，可提供高至150磅的压力。可快速、便捷、自由更换模具形状模板，流畅挤压出各种形状泥条（随机附带8款形状各异泥条模板造型）。储泥筒采用304不锈钢无缝钢管加工成型，避免生锈，装有安全闭锁防护盖板，安全可靠。2.泥条机框架采用国标优质钢材，结构刚性强，表面质量好，光洁度高，具有优良的焊接和喷涂性能；储泥筒采用304不锈钢无缝钢管制作，其中镍含量≥8%，铬含量≧18%.该材质具有良好的耐蚀性、耐热性，低温强度和机械特性；冲压、弯曲等热加工性好，坚固耐用，整洁美观，模板材料使用高分子材料加厚PP制作，抗冲强度高，耐候性强，整洁美观。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3.泥条机框架喷涂采用高温金属烤漆技术，表面具备色泽美观、安全可靠、附着力强的特点，同时具备耐磨性高、耐候性强的特性。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4.空压机采用无油空压机，不需要使用空压机油，节约成本。开机后噪音在60分贝左右，采用进口自润滑材料，整机设计寿命超过10年，安全稳定、节能环保。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5.支架底部装有带脚刹的万向轮，可以自由移动，方便搬运。 </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436"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双轴泥板机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外型尺寸：不小于1020*750*1100（mm）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泥板厚度：0~60mm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手轮直径：600mm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重量：≈49㎏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颜色：灰白色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采用封闭式机械盒，安全美观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备注：标配：1块压泥布0.55*1.2米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1.泥板机框架采用DC01冷轧板，采用数控折弯机一次成型，有效控制折弯精度，使得整体结构一体化，有效防水，结构稳定。通过除油去锈抛光表面处理，使机身能在高低温环境中具备良好的焊接和喷涂性能，表面喷涂经过高温粉末静电处理，使结构表面呈现哑光高级质感，不藏灰易打理，防掉漆。更扎实，坚固耐用，运行更平稳。                         2.平台采用耐抗冲强度和耐候性高的高分子板材，在-20℃抗冲击强度达到130J/M. 该材料具有高流动性、光洁性、抗高温性佳的特性，使平台表面光滑平整，易于快速清洗。具有抗腐蚀性、耐用性、抗变形。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3.泥板机框架喷涂采用静电粉末喷涂技术，喷涂面厚度80-150UM, 涂层面具有色泽艳丽、安全可靠、附着力强的特点，同时具备节能高效、安全可靠的特点。泥板机大手轮采用手感漆喷涂，表面呈半哑光状态，手感细腻、平滑，外观雅致、庄重。耐划性、耐侯性、耐磨性优良。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4.产品采用上下双滚轴设计，利用同步齿轮进行传动设计，使传动更加顺畅，装有压泥厚度调节器，厚度0-60MM可调（附有厚度标尺）。采用大手轮驱动，运转时轻松省力，安全顺畅。支脚采用可拆卸式安装，并且增加了不锈钢可调节脚杯，可适应不同地面环境。  </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石膏车</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外形尺寸：不小于W730*L600*H900（mm）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石膏板尺寸：不小于W580*L580*H60（mm）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层数：2层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 石膏板：采用特制石膏粉，易于成型，结实耐用，吸水性好。该材料耐压370KG/CM2,膨胀率0.1%，引张14kg/cm2，不仅可以提高平台耐压强度，而且便于吸收作品水分。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工艺：框架喷漆为一次性完成底漆和面漆，表面色泽美观、安全可靠、附着力强的特点，同时具备耐磨性高、耐候性强的特性。框架材质为角铁，表面质量好，光洁度高，具有优良的焊接和喷涂性能；外形美观，结实耐用。底部装有万向轮，非常方便移动，并有安全闭锁盖板装置，安全有保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3.木框：用木框做石膏板包边，使石膏板边缘与石膏车不直接接触，消除了石膏车边缘生锈的问题，同时木框可移动，方便用户更换石膏板。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4.性能：石膏车分上下两层，可用于干燥泥板及拉坯捏雕作品，有效吸收作品水份。</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416"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多功能打浆机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外形尺寸：不小于宽W800*深D500*高H900mm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电压：AC220V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功率：375W直流电机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容积：40升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料筒尺寸：直径400mm*高度400mm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材质为304不锈钢桶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电机转速：0～300转无级调速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备注：标配打浆桶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 打浆机电机采用直流电机驱动，可实现0-300转无极调速，节能省电，大扭力输出，电机经过5万小时使用寿命测试，质量可靠稳定。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搅拌机框架采用DC01冷轧板，采用数控折弯机一次成型，有效控制折弯精度，使得整体结构一体化，有效防水，结构稳定。通过除油去锈抛光表面处理，使机身能在高低温环境中具备良好的焊接和喷涂性能，表面喷涂采用高温粉末静电喷涂，使结构表面呈现哑光高级质感，不藏灰易打理，防掉漆。更扎实，坚固耐用，运行更平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打浆桶和搅拌杆采用304不锈钢材质制作，其中镍含量≥8%，铬含量≧18%.该材质具有良好的耐蚀性、耐热性，低温强度和机械特性；冲压、弯曲等热加工性好，无热处理硬化现象。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打浆机驱动及速度控制系统采用无极变速，电机0～300转的无级调速控制，解决了定速搅拌机只有单一速度无法通过调速来满足各种混合液物料的搅拌要求而影响搅拌品质及搅拌时间过长的问题。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5.防漏电插头、防水开关、可调节支脚。</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5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施釉柜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外形尺寸：不小于W720*D780（不含风机）*H1600(mm)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外形尺寸：不小于W720*D1040（含风机）*H1600(mm)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电压：AC220V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频率：50HZ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功率：0.37KW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电流：1.7A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扬程：32M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流量：1.5m3/H</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电机转速：2860r/min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备注：标配：水枪、水管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 喷釉柜抽风机采用低噪声轴流式通风机，风量2000M3/h, 全压59Pa。该风机具有耗低、散热快、噪音低、节能环保，质量可靠稳定。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抽水泵采用单相自吸电泵，采用铸铁制成，旋涡式优质青铜叶轮，经过精细加工，使得该泵具有特高的压力。出水口径25MM，额定扬程35米，具有结构紧凑、重量轻、耗电省，使用维修方便、安全可靠等优点，并用特种高质量机械密封装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3.喷釉柜框架和平台采用304不锈钢材料成型，有效保持泥桶强度。其中镍含量≥8%，铬含量≧18%.该材质具有良好的耐蚀性、耐热性，低温强度和机械特性；冲压、弯曲等热加工性好，干净整洁，易于清理。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喷釉柜玻璃采用4MM加厚玻璃进行隔音吸尘处理，环保、安全、耐用。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5.采用水帘式循环除尘方式，使雾化后的釉料被吸入水中，减少空气污染的同时也减少对人体呼吸道及肺部的损害。</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4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喷釉三件套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 xml:space="preserve">1、空压机：型号：750w-30L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电压：220v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功率：750w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额定排气压力：0.7Mpa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公称容积流量：60L/min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转速：1380r/min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储气罐：30L</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外形尺寸：不小于63*27.5*62.5cm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2、连接软管（带阀门和转接头）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尺寸：长20cm  直径：8mm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3、不堵塞喷釉壶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容量：450ml</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重量：≈0.35kg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材质：铝</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工作气压：0.3-0.4（mpa）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喷涂距离：200mm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喷洒面积：≥30mm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规格：直径：8cm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总高：16cm   </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4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磨底机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产品功率：375W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产品正反转：可正反转</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电压：220V数显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转盘转速：1400转/分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产品转盘：200mm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产品材料：钢板折弯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产品尺寸：不小于350*350*350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 电机：采用单相异步电机，防护等级IP44,电流2.17A，绝缘等级B级全铜电机。该电机具有耗低、散热快、噪音低、节能环保，质量可靠稳定。且大功率电，可正反转。</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磨片：采用橡胶金刚砂磨片，运行平稳，磨底更光滑。</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工艺：钣金采用国标冷轧板，采用数控折弯机一次成型，有效控制折弯精度，使得整体结构一体化，外观美观，结构稳定，有效避免陶瓷粉末对电机的损坏。表面喷涂采用高温烤漆，表面光滑，附着力强，结实耐用，干净整洁，易于清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4.安全性：盘面设有防磨片松脱、甩出装置，防止磨片飞出，更加安全可靠。采用专用电缆锁紧接头，更安全。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416"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雕塑转台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全钢结构，工作台500ｘ500ｘ30毫米，采用4毫米国标钢材，有加强筋，刚性好，镀锌防腐处理；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最低降至80厘米，最高升至120厘米，且工作台旋转有锁紧设计；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中间机械防护罩，圆形设计,模具拉伸制作，外型美观且保证了产品一致性；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主轴直径75毫米，耐磨缸套副，与主轴间隙0.05毫米内，保证工作台无摆动，采用蜗轮蜗杆上下升降，有省力机构设计，保证重载也会升降自如，手轮操作，且上下升降与工作台旋转系统分开，有自锁机构，再大的重量也不会自行下降，四条腿，两腿对角线跨度70厘米，有脚轮，便于移动，安全承载500公斤。</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554"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晾坯架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外形尺寸不小于W1400*D400*H1600（mm)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分为五层隔板，每层间隔分别为30、30、30、38cm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框架采用40*40mm国标方钢管焊接制作，厚度为1.5mm，底部装有4个静音万象轮，每个万象轮可承重100公斤。焊接后经过打磨抛光，喷防锈底漆再喷涂双层装饰面漆。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木板为实木木板，经过酸性处理，有效防止高温潮湿环境下产生变形和开裂。木板厚度15mm。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喷涂前经过 脱脂-水洗-表调-磷化-水洗-钝化-去离子水 完整的工艺，保证经久耐用和优良的抗腐蚀能力。进过水煮试验：在室温中，95度以上热水中煮1小时，规范检验标准严格的控制了产品的质量。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焊接前焊缝进过200度的预热，焊接完焊缝进过局部退火消除内应力。保证了焊接牢固可靠经久耐用。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13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揉泥凳</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揉泥凳尺寸：不小于L1390*W400（mm），上高400mm，下高340mm，呈倾斜状。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采用高密度实木作为主要材料，木板厚度45mm。表面经过酸性处理和蒸馏脱水处理，防止潮湿和高温环境下开裂。表面无油漆处理，防止和泥料中的金属元素发生反应。</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倾斜式设计，揉泥更省力。</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16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陶艺桌1</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整体尺寸：150cm*70cm*80cm，桌面厚度40mm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1.人体工程学设计，拉坯机专用实木方桌，做工精致，吸水性会使陶泥不易粘连在桌面上，易清洁；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2.表面变更为橘纹漆，纹路整齐，美观大方，贴近工作室和高校实验室的整体大气风格。不易掉漆，易于长期使用，免维护。</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1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陶艺桌2</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 xml:space="preserve">整体尺寸：不小于L1800*W800*H750mm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★桌面厚度：50mm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★桌面材质：进口或者国产知名橡木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★1、桌面经过酸性处理和蒸馏脱水处理，防止潮湿和高温环境下开裂。表面无油漆处理，防止和泥料釉料中的金属元素发生反应。</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★2、桌面底部增加一条碳钢横梁作为加强支撑杆，有效大面积承重，确保桌面受力均匀，5年不变形。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整体重量不低于80公斤。铁架脚国标为60mm×60mm，厚度均为2.2mm。铁架腿全部采用一体焊接制作，折叠式桌角，底部装有4个可以调节高低的橡胶防震脚垫，通过调节脚垫可以使桌子适合不同的地面使用要求。桌面和方管用木工螺丝和加固胶水固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4、铁架框为亚光烤漆，喷涂前经过脱脂-水洗-表调-磷化-水洗-钝化-去离子水的完整工艺，保证经久耐用和优良的抗腐蚀能力。</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★5.要求桌面结巴不超过3个</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陶艺实木凳</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尺寸不小于高45cm、凳面35*26cm，厚1.8-2cm。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 松原木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★1、全实木打造，木材质地均匀，纹理清晰，厚实稳重，坚固耐用，色调柔和流畅，环保油漆，采用入榫式接口，加厚免钉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2、加宽凳面，提供从容坐感，外形圆润，线条利落，边角不失圆润感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3、凳脚配搭脚垫，使凳子静音防滑</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工具摆放架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尺寸不小于L800*W240~400*H800(mm)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环保颗粒板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多功能收纳盒</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尺寸：不小于283X195X140(mm)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材质：塑料</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可用于收纳工具，盛水等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塑料小桶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尺寸：不小于20×16（cm）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拉坯修坯时使用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分腿式围裙</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尺寸：不小于112cm*68cm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采用的是纯棉材质，优质面料，吸湿透气，穿着舒适美观。采用的是纯棉材质，优质面料，吸湿透气，穿着舒适美观</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件</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吸水毛巾</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不小于24.5*24.5cm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桌布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不小于36.5*26.5cm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拉坯工具8件套初级</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材质：丝棉木、桦木、铁、铜、铝、不锈钢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1、包含基础拉坯练习中所需的所有工具，采用精选优质木材制成，手感流畅，不易开裂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2、精细打磨处理，使用起来手感平滑，随心创作，多种规格经过严格一体成型加工。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应用：用于割泥割底、塑性、去泥、泥塑细节处理、修坯等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修坯工具10件套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尺寸：11-14cm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材质：枫木、铁、不锈钢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1、木质手柄、细致打磨、手感舒适、无毛刺不伤手；造型各异刀头，多角度处理。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2、手柄与刀头处，金属包边加固，使用寿命长。多种规格经过严格加工，满足创作者多种需求。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应用：1、适用于修葺不同大小体积器型坯体，干湿修均可</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双头常规钢丝修坯刀</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尺寸：22cm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材质：榉木、铁、不锈钢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1、木质手柄、细致打磨、手感舒适、无毛刺不伤手；造型各异刀头，多角度处理。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2、手柄与刀头处，金属包边加固，使用寿命长。多种规格经过严格加工，满足创作者多种需求。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应用：1、适用于修葺体积大的器型坯体，干湿修均可</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1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切泥器-全钢弓型</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长 31cm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宽 25cm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材质：铁+不锈钢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1、材料强度高，耐腐蚀，沾水沾泥不生锈、经久耐用。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2、弓形把手，割泥不易伤手，铁丝环可随泥条的大小来调节高度。</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应用：在创作之前进行泥料的分割和切割，切割大条的泥料</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件</w:t>
            </w:r>
          </w:p>
        </w:tc>
      </w:tr>
      <w:tr>
        <w:tblPrEx>
          <w:tblCellMar>
            <w:top w:w="0" w:type="dxa"/>
            <w:left w:w="108" w:type="dxa"/>
            <w:bottom w:w="0" w:type="dxa"/>
            <w:right w:w="108" w:type="dxa"/>
          </w:tblCellMar>
        </w:tblPrEx>
        <w:trPr>
          <w:trHeight w:val="10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木柄海绵</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总长9cm 海绵头分别为4cm、3cm、2cm、1.5cm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材质：松木+海绵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1、海绵跟木杆用胶水固定住，不易脱落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应用：绘画涂鸦、涂色，拓印、作品吸水等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木制卡钳</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材质：塑料</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用于拉坯时对坯体进行尺寸测量。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泥工板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材质：实木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尺寸：不小于30*40cm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重量：不超过940g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实木材质，吸水性高，表面平整光滑，耐用。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实木制作，用于陶艺作品的摆放和晾干，特别是创作一些大型的捏雕作品时，必不可少的摆放工具。</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铸铁转台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面直径：不小于27cm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底直径：不小于17cm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厚度：1cm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材质：铸铁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1、用料优质。采用冷轧制板全铁铸造，表面喷漆均匀，强度高，耐腐蚀，转动平稳流畅。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2、纹理防滑。盘面带有均匀的防滑圈设计，可防止作品在操作中移动滑落。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3、双面使用。不同尺寸的上下两面，可以根据不同的实际情况而选择使用，满足不同的需求。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用途：1、使用广泛。应用于彩绘打箍制圈、捏雕盘筑转动、作品喷釉转动等陶艺创作的多个工艺流程中。</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捏雕木质工具5件套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尺寸：约15cm 宽：1.8cm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材质：松木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1、实木制作，不易开裂,变形.发霉，耐用。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2、设计简约，轻巧便捷，易于携带操作。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用途：1、应用于陶艺作品的造型细节修整、粘接涂抹以及肌理效果制作。包含圆头齿形塑刀、钢线工具、流线塑刀、斜边木质塑刀、木质塑形棒。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擀泥仗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外长：40cm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内长：20cm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直径：4.5cm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材质：荷木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1、不开裂变形发霉。坚固耐用，原木无刷漆，环保，无气味，吸水好不沾泥，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用途：适用于不同大小的泥板、泥片制作。</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大泥拍</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 xml:space="preserve">尺寸：总长：30cm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手柄长：16.5cm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拍面：13.5*8*6.5</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材质：拍子头是松木，把手进口或者国产知名实木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1、拍面一体成形，不开裂变形。原木无刷漆，环保，无气味，吸水好不沾泥，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2、比较重，劲头足，长柄的设计更节省力气。</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用途：1、应用于泥团拍压打扁制作泥板泥片和器皿表面成型拍打以及肌理效果制作。</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刮泥板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长：18cm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高：11.5cm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塑料T型板，用于清理拉坯机、陶艺桌以及地面的泥料，便于清洗打扫</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磨坯棉</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尺寸：不小于20*9*1(CM)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材质：特殊的纤维+粘接研磨矿砂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1、表面处理效果均匀，平滑，美观防堵塞，使用寿命长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2、耐水，耐油，可彻底清除各种材料表面的污垢、锈斑和氧化皮等附着物。</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应用：1、高密度含砂棉，用于干燥的泥坯或者素坯的表面打磨，让作品表面更光滑平整，也更利于对作品的后期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铜制打孔器4件套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 xml:space="preserve">尺寸；不小于长11cm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内径：5mm.6mm.7mm.8mm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材质：黄铜。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1、热塑性好，强度高，耐腐蚀。沾水沾泥不生锈、经久耐用。2、半圆的出泥设计，让出泥更顺畅、清洗更方便。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用途：1、专用壶嘴修葺工具，用来在陶艺制作中，做壶嘴用的。有不同大小的型号选择，钻出不同大小的水孔。</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捏雕工具—泥板导轨条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A：长450mm 宽30mm、厚5mm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B：长450mm 宽30mm、厚7mm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C：长450mm 宽30mm、厚10mm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1、三种常用泥板厚度的规格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2、厚度的标识更方便取用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泥浆画瓶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 xml:space="preserve">30CC透明小空瓶：2个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塑料软管：4个  塑料三角针管：4个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1.陶艺创意技法必备工具，从孩子到成年人都可以使用的工具</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2.使用方法：将泥浆倒进透明小空瓶中，选择需要使用的针管，将其接入瓶口，拧紧，挤压瓶身即可流出泥浆，将其使用在需要将饰的作品上。</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剔花笔两支装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大：15cm  小：13cm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材质：铝合金。</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应用：1、剔画不同粗细的线条，剔画出黑白灰深浅变化的视觉画面。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2、铝制双头，4个不同造型的笔头，剔花效果各异，可用于做不同的肌理效果。</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教学用泥</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10kg/袋，各种教学用泥：特白泥、高白泥、大缸泥、精陶泥。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1、20斤规格包装，方便搬运。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2、百陶会专用泥料袋包装，不易破碎，储藏更方便。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3、分批包装，使用更方便。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袋</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高白捏雕泥</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1、主要由黏土、长石、石英粉、瓷石、钾长石、钠长石、等矿物原料和化工原料按一定比例配比制成，主要组成成分为硅，铝等。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2、烧成温度范围：1230-1280度。建议烧成温度1240℃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3、泥质细腻无颗粒，泥巴烧前牙黄色，烧后呈白色，无杂质，可塑性强，适合拉坯、泥塑作品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注：烧制前后颜色会有差异，建议大量使用前，先做试烧</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包</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高白拉坯泥</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重量：不小于800g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1、主要由黏土、长石、石英粉、瓷石、钾长石、钠长石、等矿物原料和化工原料按一定比例配比制成，主要组成成分为硅，铝等。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2、烧成温度范围：1250-1330度。建议烧成温度1240℃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3、泥质细腻无颗粒，泥巴烧前浅灰色色，烧后呈白色，无杂质，可塑性强，适合拉坯、泥塑作品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注：烧制前后颜色会有差异，建议大量使用前，先做试烧</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包</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紫砂泥</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重量：不小于500g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1、主要由黏土、长石、石英粉、瓷石、钾长石、钠长石、等矿物原料和化工原料按一定比例配比制成，主要组成成分为硅，铝等。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2、烧成温度范围在1220-1260，最佳烧成温度在1150度左右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3、泥质有带细小颗粒，可塑性粘性强，适合泥塑和捏雕作业。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注：烧制前后颜色会有差异，建议大量使用前，先做试烧</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包</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精陶泥</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重量：不小于500g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1、主要由黏土、长石、石英粉、瓷石、钾长石、钠长石、等矿物原料和化工原料按一定比例配比制成，主要组成成分为硅，铝等。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2、烧成温度范围：1200-1250度上下30度。建议烧成温度1240℃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3、泥质细腻无颗粒，泥巴烧前呈褐色，烧后呈浅卡其色，可塑性强，粘性大，适合拉坯、泥塑、捏雕等作品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注：烧制前后颜色会有差异，建议大量使用前，先做试烧</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包</w:t>
            </w:r>
          </w:p>
        </w:tc>
      </w:tr>
      <w:tr>
        <w:tblPrEx>
          <w:tblCellMar>
            <w:top w:w="0" w:type="dxa"/>
            <w:left w:w="108" w:type="dxa"/>
            <w:bottom w:w="0" w:type="dxa"/>
            <w:right w:w="108" w:type="dxa"/>
          </w:tblCellMar>
        </w:tblPrEx>
        <w:trPr>
          <w:trHeight w:val="6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颜色釉标准包（35色）</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2.5kg/桶，共35色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单色釉12色：中国红、宝石蓝、晶曜黑、松石绿、浮萍青、蜜橘黄、雏菊黄、淡雅粉、晴空蓝、晶莹白、橄榄绿、青柠绿；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无光釉8色：无光青柠绿、无光层云白、无光曜石黑、无光藕荷紫、汝窑晴空蓝、无光海军兰、无光薄荷绿、汝窑鹅卵白；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裂纹釉5色：透明裂、曜灰裂、紫荷裂、青柠裂、鎏金裂；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花釉5色：云里雾里、海天一色、枯树生花、红尘一梦、莫奈残荷</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结晶釉3色：紫夜星空、子夜幻影、漪水浮萍；</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金属釉2色：金光璀璨、乌褐沙金</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彩绘画笔包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勾线笔（1支）、中料料笔（1支）、分水笔（1支）、白云笔（1支）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包含釉上绘画笔、釉下勾线笔、釉下涂画笔以及青花专用分水笔，均为陶瓷绘画必备用笔。</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5层青花料碟</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尺寸：直径10.8cm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1、瓷质料碟，经久耐用易清洗，采用榫接方式叠放，存放更节省空间。</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水彩盘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直径：17cm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材质：不锈钢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1、材料强度高，耐腐蚀，沾水沾泥不生锈、经久耐用。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应用：1、绘画颜料调色盘，用于颜料调色和盛放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使用方法：1、把所需颜料倒入调色盘内进行调色，不浪费，易清理</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素坯—8寸盘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7个/层    8寸/块  23cm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1、主要由高岭土、钾长石、石英、滑石粉、及多种微量元素组成，可塑性强，结构性好易烧成，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2、烧成温度广泛，现已烧成温度为780度素烧，成瓷温度为1230-1300.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3、成瓷效果为高白泥白度，烧成收缩率在15%左右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用途：用于釉下彩彩绘</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素坯-星巴克杯</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高9.5cm 口8.5cm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素坯-赏瓶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高：15cm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3个/层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1、主要由高岭土、钾长石、石英、滑石粉、及多种微量元素组成，可塑性强，结构性好易烧成，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2、烧成温度广泛，现已烧成温度为80度素烧，成瓷温度为1230-1300.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3、成瓷效果为高白泥白度，烧成收缩率在15%左右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用途：用于釉下彩彩绘</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素坯板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不小于19.6CM*14CM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釉上彩6色条（黑）</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重量：不小于20g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烧制温度：800℃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1、由釉上彩釉粉和水性调和油按1：1的比例配比，球磨机球磨24小时制成，颗粒细腻，颗粒度在320目左右。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2、烧成温度范围在780-800度，最佳烧制温度在800。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用途：</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1、应用于釉上彩绘，在成瓷的在胎体上进图案绘制，再入窑以800度的温度曲线烧制即可。</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条</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釉上彩6色条（白）</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重量：不小于20g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烧制温度：800℃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1、由釉上彩釉粉和水性调和油按1：1的比例配比，球磨机球磨24小时制成，颗粒细腻，颗粒度在320目左右。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2、烧成温度范围在780-800度，最佳烧制温度在800。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用途：</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1、应用于釉上彩绘，在成瓷的在胎体上进图案绘制，再入窑以800度的温度曲线烧制即可。</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条</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釉下彩浓缩色剂12色套装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烧制温度：1240℃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1、由多种矿物质组成成分按一定的比例配比制成。（二氧化硅、三氧化二铝、氧化钾、氧化钠、氧化镁、氧化钙、三氧化二铁、氧化钛、氧化锰、五氧化二磷等）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2、不易沉淀，附着力强，更易涂画均匀，烧成饱和度高。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3、烧成温度范围在1230-1280，最佳烧制温度在124。</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用途：1、应用于釉下彩绘，在素坯和泥坯的在坯体上进图案绘制或者以大块的颜色均匀涂刷3-4遍，再覆盖一层透明釉，入窑以1240度的温度曲线烧制即可。</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青花料（现代）</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200g/瓶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1、主要组成成分包含钴珠明料等其他矿物质，发色稳定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2、目数：320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3、温度：1230度～1260度左右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用途：1、应用于釉下青花彩绘，在素坯和泥坯的在坯体上进图案绘制或者进行分水、拓水等，再覆盖一层透明釉，入窑以1240度的温度曲线烧制即可。</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瓶</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调色、刮刀</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 xml:space="preserve">总长：16cm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刀头长：7cm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刀头宽：1.7cm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材质：榉木+不锈铁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1、红榉木柄，握感好；刀身采用优质材料，做工精致，经久耐用；刀片薄，弹性好，弯曲恢复性佳。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用途：用于陶瓷颜料、油画、丙烯画、国画、水粉画等颜料调配和研磨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把</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液体、桃胶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20G/瓶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采用玻璃滴管瓶装，使用起来更加方便。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用于陶瓷颜料绘画，增加颜料的附着力、线条勾勒的流畅性，青花、釉下彩色料必备。</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瓶</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 xml:space="preserve"> 可撕胶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重量：不小于225g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1、用于多种颜色装饰形式的绘画创作，在不想上釉的地方涂上可撕胶，等上好釉后可撕胶也干了，直接撕下即可，使用方便。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注：有臭鸡蛋气味，使用前毛笔可先沾洗手液，使用后便于清洗</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瓶</w:t>
            </w:r>
          </w:p>
        </w:tc>
      </w:tr>
      <w:tr>
        <w:tblPrEx>
          <w:tblCellMar>
            <w:top w:w="0" w:type="dxa"/>
            <w:left w:w="108" w:type="dxa"/>
            <w:bottom w:w="0" w:type="dxa"/>
            <w:right w:w="108" w:type="dxa"/>
          </w:tblCellMar>
        </w:tblPrEx>
        <w:trPr>
          <w:trHeight w:val="271"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石膏模具—十二生肖</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12件/套</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材质：优质石膏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模具使用前需要风干才有吸水性。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用于大批量陶瓷泥胎的成型使用模具，可反复使用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直口花插模具</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模具尺寸： 高22CM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素坯尺寸：高17CM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材质：优质石膏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模具使用前需要风干才有吸水性。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用于大批量陶瓷泥胎的成型使用模具，可反复使用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小象模具</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尺寸约：9.5*6cm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1、采用半水纤维石膏，注浆吸水强，硬度和强度都比较好，使用次数长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用途：1、应用于陶瓷成型中的注浆成型，可以了解注浆成型的工艺特点和使用方法。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1、采用半水纤维石膏，注浆吸水强，硬度和强度都比较好，使用次数长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用途：1、应用于陶瓷成型中的注浆成型，可以了解注浆成型的工艺特点和使用方法。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使用方法：将模具用橡皮绷带或可调节绷带捆绑固定，再将泥浆通过注浆口倒入模具内注满，待泥浆被模具吸附后再次注满，等坯体达到所需的厚度时，把模具内多余的泥浆倒回泥浆桶内，模具倒扣放置到坯体可拿出即可</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石膏模具绷带</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尺寸：30cm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材质：橡胶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1、绷带有不同大小可选择，用于注浆成型时来捆绑模具，以防注浆时泥浆从模具缝里漏出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尺寸：14cm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1、绷带有不同大小可选择，用于注浆成型时来捆绑模具，以防注浆时泥浆从模具缝里漏出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尺寸：10cm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1、绷带有不同大小可选择，用于注浆成型时来捆绑模具，以防注浆时泥浆从模具缝里漏出</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条</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施釉必备工具包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包一次性口罩、1台小型手持电动搅拌机、1个量杯、1把冲击钻、1个挖掘搅拌器、1个釉筛（100目）、10个海棉、1瓶可撕胶（500ml）、2个转台（30cm）、2块石膏板（30*30*3cm)、1把釉夹、1个器皿釉托、1个施釉球（球径4.5cm）、1个500ml非遗手工吹釉壶、1个移动桶车</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271"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烧制必备工具包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5双高温手套、1桶氧化铝粉（2.5kg）、1瓶硼板砂（500ml）、2瓶大同砂（500g）、10块氧化铝饼（10cm）、10块氧化铝饼（8cm）、1块多孔耐火垫、1盒支钉、4层吊烧架、2米钨丝（1mm）、2米钨丝（2mm）、2米钨丝（3mm）、2把铲刀、2盒509瓷胶、1台角磨机、1副防护眼镜</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不锈钢水池+二级沉淀池</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水池外形尺寸：长1800*宽700*高800（mm）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沉淀池外形尺寸：长1500*宽400*高400（mm）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材质：201不锈钢，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加工工艺：1.激光切割；2.折板；3.一体焊接，整体结构简洁稳固；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结构：四只脚分两片，采用可拆卸结构；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沉淀池过滤网材质：200目不锈钢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沉淀池采用二级沉淀装置，配备四个把手，底部沉淀池安装四个万向轮（带刹车轮两个）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配件：水龙头3个，30公分金属软管2根、50公分3根、80公分1根、外丝直接3个，内丝三通2个，下水2套，生料带1卷，ø25mm塑料管35cm长1条，另加混水阀（冷热水）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单个沉淀池外形尺寸：长1500*宽400*高400（mm）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沉淀池材质：不锈钢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沉淀池过滤网材质：不锈钢200目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沉淀池采用二级沉淀装置，方便泥浆等悬浊液能够在一定时间沉淀后进行清理，防止堵塞下游下水道；</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沉淀池配备四个把手，底部沉淀池安装四个万向轮，方便清理人员对沉淀池中的沉淀物清理和移动。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围裙大</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裙长：75cm</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宽：66cm</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xml:space="preserve">带长：42cm  </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全棉材质，柔软舒适，吸湿性好，不脱色、不起球、耐脏耐用易清洗</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件</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泥料存放池</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不小于2000*2500*800MM，水泥砖砌，表面粉刷以及贴有瓷砖</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陶艺课程</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进行为期1年的课程授课及管理，准备好前10节课的详细的教案，供学校检查，操作并进行试上课。课程为三个阶段，初级、中级、高级，每个阶段课程为32节课 ，供整年使用。 高中陶艺课程以“探究式”教学方法为教学基础。课堂上给与学生更多自由创作的时间和空间，教师辅助。让学生形成以目的为导向的小艺术家思维习惯有计划的完成自己的创造作品。</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仿宋" w:hAnsi="仿宋" w:eastAsia="仿宋" w:cs="仿宋"/>
                <w:color w:val="000000" w:themeColor="text1"/>
                <w:sz w:val="24"/>
              </w:rPr>
              <w:t>86吋智能交互平板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详细见附件3</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推拉绿板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详细见附件4</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展台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w:t>
            </w:r>
            <w:r>
              <w:rPr>
                <w:rFonts w:hint="eastAsia" w:ascii="仿宋" w:hAnsi="仿宋" w:eastAsia="仿宋" w:cs="仿宋"/>
                <w:color w:val="000000" w:themeColor="text1"/>
                <w:sz w:val="24"/>
              </w:rPr>
              <w:t>86吋智能交互平板</w:t>
            </w:r>
            <w:r>
              <w:rPr>
                <w:rFonts w:hint="eastAsia" w:ascii="宋体" w:hAnsi="宋体" w:cs="宋体"/>
                <w:color w:val="000000" w:themeColor="text1"/>
                <w:kern w:val="0"/>
                <w:sz w:val="24"/>
              </w:rPr>
              <w:t>同一品牌一、硬件参数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 采用≥800万像素摄像头；采用 USB五伏电源直接供电，无需额外配置电源适配器，环保无辐射；箱内USB连线采用隐藏式设计，箱内无可见连线且USB口下出，有效防止积尘，且方便布线和返修。（提供国家级检验中心所出具的权威检测报告）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A4大小拍摄幅面，1080P动态视频预览达到30帧/秒；托板及挂墙部分采用金属加强，托板可承重3kg，整机壁挂式安装。（提供国家级检验中心所出具的权威检测报告）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支持展台成像画面实时批注，预设多种笔划粗细及颜色供选择，且支持对展台成像画面联同批注内容进行同步缩放、移动。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整机采用圆弧式设计，无锐角；同时托板采用磁吸吸附式机构，防止托板打落，方便打开及固定，避免机械式锁具故障率高的问题。（提供国家级检验中心所出具的权威检测报告）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展示托板正上方具备LED补光灯，保证展示区域的亮度及展示效果，补光灯开关采用触摸按键设计，同时可通过</w:t>
            </w:r>
            <w:r>
              <w:rPr>
                <w:rFonts w:hint="eastAsia" w:ascii="仿宋" w:hAnsi="仿宋" w:eastAsia="仿宋" w:cs="仿宋"/>
                <w:color w:val="000000" w:themeColor="text1"/>
                <w:sz w:val="24"/>
              </w:rPr>
              <w:t>86吋智能交互平板</w:t>
            </w:r>
            <w:r>
              <w:rPr>
                <w:rFonts w:hint="eastAsia" w:ascii="宋体" w:hAnsi="宋体" w:cs="宋体"/>
                <w:color w:val="000000" w:themeColor="text1"/>
                <w:kern w:val="0"/>
                <w:sz w:val="24"/>
              </w:rPr>
              <w:t>中的软件直接控制开关。（提供国家级检验中心所出具的权威检测报告）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带自动对焦摄像头；外壳在摄像头部分带保护镜片密封，防止灰尘沾染摄像头，防护等级达到IP4X级别。（提供国家级检验中心所出具的权威检测报告）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具有故障自动检测功能：在调用展台却无法出现镜头采集画面信号时，可自动出现检测链接，并给出导致性原因。（提供国家级检验中心所出具的权威检测报告）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为保证兼容性及稳定性，视频展台需与</w:t>
            </w:r>
            <w:r>
              <w:rPr>
                <w:rFonts w:hint="eastAsia" w:ascii="仿宋" w:hAnsi="仿宋" w:eastAsia="仿宋" w:cs="仿宋"/>
                <w:color w:val="000000" w:themeColor="text1"/>
                <w:sz w:val="24"/>
              </w:rPr>
              <w:t>86吋智能交互平板</w:t>
            </w:r>
            <w:r>
              <w:rPr>
                <w:rFonts w:hint="eastAsia" w:ascii="宋体" w:hAnsi="宋体" w:cs="宋体"/>
                <w:color w:val="000000" w:themeColor="text1"/>
                <w:kern w:val="0"/>
                <w:sz w:val="24"/>
              </w:rPr>
              <w:t>为同一品牌厂家，提供国家认证认可监督管理委员会认可的证书（例如CCC证书、自声明证书）复印件证明。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二、软件参数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支持对展台画面进行放大、缩小、旋转、自适应、冻结画面等操作。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 支持展台画面实时批注，预设多种笔划粗细及颜色供选择，且支持对展台画面联同批注内容进行同步缩放、移动。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 支持展台画面拍照截图并进行多图预览，可对任一图片进行全屏显示。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 老师可在一体机或电脑上选择延时拍照功能，支持5秒或10秒延时模式，预留充足时间以便调整拍摄内容。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 具备图像增强功能，可自动裁剪背景并增强文字显示，使文档画面更清晰。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 可选择图像、文本或动态等多种情景模式，适应不同展示内容。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 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16. 支持二维码扫码功能：打开扫一扫功能后，将书本上的二维码放入扫描框内即可自动扫描，并进入系统浏览器获取二维码的链接内容，帮助老师快速获取电子教学资源。</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窗帘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双道窗帘，里道为优质加厚棉麻布料制作的全遮光帘（包括窗轨），外道为高级无纺布彩色喷绘定制，在窗帘上印制相关知识内容，集教学、观赏为一体的卷帘；含窗帘图文设计与安装，不含窗帘盒。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室</w:t>
            </w:r>
          </w:p>
        </w:tc>
      </w:tr>
      <w:tr>
        <w:tblPrEx>
          <w:tblCellMar>
            <w:top w:w="0" w:type="dxa"/>
            <w:left w:w="108" w:type="dxa"/>
            <w:bottom w:w="0" w:type="dxa"/>
            <w:right w:w="108" w:type="dxa"/>
          </w:tblCellMar>
        </w:tblPrEx>
        <w:trPr>
          <w:trHeight w:val="9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立式空调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1、★3匹不少于3级能效冷暖立柜式空调。★整机10年厂家免费上门质保,具体参数规格详细见附件7.</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2、注：如果没有空调的冷凝水PVC排水管到地面，则需要安装空调冷凝水水管50PVCU到地面排水沟里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教师讲台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详细见附件2</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蓝牙音箱无线咪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详细见附件5</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高密无线AP</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详细参数规格及附件6</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POE交换机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LS-S5130S-28S-PWR-HI, 24口全千兆POE+供电交换机.安装在交换机房。24个10/100/1000Base-T自适应以太网端口（PoE+），4个万兆SFP+口，背板带宽 336Gbps/3.36Tbps，包转发率 126Mpps，配双360W：678W（PoE为600W）</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弱电布线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艺术楼一二楼无线AP、监控布线：安装弱电金属桥架从一楼机房至一、二楼（一楼利用原有桥架）各个教室并通过桥架布放国标6类网线美术、音乐的各个教室的AP及监控摄像头，监控布线的预算已经在监控系统预算中，弱电线缆需使用六类网络线缆，配套六类水晶头，强弱电线缆安装隔离。</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批</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十二、美术学科高考专用教室清单</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设备名称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技术参数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1408"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高清会议视频摄像机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尺寸：143mm（长）×176mm（宽）×169mm（高）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工作湿度：20%～80%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工作温度：-10℃～+50℃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储藏湿度：20%～95%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储藏温度：-10℃～+60℃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水平转动：-170°～+170°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俯仰转动：-30°～+90°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水平控制速度：0.1°/s ～50°/s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俯仰控制速度：0.1°/s～30°/s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预置位速度：水平：60°/s，俯仰：30°/s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控制接口：RS232-IN、RS232-OUT、RS422兼容RS485</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网络接口：100M网口（10/100BASE-TX）</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视频输出接口：HDMI、SDI、LAN、WiFi(可选)、CVBS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视频编码格式：LAN接口：支持H.265、H.264</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音频输入接口：双声道3.5mm线性输入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最低照度：1Lux(F1.8, AGC ON)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数字降噪：2D﹠3D数字降噪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白平衡模式：自动白平衡、一键白平衡、手动白平衡和指定色温</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聚焦模式：自动、手动、一键聚焦</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光圈参数：F1.8 ～ F11、CLOSE</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快门速度：1/25～1/10000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产品特点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1、一流图像质量：采用1/2.8英寸207万像素高品质CMOS图像传感器，最大分辨率可达1920×1080，输出帧率高达60帧/秒，呈现清晰逼真的高清视频，生动地展现人物的表情和动作。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2、83.7°广角镜头：具有5、10、12、20、30倍等多种光学变倍镜头选择，05倍镜头具有83.7°无畸变宽视角。</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3、三位一体的图像自动聚焦技术： 注重图像的智能处理，提供自动白平衡（AWB）、自动曝光（AE)、自动聚焦（AF)功能，完全自动适应环境，实现最佳的图像效果，达到完美三位一体图像自动调节。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4、低噪声高信噪比：低噪声CMOS有效地保证了摄像机视频的超高信噪比。采用先进的2D、3D降噪技术，进一步降低了噪声，同时又能确保图像清晰度。</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5、丰富完善的无损的高清输出接口：支持HDMI、SDI、CVBS、LAN接口、WiFi可选；HDMI、SDI、LAN接口支持音视频同时输出；SDI支持在1080P60格式下传输100米。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6、多种音视频压缩标准：LAN接口支持H.265、H.264视频压缩；A-IN接口支持8000、16000、32000、44100、48000采样频率，支持AAC、MP3、G.711A音频压缩。</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7、音视频存储：USB2.0接口支持U盘存储功能，实现本地录制存储。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8、内置重力感应器：内置重力感应器，支持云台自动翻转功能，方便工程安装。</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20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无线全向会议麦克风</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 xml:space="preserve">功能特点：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1、全双工语音通话清晰技术，360°无死角拾音，最大拾音距离可达5米，推荐使用距离4米以内。</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2、内置3颗高灵敏度MIC采用波束成形麦克风阵列技术，可自由切换3颗麦克风拾音，可定向拾取一定角度、范围的声音，去除两边的噪音。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3、采用国际一流的回声抵消技术、消噪技术、啸叫抑制技术、动态噪音抑制技术，能够在较嘈杂的环境使用。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4、高功率扬声器中低音足，声音饱满，不显干涩，声音还原性好，能真实还原语气、语调，输出优质声音的同时还保证了足够大的覆盖范围。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5、采用2.4G无线传输技术，10M以上无干扰无线传输，传输距离更远，传输带宽更宽，传输信号更加稳定。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6、可使用会议摄像机遥控器控制，使用遥控器还可以自由切换会议模式与音乐模式。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7、可通过USB接口对机器充电，提供1Ah快充电，可连续工作12小时。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8、配置智能双色led灯，能方便显示各功能的状态，如电量、音量、静音等，并可智能提示用户充电。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9、六个机身按键：音量加、音量减、麦克风静音、喇叭静音、MIC选择、电源开关，方便用户简便操作。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10、支持外接耳机或带功放扬声设备。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11、可兼容市面上各种视频会议软件。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产品参数：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名称 无线全向麦克风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麦克风 类型 数字硅麦、全指向性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灵敏度 -22dBFS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信噪比 60dB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频响范围 20Hz-15kHz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扬声器 内置大功率扬声器,AGC自动增益控制提供音频平稳输出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回音消除 业界顶尖的回音消除技术，可达256ms回声抵消时长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噪声消除 &gt;15dB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采样率 16kHz/48kHz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拾音半径 最大拾音距离可达4米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传输方式 2.4G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音频输出接口 3.5mm耳机接口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充电接口 Mini USB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控制方式 按键控制或红外遥控器控制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按键功能 开关机,MIC静音,喇叭静音, MIC切换, 音量减, 音量加</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电源适配器 DC5V±0.2V,1A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电池 充电时间：约4小时，使用时间：不小于8小时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554"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相机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EOS-R5外形尺寸：138.5x97.5x88mm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1、外形尺寸：138.5x97.5x88mm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2、显示屏尺寸：3.2英寸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3、最高分辨率：8192x5464</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4、有效像素：4500万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5、4K慢动作：5倍</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6、4K视频：119.88P/100P</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7、8K视频：8K RAW视频</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8、单张RAW体积：50M左右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9、存储卡：CFEXpress，SD/SDHC/SDXC卡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10、取景器类型：电子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11、防抖：机身，镜头8级双防抖</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12、传感器类型：CMOS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13、配24-105USM变焦镜头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14、本次官方配置+原装24-105USM变焦镜头一套+256G CFe卡(1850M/S 4k 8k)一张+美国LD64G卡(300M/S双芯片)一张+备用原装佳能E6NH电池一块+天利TR-W UV一片+复古大号防雨包一个+CFe卡读卡器一套</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522"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台式电脑</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商用品牌机AIO逸-24内存容量： 8G</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硬盘容量： 固态512G+机械1T</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内存类型： DDR4</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显示器类型： 23.8寸LCD液晶-宽屏高清</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处理器：i5-10代及以上</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显卡：SSD/集显</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键盘鼠标：无线鼠标键盘，无线wifi6网卡</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正版Windows 10中文版</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7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打印机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尺寸：410x399x268mm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涵盖功能： 复印 打印 扫描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接口类型： USB，带无线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最大幅面： A4</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能效等级： 二级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耗材类型： 鼓粉分离</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★支持手机WIFI打印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窗帘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双道窗帘，里道为优质加厚棉麻布料制作的全遮光帘（包括窗轨），外道为高级无纺布彩色喷绘定制，在窗帘上印制相关知识内容，集教学、观赏为一体的卷帘；含窗帘图文设计与安装，不含窗帘盒。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室</w:t>
            </w:r>
          </w:p>
        </w:tc>
      </w:tr>
      <w:tr>
        <w:tblPrEx>
          <w:tblCellMar>
            <w:top w:w="0" w:type="dxa"/>
            <w:left w:w="108" w:type="dxa"/>
            <w:bottom w:w="0" w:type="dxa"/>
            <w:right w:w="108" w:type="dxa"/>
          </w:tblCellMar>
        </w:tblPrEx>
        <w:trPr>
          <w:trHeight w:val="10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立式空调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1、★3匹不少于3级能效冷暖立柜式空调。★整机10年厂家免费上门质保,具体参数规格详细见附件7.</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2、注：如果没有空调的冷凝水PVC排水管到地面，则需要安装空调冷凝水水管50PVCU到地面排水沟里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9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仿宋" w:hAnsi="仿宋" w:eastAsia="仿宋" w:cs="仿宋"/>
                <w:color w:val="000000" w:themeColor="text1"/>
                <w:sz w:val="24"/>
              </w:rPr>
              <w:t>86吋智能交互平板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详细配置参数见附件3</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554"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展台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w:t>
            </w:r>
            <w:r>
              <w:rPr>
                <w:rFonts w:hint="eastAsia" w:ascii="仿宋" w:hAnsi="仿宋" w:eastAsia="仿宋" w:cs="仿宋"/>
                <w:color w:val="000000" w:themeColor="text1"/>
                <w:sz w:val="24"/>
              </w:rPr>
              <w:t>86吋智能交互平板</w:t>
            </w:r>
            <w:r>
              <w:rPr>
                <w:rFonts w:hint="eastAsia" w:ascii="宋体" w:hAnsi="宋体" w:cs="宋体"/>
                <w:color w:val="000000" w:themeColor="text1"/>
                <w:kern w:val="0"/>
                <w:sz w:val="24"/>
              </w:rPr>
              <w:t>同一品牌、硬件参数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 采用≥800万像素摄像头；采用 USB五伏电源直接供电，无需额外配置电源适配器，环保无辐射；箱内USB连线采用隐藏式设计，箱内无可见连线且USB口下出，有效防止积尘，且方便布线和返修。（提供国家级检验中心所出具的权威检测报告）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A4大小拍摄幅面，1080P动态视频预览达到30帧/秒；托板及挂墙部分采用金属加强，托板可承重3kg，整机壁挂式安装。（提供国家级检验中心所出具的权威检测报告）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支持展台成像画面实时批注，预设多种笔划粗细及颜色供选择，且支持对展台成像画面联同批注内容进行同步缩放、移动。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整机采用圆弧式设计，无锐角；同时托板采用磁吸吸附式机构，防止托板打落，方便打开及固定，避免机械式锁具故障率高的问题。（提供国家级检验中心所出具的权威检测报告）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展示托板正上方具备LED补光灯，保证展示区域的亮度及展示效果，补光灯开关采用触摸按键设计，同时可通过</w:t>
            </w:r>
            <w:r>
              <w:rPr>
                <w:rFonts w:hint="eastAsia" w:ascii="仿宋" w:hAnsi="仿宋" w:eastAsia="仿宋" w:cs="仿宋"/>
                <w:color w:val="000000" w:themeColor="text1"/>
                <w:sz w:val="24"/>
              </w:rPr>
              <w:t>86吋智能交互平板</w:t>
            </w:r>
            <w:r>
              <w:rPr>
                <w:rFonts w:hint="eastAsia" w:ascii="宋体" w:hAnsi="宋体" w:cs="宋体"/>
                <w:color w:val="000000" w:themeColor="text1"/>
                <w:kern w:val="0"/>
                <w:sz w:val="24"/>
              </w:rPr>
              <w:t>中的软件直接控制开关。（提供国家级检验中心所出具的权威检测报告）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带自动对焦摄像头；外壳在摄像头部分带保护镜片密封，防止灰尘沾染摄像头，防护等级达到IP4X级别。（提供国家级检验中心所出具的权威检测报告）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具有故障自动检测功能：在调用展台却无法出现镜头采集画面信号时，可自动出现检测链接，并给出导致性原因。（提供国家级检验中心所出具的权威检测报告）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为保证兼容性及稳定性，视频展台需与</w:t>
            </w:r>
            <w:r>
              <w:rPr>
                <w:rFonts w:hint="eastAsia" w:ascii="仿宋" w:hAnsi="仿宋" w:eastAsia="仿宋" w:cs="仿宋"/>
                <w:color w:val="000000" w:themeColor="text1"/>
                <w:sz w:val="24"/>
              </w:rPr>
              <w:t>86吋智能交互平板</w:t>
            </w:r>
            <w:r>
              <w:rPr>
                <w:rFonts w:hint="eastAsia" w:ascii="宋体" w:hAnsi="宋体" w:cs="宋体"/>
                <w:color w:val="000000" w:themeColor="text1"/>
                <w:kern w:val="0"/>
                <w:sz w:val="24"/>
              </w:rPr>
              <w:t>为同一品牌厂家，提供国家认证认可监督管理委员会认可的证书（例如CCC证书、自声明证书）复印件证明。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二、软件参数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支持对展台画面进行放大、缩小、旋转、自适应、冻结画面等操作。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 支持展台画面实时批注，预设多种笔划粗细及颜色供选择，且支持对展台画面联同批注内容进行同步缩放、移动。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 支持展台画面拍照截图并进行多图预览，可对任一图片进行全屏显示。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 老师可在一体机或电脑上选择延时拍照功能，支持5秒或10秒延时模式，预留充足时间以便调整拍摄内容。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 具备图像增强功能，可自动裁剪背景并增强文字显示，使文档画面更清晰。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 可选择图像、文本或动态等多种情景模式，适应不同展示内容。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 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16. 支持二维码扫码功能：打开扫一扫功能后，将书本上的二维码放入扫描框内即可自动扫描，并进入系统浏览器获取二维码的链接内容，帮助老师快速获取电子教学资源。</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推拉绿板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详细配置参数见附件4</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蓝牙音箱无线咪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详细配置参数见附件5</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教师讲台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详细见附件2</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高密无线AP</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详细参数规格及附件6</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陶罐8件套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美术教学器材写生静物陶罐</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铁皮柜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一柜10格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尺寸：130*48*180cm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内格尺寸：62*45*35cm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静物台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尺寸：60*80*130cm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材质：松木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静物美术衬布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尺寸：100*150cm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材质：涤棉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用途：油画描述，静物衬布台布</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素描写生灯</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材质：不锈钢，铝合金，铁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尺寸：高210cm（高度可调节）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1、支架采用三角结构，牢固稳定，可拆卸，方便实用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2、灯罩后置角度可随意调节</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折叠椅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尺寸：长45cm宽45cm高65cm，凳面高35cm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木画凳</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产品尺寸：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长45cm，宽38cm，高90cm，凳面高45cm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配画板，可升降</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材质：樟子松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重量：约6kg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榫卯工艺结构，表面亮漆光滑，可自由升降90-130cm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克里克拉</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尺寸：48×35×65cm石膏雕像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石膏阿里亚斯</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尺寸：38×38×75cm石膏雕像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石膏希腊女神浮雕</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尺寸：55×40×97cm石膏雕像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石膏罗马王</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尺寸：40×25×65cm石膏雕像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石膏劳孔</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尺寸：70×35×87cm石膏雕像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石膏男躯干</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尺寸：47×42×90cm石膏雕像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石膏几何体一套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四面锥贯穿，圆锥贯穿，长方体锥贯穿，圆柱切面，十二面五角，二十面三角，四面锥，六面锥，三面锥，八面柱，六面柱，圆锥，圆柱，圆球，长方体，正方体16种，一套16个</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石膏五官实面，切面一套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一套8个</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石膏海盗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尺寸：26×25×50cm石膏雕像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石膏伏尔泰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尺寸：20×27×50cm石膏雕像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石膏小卫</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尺寸：30×25×65cm石膏雕像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石膏阿格里巴</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尺寸：35×28×60cm石膏雕像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石膏维纳斯</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尺寸：65×50×220cm石膏雕像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石膏胜利女神</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尺寸：70×125×200cm石膏雕像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掷铁饼者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尺寸：82×50×170cm石膏雕像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石膏大摩西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尺寸：80*70*200cm石膏雕像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石膏亚历山大切面</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尺寸：45×35cm石膏雕像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石膏亚历山大实面</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尺寸：36×30cm石膏雕像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石膏渔民切面</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尺寸：19×25×53cm石膏雕像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石膏面部肌肉</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尺寸：23×23×55cm石膏雕像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石膏思考少女</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尺寸：53×26×38cm石膏雕像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石膏大琴女</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尺寸：40×30×68cm石膏雕像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石膏农民肌肉</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尺寸：23×28×54cm石膏雕像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石膏马赛</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尺寸：32×26×62cm石膏雕像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石膏骷髅头</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男19x15cm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女16x15cm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石膏雕像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石膏喷漆三件套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米开朗基罗63*32*85cm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战神：52*43*78cm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阿里亚斯：38*38*75cm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底座尺寸：35x35x70cm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材质：4x4cm铁方管</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838"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油画架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★材质：进口或者国产知名榉木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尺寸：70x70x220cm高度可调节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1、画架配摇杆，可调节绘画后仰角度；</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★2、画架上部中间配有滑杆，不管是站立还是平放都可使画板放在上面更加稳固；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★3、隐藏式滑轮，静音美观，操作起来更顺滑，不易磨损；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3、画架底座为加长加厚料，使画架整体更加稳固不晃动；底部配有4个大尺寸金钻级带锁橡胶万向轮，移动顺畅，耐磨，稳定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4、画架配件全部采用优质金属，增加厚度更牢固，安全，耐用，表面全部采用电镀工艺，防腐防锈，更美观</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三层画车</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尺寸：77x42x77cm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A4拷贝台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尺寸：335x235mm可调节灯光加磁吸加usb</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马克笔</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动漫80色/套</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丙烯颜料</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青竹80ml 42色（黑骑士）颜料套装 工具8件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马克笔</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24色/套</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A0隔墨板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尺寸：120x80cm双开关+调光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4K画板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材质：椴木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尺寸：45x60cm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2K画板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材质：椴木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尺寸：90x60cm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书籍2</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入门之道2石膏到静物体系</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本</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动漫书</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书名：单色：质感黑白插画研习课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开本：16开</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本</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精微素描</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书名：金牌教案3精微素描体系</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开本：8开</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本</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快写</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书名： 线相杨叔快写</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开本： 12</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本</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插画</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书名：线语集(唯美线稿插画实例教程插画师之路)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开本：16开</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本</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勾线笔</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一套三支三色：红黑蓝</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原画书</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书名：中国绘画/蓝珊瑚人文通识读本</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开本：16开</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本</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针管笔</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绘画专用针管笔（入门）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支</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画集</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书名：鬼刀2WLOP个人插画作品集珍藏版</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本</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移动旋转支架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1、要求可移动旋转支架，可承重200KG以上，润滑轴承旋转方式，确保安全。2、组装后成品尺寸（长*宽*高）1300*650*1610mm3、可承载机型尺寸86 寸及以下4、脚轮尺寸（长*宽*高）122*94*106mm5、净重（整机）36.5KG安装必备工具及说明书</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5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版画机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MTB80版画机</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1、加工尺寸(MM)不小于长1600*宽800*高20（厚）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2、★台面印制尺寸(MM)不小于长1600*宽800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3、外型尺寸(MM) 不小于长2000*宽1100*高1250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4、★滚筒直径（cm）27</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5、★滚筒承压34KN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6、动力传动比率12.8：1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7、版画材料铜版画/木版画</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8、重量(KG)650镀铬刚板工作台面；台面行进方式滚筒摩擦+齿条导轨；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9、上滚筒表面镀硬铬抛光处理，下滚筒化学发黑处理；不生锈</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10、不锈钢压力螺杆式加压装置配置有压力刻度指示装置,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11、滚筒处采用滚柱万向轴承，印画时压力均匀</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3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密封级飞尘箱</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密封级飞尘箱DFC-100</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箱内密封循环气流设计，手动、电动操作方式，松香颗粒下沉均匀，可视落尘窗口设计，箱体内部循环气流稳定，装配550w电机，电压220V，标准尺寸为：1000*600*2000mm。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移动式物料车</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榉木外架结构，三层收纳单元，移动脚轮，运行平稳，可收纳工具、油墨等艺术家常用工具及用品。标准尺寸为：不小于690*800*398，尺寸可定制。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恒温智能加热平台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不锈钢加热台面600*400，220V50HZ，2500W，智能恒温设定，最高温度：400℃，微电脑芯片处理，控温精度高，功能强。</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多页式折叠晾画架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可移动，尺寸1350*800*1450，钢制结构，框架镀锌工艺，轮滑推动，每层专用隔离支架，有效解决王页粘怀画面纸张问题，颜色外关和尺寸接受客户定制，且价格不变。</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油墨清洗剂（水溶稀释）</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500ml</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瓶</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版画印刷滚筒</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Style w:val="90"/>
                <w:rFonts w:hint="default"/>
                <w:color w:val="000000" w:themeColor="text1"/>
                <w:sz w:val="24"/>
                <w:szCs w:val="24"/>
              </w:rPr>
              <w:t>直径5</w:t>
            </w:r>
            <w:r>
              <w:rPr>
                <w:rStyle w:val="93"/>
                <w:rFonts w:hint="default"/>
                <w:color w:val="000000" w:themeColor="text1"/>
                <w:sz w:val="24"/>
                <w:szCs w:val="24"/>
              </w:rPr>
              <w:t>0mm，长200mm（可公用）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15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木雕雕刻刀</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东阳手工打造，黄檀木柄的木雕雕刻刀整套62件：包括打坯刀31件，修光刀31件,已经磨好，带包装袋。打坯刀：</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 三角刀</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(1). 数量：1把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(2).开口宽度：1cm左右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(3). 刀头长度：10cm左右。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平刀：</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(1). 数量：7把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(2).开口宽度：0.3cm, 0.6cm, 1cm, 2cm, 2.2cm, 2.8cm，3.8cm左右。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(3). 刀头长度：9.5cm至11.5cm左右。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圆刀</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[浅圆刀8把，中圆刀8把，深圆刀7把]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(1). 数量： 23把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(2).开口宽度：0.3cm,至3.8cm左右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(3). 刀头长度：8.5cm至11.5cm左右。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修光刀：</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 三角刀</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(1). 数量：1把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(2).开口宽度：0.3cm左右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(3). 刀头长度：10cm左右。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平刀：</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(1). 数量：7把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(2).开口宽度：0.2cm, 0.6cm, 0.8cm,             1.2cm, 2cm, 2.8cm，3cm左右。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(3). 刀头长度：9cm至11cm左右。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圆刀</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[浅圆刀8把，中圆刀8把，深圆刀7把]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 数量： 23把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(2).开口宽度：0.2cm,至3.2cm左右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(3). 刀头长度：8.5cm至11cm左右。</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9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木版油墨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Style w:val="90"/>
                <w:rFonts w:hint="default"/>
                <w:color w:val="000000" w:themeColor="text1"/>
                <w:sz w:val="24"/>
                <w:szCs w:val="24"/>
              </w:rPr>
              <w:t>100ml/</w:t>
            </w:r>
            <w:r>
              <w:rPr>
                <w:rFonts w:hint="eastAsia" w:ascii="宋体" w:hAnsi="宋体" w:cs="宋体"/>
                <w:color w:val="000000" w:themeColor="text1"/>
                <w:kern w:val="0"/>
                <w:sz w:val="24"/>
              </w:rPr>
              <w:t>支颜色可选择</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支</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凹版材料套装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2mm凹版刻针、5mm凹版刮墨条、20cm*15cm凹版三张、90cm*100cm上浆纱布一块；100ml版画黑色铜板油墨一支</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油墨刮刀</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jc w:val="left"/>
              <w:rPr>
                <w:rFonts w:ascii="宋体" w:hAnsi="宋体" w:cs="宋体"/>
                <w:color w:val="000000" w:themeColor="text1"/>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支</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木刻板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A5全椴木木刻板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木刻板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A2（65*45cm）全椴木木刻板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木刻板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A3（30cm*45cm）全椴木木刻板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10层柜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尺寸：1000*700*1200mm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材质：铁皮柜</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十三、美术学科普通2间学科教室清单</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设备名称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技术参数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仿宋" w:hAnsi="仿宋" w:eastAsia="仿宋" w:cs="仿宋"/>
                <w:color w:val="000000" w:themeColor="text1"/>
                <w:sz w:val="24"/>
              </w:rPr>
              <w:t>86吋智能交互平板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详细见附件3</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展台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w:t>
            </w:r>
            <w:r>
              <w:rPr>
                <w:rFonts w:hint="eastAsia" w:ascii="仿宋" w:hAnsi="仿宋" w:eastAsia="仿宋" w:cs="仿宋"/>
                <w:color w:val="000000" w:themeColor="text1"/>
                <w:sz w:val="24"/>
              </w:rPr>
              <w:t>86吋智能交互平板</w:t>
            </w:r>
            <w:r>
              <w:rPr>
                <w:rFonts w:hint="eastAsia" w:ascii="宋体" w:hAnsi="宋体" w:cs="宋体"/>
                <w:color w:val="000000" w:themeColor="text1"/>
                <w:kern w:val="0"/>
                <w:sz w:val="24"/>
              </w:rPr>
              <w:t>同一品牌一、硬件参数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 采用≥800万像素摄像头；采用 USB五伏电源直接供电，无需额外配置电源适配器，环保无辐射；箱内USB连线采用隐藏式设计，箱内无可见连线且USB口下出，有效防止积尘，且方便布线和返修。（提供国家级检验中心所出具的权威检测报告）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A4大小拍摄幅面，1080P动态视频预览达到30帧/秒；托板及挂墙部分采用金属加强，托板可承重3kg，整机壁挂式安装。（提供国家级检验中心所出具的权威检测报告）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支持展台成像画面实时批注，预设多种笔划粗细及颜色供选择，且支持对展台成像画面联同批注内容进行同步缩放、移动。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整机采用圆弧式设计，无锐角；同时托板采用磁吸吸附式机构，防止托板打落，方便打开及固定，避免机械式锁具故障率高的问题。（提供国家级检验中心所出具的权威检测报告）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展示托板正上方具备LED补光灯，保证展示区域的亮度及展示效果，补光灯开关采用触摸按键设计，同时可通过</w:t>
            </w:r>
            <w:r>
              <w:rPr>
                <w:rFonts w:hint="eastAsia" w:ascii="仿宋" w:hAnsi="仿宋" w:eastAsia="仿宋" w:cs="仿宋"/>
                <w:color w:val="000000" w:themeColor="text1"/>
                <w:sz w:val="24"/>
              </w:rPr>
              <w:t>86吋智能交互平板</w:t>
            </w:r>
            <w:r>
              <w:rPr>
                <w:rFonts w:hint="eastAsia" w:ascii="宋体" w:hAnsi="宋体" w:cs="宋体"/>
                <w:color w:val="000000" w:themeColor="text1"/>
                <w:kern w:val="0"/>
                <w:sz w:val="24"/>
              </w:rPr>
              <w:t>中的软件直接控制开关。（提供国家级检验中心所出具的权威检测报告）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带自动对焦摄像头；外壳在摄像头部分带保护镜片密封，防止灰尘沾染摄像头，防护等级达到IP4X级别。（提供国家级检验中心所出具的权威检测报告）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具有故障自动检测功能：在调用展台却无法出现镜头采集画面信号时，可自动出现检测链接，并给出导致性原因。（提供国家级检验中心所出具的权威检测报告）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为保证兼容性及稳定性，视频展台需与</w:t>
            </w:r>
            <w:r>
              <w:rPr>
                <w:rFonts w:hint="eastAsia" w:ascii="仿宋" w:hAnsi="仿宋" w:eastAsia="仿宋" w:cs="仿宋"/>
                <w:color w:val="000000" w:themeColor="text1"/>
                <w:sz w:val="24"/>
              </w:rPr>
              <w:t>86吋智能交互平板</w:t>
            </w:r>
            <w:r>
              <w:rPr>
                <w:rFonts w:hint="eastAsia" w:ascii="宋体" w:hAnsi="宋体" w:cs="宋体"/>
                <w:color w:val="000000" w:themeColor="text1"/>
                <w:kern w:val="0"/>
                <w:sz w:val="24"/>
              </w:rPr>
              <w:t>为同一品牌厂家，提供国家认证认可监督管理委员会认可的证书（例如CCC证书、自声明证书）复印件证明。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二、软件参数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支持对展台画面进行放大、缩小、旋转、自适应、冻结画面等操作。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 支持展台画面实时批注，预设多种笔划粗细及颜色供选择，且支持对展台画面联同批注内容进行同步缩放、移动。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 支持展台画面拍照截图并进行多图预览，可对任一图片进行全屏显示。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 老师可在一体机或电脑上选择延时拍照功能，支持5秒或10秒延时模式，预留充足时间以便调整拍摄内容。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 具备图像增强功能，可自动裁剪背景并增强文字显示，使文档画面更清晰。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 可选择图像、文本或动态等多种情景模式，适应不同展示内容。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 支持故障自动检测，在软件无法出现展台拍摄画面时，自动出现检测链接，帮助用户检测“无画面”的原因，并给出引导性解决方案。可判断硬件连接、显卡驱动、摄像头占用、软件版本等问题。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16. 支持二维码扫码功能：打开扫一扫功能后，将书本上的二维码放入扫描框内即可自动扫描，并进入系统浏览器获取二维码的链接内容，帮助老师快速获取电子教学资源。</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推拉绿板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详细见附件4</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蓝牙音箱无线咪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详细配置参数见附件5</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教师讲台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详细见附件2</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窗帘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双道窗帘，里道为优质加厚棉麻布料制作的全遮光帘（包括窗轨），外道为高级无纺布彩色喷绘定制，在窗帘上印制相关知识内容，集教学、观赏为一体的卷帘；含窗帘图文设计与安装，不含窗帘盒。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室</w:t>
            </w:r>
          </w:p>
        </w:tc>
      </w:tr>
      <w:tr>
        <w:tblPrEx>
          <w:tblCellMar>
            <w:top w:w="0" w:type="dxa"/>
            <w:left w:w="108" w:type="dxa"/>
            <w:bottom w:w="0" w:type="dxa"/>
            <w:right w:w="108" w:type="dxa"/>
          </w:tblCellMar>
        </w:tblPrEx>
        <w:trPr>
          <w:trHeight w:val="10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立式空调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1、★3匹不少于3级能效冷暖立柜式空调。★整机10年厂家免费上门质保,具体参数规格详细见附件7.</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2、注：如果没有空调的冷凝水PVC排水管到地面，则需要安装空调冷凝水水管50PVCU到地面排水沟里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高密无线AP</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详细参数规格及附件6</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十四、音乐学科专用教室清单</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设备名称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技术参数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10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音箱</w:t>
            </w:r>
          </w:p>
        </w:tc>
        <w:tc>
          <w:tcPr>
            <w:tcW w:w="18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2分频音箱，低频/高频：低频10”*高频44芯，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频率响应（+-3db)：55hz-20khz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额定阻抗：8ohms，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系统敏感度（1W@1m）：96db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最大声压级：128db,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额定功率：350W,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峰值功率：700W,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覆盖角度：90°×50°,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箱体材质：杂桦夹板；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838"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功放</w:t>
            </w:r>
          </w:p>
        </w:tc>
        <w:tc>
          <w:tcPr>
            <w:tcW w:w="18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数字功放，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立体音功率8Ω： 450W*2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立体音功率4Ω：800W*2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桥接功率16Ω：600W*1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桥接功率8Ω：800W*1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桥接功率4Ω：1200W*1,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频率响应（+-0.2 db)  20hz-20Khz 8Ω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输出电压 60V,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上升斜率 50v/us（1KHz，旁路低通滤波器）,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输入灵敏度 0dB,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THD+N 0.01%(10%p额定输出功率,典型值）,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IMD-SMPTE 0.01%(10%p额定输出功率,典型值）,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DIM30  0.01%(10%p额定输出功率,典型值）,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串扰抑制 ≧90dB（低于额定功率,20Hz-1kHz）,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输入阻抗 10kΩ不平衡/20kΩ平衡,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阻尼系数 ≧5000(8Ω 20Hz-200Hz),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信噪比 ≧90db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电源 90-260VAC 50-60Hz,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保护功能：电源欠压保护、功放输出直流保护、过热保护、温度功率控制、过载功率控制,  </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696"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前级效果器</w:t>
            </w:r>
          </w:p>
        </w:tc>
        <w:tc>
          <w:tcPr>
            <w:tcW w:w="18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功能简介：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音效：</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01. 话筒拥有出色的参数混响器，让演唱人声表现得浑厚，富有广阔的空间感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02. 音乐拥有 7段参量均衡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03. 话筒拥有 15段参量均衡，压限器，反馈抑制等级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04. 主输出拥有5段参量均衡，比例缩放器，延时器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05. 超低音拥有3段参量均衡，让声音表现更加有现场的强烈感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话筒：</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01. 五组混合输入的话筒接口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02. 带有一个模拟电平开关的噪声门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03. 拥有出色的反馈抑制电路，防止啸叫</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输入：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01. 两组双通道遥控切换输入的莲花音频接口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调节：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01. 用过面板旋钮或按键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02. 使用USB转Rs232接线联机调试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03. 调试软件 Audio Effect Controler</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838"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实用音频播放控制系统</w:t>
            </w:r>
          </w:p>
        </w:tc>
        <w:tc>
          <w:tcPr>
            <w:tcW w:w="18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需提供自定义的用户操作界面；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需内置2x2USB声卡，支持录播和远程会议；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处理器芯片采用ADI 架构，不低于40bit DSP浮点运算引擎；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模拟输入输出通道数量不少于4*4；</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输入输出量化不低于48KHz/24bit；</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输入通道应该具备：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不低于8段PEQ ，且提供不低于五种滤波器类型选择；</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增益共享自动混音(AMC)、</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自动增益(AGC)；</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每个通道应不低于8个点的自适应反馈抑制（AFC）；</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输出通道应该具备：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不低于8段PEQ,分频器、延时器、限幅器。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不低于14 x10 矩阵；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不低于16组预设；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不低于4组GPIO</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支持输入输出通道LINK和分组功能；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频率响应范围不低于20～20kHz (±0.5dB)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THD+N：&lt;-100dB @17dBu</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输入动态范围：110dB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输出动态范围：112dB</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13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电源时序器</w:t>
            </w:r>
          </w:p>
        </w:tc>
        <w:tc>
          <w:tcPr>
            <w:tcW w:w="18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产品描述：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WiFi智能时序器，带彩屏显示，手机APP远程控制，8路可控输出, 一台手机可以管理多台设备。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内置功率计，电压、电流、功率、功率因数实时显示并且实时上传手机远程监控，带有过压保护，过流保护。</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电压保护：当电压超过260V 不启动，使用中超过260V自己动跳开(断开后可⼿动和APP开启)。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电流保护：当电流超过35A自动跳开(断开后可手动和APP开启)。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一键配网：在同一WiFi局域⽹下即可通过APP配网,匹配完成后自动连接网络。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中控系统：支持RS232 DR9接口，波特率可设置(4800-128000，默认9600)。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掉电记忆：当设备突然断电数据自动储存。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WIFI传输距离30m无遮挡(2.4G WIFI 网络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可循环定时开关(服务器控制)。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产品参数：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1.面板：高档拉丝黑色铝面板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2.电力输入条件(单相3线)： AC90-265V 50-60HZ两相(三线：零，火，地)。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3.通道数量： 8路继电器受控，1路万⽤插座直通，单路额定输出最⼤电流： 16A。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4.继电器受控输出最大承受单路功率/总功率：3500W/ 7700W（总功率在显示屏上会显示注意观察即可）。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5.输出电源插座规格：阻燃ABS材料，最大可承受16A电流磷铜材质，标准万用插座。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6.每路开关间隔时间/定时时间：1.2秒输出继电器触点电流：40A240VAC。</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23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双通道无线领夹手持话筒</w:t>
            </w:r>
          </w:p>
        </w:tc>
        <w:tc>
          <w:tcPr>
            <w:tcW w:w="18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1.不用开机柜就能自动对频</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2.开启全自动功能键（AUTO全自动对频按键），只要会通电，我们机器自动分布到没有干扰的频率上，且手持也会自动跟踪匹配。</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3载波频率可做到500Mhz—900Mhz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接收机：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载波频率范围：615MHz---665MHz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频道总数：200CH</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频率响应：50HZ---18KHZ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有效距离使用：150Feet</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频率间隔：300KHZ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频带宽度：60MHZ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载波稳定度：±5PPM≤10KHZ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假象干扰比：＞80dB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信号噪声比：＞105dB(1KHZ-A)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灵敏度：-105dB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功能显示方式：LCD/ 液晶显示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电源供应：12-18V、DC、600MA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发射机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载波频率范围：615MHZ---665MHZ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频道总数：200CH</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频率间隔：250-300KHZ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频带宽度：50-60MHZ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动态范围：＞110dB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载波误差：±0.005%</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调变偏移度：±48KHZ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副谐波：＜-60dBc</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射频输出功率：10mv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电源消耗：≤100MA@3V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电源供应：UM3,AA1.5v×2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功能显示方式：LCD</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单体：Dynamic  microphon</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高清点歌机</w:t>
            </w:r>
          </w:p>
        </w:tc>
        <w:tc>
          <w:tcPr>
            <w:tcW w:w="18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真正双系统结构，连接方式：WIFI，LAN，HDMI，VGA，存储空间4TB，海思CPU，钢化玻璃LED屏幕22英寸广视角电容屏。UI点歌界面。WIFI连接，海量62万云歌曲可以下载，内存1.8万首高清MTV，可USB扩展歌曲库，支持语音、微信等点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3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线缆附件</w:t>
            </w:r>
          </w:p>
        </w:tc>
        <w:tc>
          <w:tcPr>
            <w:tcW w:w="18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1、电源线：3*1.5橡胶护套线/橡套软电缆线，执行标准：必须符合国标1.5平方,CB/T5023.5</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2、HDMI高清线：要求全新2.0版，支持2K*4K高清模式，支持3D图像；支持TV刷新率高达120Hz；采用24K镀金端子及高纯度无氧铜导体打造；全面支持超高清视频4096*2160p；</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3、VGA视频线：全铜vga3＋6工程线 128编 ，无氧铜（OFC）导体，航天级聚乙烯（LDPE）/PVC内绝缘；主芯加6条副芯均为纯铜，128股铝美丝编织网。电脑主机、显示器、投影仪、电视等带VGA接口的设备，传输距离≥60米。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4、SDI视频线：无磁性接头,导体采用75-5绞合纯铜，同轴信号线独立屏蔽结构，插头外壳：锌合金，线芯：≥0.8mm OFC 无氧纯铜线芯，线径：直径≥7mm，屏蔽：2层屏蔽，铝箔+内部铜编织屏蔽网、128网</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5、六类网线：额定温度：≥70°C，符合标准：UL Subject 444, EIA/TIA 568B.2-1 &amp; ISO/IEC 11801, IEC 61163，导体：固态纯铜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6、专业工程护套线：EVJV 2X2.5平方，黑色 线径：≤9mm 导体采用≥99.99%高纯度OFC无氧铜制造。</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7、话筒线：2*0.35平方加屏蔽，材质： 要求采用4N纯无氧铜，。芯线是16根，横截面积2*0.35平方，直流阻抗为69.2欧/km。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8、卡侬头XLR，莲花头RCA，6.35头，3.5头。HDMI头，VGA头，BNC头均选国优。</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安装调试费</w:t>
            </w:r>
          </w:p>
        </w:tc>
        <w:tc>
          <w:tcPr>
            <w:tcW w:w="18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系统设备安装、调试、培训等，含三年技术支持</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教师讲台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配置及参数详见附件2</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21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指挥台</w:t>
            </w:r>
          </w:p>
        </w:tc>
        <w:tc>
          <w:tcPr>
            <w:tcW w:w="1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98176" behindDoc="0" locked="0" layoutInCell="1" allowOverlap="1">
                  <wp:simplePos x="0" y="0"/>
                  <wp:positionH relativeFrom="column">
                    <wp:posOffset>119380</wp:posOffset>
                  </wp:positionH>
                  <wp:positionV relativeFrom="paragraph">
                    <wp:posOffset>151130</wp:posOffset>
                  </wp:positionV>
                  <wp:extent cx="522605" cy="480060"/>
                  <wp:effectExtent l="19050" t="0" r="0" b="0"/>
                  <wp:wrapNone/>
                  <wp:docPr id="961" name="图片_43"/>
                  <wp:cNvGraphicFramePr/>
                  <a:graphic xmlns:a="http://schemas.openxmlformats.org/drawingml/2006/main">
                    <a:graphicData uri="http://schemas.openxmlformats.org/drawingml/2006/picture">
                      <pic:pic xmlns:pic="http://schemas.openxmlformats.org/drawingml/2006/picture">
                        <pic:nvPicPr>
                          <pic:cNvPr id="961" name="图片_43"/>
                          <pic:cNvPicPr>
                            <a:picLocks noChangeArrowheads="1"/>
                          </pic:cNvPicPr>
                        </pic:nvPicPr>
                        <pic:blipFill>
                          <a:blip r:embed="rId65"/>
                          <a:srcRect/>
                          <a:stretch>
                            <a:fillRect/>
                          </a:stretch>
                        </pic:blipFill>
                        <pic:spPr>
                          <a:xfrm>
                            <a:off x="0" y="0"/>
                            <a:ext cx="522605" cy="48006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全橡木底座、谱台、杂物盒，底座：1200*1000*260mm，谱台：600*400mm，杂物盒：400*300mm, 谱架为不锈钢可升降800-1300mm高度，不锈钢护栏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20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合唱台</w:t>
            </w:r>
          </w:p>
        </w:tc>
        <w:tc>
          <w:tcPr>
            <w:tcW w:w="1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699200" behindDoc="0" locked="0" layoutInCell="1" allowOverlap="1">
                  <wp:simplePos x="0" y="0"/>
                  <wp:positionH relativeFrom="column">
                    <wp:posOffset>130175</wp:posOffset>
                  </wp:positionH>
                  <wp:positionV relativeFrom="paragraph">
                    <wp:posOffset>180975</wp:posOffset>
                  </wp:positionV>
                  <wp:extent cx="538480" cy="495300"/>
                  <wp:effectExtent l="19050" t="0" r="0" b="0"/>
                  <wp:wrapNone/>
                  <wp:docPr id="960" name="图片_44"/>
                  <wp:cNvGraphicFramePr/>
                  <a:graphic xmlns:a="http://schemas.openxmlformats.org/drawingml/2006/main">
                    <a:graphicData uri="http://schemas.openxmlformats.org/drawingml/2006/picture">
                      <pic:pic xmlns:pic="http://schemas.openxmlformats.org/drawingml/2006/picture">
                        <pic:nvPicPr>
                          <pic:cNvPr id="960" name="图片_44"/>
                          <pic:cNvPicPr>
                            <a:picLocks noChangeArrowheads="1"/>
                          </pic:cNvPicPr>
                        </pic:nvPicPr>
                        <pic:blipFill>
                          <a:blip r:embed="rId66"/>
                          <a:srcRect/>
                          <a:stretch>
                            <a:fillRect/>
                          </a:stretch>
                        </pic:blipFill>
                        <pic:spPr>
                          <a:xfrm>
                            <a:off x="0" y="0"/>
                            <a:ext cx="538480" cy="49530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全橡木一体式三层合唱台：E1级环保材料，内衬镀锌方钢管，安装耐磨光滑脚垫，方便移动材质：橡木，层高20CM，一二层深度40CM、第三层深度50CM，可以组合不同宽度的三层合唱台。</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尺寸：1200*1300*600mm（长宽高）</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17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钢琴</w:t>
            </w:r>
          </w:p>
        </w:tc>
        <w:tc>
          <w:tcPr>
            <w:tcW w:w="18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规格：不小于H：1210mm L：1420mm W：600mm</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琴弦：琴弦品牌为原装进口ROSLAU防锈琴弦，音准稳定。琴弦的配置和音板的匹配数值，由专业软件严密计算得出，小字一组A音频率440HZ至447HZ之内。优良的缠弦制造技术，生产出有良好音程效果的、声音丰满而有延伸感的理想缠弦。次高音、高音部分采用整数比方式制作，音色通透、纯净。</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弦长：第一键有效弦长为1200mm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2、弦槌：采用进口优质弦槌毛毡，呢毡密度为0.4~0.9R的钢琴弦槌呢毡,色泽均匀一致，更灵敏耐用，呈现最佳音色。桃花芯木槌芯，保证回弹速度与质感。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3、音板、肋木：选用云杉、松木制造的加强型实木音板（3A级），增强了音板的共鸣效果。在各种不同的气候条件下均能保持优良音色，音板设计符合钢琴共鸣系统的发声规律，琴声优美和音质效果纯正。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4、弦轴板、弦轴钉：弦轴钉采用倒牙车丝配合高精度的防锈处理技术工艺；弦轴板由多层（17层）坚硬的色木交错拼接而成，制造过程中电脑控制含水率，为弦轴钉提供稳固的握钉力，保证音准稳定。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5、键盘参数：88标准键盘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键盘材料：使用粘性和耐久性强的松木、杉木制作，结合先进技术防止键盘变形，性能稳定，可长久保持良好的触感、手感。白键表面采用优质合成丙烯树脂，黑键表面采用经过防滑处理的酚醛树脂，色彩和质感如同乌木，触感舒适自然。带缓降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6、外壳涂饰： 采用品牌不饱和树脂环保漆，并应用静电喷涂、自动淋油等涂饰工艺，漆面光亮平整，硬度高且不易划伤，能够长久保持华丽色彩的镜面效果。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外观涂装为黑色亮光：高光≥85，半光：30-85，低光≤30。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击弦机：材料为桂杨木、榉木，受温度、湿度影响小。采用独特的精密机械生产加工，击弦机精度高、质量均衡，确保手指的敲击动作完整的向弦槌传达，琴键的触感均匀而恰到好处，能够迅速的连击想要的颤音效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8、铁板：亮光金葱粉金色铁板，采用传统沙铸铁板工艺，不仅更好地支持弦的张力，并且更长久地保证钢琴的音色纯正。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弦码：采用优质色木材料制作，音频振动响应精确、迅速。长弦码采用单根弦码方法，从头到尾流畅整齐，确保声音平衡柔和的传递；长弦码高音部分采用硬度和弹性都很好的优质色木材料，有效防止震动的减弱，获得有色彩感的音质，且具有一定的延音效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10、背柱：碾压而成的云杉木背柱结合先进技术进一步加强了刚性、共鸣性及结构稳定性。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 踏板：延音踏板、弱音踏板和选择踏板，都采用优雅的弧形设计，踏感轻松、演奏方便，踏板踩下后传递到击弦机的过程顺畅迅速。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12、脚轮：采用加固胶木脚轮，转动灵活、推行顺畅、噪音低。</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13.含原装双人钢琴凳</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14.金丝绒钢琴琴罩；</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3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电钢琴</w:t>
            </w:r>
          </w:p>
        </w:tc>
        <w:tc>
          <w:tcPr>
            <w:tcW w:w="18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琴头：外观尺寸（宽 × 深 × 高）：1398 x 459 x 155 mm,带键盘支架：1399 x 468 x 776 mm</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重量：16.9 kg,带键盘支架： 24.6 kg</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琴键数 88</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键盘类型：GHS（渐层式重槌标准）键盘，哑光黑键</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力度感响应：有</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弯音：有</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滑音：有</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LCD显示屏</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背光：蓝色</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显示屏语言：英语</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面板语言：中文</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复音数（最大） 64</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预置音色数：567音色（包括38民族音色+ 23鼓组/民族打击乐器/ 音效+ 339 XGlite音色）</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兼容性 GM/XGlite 有</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混响：12种类型</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合唱：5种类型</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和声：26种类型</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双音色：有</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音色分割：有</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双人演奏：有</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面板延音：有</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预置伴奏型数：230</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指法：多指指法</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伴奏控制：和弦伴奏开/关、前奏/尾声、主奏/自动插入、 同步起动、 同步停止、起动/停止</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外部伴奏：有</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其他功能：单触设置 （ OTS）：有</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 xml:space="preserve">乐曲（ 仅限MIDI数据； 不支持音频） </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示范乐曲数：15</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录制乐曲数：5</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音轨数：6</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数据容量：每首乐曲约30,000个音符</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预置注册数：16</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自定义注册数：4 （ x 4个音库）</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移调： -12 – 0 – +12</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调音：427.0 – 440.0 – 453.0 Hz</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内存：约1.47 MB</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直流电源输入12 V</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[耳机/输出] x 1</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延音踏板：有</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表现踏板：有</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脚踏板组件：有</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USB TO HOST：有</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功放：6 W x 2</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扬声器：12 cm x 2</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功耗：7W （整机）,8 W （整机和AC电源适配器）</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本次除了官方配置的琴头等外、还需配置原装支架、原装三踏板，并配置双人带书箱的琴凳、乐谱夹、品牌监听耳机、金丝绒琴罩</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699"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学生椅</w:t>
            </w:r>
          </w:p>
        </w:tc>
        <w:tc>
          <w:tcPr>
            <w:tcW w:w="1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ascii="宋体" w:hAnsi="宋体" w:cs="宋体"/>
                <w:color w:val="000000" w:themeColor="text1"/>
                <w:sz w:val="24"/>
              </w:rPr>
              <w:drawing>
                <wp:inline distT="0" distB="0" distL="0" distR="0">
                  <wp:extent cx="1065530" cy="1184910"/>
                  <wp:effectExtent l="19050" t="0" r="1270" b="0"/>
                  <wp:docPr id="2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2"/>
                          <pic:cNvPicPr>
                            <a:picLocks noChangeAspect="1" noChangeArrowheads="1"/>
                          </pic:cNvPicPr>
                        </pic:nvPicPr>
                        <pic:blipFill>
                          <a:blip r:embed="rId67"/>
                          <a:srcRect/>
                          <a:stretch>
                            <a:fillRect/>
                          </a:stretch>
                        </pic:blipFill>
                        <pic:spPr>
                          <a:xfrm>
                            <a:off x="0" y="0"/>
                            <a:ext cx="1065530" cy="1184910"/>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 xml:space="preserve">★1、采用知名品牌的网布和布料，经久耐用，抗撕裂性强，透气性好，轻轻擦拭即可除污；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2、坐垫采用加厚的一体成型的高回弹定型棉作为坐垫，并且坐垫前沿有弧形设计，对腿部支撑更好，更贴合，环保健康更加舒适；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★3、全身椅子架都是采用高硬度1.5mm的钢材，设计承重达到500斤；</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4、椅子架的白色喷漆也是采用了多遍的反复喷漆，保证了漆的厚度，防止氧化；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5、坐垫底部采用了塑胶保护壳而非直接裸露的复合木板材料，更大程度的保证了坐垫的使用年限，坐垫底下的支架也是采用了双拉丝，更加的安全，牢固，更有效的保护椅子框架；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6、 桌板和椅子都采用的是可折叠的设计，便于收纳；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8 背框采用的是精选工程性的PP材料，安全可靠，耐用性好，非再生材质。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9、尺寸：总体580*500*850，定型棉坐垫：450*450，桌板：520*330,扶手高：670，坐垫高：440,结构及尺寸详细见附图</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五线谱电教板</w:t>
            </w:r>
          </w:p>
        </w:tc>
        <w:tc>
          <w:tcPr>
            <w:tcW w:w="18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1、88键电钢琴键盘，体验真正的电钢琴力度，规格不低于1800*1000*58mm。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双拉尺演示、包括两组音阶推拉尺。和弦演示尺，具有调名调号七升七降对照演示表。直观的让学生了解调名、调号、键盘、谱表之间的关系。了解调名调号与音程音阶之间的对照关系。了解不同和线之间的关系。能够完成全部乐理知识的对照讲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3、五线谱表：一组可书写的大谱表,采用白色书写面板（采用紫外线光固化生产工艺有效保证板面的书写擦拭）。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4、音色：128种GM音色+61种打击乐器音色。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5、节奏：内置节奏100种。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6、示范曲：内置歌曲608首。</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7、变调：五线谱12种变调。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8、和弦方式：可演示任意和旋，两组和弦记忆，进行和弦对照演示。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9、伴奏：具单指和弦、多指和弦伴奏。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10、录音：具有录音功能。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11、节拍速度：可在40－208/每分钟范围可调。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★12、显示：控制面板上采用4.3寸彩色液晶屏显示。（提供的检测报告复印件佐证此条参数）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13、接口：MIDI输入、输出接口，音频输入、输出接口。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14、音量控制：电子电位器控制、分主音量和伴奏音量控制。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15、拓展功能：具有USB2.0接口，支持用户U盘，可读取u盘中的MP3文件和MIDI乐曲文件。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16、外接接口：通用USB2.0输入；线路输入输出。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17、提供国家级协会或同级别团体的入围推荐产品并取得相关证书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18、该示教板以键盘为核心，配合乐理符号丝网印刷，方便乐理知识的教学，将键盘、谱表、调名、调号巧妙的联系到一起，乐理演示简捷直观，乐理解析清析易懂。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19、具有键位与五线谱对应的双色LED指示灯，可对照键盘与五线谱相应的位置。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20、具有7寸超大简谱显示窗口，在电子教鞭演示五线谱过程中可直接显示相对应的简谱、升降号。</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21.具备唱名显示功能。</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仿宋" w:hAnsi="仿宋" w:eastAsia="仿宋" w:cs="仿宋"/>
                <w:color w:val="000000" w:themeColor="text1"/>
                <w:sz w:val="24"/>
              </w:rPr>
              <w:t>86吋智能交互平板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配置及参数详见附件3</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推拉式绿板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配置及参数详见附件4</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智能笔</w:t>
            </w:r>
          </w:p>
        </w:tc>
        <w:tc>
          <w:tcPr>
            <w:tcW w:w="18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与</w:t>
            </w:r>
            <w:r>
              <w:rPr>
                <w:rFonts w:hint="eastAsia" w:ascii="仿宋" w:hAnsi="仿宋" w:eastAsia="仿宋" w:cs="仿宋"/>
                <w:color w:val="000000" w:themeColor="text1"/>
                <w:sz w:val="24"/>
              </w:rPr>
              <w:t>86吋智能交互平板</w:t>
            </w:r>
            <w:r>
              <w:rPr>
                <w:rFonts w:hint="eastAsia" w:ascii="宋体" w:hAnsi="宋体" w:cs="宋体"/>
                <w:color w:val="000000" w:themeColor="text1"/>
                <w:kern w:val="0"/>
                <w:sz w:val="24"/>
              </w:rPr>
              <w:t>同一品牌，</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支持电容触摸设备书写、无线控制发射器一体化设计。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笔身配置不少于四个物理按键，具备翻页、模拟激光笔、智能语音控制功能，兼顾触摸书写以及远程操控的握持姿态。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兼容白板软件、PPT、PDF等多种演示软件课件的远程翻页控制。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内置高精度陀螺仪，具备模拟激光笔功能，可通过笔身按钮激活陀螺仪模拟激光功能，适用于加载防眩光设计的教学显示设备。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支持笔身翻转矫正，笔身轻微倾斜时，水平移动智能笔，可瞬时矫正识别光标动作为水平移动。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支持按键唤醒语音识别功能，避免杂音造成误唤醒。</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支持唤醒语音识别时，可直接通过语音打开PC内已安装的应用，可直接通过语音调用网络搜索引擎搜索查询相应资料，可进行语音转写输入，支持语音控制屏幕黑屏、亮屏，音量大小调整，返回桌面，截屏，关机等操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支持白板软件内，通过语音控制：切换备授课模式，切换书写、擦除、选择模式，最小化返回桌面，打开板中板，清空书写批注等操作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采用无线连接方式，远程控制最远距离：语音识别：5m；模拟激光：10m；上翻页、下翻页：25米</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高密无线AP</w:t>
            </w:r>
          </w:p>
        </w:tc>
        <w:tc>
          <w:tcPr>
            <w:tcW w:w="18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详细参数规格见附件6</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窗帘</w:t>
            </w:r>
          </w:p>
        </w:tc>
        <w:tc>
          <w:tcPr>
            <w:tcW w:w="18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根据学校教室实际窗帘大小进行调整,遮阳的基本功能下.采用优质加厚棉麻全遮光面料制作，包括轨道等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室</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空调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1、★3匹不少于3级能效冷暖立柜式空调。★整机10年厂家免费上门质保,具体参数规格详细见附件7.</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2、注：如果没有空调的冷凝水PVC排水管到地面，则需要安装空调冷凝水水管50PVCU到地面排水沟里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十五、音乐学科普通2间教室清单</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设备名称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技术参数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蓝牙音箱无线咪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配置及参数详见附件5</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老师讲台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配置及参数详见附件2</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7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音乐椅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themeColor="text1"/>
                <w:kern w:val="0"/>
                <w:sz w:val="24"/>
              </w:rPr>
            </w:pPr>
            <w:r>
              <w:rPr>
                <w:rFonts w:hint="eastAsia" w:ascii="宋体" w:hAnsi="宋体" w:cs="宋体"/>
                <w:color w:val="000000" w:themeColor="text1"/>
                <w:kern w:val="0"/>
                <w:sz w:val="24"/>
              </w:rPr>
              <w:t>★1、采用知名品牌的网布和布料，经久耐用，抗撕裂性强，透气性好，轻轻擦拭即可除污；</w:t>
            </w:r>
          </w:p>
          <w:p>
            <w:pPr>
              <w:rPr>
                <w:rFonts w:ascii="宋体" w:hAnsi="宋体" w:cs="宋体"/>
                <w:color w:val="000000" w:themeColor="text1"/>
                <w:sz w:val="24"/>
              </w:rPr>
            </w:pPr>
            <w:r>
              <w:rPr>
                <w:rFonts w:hint="eastAsia" w:ascii="宋体" w:hAnsi="宋体" w:cs="宋体"/>
                <w:color w:val="000000" w:themeColor="text1"/>
                <w:kern w:val="0"/>
                <w:sz w:val="24"/>
              </w:rPr>
              <w:t xml:space="preserve">2、坐垫采用加厚的一体成型的高回弹定型棉作为坐垫，并且坐垫前沿有弧形设计，对腿部支撑更好，更贴合，环保健康更加舒适；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★3、全身椅子架都是采用高硬度1.5mm的钢材，设计承重达到500斤；</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4、椅子架的白色喷漆也是采用了多遍的反复喷漆，保证了漆的厚度，防止氧化；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5、坐垫底部采用了塑胶保护壳而非直接裸露的复合木板材料，更大程度的保证了坐垫的使用年限，坐垫底下的支架也是采用了双拉丝，更加的安全，牢固，更有效的保护椅子框架；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6、 桌板和椅子都采用的是可折叠的设计，便于收纳；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8 背框采用的是精选工程性的PP材料，安全可靠，耐用性好，非再生材质。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9、尺寸(mm)：总体580*500*850，定型棉坐垫：450*450，桌板：520*330，扶手高：670，坐垫高：440，结构及尺寸详细见附图</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仿宋" w:hAnsi="仿宋" w:eastAsia="仿宋" w:cs="仿宋"/>
                <w:color w:val="000000" w:themeColor="text1"/>
                <w:sz w:val="24"/>
              </w:rPr>
              <w:t>86吋智能交互平板</w:t>
            </w:r>
          </w:p>
        </w:tc>
        <w:tc>
          <w:tcPr>
            <w:tcW w:w="18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配置及参数详见附件3</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推拉式绿板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配置及参数详见附件4</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智能笔</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采用笔型设计，具有三个遥控按键（上下翻页和功能键），既可用于触摸书写，也可用于远程操控。采用2.4G无线连接技术，无线接收距离最大可达15米。无线接收器采用微型nano设计，并能收纳在笔上，整洁美观。使用单节7号电池驱动，并带自动休眠节电设计。单接收器设计，android、windows双系统同时响应。只需安装一个接收器，双系统都能响应智能笔的操作指令。支持白板课件、PPT、PDF等多种格式的课件进行远程无线翻页。功能按键可通过长按/短按实现两种快捷功能，方便教师操作。支持自定义按键功能，可选功能包括：一键启动任意通道批注、一键启动/退出PPT播放、一键启动PPT批注、一键启动任意通道冻结与放大屏幕内容。</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高密无线AP</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详细参数规格见附件6</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21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五线谱电教板</w:t>
            </w:r>
          </w:p>
        </w:tc>
        <w:tc>
          <w:tcPr>
            <w:tcW w:w="18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1、88键电钢琴键盘，体验真正的电钢琴力度，规格不低于1800*1000*58mm。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双拉尺演示、包括两组音阶推拉尺。和弦演示尺，具有调名调号七升七降对照演示表。直观的让学生了解调名、调号、键盘、谱表之间的关系。了解调名调号与音程音阶之间的对照关系。了解不同和线之间的关系。能够完成全部乐理知识的对照讲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3、五线谱表：一组可书写的大谱表,采用白色书写面板（采用紫外线光固化生产工艺有效保证板面的书写擦拭）。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4、音色：128种GM音色+61种打击乐器音色。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5、节奏：内置节奏100种。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6、示范曲：内置歌曲608首。</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7、变调：五线谱12种变调。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8、和弦方式：可演示任意和旋，两组和弦记忆，进行和弦对照演示。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9、伴奏：具单指和弦、多指和弦伴奏。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10、录音：具有录音功能。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11、节拍速度：可在40－208/每分钟范围可调。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★12、显示：控制面板上采用4.3寸彩色液晶屏显示。（提供的检测报告复印件佐证此条参数）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13、接口：MIDI输入、输出接口，音频输入、输出接口。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14、音量控制：电子电位器控制、分主音量和伴奏音量控制。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15、拓展功能：具有USB2.0接口，支持用户U盘，可读取u盘中的MP3文件和MIDI乐曲文件。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16、外接接口：通用USB2.0输入；线路输入输出。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17、提供国家级协会或同级别团体的入围推荐产品并取得相关证书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18、该示教板以键盘为核心，配合乐理符号丝网印刷，方便乐理知识的教学，将键盘、谱表、调名、调号巧妙的联系到一起，乐理演示简捷直观，乐理解析清析易懂。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19、具有键位与五线谱对应的双色LED指示灯，可对照键盘与五线谱相应的位置。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20、具有7寸超大简谱显示窗口，在电子教鞭演示五线谱过程中可直接显示相对应的简谱、升降号。</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21.具备唱名显示功能。</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块</w:t>
            </w:r>
          </w:p>
        </w:tc>
      </w:tr>
      <w:tr>
        <w:tblPrEx>
          <w:tblCellMar>
            <w:top w:w="0" w:type="dxa"/>
            <w:left w:w="108" w:type="dxa"/>
            <w:bottom w:w="0" w:type="dxa"/>
            <w:right w:w="108" w:type="dxa"/>
          </w:tblCellMar>
        </w:tblPrEx>
        <w:trPr>
          <w:trHeight w:val="11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钢琴</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规格：不小于H：1210mm L：1420mm W：600mm</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琴弦：琴弦品牌为原装进口ROSLAU防锈琴弦，音准稳定。琴弦的配置和音板的匹配数值，由专业软件严密计算得出，小字一组A音频率440HZ至447HZ之内。优良的缠弦制造技术，生产出有良好音程效果的、声音丰满而有延伸感的理想缠弦。次高音、高音部分采用整数比方式制作，音色通透、纯净。</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弦长：第一键有效弦长为1200mm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2、弦槌：采用进口优质弦槌毛毡，呢毡密度为0.4~0.9R的钢琴弦槌呢毡,色泽均匀一致，更灵敏耐用，呈现最佳音色。桃花芯木槌芯，保证回弹速度与质感。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3、音板、肋木：选用云杉、松木制造的加强型实木音板（3A级），增强了音板的共鸣效果。在各种不同的气候条件下均能保持优良音色，音板设计符合钢琴共鸣系统的发声规律，琴声优美和音质效果纯正。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4、弦轴板、弦轴钉：弦轴钉采用倒牙车丝配合高精度的防锈处理技术工艺；弦轴板由多层（17层）坚硬的色木交错拼接而成，制造过程中电脑控制含水率，为弦轴钉提供稳固的握钉力，保证音准稳定。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5、键盘参数：88标准键盘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键盘材料：使用粘性和耐久性强的松木、杉木制作，结合先进技术防止键盘变形，性能稳定，可长久保持良好的触感、手感。白键表面采用优质合成丙烯树脂，黑键表面采用经过防滑处理的酚醛树脂，色彩和质感如同乌木，触感舒适自然。带缓降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6、外壳涂饰： 采用品牌不饱和树脂环保漆，并应用静电喷涂、自动淋油等涂饰工艺，漆面光亮平整，硬度高且不易划伤，能够长久保持华丽色彩的镜面效果。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外观涂装为黑色亮光：高光≥85，半光：30-85，低光≤30。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击弦机：材料为桂杨木、榉木，受温度、湿度影响小。采用独特的精密机械生产加工，击弦机精度高、质量均衡，确保手指的敲击动作完整的向弦槌传达，琴键的触感均匀而恰到好处，能够迅速的连击想要的颤音效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8、铁板：亮光金葱粉金色铁板，采用传统沙铸铁板工艺，不仅更好地支持弦的张力，并且更长久地保证钢琴的音色纯正。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弦码：采用优质色木材料制作，音频振动响应精确、迅速。长弦码采用单根弦码方法，从头到尾流畅整齐，确保声音平衡柔和的传递；长弦码高音部分采用硬度和弹性都很好的优质色木材料，有效防止震动的减弱，获得有色彩感的音质，且具有一定的延音效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10、背柱：碾压而成的云杉木背柱结合先进技术进一步加强了刚性、共鸣性及结构稳定性。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 踏板：延音踏板、弱音踏板和选择踏板，都采用优雅的弧形设计，踏感轻松、演奏方便，踏板踩下后传递到击弦机的过程顺畅迅速。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12、脚轮：采用加固胶木脚轮，转动灵活、推行顺畅、噪音低。</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13.含原装双人钢琴凳</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14.金丝绒钢琴琴罩；</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1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窗帘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根据学校教室实际窗帘大小进行调整,遮阳的基本功能下.采用优质加厚棉麻全遮光面料制作，包括轨道等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项</w:t>
            </w:r>
          </w:p>
        </w:tc>
      </w:tr>
      <w:tr>
        <w:tblPrEx>
          <w:tblCellMar>
            <w:top w:w="0" w:type="dxa"/>
            <w:left w:w="108" w:type="dxa"/>
            <w:bottom w:w="0" w:type="dxa"/>
            <w:right w:w="108" w:type="dxa"/>
          </w:tblCellMar>
        </w:tblPrEx>
        <w:trPr>
          <w:trHeight w:val="414"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空调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1、★3匹不少于3级能效冷暖立柜式空调。★整机10年厂家免费上门质保,具体参数规格详细见附件7.</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2、注：如果没有空调的冷凝水PVC排水管到地面，则需要安装空调冷凝水水管50PVCU到地面排水沟里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十六、民乐、舞蹈专用教室清单</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设备名称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技术参数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舞蹈压腿砖</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尺寸：230*75*150mm,12条工整棱线，非均匀密度分配，硬度适中，抗压不易变形，高密度舒适耐用，出汗不打滑</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舞蹈垫</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尺寸：1830*800mm,防滑纹路，柔软回弹，高分子TPE材质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面</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仿宋" w:hAnsi="仿宋" w:eastAsia="仿宋" w:cs="仿宋"/>
                <w:color w:val="000000" w:themeColor="text1"/>
                <w:sz w:val="24"/>
              </w:rPr>
              <w:t>86吋智能交互平板</w:t>
            </w:r>
          </w:p>
        </w:tc>
        <w:tc>
          <w:tcPr>
            <w:tcW w:w="18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配置及参数详见附件3</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推拉式绿板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配置及参数详见附件4</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老师讲台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配置及参数详见附件2</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智能笔</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采用笔型设计，具有三个遥控按键（上下翻页和功能键），既可用于触摸书写，也可用于远程操控。采用2.4G无线连接技术，无线接收距离最大可达15米。无线接收器采用微型nano设计，并能收纳在笔上，整洁美观。使用单节7号电池驱动，并带自动休眠节电设计。单接收器设计，android、windows双系统同时响应。只需安装一个接收器，双系统都能响应智能笔的操作指令。支持白板课件、PPT、PDF等多种格式的课件进行远程无线翻页。功能按键可通过长按/短按实现两种快捷功能，方便教师操作。支持自定义按键功能，可选功能包括：一键启动任意通道批注、一键启动/退出PPT播放、一键启动PPT批注、一键启动任意通道冻结与放大屏幕内容。</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高密无线AP</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详细参数规格见附件6</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镜子1</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尺寸：7000*2600mm镜面厚度不低于5mm（可组装）。优质防水镜面含边框</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米</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镜子2</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尺寸：8000*2600mm，镜面厚度不低于5mm（可组装）。优质防水镜面含边框</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米</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把杆</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升降式，水曲柳杆直径不低于55mm，长度3M,内穿22mm直径锰钢，带弹性。支架采用优质无缝钢管焊接而成，颜色珍珠白、高亮。活动升降內芯为优质电镀圆管，螺旋拉销式升降控制装备，升降高度可调节40cm（80-120cm）。ABS，重约25公斤。</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窗帘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根据学校教室实际窗帘大小进行调整,遮阳的基本功能下.采用优质加厚棉麻全遮光面料制作，包括轨道等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古筝</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律制：十二平均律；标准音：440Hz；音准稳定性≤23音分；材质：非洲紫檀木，面板：兰考泡桐；琴码：花梨木；图案：春暖花开；音质：高琴清脆、明亮，中音圆润、饱满，低音浑厚、有力，余音长，各弦音色过度自然。配件包含：指甲、胶布、调音扳手、琴罩、琴包，清洁棒、琴码示意图，琴架（优质A字架），调音器，备用1、2、3号弦各一根。</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架</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折叠椅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尺寸为600×600×850mm（±50mm）可根据现场情况适当调整， 2、材质：钢制椅架+海绵+透气网布，颜色可选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二胡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  质：黑檀，木质均匀细密，纹路顺畅。</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琴  头：弯头设计、美观大方，典雅高贵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琴  轴：六瓣琴轴，弦轴条纹分明，有利于调节琴弦松紧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琴  杆：椭圆形状，素面；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琴  筒： 六瓣式机械音筒，采用野生优质莽皮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音窗：木质挖槽灯笼格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琴  托：流线型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配  件：1根白马尾琴弓，1块松香，1个黑色布盒子</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把</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琵琶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律制：十二平均律；标准音：440Hz；音准误差：-3～+5；相邻两音误差≤8音分；材质：红花梨； 琴头：白骨牡丹 ；琴轴：花梨轴，原木麻花型 ；琴相：手工打磨、镶骨；琴品：闽南老竹；工艺：原木抛光；面板：兰考高级泡桐 ；琴码：纯手工打磨； 背板：硬木整板无拼接；</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把</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唢呐</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调性：D调；材质：喇叭黄铜电镀；唢呐杆：红木；律制：十二平均律；标准音：440Hz；音准误差：-7～+9音分；相邻两音误差≤10；音质：吹奏省力，发音灵敏，手感舒适，能充分表现强、弱音，音准稳定。配件：唢呐气盘、哨片、吹嘴各一</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中阮</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律制：十二平均律；标准音：440Hz；音准误差：-5～+10；相邻两音误差≤7音分；材质：非洲紫檀木 ；面板：兰考泡桐； 琴头：白骨牡丹花 ； 琴轴：红木麻花轴设计 ； 琴品：红木嵌铜 ；琴弦：优质钢丝，声音圆润，无杂音；</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扬琴</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规格：402 ；律制：十二平均律；标准音：440Hz；音准误差：-5～+7；相邻两音误差≤7音分；音准稳定性≤10音分；材质：琴体红木；面板：兰考泡桐；工艺：贝雕荷花图案； 钢制滑车、滑珠，琴码：红木镶骨；琴弦：优质钢丝琴弦，不宜生锈、音质均衡。色泽：原木色；配备色木琴架，底座稳固，带万向轮、支架镂空雕刻。配置：琴架、琴箱、调音扳手、琴竹、包装箱轮。</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笙</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中音D调21簧铜斗专业笙</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笛子</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黑檀牛角  D、C、G、F调各2支平均孔的</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葫芦丝</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调性：降B；律制：十二平均律；标准音：440Hz；各音音准误差：主管0～+10音分；副官：+8、+7音分；相邻两音误差≤10；采用材质：镀铜拉丝工艺葫芦和管，花牛角吹嘴、仿牛角镶底；2、工艺：傣族民俗图案、精致铜套、主副管可拆；3、音色：三音。4、配备：包装盒、中国结。</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支</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排鼓</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排鼓五鼓（10音）一组，鼓身高29cm～33.3cm，上口面直径16.7cm～37cm，下口面直径11.7cm～37cm，调音是上面的六个螺丝调音，上下调音，可以调致五之六个音，材质是，鼓腔是玻璃钢材质，鼓皮是头层水牛皮，鼓架是标准的A3钢实心脚架，脚轮是万象脚轮</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中国大鼓</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1、鼓面直径650mm，高度550mm，木质鼓腔，卷曲成圆柱形，表面无疤痕、裂缝，不变形，并喷红漆。 2、击槌用硬杂木制成，前端呈球状。表面无疤痕、裂纹。 3、堂鼓的鼓身上下口径相同，中部略大，漆面光洁。 4、演奏时，发出“咚、咚”声，不得有杂音。 含架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面</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大阮</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律制：十二平均律；标准音：440Hz；音准误差：-10～+1；相邻两音误差≤6音分；材质：非洲紫檀木 ；面板：兰考泡桐 ；琴头：白骨牡丹花  ；琴轴：红木麻花轴设计 ； 琴品：红木嵌铜； 琴弦：优质钢丝，声音圆润，无杂音；</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把</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小阮</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材质：非洲紫檀木 面板：兰考泡桐 琴头：白骨牡丹花  琴轴：红木麻花轴设计  琴品：红木嵌铜 琴弦：优质钢丝，声音圆润，无杂音；尺寸：琴长690mm 直径：280mm厚度60mm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把</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中胡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材质：红木、扁圆杆、蟒皮制作、配琴弦一套、带琴盒，配送松香琴码、校音器、千金</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把</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高胡</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色木琴体材质：黑檀</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琴轴：红木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琴皮材质：天然蟒皮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规格：六角筒</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附带：琴码、松香、弓子、琴弦</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把</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小打击乐组</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8件套：响板1个、8音木鱼1套、双响筒1个、铃鼓1个、沙锤1对、碰钟1对、串铃1个、6音三角铁1套</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非洲鼓</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直径12寸（29cm)，高度600cm，材质：硬木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非洲鼓</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鼓面直径约24CM(10寸)，高度50CM,雕刻版，彩绘版，含鼓包和背带。</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大提琴</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面板：白松 背侧板：枫木 指板：乌木 拉板：乌木 弦钮：乌木 琴弦：普通 颜色：亮光/哑光 弓杆：760 尺寸：4/4 配件：包袋、弓杆、松香、微调。</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倍大提琴</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云杉面板，枫木背板，枫木琴头，乌木指板，分体弦轴，配件枣木染黑</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423"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大镲</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30公分  响铜</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乐谱架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材质：高强度铁板和橡胶调节钮  可调节尺寸：800mm-1500mm  版面尺寸：470mm*345mm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钢琴</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规格：不小于H：1210mm L：1420mm W：600mm</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琴弦：琴弦品牌为原装进口ROSLAU防锈琴弦，音准稳定。琴弦的配置和音板的匹配数值，由专业软件严密计算得出，小字一组A音频率440HZ至447HZ之内。优良的缠弦制造技术，生产出有良好音程效果的、声音丰满而有延伸感的理想缠弦。次高音、高音部分采用整数比方式制作，音色通透、纯净。</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弦长：第一键有效弦长为1200mm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2、弦槌：采用进口优质弦槌毛毡，呢毡密度为0.4~0.9R的钢琴弦槌呢毡,色泽均匀一致，更灵敏耐用，呈现最佳音色。桃花芯木槌芯，保证回弹速度与质感。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3、音板、肋木：选用云杉、松木制造的加强型实木音板（3A级），增强了音板的共鸣效果。在各种不同的气候条件下均能保持优良音色，音板设计符合钢琴共鸣系统的发声规律，琴声优美和音质效果纯正。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4、弦轴板、弦轴钉：弦轴钉采用倒牙车丝配合高精度的防锈处理技术工艺；弦轴板由多层（17层）坚硬的色木交错拼接而成，制造过程中电脑控制含水率，为弦轴钉提供稳固的握钉力，保证音准稳定。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5、键盘参数：88标准键盘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键盘材料：使用粘性和耐久性强的松木、杉木制作，结合先进技术防止键盘变形，性能稳定，可长久保持良好的触感、手感。白键表面采用优质合成丙烯树脂，黑键表面采用经过防滑处理的酚醛树脂，色彩和质感如同乌木，触感舒适自然。带缓降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6、外壳涂饰： 采用品牌不饱和树脂环保漆，并应用静电喷涂、自动淋油等涂饰工艺，漆面光亮平整，硬度高且不易划伤，能够长久保持华丽色彩的镜面效果。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外观涂装为黑色亮光：高光≥85，半光：30-85，低光≤30。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击弦机：材料为桂杨木、榉木，受温度、湿度影响小。采用独特的精密机械生产加工，击弦机精度高、质量均衡，确保手指的敲击动作完整的向弦槌传达，琴键的触感均匀而恰到好处，能够迅速的连击想要的颤音效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8、铁板：亮光金葱粉金色铁板，采用传统沙铸铁板工艺，不仅更好地支持弦的张力，并且更长久地保证钢琴的音色纯正。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弦码：采用优质色木材料制作，音频振动响应精确、迅速。长弦码采用单根弦码方法，从头到尾流畅整齐，确保声音平衡柔和的传递；长弦码高音部分采用硬度和弹性都很好的优质色木材料，有效防止震动的减弱，获得有色彩感的音质，且具有一定的延音效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10、背柱：碾压而成的云杉木背柱结合先进技术进一步加强了刚性、共鸣性及结构稳定性。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 踏板：延音踏板、弱音踏板和选择踏板，都采用优雅的弧形设计，踏感轻松、演奏方便，踏板踩下后传递到击弦机的过程顺畅迅速。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12、脚轮：采用加固胶木脚轮，转动灵活、推行顺畅、噪音低。</w:t>
            </w:r>
          </w:p>
          <w:p>
            <w:pPr>
              <w:widowControl/>
              <w:jc w:val="left"/>
              <w:rPr>
                <w:rFonts w:ascii="宋体" w:hAnsi="宋体" w:cs="宋体"/>
                <w:color w:val="000000" w:themeColor="text1"/>
                <w:kern w:val="0"/>
                <w:sz w:val="24"/>
              </w:rPr>
            </w:pPr>
            <w:r>
              <w:rPr>
                <w:rFonts w:hint="eastAsia" w:ascii="宋体" w:hAnsi="宋体" w:cs="宋体"/>
                <w:color w:val="000000" w:themeColor="text1"/>
                <w:kern w:val="0"/>
                <w:sz w:val="24"/>
              </w:rPr>
              <w:t>13.含原装双人钢琴凳</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14.金丝绒钢琴琴罩；</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3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双通道无线领夹手持话筒</w:t>
            </w:r>
          </w:p>
        </w:tc>
        <w:tc>
          <w:tcPr>
            <w:tcW w:w="18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1.不用开机柜就能自动对频</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2.开启全自动功能键（AUTO全自动对频按键），只要会通电，我们机器自动分布到没有干扰的频率上，且手持也会自动跟踪匹配。</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3载波频率可做到500Mhz—900Mhz</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接收机：</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载波频率范围：615MHz---665MHz</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频道总数：200CH</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频率响应：50HZ---18KHZ</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有效距离使用：150Feet</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频率间隔：300KHZ</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频带宽度：60MHZ</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载波稳定度：±5PPM≤10KHZ</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假象干扰比：＞80dB</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信号噪声比：＞105dB(1KHZ-A)</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灵敏度：-105dB</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功能显示方式：LCD/ 液晶显示</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电源供应：12-18V、DC、600MA</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发射机</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载波频率范围：615MHZ---665MHZ</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频道总数：200CH</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频率间隔：250-300KHZ</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频带宽度：50-60MHZ</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动态范围：＞110dB</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载波误差：±0.005%</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调变偏移度：±48KHZ</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副谐波：＜-60dBc</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射频输出功率：10mv</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电源消耗：≤100MA@3V</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电源供应：UM3,AA1.5v×2</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功能显示方式：LCD</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单体：Dynamic  microphon</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功放</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数字功放，</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 xml:space="preserve">立体音功率8Ω： 450W*2 </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 xml:space="preserve">立体音功率4Ω：800W*2 </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 xml:space="preserve">桥接功率16Ω：600W*1 </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 xml:space="preserve">桥接功率8Ω：800W*1 </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 xml:space="preserve">桥接功率4Ω：1200W*1,  </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 xml:space="preserve">频率响应（+-0.2 db)  20hz-20Khz 8Ω </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输出电压 60V,</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上升斜率 50v/us（1KHz，旁路低通滤波器）,</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 xml:space="preserve">输入灵敏度 0dB, </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THD+N 0.01%(10%p额定输出功率,典型值）,</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IMD-SMPTE 0.01%(10%p额定输出功率,典型值）,</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DIM30  0.01%(10%p额定输出功率,典型值）,</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串扰抑制 ≧90dB（低于额定功率,20Hz-1kHz）,</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 xml:space="preserve">输入阻抗 10kΩ不平衡/20kΩ平衡,  </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 xml:space="preserve">阻尼系数 ≧5000(8Ω 20Hz-200Hz), </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 xml:space="preserve">信噪比 ≧90db </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电源 90-260VAC 50-60Hz,</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 xml:space="preserve">保护功能：电源欠压保护、功放输出直流保护、过热保护、温度功率控制、过载功率控制,  </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 xml:space="preserve">净重：2.45KG </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尺寸：485*44*195mm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53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音箱</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2分频音箱，低频/高频：低频10”*高频44芯，</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频率响应（+-3db)：55hz-20khz</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额定阻抗：8ohms，</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系统敏感度（1W@1m）：96db ,</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最大声压级：128db,</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额定功率：350W,</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峰值功率：700W,</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覆盖角度：90°×50°,</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箱体材质：杂桦夹板；</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净重：17KG,</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音箱尺寸：315*345*505mm16、专业音响线30M一卷、3.5转莲花音频线一条。</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8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音箱支架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产品性能：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1.黑色、全钢制作、表面喷塑处理，坚固可靠；</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2.满足您的需要可承重≥20kg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3.可支持水平360度，前后180度旋转；可根据需求锁定齿轮固定角度.</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每件两只，可吊装一对音箱；</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4.可吊装各品牌（如BMG、KENWOOD、BOSE、JBL、UBST等）的环绕音箱、卡包音箱、舞台音箱、小型专业音箱等各种小型音箱；</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5.另外亦可壁挂安装，杆长≥20cm，组装后垂直吊装≥28cm，适用于8寸- 10寸或10寸以下等大的KTV音箱。</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付</w:t>
            </w:r>
          </w:p>
        </w:tc>
      </w:tr>
      <w:tr>
        <w:tblPrEx>
          <w:tblCellMar>
            <w:top w:w="0" w:type="dxa"/>
            <w:left w:w="108" w:type="dxa"/>
            <w:bottom w:w="0" w:type="dxa"/>
            <w:right w:w="108" w:type="dxa"/>
          </w:tblCellMar>
        </w:tblPrEx>
        <w:trPr>
          <w:trHeight w:val="18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40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前级效果器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功能简介：</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音效：</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01. 话筒拥有出色的参数混响器，让演唱人声表现得浑厚，富有广阔的空间感</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02. 音乐拥有 7段参量均衡</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03. 话筒拥有 15段参量均衡，压限器，反馈抑制等级</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04. 主输出拥有5段参量均衡，比例缩放器，延时器</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05. 超低音拥有3段参量均衡，让声音表现更加有现场的强烈感</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话筒：</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01. 五组混合输入的话筒接口</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02. 带有一个模拟电平开关的噪声门</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03. 拥有出色的反馈抑制电路，防止啸叫</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输入：</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01. 两组双通道遥控切换输入的莲花音频接口</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调节：</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01. 用过面板旋钮或按键</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02. 使用USB转Rs232接线联机调试</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03. 调试软件 Audio Effect Controler</w:t>
            </w:r>
          </w:p>
          <w:p>
            <w:pPr>
              <w:widowControl/>
              <w:jc w:val="left"/>
              <w:textAlignment w:val="center"/>
              <w:rPr>
                <w:color w:val="000000" w:themeColor="text1"/>
              </w:rPr>
            </w:pPr>
            <w:r>
              <w:rPr>
                <w:rFonts w:hint="eastAsia" w:ascii="宋体" w:hAnsi="宋体" w:cs="宋体"/>
                <w:color w:val="000000" w:themeColor="text1"/>
                <w:kern w:val="0"/>
                <w:sz w:val="24"/>
              </w:rPr>
              <w:t>注：本次配置主机一台、电脑调试软件一套、数据线一条</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554"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41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电源时序器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产品描述： 　　</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WiFi智能时序器，带彩屏显示，手机APP远程控制，8路可控输出, 一台手机可以管理多台设备。</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内置功率计，电压、电流、功率、功率因数实时显示并且实时上传手机远程监控，带有过压保护，过流保护。</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电压保护：当电压超过</w:t>
            </w:r>
            <w:r>
              <w:rPr>
                <w:rFonts w:ascii="宋体" w:hAnsi="宋体" w:cs="宋体"/>
                <w:color w:val="000000" w:themeColor="text1"/>
                <w:kern w:val="0"/>
                <w:sz w:val="24"/>
              </w:rPr>
              <w:t xml:space="preserve">260V </w:t>
            </w:r>
            <w:r>
              <w:rPr>
                <w:rFonts w:hint="eastAsia" w:ascii="宋体" w:hAnsi="宋体" w:cs="宋体"/>
                <w:color w:val="000000" w:themeColor="text1"/>
                <w:kern w:val="0"/>
                <w:sz w:val="24"/>
              </w:rPr>
              <w:t>不启动，使用中超过</w:t>
            </w:r>
            <w:r>
              <w:rPr>
                <w:rFonts w:ascii="宋体" w:hAnsi="宋体" w:cs="宋体"/>
                <w:color w:val="000000" w:themeColor="text1"/>
                <w:kern w:val="0"/>
                <w:sz w:val="24"/>
              </w:rPr>
              <w:t>260V</w:t>
            </w:r>
            <w:r>
              <w:rPr>
                <w:rFonts w:hint="eastAsia" w:ascii="宋体" w:hAnsi="宋体" w:cs="宋体"/>
                <w:color w:val="000000" w:themeColor="text1"/>
                <w:kern w:val="0"/>
                <w:sz w:val="24"/>
              </w:rPr>
              <w:t>自己动跳开</w:t>
            </w:r>
            <w:r>
              <w:rPr>
                <w:rFonts w:ascii="宋体" w:hAnsi="宋体" w:cs="宋体"/>
                <w:color w:val="000000" w:themeColor="text1"/>
                <w:kern w:val="0"/>
                <w:sz w:val="24"/>
              </w:rPr>
              <w:t>(</w:t>
            </w:r>
            <w:r>
              <w:rPr>
                <w:rFonts w:hint="eastAsia" w:ascii="宋体" w:hAnsi="宋体" w:cs="宋体"/>
                <w:color w:val="000000" w:themeColor="text1"/>
                <w:kern w:val="0"/>
                <w:sz w:val="24"/>
              </w:rPr>
              <w:t>断开后可</w:t>
            </w:r>
            <w:r>
              <w:rPr>
                <w:rFonts w:hint="eastAsia" w:ascii="Meiryo" w:hAnsi="Meiryo" w:eastAsia="Meiryo" w:cs="Meiryo"/>
                <w:color w:val="000000" w:themeColor="text1"/>
                <w:kern w:val="0"/>
                <w:sz w:val="24"/>
              </w:rPr>
              <w:t>⼿</w:t>
            </w:r>
            <w:r>
              <w:rPr>
                <w:rFonts w:hint="eastAsia" w:ascii="宋体" w:hAnsi="宋体" w:cs="宋体"/>
                <w:color w:val="000000" w:themeColor="text1"/>
                <w:kern w:val="0"/>
                <w:sz w:val="24"/>
              </w:rPr>
              <w:t>动和</w:t>
            </w:r>
            <w:r>
              <w:rPr>
                <w:rFonts w:ascii="宋体" w:hAnsi="宋体" w:cs="宋体"/>
                <w:color w:val="000000" w:themeColor="text1"/>
                <w:kern w:val="0"/>
                <w:sz w:val="24"/>
              </w:rPr>
              <w:t>APP</w:t>
            </w:r>
            <w:r>
              <w:rPr>
                <w:rFonts w:hint="eastAsia" w:ascii="宋体" w:hAnsi="宋体" w:cs="宋体"/>
                <w:color w:val="000000" w:themeColor="text1"/>
                <w:kern w:val="0"/>
                <w:sz w:val="24"/>
              </w:rPr>
              <w:t>开启</w:t>
            </w:r>
            <w:r>
              <w:rPr>
                <w:rFonts w:ascii="宋体" w:hAnsi="宋体" w:cs="宋体"/>
                <w:color w:val="000000" w:themeColor="text1"/>
                <w:kern w:val="0"/>
                <w:sz w:val="24"/>
              </w:rPr>
              <w:t>)</w:t>
            </w:r>
            <w:r>
              <w:rPr>
                <w:rFonts w:hint="eastAsia" w:ascii="宋体" w:hAnsi="宋体" w:cs="宋体"/>
                <w:color w:val="000000" w:themeColor="text1"/>
                <w:kern w:val="0"/>
                <w:sz w:val="24"/>
              </w:rPr>
              <w:t>。</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电流保护：当电流超过35A自动跳开(断开后可手动和APP开启)。</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一键配网：在同一</w:t>
            </w:r>
            <w:r>
              <w:rPr>
                <w:rFonts w:ascii="宋体" w:hAnsi="宋体" w:cs="宋体"/>
                <w:color w:val="000000" w:themeColor="text1"/>
                <w:kern w:val="0"/>
                <w:sz w:val="24"/>
              </w:rPr>
              <w:t>WiFi</w:t>
            </w:r>
            <w:r>
              <w:rPr>
                <w:rFonts w:hint="eastAsia" w:ascii="宋体" w:hAnsi="宋体" w:cs="宋体"/>
                <w:color w:val="000000" w:themeColor="text1"/>
                <w:kern w:val="0"/>
                <w:sz w:val="24"/>
              </w:rPr>
              <w:t>局域</w:t>
            </w:r>
            <w:r>
              <w:rPr>
                <w:rFonts w:hint="eastAsia" w:ascii="Meiryo" w:hAnsi="Meiryo" w:eastAsia="Meiryo" w:cs="Meiryo"/>
                <w:color w:val="000000" w:themeColor="text1"/>
                <w:kern w:val="0"/>
                <w:sz w:val="24"/>
              </w:rPr>
              <w:t>⽹</w:t>
            </w:r>
            <w:r>
              <w:rPr>
                <w:rFonts w:hint="eastAsia" w:ascii="宋体" w:hAnsi="宋体" w:cs="宋体"/>
                <w:color w:val="000000" w:themeColor="text1"/>
                <w:kern w:val="0"/>
                <w:sz w:val="24"/>
              </w:rPr>
              <w:t>下即可通过</w:t>
            </w:r>
            <w:r>
              <w:rPr>
                <w:rFonts w:ascii="宋体" w:hAnsi="宋体" w:cs="宋体"/>
                <w:color w:val="000000" w:themeColor="text1"/>
                <w:kern w:val="0"/>
                <w:sz w:val="24"/>
              </w:rPr>
              <w:t>APP</w:t>
            </w:r>
            <w:r>
              <w:rPr>
                <w:rFonts w:hint="eastAsia" w:ascii="宋体" w:hAnsi="宋体" w:cs="宋体"/>
                <w:color w:val="000000" w:themeColor="text1"/>
                <w:kern w:val="0"/>
                <w:sz w:val="24"/>
              </w:rPr>
              <w:t>配网</w:t>
            </w:r>
            <w:r>
              <w:rPr>
                <w:rFonts w:ascii="宋体" w:hAnsi="宋体" w:cs="宋体"/>
                <w:color w:val="000000" w:themeColor="text1"/>
                <w:kern w:val="0"/>
                <w:sz w:val="24"/>
              </w:rPr>
              <w:t>,</w:t>
            </w:r>
            <w:r>
              <w:rPr>
                <w:rFonts w:hint="eastAsia" w:ascii="宋体" w:hAnsi="宋体" w:cs="宋体"/>
                <w:color w:val="000000" w:themeColor="text1"/>
                <w:kern w:val="0"/>
                <w:sz w:val="24"/>
              </w:rPr>
              <w:t>匹配完成后自动连接网络。</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中控系统：支持RS232 DR9接口，波特率可设置(4800-128000，默认9600)。</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掉电记忆：当设备突然断电数据自动储存。</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WIFI传输距离30m无遮挡(2.4G WIFI 网络 )。</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 xml:space="preserve">可循环定时开关(服务器控制)。 </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产品参数：</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1.面板：高档拉丝黑色铝面板</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2.电力输入条件(单相3线)： AC90-265V 50-60HZ两相(三线：零，火，地)。</w:t>
            </w:r>
          </w:p>
          <w:p>
            <w:pPr>
              <w:widowControl/>
              <w:jc w:val="left"/>
              <w:textAlignment w:val="center"/>
              <w:rPr>
                <w:rFonts w:ascii="宋体" w:hAnsi="宋体" w:cs="宋体"/>
                <w:color w:val="000000" w:themeColor="text1"/>
                <w:kern w:val="0"/>
                <w:sz w:val="24"/>
              </w:rPr>
            </w:pPr>
            <w:r>
              <w:rPr>
                <w:rFonts w:ascii="宋体" w:hAnsi="宋体" w:cs="宋体"/>
                <w:color w:val="000000" w:themeColor="text1"/>
                <w:kern w:val="0"/>
                <w:sz w:val="24"/>
              </w:rPr>
              <w:t>3.</w:t>
            </w:r>
            <w:r>
              <w:rPr>
                <w:rFonts w:hint="eastAsia" w:ascii="宋体" w:hAnsi="宋体" w:cs="宋体"/>
                <w:color w:val="000000" w:themeColor="text1"/>
                <w:kern w:val="0"/>
                <w:sz w:val="24"/>
              </w:rPr>
              <w:t>通道数量：</w:t>
            </w:r>
            <w:r>
              <w:rPr>
                <w:rFonts w:ascii="宋体" w:hAnsi="宋体" w:cs="宋体"/>
                <w:color w:val="000000" w:themeColor="text1"/>
                <w:kern w:val="0"/>
                <w:sz w:val="24"/>
              </w:rPr>
              <w:t xml:space="preserve"> 8</w:t>
            </w:r>
            <w:r>
              <w:rPr>
                <w:rFonts w:hint="eastAsia" w:ascii="宋体" w:hAnsi="宋体" w:cs="宋体"/>
                <w:color w:val="000000" w:themeColor="text1"/>
                <w:kern w:val="0"/>
                <w:sz w:val="24"/>
              </w:rPr>
              <w:t>路继电器受控，</w:t>
            </w:r>
            <w:r>
              <w:rPr>
                <w:rFonts w:ascii="宋体" w:hAnsi="宋体" w:cs="宋体"/>
                <w:color w:val="000000" w:themeColor="text1"/>
                <w:kern w:val="0"/>
                <w:sz w:val="24"/>
              </w:rPr>
              <w:t>1</w:t>
            </w:r>
            <w:r>
              <w:rPr>
                <w:rFonts w:hint="eastAsia" w:ascii="宋体" w:hAnsi="宋体" w:cs="宋体"/>
                <w:color w:val="000000" w:themeColor="text1"/>
                <w:kern w:val="0"/>
                <w:sz w:val="24"/>
              </w:rPr>
              <w:t>路万</w:t>
            </w:r>
            <w:r>
              <w:rPr>
                <w:rFonts w:hint="eastAsia" w:ascii="Meiryo" w:hAnsi="Meiryo" w:eastAsia="Meiryo" w:cs="Meiryo"/>
                <w:color w:val="000000" w:themeColor="text1"/>
                <w:kern w:val="0"/>
                <w:sz w:val="24"/>
              </w:rPr>
              <w:t>⽤</w:t>
            </w:r>
            <w:r>
              <w:rPr>
                <w:rFonts w:hint="eastAsia" w:ascii="宋体" w:hAnsi="宋体" w:cs="宋体"/>
                <w:color w:val="000000" w:themeColor="text1"/>
                <w:kern w:val="0"/>
                <w:sz w:val="24"/>
              </w:rPr>
              <w:t>插座直通，单路额定输出最</w:t>
            </w:r>
            <w:r>
              <w:rPr>
                <w:rFonts w:hint="eastAsia" w:ascii="Meiryo" w:hAnsi="Meiryo" w:eastAsia="Meiryo" w:cs="Meiryo"/>
                <w:color w:val="000000" w:themeColor="text1"/>
                <w:kern w:val="0"/>
                <w:sz w:val="24"/>
              </w:rPr>
              <w:t>⼤</w:t>
            </w:r>
            <w:r>
              <w:rPr>
                <w:rFonts w:hint="eastAsia" w:ascii="宋体" w:hAnsi="宋体" w:cs="宋体"/>
                <w:color w:val="000000" w:themeColor="text1"/>
                <w:kern w:val="0"/>
                <w:sz w:val="24"/>
              </w:rPr>
              <w:t>电流：</w:t>
            </w:r>
            <w:r>
              <w:rPr>
                <w:rFonts w:ascii="宋体" w:hAnsi="宋体" w:cs="宋体"/>
                <w:color w:val="000000" w:themeColor="text1"/>
                <w:kern w:val="0"/>
                <w:sz w:val="24"/>
              </w:rPr>
              <w:t xml:space="preserve"> 16A</w:t>
            </w:r>
            <w:r>
              <w:rPr>
                <w:rFonts w:hint="eastAsia" w:ascii="宋体" w:hAnsi="宋体" w:cs="宋体"/>
                <w:color w:val="000000" w:themeColor="text1"/>
                <w:kern w:val="0"/>
                <w:sz w:val="24"/>
              </w:rPr>
              <w:t>。</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4.继电器受控输出最大承受单路功率/总功率：3500W/ 7700W（总功率在显示屏上会显示注意观察即可）。</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5.输出电源插座规格：阻燃ABS材料，最大可承受16A电流磷铜材质，标准万用插座。</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6.每路开关间隔时间/定时时间：1.2秒输出继电器触点电流：40A240VAC。</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kern w:val="0"/>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9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钢木方凳</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ascii="宋体" w:hAnsi="宋体" w:cs="宋体"/>
                <w:color w:val="000000" w:themeColor="text1"/>
                <w:sz w:val="24"/>
              </w:rPr>
              <w:pict>
                <v:shape id="Object 2" o:spid="_x0000_s1026" o:spt="75" type="#_x0000_t75" style="position:absolute;left:0pt;margin-left:0.25pt;margin-top:27.65pt;height:55.65pt;width:82.8pt;z-index:252618752;mso-width-relative:page;mso-height-relative:page;" o:ole="t" filled="f" o:preferrelative="t" stroked="f" coordsize="21600,21600">
                  <v:path/>
                  <v:fill on="f" focussize="0,0"/>
                  <v:stroke on="f" joinstyle="miter"/>
                  <v:imagedata r:id="rId69" o:title=""/>
                  <o:lock v:ext="edit" aspectratio="t"/>
                </v:shape>
                <o:OLEObject Type="Embed" ProgID="PBrush" ShapeID="Object 2" DrawAspect="Content" ObjectID="_1468075726" r:id="rId68">
                  <o:LockedField>false</o:LockedField>
                </o:OLEObject>
              </w:pic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18"/>
                <w:szCs w:val="18"/>
              </w:rPr>
              <w:t>规</w:t>
            </w:r>
            <w:r>
              <w:rPr>
                <w:rFonts w:hint="eastAsia" w:ascii="宋体" w:hAnsi="宋体" w:cs="宋体"/>
                <w:color w:val="000000" w:themeColor="text1"/>
                <w:kern w:val="0"/>
                <w:sz w:val="24"/>
              </w:rPr>
              <w:t>格：400*280*440mm</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凳面(土黄色)采用16mm优质E1级环保多层柳桉芯板，四周注塑封边一次成型，材料为进口全新TPU软性塑料，无缝连接，增强牢固程度，抗老化，面边一体成型，注塑颜色为深灰色。四根凳脚立柱及八根橫档均采用25*25*1.2mm厚方钢管，配内塞进口高级ABS塑料脚垫，钢管必须去油、除锈、磷化并用环保材料喷塑并高温固化（喷塑颜色为仪器灰），凳面与钢架固定采用304不锈钢四颗止退φ6*45（按实际需求选择长度）变圆头螺杆，配置止退螺母，止退垫圈，弹性垫圈，穿透式固定，再配六角圆头盖型螺母，防止割伤。塑料脚垫按凳数量的1.5倍配置，方便今后维修更换脚垫。</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条</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线缆附件及安装调试</w:t>
            </w:r>
          </w:p>
        </w:tc>
        <w:tc>
          <w:tcPr>
            <w:tcW w:w="1862"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系统中用到的所有线材、附件，系统设备安装、调试、培训等。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批</w:t>
            </w:r>
          </w:p>
        </w:tc>
      </w:tr>
      <w:tr>
        <w:tblPrEx>
          <w:tblCellMar>
            <w:top w:w="0" w:type="dxa"/>
            <w:left w:w="108" w:type="dxa"/>
            <w:bottom w:w="0" w:type="dxa"/>
            <w:right w:w="108" w:type="dxa"/>
          </w:tblCellMar>
        </w:tblPrEx>
        <w:trPr>
          <w:trHeight w:val="10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空调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1、★3匹不少于3级能效冷暖立柜式空调。★整机10年厂家免费上门质保,具体参数规格详细见附件7.</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2、注：如果没有空调的冷凝水PVC排水管到地面，则需要安装空调冷凝水水管50PVCU到地面排水沟里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十七、音乐储物间与服装间（2间）清单</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设备名称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技术参数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14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实木五斗柜立柜</w:t>
            </w:r>
          </w:p>
        </w:tc>
        <w:tc>
          <w:tcPr>
            <w:tcW w:w="1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ascii="宋体" w:hAnsi="宋体" w:cs="宋体"/>
                <w:color w:val="000000" w:themeColor="text1"/>
                <w:sz w:val="24"/>
              </w:rPr>
              <w:drawing>
                <wp:inline distT="0" distB="0" distL="0" distR="0">
                  <wp:extent cx="1025525" cy="803275"/>
                  <wp:effectExtent l="19050" t="0" r="3175" b="0"/>
                  <wp:docPr id="2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pic:cNvPicPr>
                            <a:picLocks noChangeAspect="1" noChangeArrowheads="1"/>
                          </pic:cNvPicPr>
                        </pic:nvPicPr>
                        <pic:blipFill>
                          <a:blip r:embed="rId70"/>
                          <a:srcRect/>
                          <a:stretch>
                            <a:fillRect/>
                          </a:stretch>
                        </pic:blipFill>
                        <pic:spPr>
                          <a:xfrm>
                            <a:off x="0" y="0"/>
                            <a:ext cx="1025525" cy="803275"/>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尺寸：1200*400*1000mm；</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基材：采用优质橡胶木板材及E1级多层板，板件之间采用三合一连接和木梢的方式连接固定，缓冲胶链，加厚静音三节轨,7个抽屉，4层储物层，如图</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14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衣帽柜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ascii="宋体" w:hAnsi="宋体" w:cs="宋体"/>
                <w:color w:val="000000" w:themeColor="text1"/>
                <w:sz w:val="24"/>
              </w:rPr>
              <w:drawing>
                <wp:inline distT="0" distB="0" distL="0" distR="0">
                  <wp:extent cx="922655" cy="683895"/>
                  <wp:effectExtent l="19050" t="0" r="0" b="0"/>
                  <wp:docPr id="2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5"/>
                          <pic:cNvPicPr>
                            <a:picLocks noChangeAspect="1" noChangeArrowheads="1"/>
                          </pic:cNvPicPr>
                        </pic:nvPicPr>
                        <pic:blipFill>
                          <a:blip r:embed="rId71"/>
                          <a:srcRect/>
                          <a:stretch>
                            <a:fillRect/>
                          </a:stretch>
                        </pic:blipFill>
                        <pic:spPr>
                          <a:xfrm>
                            <a:off x="0" y="0"/>
                            <a:ext cx="922655" cy="683895"/>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尺寸：800*350*2000mm</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基材：采用优质橡胶木板材及E1级多层板，板件之间采用三合一连接和木梢的方式连接固定，缓冲胶链，加厚静音三节轨，如图</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16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ABS更衣室长凳</w:t>
            </w:r>
          </w:p>
        </w:tc>
        <w:tc>
          <w:tcPr>
            <w:tcW w:w="1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ascii="宋体" w:hAnsi="宋体" w:cs="宋体"/>
                <w:color w:val="000000" w:themeColor="text1"/>
                <w:sz w:val="24"/>
              </w:rPr>
              <w:drawing>
                <wp:inline distT="0" distB="0" distL="0" distR="0">
                  <wp:extent cx="1025525" cy="524510"/>
                  <wp:effectExtent l="19050" t="0" r="3175" b="0"/>
                  <wp:docPr id="2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6"/>
                          <pic:cNvPicPr>
                            <a:picLocks noChangeAspect="1" noChangeArrowheads="1"/>
                          </pic:cNvPicPr>
                        </pic:nvPicPr>
                        <pic:blipFill>
                          <a:blip r:embed="rId72"/>
                          <a:srcRect/>
                          <a:stretch>
                            <a:fillRect/>
                          </a:stretch>
                        </pic:blipFill>
                        <pic:spPr>
                          <a:xfrm>
                            <a:off x="0" y="0"/>
                            <a:ext cx="1025525" cy="524510"/>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尺寸：2000*400*450mm.</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 xml:space="preserve">1.长凳全部为ABS全新工程塑料制成，强度高韧性好、耐冲击、不易腐蚀无毒无味、环保耐用                                                   2.采用钢制模具注塑一次成型 3.产品不变形、不扭曲达到可重复拆装使用。                                                      </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十八、地理学科数字化创新实验室清单</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设备名称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技术参数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13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高清录播主机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AVA高清录播主机AE-E3+具有1.设备高度≤1U，方便机架式安装。考虑设备稳定性，要求采用嵌入式ARM架构设计，Linux操作系统，高度集成多种功能应用，包括导播、录制、跟踪、直播、点播、互动等功能。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2.★视频接口：支持3G-SDI in≥2、HDMI in≥2、HDMI out≥3，采集和输出分辨率均支持1080P@30fps。SDI接口支持对接入摄像机的POC供电信号、视频信号、控制信号同步传输。为避免信号干扰，不接受多条不同接口线缆绞合成一条线缆铺设或者增加额外转换设备的方式。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3.★音频接口：支持 Digital MIC≥3、Line in≥2、Line out≥1、耳机监听Headset≥1，Digital MIC接口支持对数字麦克风进行同步供电。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4.网络接口：RJ-45≥1，支持1000/100Mbps自适应，支持IPv4、IPv6双协议栈，适应互联网通信发展需求。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5.其他接口：Console≥2、USB3.0≥2。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6.存储容量：1TB 机械硬盘。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7.电源管理：采用不高于DC36V安全电压供电，具有低功耗环保优势，采用无风扇散热设计，低噪音不影响正常授课。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8.视频录制：录制分辨率支持1080P@30fps、720P@30fps，视频编码协议支持标准H.264，支持MP4视频封装格式。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9.协议支持：支持HTTP、RTMP、RTSP视频传输协议，支持FTP文件传输协议，支持VISCA云台控制协议。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10.★互动功能：支持H.323、SIP等标准互动传输协议，便捷进行远程互动教学应用，支持H.239和BFCP双流互动协议。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11.应具备自主知识产权，提供视频信号处理相关知识产权证明文件复印件。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12.应具备实时采集800万以上像素的一线通双视频云镜能力。</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13.整机使用平均无故障运行时间(MTBF)应≥200000小时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录播软件系统</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与高清录播主机同一品牌。</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1.软件架构：支持B/S架构设计，能够方便教师使用IE、360等主流浏览器通过网络直接访问录播主机进行导播和管理。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电子云镜：支持通过电子云镜应用技术，单镜头拍摄生成全景和特写两个1080P高清画面。支持EPTZ电子云台控制功能，实现对非云台摄像机拍摄的特写画面进行电子云台控制，包括画面上下左右移动、放大缩小变焦等操作。EPTZ电子云台控制功能应具有鼠标快速定位功能，通过鼠标点击快速居中画面区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3.录制控制：支持录制、暂停、停止等基本功能操作，实现全自动、手动两种录制模式，支持录制过程中实时切换录制模式。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录制管理：支持高低码流同步录制，支持电影模式和资源模式录制，实现复合画面、每个摄像机画面及电脑课件画面的独立封装和点播。支持自定义录制分辨率、帧率和码率，最高支持1080P@30fps，码率支持512kbps到40Mbps可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5.★分段录制：支持分段录制技术，当录制的课程时间较长时，可按照用户设定的文件时长自动分割录制成多个视频文件，提供不分段、30分钟分段、60分钟分段三种方式可选。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导播管理：支持对所有接入视频和录制效果画面的实时预览，手动导播模式下支持信号源实时切换录制。提供双分屏、三分屏、画中画等录制布局，支持自定义布局方式，支持多个视频图层自由叠加组合，自定义布局时可随意拖拉画面窗口。支持渐变、缩放、切换等转场特效。支持添加LOGO，可通过鼠标直接拖拽设置LOGO在画面的显示位置。支持添加字幕，字幕颜色、字幕描边、字幕背景可设。支持设置录制的片头片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7.摄像机控制：支持鼠标快速定位功能，通过鼠标点击快速居中画面区域，通过鼠标滚轮可以调节云台摄像机的焦距。每个云台摄像机应至少支持8个预置位设置与调用功能。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8.面板管控：支持接入控制面板，对录播设备进行唤醒、录制管理。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9.视频环出：2路HDMI信号同步输出，录课模式下实时环出录课画面，双流互动模式下双HDMI输出分别实时环出互动主、辅流画面。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10.★音频处理：内置音频处理功能，支持4路音频通道同步处理，包括EQ均衡、AEC回声抑制、AGC自动增益、ANC噪声抑制。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跟踪功能：基于图像识别分析技术，无需辅助定位装置，摄像机同时完成画面拍摄和跟踪检测功能，实现课堂教师、学生行为的全自动跟踪功能。包括教师走动、授课特写、课件跟踪、学生起立等场景。课件电脑跟踪支持“鼠键触发检测”和“图像变化检测”两种自动跟踪方式，可自定义电脑信号呈现保留时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跟踪屏蔽：支持设置跟踪屏蔽区域，如主动屏蔽掉教师观摩区、窗户窗帘、教室门口、大屏液晶电视等易干扰跟踪效果的地方，所屏蔽的地方系统将不对其进行图像分析跟踪运算，以避免这些地方干扰整体的跟踪效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13.★互动通讯录管理：支持查询互动云系统的通讯录数据，查询内容包括所有已在互动云系统注册的录播账号、录播昵称。支持通过通讯录选择互动对象直接呼叫，或手动输入录播账号进行呼叫。</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互动创建：支持通过通讯录选择互动录播并“一键式”呼叫创建互动房间，支持通过会议号和会议密码直接加入已创建的互动房间。支持对每台录播设备自动分配纯数字短号，可以通过短号直接呼叫录播设备创建互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15.★互动方式：提供“授课”和“会议”两种互动模式，其中“授课”模式贴近实际同步课堂教学场景，听课端观看的互动画面有主讲端控制。支持将主讲老师和课件信号双分屏或画中画模式共享给听课端观看。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16.互动画质：录播主机双向互动过程中，在4Mbps带宽下可实现1080P@30FPS画质，支持网络自适应功能。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17.★互动网络管理：支持网络检测功能，测试录播设备与互动服务器之间的网络通讯情况，包括上下行丢包率数据、带宽数据。互动画面中可叠加显示各互动点的视频码流和丢包率。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18.★双流互动功能：互动时听课端设备支持将教学场景及教学课件画面以两路独立HDMI信号分别同时环出显示到两个显示设备中。</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19.★直播管理：支持自定义直播分辨率和码率，最高支持1080P@30fps，以适应不同网络环境下保持直播的流畅性。支持RTMP和RTSP视频传输协议，支持≥3路RTMP同步推流，可从接入的摄像机信号和电脑信号中选择自定义每路推流信号源，实现多流直播。</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20.录像管理：支持对录制视频按标题、主持人、时间、时长进行排序，便于快速检索所需视频。支持对录像文件进行回放和下载。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21.视频修复：支持硬盘格式化功能，支持对设备异常断电、宕机造成的损坏视频文件进行修复。</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22.视频上传：支持与资源平台无缝对接，录播设备通过FTP传输协议将录制视频文件自动上传至资源平台。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23.支持中英文双语版本切换，适合不同用户的应用需求。</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高清摄像机教师用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与高清录播主机同一品牌具有</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传感器类型：CMOS、1/2.3英寸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★采用逐行扫描模式，有效像素不低于1600万。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3）★为充分保障视频采集、编辑后的高清效果，图像采集分辨率支持4608*3488。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4)采用了2D和基于运动估计的3D降噪算法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最大水平视场角49°，最大垂直视场角28.2°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网络接口：RJ45，10/100/1000M自适应</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7）视频接口：3G-SDI、网络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8）编码技术：视频H.264/H.265，音频AAC</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支持POC供电、电源适配器供电两种供电方式，根据环境实际情况可灵活选择。</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 ★内置跟踪分析功能，无需辅助跟踪摄像头即可完成对象跟踪捕捉，支持教师全景和特写切换跟踪模式。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11)★整机使用平均无故障运行时间(MTBF)应≥100000小时.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高清摄像机学生用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与高清录播主机同一品牌具有</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传感器类型：CMOS、1/2.3英寸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★采用逐行扫描模式，有效像素不低于1600万。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3）★为充分保障视频采集、编辑后的高清效果，图像采集分辨率支持4608*3488。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4)采用了2D和基于运动估计的3D降噪算法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最大水平视场角82.9°，最大垂直视场角52.8°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网络接口：RJ45，10/100/1000M自适应</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7）视频接口：3G-SDI、网络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8）编码技术：视频H.264/H.265，音频AAC</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★支持POC供电、电源适配器供电两种供电方式，根据环境实际情况可灵活选择。</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 ★内置跟踪分析功能，无需辅助跟踪摄像头即可完成对象跟踪捕捉，支持学生全景和特写切换跟踪模式。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11)★整机使用平均无故障运行时间(MTBF)应≥100000小时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高清摄像机管理软件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与高清录播主机同一品牌具有</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摄像机管理软件采用B/S架构，支持通用浏览器直接访问进行管理。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支持网络参数设置与修改，支持一键恢复默认参数。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支持曝光模式设置功能，包括自动、手动。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支持抗闪烁频率、动态范围、光圈、快门参数设置。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支持自动白平衡设置功能，红、蓝增益可调范围0~200。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支持噪声抑制设置功能，支持2D、3D降噪。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支持摄像机图像质量调节功能，包括亮度、对比度、色调、饱和度。</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全向拾音话筒</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与高清录播主机同一品牌具有</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1.指向性：超心型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2.频率响应：40Hz—16kHz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3.灵敏度：-29dB±3dB（1dB=1V/Pa at 1kHz）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4.最大声压级：130dB（T.H.D≤1% at 1kHz）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5.信噪比：70dB（1KHz at 1Pa）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6.动态范围：106dB（1kHz at Max SPL）</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7.使用电源：麦克风一线通供电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8.输出接口：RJ45，数字音频接口</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录制面板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与高清录播主机同一品牌具有</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在讲台上镶嵌式安装方式；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控制接口：RS232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信号指示灯：支持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支持一键式系统电源开关控制。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一键式录制、停止、锁定电脑信号；</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★支持本地录播全自动的开启、关闭控制。该功能同时支持录播模式和互动模式。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支持通过面板一键发起与远端设备互动连接；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★支持通过交互控制面板切换互动画面的信号源，并传输到听课室，包括本地摄像机信号、电脑信号、远端课室画面。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★支持对各画面的自由布局控制，包括单画面全屏、双分屏、三分屏、四分屏、画中画，并传输到听课室。</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10)★支持远程“一键静音”功能，主讲端可一键关闭远端互动教室发言，进入主讲授课模式。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蓝牙音箱无线咪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配置参数详见附件5</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交换机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S5024PV3-EI全千兆以太网交换机传输速率1000Mbps；千兆电口（非复用）数量≥24口，千兆光口≥4个；交换容量：96Gbps；包转发率：42Mpps；具有三层路由特性；支持静态路由、RIP 、RIPng、OSPF等路由协议；支持堆叠技术、支持VLAN、支持CLI命令行，Web网管，TELNET等。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系统集成</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含线材、高清线、网线、地插等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教师讲桌</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配置参数详见附件2</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学生桌</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配置参数详见附件1.1</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48</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学生凳</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配置参数详见附件1.2</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48</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1266"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讨论桌</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00224" behindDoc="0" locked="0" layoutInCell="1" allowOverlap="1">
                  <wp:simplePos x="0" y="0"/>
                  <wp:positionH relativeFrom="column">
                    <wp:posOffset>119380</wp:posOffset>
                  </wp:positionH>
                  <wp:positionV relativeFrom="paragraph">
                    <wp:posOffset>226695</wp:posOffset>
                  </wp:positionV>
                  <wp:extent cx="596265" cy="560070"/>
                  <wp:effectExtent l="19050" t="0" r="0" b="0"/>
                  <wp:wrapNone/>
                  <wp:docPr id="959" name="图片_51"/>
                  <wp:cNvGraphicFramePr/>
                  <a:graphic xmlns:a="http://schemas.openxmlformats.org/drawingml/2006/main">
                    <a:graphicData uri="http://schemas.openxmlformats.org/drawingml/2006/picture">
                      <pic:pic xmlns:pic="http://schemas.openxmlformats.org/drawingml/2006/picture">
                        <pic:nvPicPr>
                          <pic:cNvPr id="959" name="图片_51"/>
                          <pic:cNvPicPr>
                            <a:picLocks noChangeArrowheads="1"/>
                          </pic:cNvPicPr>
                        </pic:nvPicPr>
                        <pic:blipFill>
                          <a:blip r:embed="rId73"/>
                          <a:srcRect/>
                          <a:stretch>
                            <a:fillRect/>
                          </a:stretch>
                        </pic:blipFill>
                        <pic:spPr>
                          <a:xfrm>
                            <a:off x="0" y="0"/>
                            <a:ext cx="596265" cy="56007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学生六角桌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铝木结构，一体化台面。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详细参数如下：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1、规格：800mm(边)×1600mm（直径）×760mm（高）。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★2、台面：采用国内知名品牌12.7mm厚实芯（双面）理化板台面，台面边缘用同质材料板双层加厚至25.4mm，由专业生产厂家用CNC机械加工而成。具体性能如下：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A、 通过盐酸、硫酸、硝酸、氢氧化钠等不少于30种酸、碱、其它化学试剂的检验结果为无明显变化，提供国家级检测报告。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B、通过检测：重金属铅、镉、铬、汞均低于检出限量值（≤20mg/kg ）， 符合GB18585-2001或GB18586-2001等国家标准，提供国家级检测报告。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C、通过国家化学建筑材料测试中心或SGS等权威机构参照最新标准（GB/T18580-2017）检测，结果为：甲醛释放量：≤0.02mg/M3，满足E1≤0.124mgM3的限量技术要求，提供国家级检测报告。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D、通过国家化学建筑材料测试中心等机构检测依据GB/T17657-2013等标准及方法检验，物理性能结果为：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（1）表面耐磨性能检验结果磨350r无明显露底。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（2）表面耐干热性能：5级无明显变化；</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（3）表面耐香烟灼烧性能：5级无明显变化；</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（4）24h吸水率≤0.1%；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（5）漆膜附着力：0级，切割边缘完全平滑无一个格脱落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（6）表面耐龟裂：5级，用6倍放大镜观察表面无裂纹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E、平压强度＞30KN；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F、负荷变形温度大于280℃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台体框架：采用模具成型的专用铝合金型材制作，铝合金型材的壁厚1.0mm。框架的立柱为圆管，圆管外径50mm，框架的横梁为方管，截面尺寸30mm×22mm；通过ABS专用连接件组装而成，组装接缝严密，连接牢固，无松动现象。铝合金型材带凹槽，槽的宽度、深度均与所采用的柜体板材相匹配，接缝严密，无晃动现象。铝合金型材表面经静电粉沫喷涂处理，整体耐腐蚀、防火、防潮、稳固耐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（4）台体衬板：用厚度为16mm双面三聚氰胺板（即双饰面板）作为台体衬板，其内芯的基材为聚木屑纤维板，外漏截面采用1.5mm厚塑制优质封边条机械封边。</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1121"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讨论椅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ascii="宋体" w:hAnsi="宋体" w:cs="宋体"/>
                <w:color w:val="000000" w:themeColor="text1"/>
                <w:sz w:val="24"/>
              </w:rPr>
              <w:drawing>
                <wp:inline distT="0" distB="0" distL="0" distR="0">
                  <wp:extent cx="1009650" cy="723265"/>
                  <wp:effectExtent l="19050" t="0" r="0"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noChangeArrowheads="1"/>
                          </pic:cNvPicPr>
                        </pic:nvPicPr>
                        <pic:blipFill>
                          <a:blip r:embed="rId74"/>
                          <a:srcRect/>
                          <a:stretch>
                            <a:fillRect/>
                          </a:stretch>
                        </pic:blipFill>
                        <pic:spPr>
                          <a:xfrm>
                            <a:off x="0" y="0"/>
                            <a:ext cx="1009650" cy="723265"/>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000000" w:themeColor="text1"/>
                <w:kern w:val="0"/>
                <w:sz w:val="24"/>
              </w:rPr>
            </w:pPr>
            <w:r>
              <w:rPr>
                <w:rFonts w:hint="eastAsia" w:ascii="宋体" w:hAnsi="宋体" w:cs="宋体"/>
                <w:color w:val="000000" w:themeColor="text1"/>
                <w:kern w:val="0"/>
                <w:sz w:val="24"/>
              </w:rPr>
              <w:t>★1、采用知名品牌的网布和布料，经久耐用，抗撕裂性强，透气性好，轻轻擦拭即可除污；</w:t>
            </w:r>
          </w:p>
          <w:p>
            <w:pPr>
              <w:rPr>
                <w:rFonts w:ascii="宋体" w:hAnsi="宋体" w:cs="宋体"/>
                <w:color w:val="000000" w:themeColor="text1"/>
                <w:sz w:val="24"/>
              </w:rPr>
            </w:pPr>
            <w:r>
              <w:rPr>
                <w:rFonts w:hint="eastAsia" w:ascii="宋体" w:hAnsi="宋体" w:cs="宋体"/>
                <w:color w:val="000000" w:themeColor="text1"/>
                <w:kern w:val="0"/>
                <w:sz w:val="24"/>
              </w:rPr>
              <w:t xml:space="preserve">2、坐垫采用加厚的一体成型的高回弹定型棉作为坐垫，并且坐垫前沿有弧形设计，对腿部支撑更好，更贴合，环保健康更加舒适；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★3、全身椅子架都是采用高硬度1.5mm的钢材，设计承重达到500斤；</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4、椅子架的白色喷漆也是采用了多遍的反复喷漆，保证了漆的厚度，防止氧化；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5、坐垫底部采用了塑胶保护壳而非直接裸露的复合木板材料，更大程度的保证了坐垫的使用年限，坐垫底下的支架也是采用了双拉丝，更加的安全，牢固，更有效的保护椅子框架；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6、 桌板和椅子都采用的是可折叠的设计，便于收纳；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8 背框采用的是精选工程性的PP材料，安全可靠，耐用性好，非再生材质。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9、尺寸(mm)：总体580*500*850，定型棉坐垫：450*450，扶手高：670，坐垫高：440（不含写字板）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17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展示书柜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01248" behindDoc="0" locked="0" layoutInCell="1" allowOverlap="1">
                  <wp:simplePos x="0" y="0"/>
                  <wp:positionH relativeFrom="column">
                    <wp:posOffset>86360</wp:posOffset>
                  </wp:positionH>
                  <wp:positionV relativeFrom="paragraph">
                    <wp:posOffset>226695</wp:posOffset>
                  </wp:positionV>
                  <wp:extent cx="623570" cy="461010"/>
                  <wp:effectExtent l="19050" t="0" r="5080" b="0"/>
                  <wp:wrapNone/>
                  <wp:docPr id="958" name="图片_53"/>
                  <wp:cNvGraphicFramePr/>
                  <a:graphic xmlns:a="http://schemas.openxmlformats.org/drawingml/2006/main">
                    <a:graphicData uri="http://schemas.openxmlformats.org/drawingml/2006/picture">
                      <pic:pic xmlns:pic="http://schemas.openxmlformats.org/drawingml/2006/picture">
                        <pic:nvPicPr>
                          <pic:cNvPr id="958" name="图片_53"/>
                          <pic:cNvPicPr>
                            <a:picLocks noChangeArrowheads="1"/>
                          </pic:cNvPicPr>
                        </pic:nvPicPr>
                        <pic:blipFill>
                          <a:blip r:embed="rId75"/>
                          <a:srcRect/>
                          <a:stretch>
                            <a:fillRect/>
                          </a:stretch>
                        </pic:blipFill>
                        <pic:spPr>
                          <a:xfrm>
                            <a:off x="0" y="0"/>
                            <a:ext cx="623570" cy="46101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1.尺寸：1800*320*2000mm±10mm；2.材质：进口或者国内知名松原木；3.工艺：环保水性漆、缓冲门铰、三节静音轨；4、结构：三抽屉六门四道档板，具体如图片所示</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地貌展示柜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材质：柜身采用16mm采用防潮三聚氰胺双贴面板(仿古棕灰色)，上柜为1/4球面流线型的铝合金框架配5mm全透明钢化玻璃。铺绒布美观大方</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储存柜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1800*500*2000mm。1.基材：采用优质E1板材，采用2mm厚封边条、柜体侧板（除与地面接触边）、柜体顶板、门板、抽面板等可见处采用2mm厚封边条，其余部位封1mm封边条。板件之间采用三合一连接和木梢的方式连接固定。2.封边：采用封边条厚度2.5MM的优质同色PVC封边条，无起花，异色边缘修饰平整、光滑。</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窗帘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双道窗帘，里道为优质加厚棉麻布料制作的全遮光帘（包括窗轨），外道为高级无纺布彩色喷绘定制，在窗帘上印制相关知识内容，集教学、观赏为一体的卷帘；含窗帘图文设计与安装，不含窗帘盒。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文化布展设计与安装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内容设计与排版，内容要求满足整体设计要求，材质采用高强度高弗板，贴高清写真画面。含人工。</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仿宋" w:hAnsi="仿宋" w:eastAsia="仿宋" w:cs="仿宋"/>
                <w:color w:val="000000" w:themeColor="text1"/>
                <w:sz w:val="24"/>
              </w:rPr>
              <w:t>86吋智能交互平板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配置参数详见附件3</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推拉绿板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配置参数详见附件4</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地理图层学习箱</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地图图层学习箱适用于中学地理教学，依据地理环境的整体性和区域性的基本原理，基于图层叠加的现代地理分析方法，能够辅助学生发现地理各要素之间的内在联系，是塑造学生地理思维能力的新载体。1. 教学内容：含初中版/高中版地理知识点；2. 教学功能：1) 填图练习功能；2) 叠加分析功能；3) 地理投影功能。3. 产品构成：1) 六组地理学习工具盒；2) 六套地图学习卡集，包括基础底图与图层卡；3) 配套附件：绘图卡、绘图专用笔、多功能迷你清洁擦、地图专用放大镜；4) 储物箱。</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遥感教学软件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遥感教学软件，是用于卫星遥感图片的展示，老师根据教学需要可随时添加图片进行对比；对比模块涵盖了：透视工具模块、拖拽模块、透明模块、平铺工具模块、时间轴模块等功能模块。通过图片的放大缩小，能清晰的展现遥感地图的细节；通过图片的对比，能了解地理位置的差异，这样给予了老师更方便的教学方式，同时老师可以在教学过程中，可以对图片进行重点部分勾划与标记，使地理课堂教学能更加生动、直观、有趣。软件功能：1、可用于卫星遥感图片的展示，方便的课程添加模块，使文件打开简便，可根据需要随时添加图片进行对比；2、模块包含了：透视工具模块、拖拽模块、透明模块、平铺工具模块、时间轴模块，使图片进行对比的时候，更加的直观，有趣，生动；3、软件的图片能放大缩小，方便观察图片细节部分，能标注编辑并对重点部分进行勾划与标记；4、可通过图片添加模块再对课程内容进行添加，删除，修改；5、可通过对比模块，将列表中的图片按相应模块模式进行对比；6、能够对的课程图片添加相应的课程描述，显示图片信息的同时能显示图片描述信息。</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土壤实物标本</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盒子规格：21*14cm（参考）；包含：砖红壤、红壤土、紫色土、黑钙土、水稻土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矿物标本</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1、标本盒：木制标本盒，尺寸为135mm×80mm×30mm（参考）；标本盒的盒体和盒盖用金属活页连接；盒盖内侧贴应有与各标本对应品名的定位表格。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2、性能：标本采用木格定位存放；矿物标本有6种，分别为：石英、氟石、方解石、白云母、石膏、黄铁矿等6种；表面贴有数字标签与定位表格数字相对应；矿物标本每种材料为整块材料，重量均不小于10克。</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岩石标本</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1、木制标本盒，尺寸为135mm×80mm×29mm（参考）。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2、标本盒的盒体和盒盖用金属活页连接。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3、盒盖内侧贴应有与各标本对应品名的定位表格。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4、标本分别为玄武岩、花岗岩、砂岩、页岩、石灰岩、大理岩等6种。</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5、表面贴有数字标签与定位表格数字相对应。</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数字地形地理仿真教学系统</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满足地理教学及数字化地理教室的应用需求，内容可以扩展，课件表现形式丰富，具有动态视觉效果；数字地形仿真教学软件由PPT和中国/世界仿真地形动画课程内容构成。教师通过软件平台操作即可演示地形、河流，降水量、植被、温度带、气候等的文字、图片、视频、动画等地理信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软件特点：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1.符合初高中地理教学大纲，支持师生双向研究性学习，2.仿真课件内容详实，可以扩展升级，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3.使用方便，操作简单，可与PPT课件进行联动教学，</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4.应用广泛：电子白板、平板电脑、多媒体一体机等。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课程资源：初中课程包括：</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1.中国的疆域：我国领土的四至点、中国南北气候差异、中国东西时间差异、我国海岸线、中国陆地邻国、中国行政区；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2.中国的人口：中国2010年人口数、中国人口自然密度分布、人口分布与地形关系、人口分布与气候的关系、中国人口迁移；</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3.中国的民族：人口500万以上的少数民族、我国少数民族的分布、少数民族聚居区与地形的关系、少数民族聚居区与气候的关系、少数民族自治区；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4.气候复杂多样：我国冬季气温分布、我国夏季气温分布、我国温度带的划分、热量与地势、我国年降水量的分布我国干湿地区的划分、我国雨带的移动；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5.季风气候显著：季风区与非季风区、中国的冬季风、中国的夏季风、我国雨带的移动、我国气候复杂多样性；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6.中国的河流：中国主要河流、内流区与外流区、内流河与外流河、主要湖泊、黄河概况、长江概况；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7.中国的土地资源：土地利用类型、我国土地利用中存在的问题、我国森林分布、我国主要草场分布、防护林体系工程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8.中国的水资源：中国水资源分布、中国水资源时间分布特征、中国水资源空间分布特征、我国主要水电站分布、南水北调；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9.中国的农业：农业的地区分布、我国主要农作物分布、我国水稻小麦集中产区、我国九大商品粮基地、我国综合农业区划；</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10.中国的工业：我国工业的分布、长江沿岸工业地带、陇海兰新沿线工业地带、东部沿海工业地带、我国主要的钢铁工业基地；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11.中国的交通运输业：中国主要航空港分布、我国南方内河航线、中国高速公路的分布、中国水路运输网分布、我国主要港口分布；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12.四大地理区域的划分：秦岭淮河线、中国四大地理区域、区域划分与地形、区域划分与气候、区域划分与植被；</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13.地球和地球仪：麦哲伦环球航行、地球基本数据、纬度的划分、经度的划分、经纬网定位；</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14.地球的运动：昼夜变化、时区与区时、太阳直射点的回归运动、正午太阳高度角的变化、热量带的划分；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15.世界的海陆分布：丝绸之路、郑和下西洋、麦哲伦环球航行、大洲的分布、亚欧分界线、南北美洲分界线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16.海陆的变迁：七大洲四大洋、主要火山地震带、红海、地中海、喜马拉雅山的形成；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17.世界的人口与人种：世界人口自然增长率、世界人口分布、人口稠密区分布及原因、人口稀疏区分布及原因、不同的人种；</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18.世界的语言和宗教：世界语言的主要分布区、世界主要语系分布图、世界三大宗教的分布、伊斯兰教派别分布、世界宗教圣地；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19.降水和降水分布：世界年降水量的分布、世界降水带分布、纬度因素影响降水、海陆因素影响降水、地形因素影响降水；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20.世界主要气候类型：热带气候类型、亚热带主要气候类型、温带主要气候类型、寒带气候和高原山地气候、温带大陆的气候类型。</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838"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世界语音立体地形图</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规格：立体模型水平比例尺不低于1：1680万；尺寸不小于：2280mm×1680mm；采用PVC材料用模具热压而成，符合环保要求；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要求达到地图出版精度，经由专门地图出版社出版；</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支持汉语、蒙语、藏语、维语及朝鲜语多种民族语言，支持版本：汉语版、蒙-汉版、藏-汉版、维-汉版、鲜-汉版（设备运行只支持一种语言版本，标配为汉语版，其他语言版本在设备出厂前据使用方实际需求而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电子点读功能：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 提供无线点读教鞭，电子教鞭装有特殊摄像头，具有光学图像识别功能，可识别隐形底码；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配套音箱上的无线接收器收到无线教鞭发送来的码值信息后，根据程序预先设置好的码值与语音的对应关系，把相应的语音播放出来，对相应内容进行解说。语音内容存放在无线音箱的存储卡中。存储卡使用的是现在通用的SD存储卡，容量大，并可以随时更新语音内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地图内容：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 世界各大洲的名称、范围、界线。中华人民共和国的名称、范围、界限。世界部分主要城市的名称、位置。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世界主要海洋、河流、湖泊、山脉、山峰、火山、沙漠、盆地、高原、平原、半岛、群岛、岛屿、海峡、海湾、海岭、海丘、海沟、海盆等地理要素的名称及相关要素。</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世界各国的国旗和面积。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突出显示七大洲、四大洋自然地理形态，综合表达世界地形的起伏形态和地理特点。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国际日期变更线、北极圈、南极圈、北回归线、南回归线的名称和位置。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分类教学：</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地图上可以按照初中版和高中版本教材资源进行分类教学。</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9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平面地形地球仪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产品规格≥Φ32cm，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1.产品由球体和支架等组成。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2.平面比例尺≥1：40000000。</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高密无线AP</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详细参数规格见附件6</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4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立式空调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1、★3匹不少于3级能效冷暖立柜式空调。★整机10年厂家免费上门质保,具体参数规格详细见附件7.</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2、注：如果没有空调的冷凝水PVC排水管到地面，则需要安装空调冷凝水水管50PVCU到地面排水沟里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十九、历史学科专用教室清单</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设备名称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技术参数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1405"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教师演示台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02272" behindDoc="0" locked="0" layoutInCell="1" allowOverlap="1">
                  <wp:simplePos x="0" y="0"/>
                  <wp:positionH relativeFrom="column">
                    <wp:posOffset>107315</wp:posOffset>
                  </wp:positionH>
                  <wp:positionV relativeFrom="paragraph">
                    <wp:posOffset>214630</wp:posOffset>
                  </wp:positionV>
                  <wp:extent cx="521970" cy="491490"/>
                  <wp:effectExtent l="19050" t="0" r="0" b="0"/>
                  <wp:wrapNone/>
                  <wp:docPr id="957" name="图片_55"/>
                  <wp:cNvGraphicFramePr/>
                  <a:graphic xmlns:a="http://schemas.openxmlformats.org/drawingml/2006/main">
                    <a:graphicData uri="http://schemas.openxmlformats.org/drawingml/2006/picture">
                      <pic:pic xmlns:pic="http://schemas.openxmlformats.org/drawingml/2006/picture">
                        <pic:nvPicPr>
                          <pic:cNvPr id="957" name="图片_55"/>
                          <pic:cNvPicPr>
                            <a:picLocks noChangeArrowheads="1"/>
                          </pic:cNvPicPr>
                        </pic:nvPicPr>
                        <pic:blipFill>
                          <a:blip r:embed="rId76"/>
                          <a:srcRect/>
                          <a:stretch>
                            <a:fillRect/>
                          </a:stretch>
                        </pic:blipFill>
                        <pic:spPr>
                          <a:xfrm>
                            <a:off x="0" y="0"/>
                            <a:ext cx="521970" cy="49149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1、材质：南榆木，台面板厚16mm以上，边框厚28mm以上，表面油漆采用品牌清漆处理，五金件采用国产优质品牌；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2、尺寸1600×800×800mm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127"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03296" behindDoc="0" locked="0" layoutInCell="1" allowOverlap="1">
                  <wp:simplePos x="0" y="0"/>
                  <wp:positionH relativeFrom="column">
                    <wp:posOffset>137795</wp:posOffset>
                  </wp:positionH>
                  <wp:positionV relativeFrom="paragraph">
                    <wp:posOffset>142875</wp:posOffset>
                  </wp:positionV>
                  <wp:extent cx="527050" cy="563245"/>
                  <wp:effectExtent l="19050" t="0" r="6350" b="0"/>
                  <wp:wrapNone/>
                  <wp:docPr id="956" name="图片_56"/>
                  <wp:cNvGraphicFramePr/>
                  <a:graphic xmlns:a="http://schemas.openxmlformats.org/drawingml/2006/main">
                    <a:graphicData uri="http://schemas.openxmlformats.org/drawingml/2006/picture">
                      <pic:pic xmlns:pic="http://schemas.openxmlformats.org/drawingml/2006/picture">
                        <pic:nvPicPr>
                          <pic:cNvPr id="956" name="图片_56"/>
                          <pic:cNvPicPr>
                            <a:picLocks noChangeArrowheads="1"/>
                          </pic:cNvPicPr>
                        </pic:nvPicPr>
                        <pic:blipFill>
                          <a:blip r:embed="rId77"/>
                          <a:srcRect/>
                          <a:stretch>
                            <a:fillRect/>
                          </a:stretch>
                        </pic:blipFill>
                        <pic:spPr>
                          <a:xfrm>
                            <a:off x="0" y="0"/>
                            <a:ext cx="527050" cy="56324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材质：榆木，结构：高背官帽椅，特点：榫卯结构，牙板雕花，古香古色，表面喷涂环保清漆。</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1696"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复古学生桌</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04320" behindDoc="0" locked="0" layoutInCell="1" allowOverlap="1">
                  <wp:simplePos x="0" y="0"/>
                  <wp:positionH relativeFrom="column">
                    <wp:posOffset>109220</wp:posOffset>
                  </wp:positionH>
                  <wp:positionV relativeFrom="paragraph">
                    <wp:posOffset>164465</wp:posOffset>
                  </wp:positionV>
                  <wp:extent cx="582930" cy="563880"/>
                  <wp:effectExtent l="19050" t="0" r="7620" b="0"/>
                  <wp:wrapNone/>
                  <wp:docPr id="955" name="图片_57"/>
                  <wp:cNvGraphicFramePr/>
                  <a:graphic xmlns:a="http://schemas.openxmlformats.org/drawingml/2006/main">
                    <a:graphicData uri="http://schemas.openxmlformats.org/drawingml/2006/picture">
                      <pic:pic xmlns:pic="http://schemas.openxmlformats.org/drawingml/2006/picture">
                        <pic:nvPicPr>
                          <pic:cNvPr id="955" name="图片_57"/>
                          <pic:cNvPicPr>
                            <a:picLocks noChangeArrowheads="1"/>
                          </pic:cNvPicPr>
                        </pic:nvPicPr>
                        <pic:blipFill>
                          <a:blip r:embed="rId78"/>
                          <a:srcRect/>
                          <a:stretch>
                            <a:fillRect/>
                          </a:stretch>
                        </pic:blipFill>
                        <pic:spPr>
                          <a:xfrm>
                            <a:off x="0" y="0"/>
                            <a:ext cx="582930" cy="56388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材质：南榆木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风格： 明清古典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榫卯结构，雕花、古法油漆，古香古色，表面喷涂环保漆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尺寸：1200*600*780mm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28</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1253"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学生凳</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05344" behindDoc="0" locked="0" layoutInCell="1" allowOverlap="1">
                  <wp:simplePos x="0" y="0"/>
                  <wp:positionH relativeFrom="column">
                    <wp:posOffset>185420</wp:posOffset>
                  </wp:positionH>
                  <wp:positionV relativeFrom="paragraph">
                    <wp:posOffset>139700</wp:posOffset>
                  </wp:positionV>
                  <wp:extent cx="487680" cy="458470"/>
                  <wp:effectExtent l="19050" t="0" r="7620" b="0"/>
                  <wp:wrapNone/>
                  <wp:docPr id="954" name="图片_58"/>
                  <wp:cNvGraphicFramePr/>
                  <a:graphic xmlns:a="http://schemas.openxmlformats.org/drawingml/2006/main">
                    <a:graphicData uri="http://schemas.openxmlformats.org/drawingml/2006/picture">
                      <pic:pic xmlns:pic="http://schemas.openxmlformats.org/drawingml/2006/picture">
                        <pic:nvPicPr>
                          <pic:cNvPr id="954" name="图片_58"/>
                          <pic:cNvPicPr>
                            <a:picLocks noChangeArrowheads="1"/>
                          </pic:cNvPicPr>
                        </pic:nvPicPr>
                        <pic:blipFill>
                          <a:blip r:embed="rId79"/>
                          <a:srcRect/>
                          <a:stretch>
                            <a:fillRect/>
                          </a:stretch>
                        </pic:blipFill>
                        <pic:spPr>
                          <a:xfrm>
                            <a:off x="0" y="0"/>
                            <a:ext cx="487680" cy="45847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实木花鼓凳材质：白宫木（非洲金车花梨），特点：榫卯结构，古香古色，表面喷涂环保漆。尺寸：凳面直径300mm，中间直径420mm，高440mm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987"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历史展示台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定制，机制胡桃木防火板饰面；尺寸：1800*500*800</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413"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博古架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06368" behindDoc="0" locked="0" layoutInCell="1" allowOverlap="1">
                  <wp:simplePos x="0" y="0"/>
                  <wp:positionH relativeFrom="column">
                    <wp:posOffset>185420</wp:posOffset>
                  </wp:positionH>
                  <wp:positionV relativeFrom="paragraph">
                    <wp:posOffset>161290</wp:posOffset>
                  </wp:positionV>
                  <wp:extent cx="572770" cy="551180"/>
                  <wp:effectExtent l="19050" t="0" r="0" b="0"/>
                  <wp:wrapNone/>
                  <wp:docPr id="953" name="图片_59"/>
                  <wp:cNvGraphicFramePr/>
                  <a:graphic xmlns:a="http://schemas.openxmlformats.org/drawingml/2006/main">
                    <a:graphicData uri="http://schemas.openxmlformats.org/drawingml/2006/picture">
                      <pic:pic xmlns:pic="http://schemas.openxmlformats.org/drawingml/2006/picture">
                        <pic:nvPicPr>
                          <pic:cNvPr id="953" name="图片_59"/>
                          <pic:cNvPicPr>
                            <a:picLocks noChangeArrowheads="1"/>
                          </pic:cNvPicPr>
                        </pic:nvPicPr>
                        <pic:blipFill>
                          <a:blip r:embed="rId80"/>
                          <a:srcRect/>
                          <a:stretch>
                            <a:fillRect/>
                          </a:stretch>
                        </pic:blipFill>
                        <pic:spPr>
                          <a:xfrm>
                            <a:off x="0" y="0"/>
                            <a:ext cx="572770" cy="55118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 xml:space="preserve">1.材质：框架非洲菠萝格,其他全实木；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2.榫卯结构、雕花、镂空、古法油漆；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3.具体见图片；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4.尺寸：1300*380*1960mm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窗帘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双道窗帘，里道为优质加厚棉麻布料制作的全遮光帘（包括窗轨），外道为高级无纺布彩色喷绘定制，在窗帘上印制相关知识内容，集教学、观赏为一体的卷帘；含窗帘图文设计与安装，不含窗帘盒。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批</w:t>
            </w:r>
          </w:p>
        </w:tc>
      </w:tr>
      <w:tr>
        <w:tblPrEx>
          <w:tblCellMar>
            <w:top w:w="0" w:type="dxa"/>
            <w:left w:w="108" w:type="dxa"/>
            <w:bottom w:w="0" w:type="dxa"/>
            <w:right w:w="108" w:type="dxa"/>
          </w:tblCellMar>
        </w:tblPrEx>
        <w:trPr>
          <w:trHeight w:val="15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藏书展示柜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07392" behindDoc="0" locked="0" layoutInCell="1" allowOverlap="1">
                  <wp:simplePos x="0" y="0"/>
                  <wp:positionH relativeFrom="column">
                    <wp:posOffset>97790</wp:posOffset>
                  </wp:positionH>
                  <wp:positionV relativeFrom="paragraph">
                    <wp:posOffset>95885</wp:posOffset>
                  </wp:positionV>
                  <wp:extent cx="552450" cy="473710"/>
                  <wp:effectExtent l="19050" t="0" r="0" b="0"/>
                  <wp:wrapNone/>
                  <wp:docPr id="952" name="图片_29"/>
                  <wp:cNvGraphicFramePr/>
                  <a:graphic xmlns:a="http://schemas.openxmlformats.org/drawingml/2006/main">
                    <a:graphicData uri="http://schemas.openxmlformats.org/drawingml/2006/picture">
                      <pic:pic xmlns:pic="http://schemas.openxmlformats.org/drawingml/2006/picture">
                        <pic:nvPicPr>
                          <pic:cNvPr id="952" name="图片_29"/>
                          <pic:cNvPicPr>
                            <a:picLocks noChangeArrowheads="1"/>
                          </pic:cNvPicPr>
                        </pic:nvPicPr>
                        <pic:blipFill>
                          <a:blip r:embed="rId81"/>
                          <a:srcRect/>
                          <a:stretch>
                            <a:fillRect/>
                          </a:stretch>
                        </pic:blipFill>
                        <pic:spPr>
                          <a:xfrm>
                            <a:off x="0" y="0"/>
                            <a:ext cx="552450" cy="47371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1.材质：楠榆木；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2.工艺：榫卯结构、雕花、镂空、古法油漆；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3.每个单独小柜，为底部双开门，上部为四层。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4.每组由三个小柜组合而成，具体见图片。尺寸：2700*300*1960mm                           </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251"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模型展示柜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08416" behindDoc="0" locked="0" layoutInCell="1" allowOverlap="1">
                  <wp:simplePos x="0" y="0"/>
                  <wp:positionH relativeFrom="column">
                    <wp:posOffset>189865</wp:posOffset>
                  </wp:positionH>
                  <wp:positionV relativeFrom="paragraph">
                    <wp:posOffset>240665</wp:posOffset>
                  </wp:positionV>
                  <wp:extent cx="506095" cy="381635"/>
                  <wp:effectExtent l="19050" t="0" r="8255" b="0"/>
                  <wp:wrapNone/>
                  <wp:docPr id="951" name="图片_973"/>
                  <wp:cNvGraphicFramePr/>
                  <a:graphic xmlns:a="http://schemas.openxmlformats.org/drawingml/2006/main">
                    <a:graphicData uri="http://schemas.openxmlformats.org/drawingml/2006/picture">
                      <pic:pic xmlns:pic="http://schemas.openxmlformats.org/drawingml/2006/picture">
                        <pic:nvPicPr>
                          <pic:cNvPr id="951" name="图片_973"/>
                          <pic:cNvPicPr>
                            <a:picLocks noChangeArrowheads="1"/>
                          </pic:cNvPicPr>
                        </pic:nvPicPr>
                        <pic:blipFill>
                          <a:blip r:embed="rId82"/>
                          <a:srcRect/>
                          <a:stretch>
                            <a:fillRect/>
                          </a:stretch>
                        </pic:blipFill>
                        <pic:spPr>
                          <a:xfrm>
                            <a:off x="0" y="0"/>
                            <a:ext cx="506095" cy="38163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1、尺寸：1200*700*850mm。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2、材质：榆木实木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3、安装灯光、玻璃</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554"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学习讨论桌</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09440" behindDoc="0" locked="0" layoutInCell="1" allowOverlap="1">
                  <wp:simplePos x="0" y="0"/>
                  <wp:positionH relativeFrom="column">
                    <wp:posOffset>184150</wp:posOffset>
                  </wp:positionH>
                  <wp:positionV relativeFrom="paragraph">
                    <wp:posOffset>224790</wp:posOffset>
                  </wp:positionV>
                  <wp:extent cx="514350" cy="528955"/>
                  <wp:effectExtent l="19050" t="0" r="0" b="0"/>
                  <wp:wrapNone/>
                  <wp:docPr id="950" name="图片_954"/>
                  <wp:cNvGraphicFramePr/>
                  <a:graphic xmlns:a="http://schemas.openxmlformats.org/drawingml/2006/main">
                    <a:graphicData uri="http://schemas.openxmlformats.org/drawingml/2006/picture">
                      <pic:pic xmlns:pic="http://schemas.openxmlformats.org/drawingml/2006/picture">
                        <pic:nvPicPr>
                          <pic:cNvPr id="950" name="图片_954"/>
                          <pic:cNvPicPr>
                            <a:picLocks noChangeArrowheads="1"/>
                          </pic:cNvPicPr>
                        </pic:nvPicPr>
                        <pic:blipFill>
                          <a:blip r:embed="rId83"/>
                          <a:srcRect/>
                          <a:stretch>
                            <a:fillRect/>
                          </a:stretch>
                        </pic:blipFill>
                        <pic:spPr>
                          <a:xfrm>
                            <a:off x="0" y="0"/>
                            <a:ext cx="514350" cy="52895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1、实木结构；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2、台面：采用E0级多层板表面贴白蜡木，直径1000mm，四周圆角处理，光滑无毛刺，环保油漆；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3、框架：采用优质白蜡木原木构成厚实整桌框架，桌脚配可调整高低的脚垫</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4、颜色同业主商量决定.尺寸：Φ1000*750mm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10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讨论椅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10464" behindDoc="0" locked="0" layoutInCell="1" allowOverlap="1">
                  <wp:simplePos x="0" y="0"/>
                  <wp:positionH relativeFrom="column">
                    <wp:posOffset>177800</wp:posOffset>
                  </wp:positionH>
                  <wp:positionV relativeFrom="paragraph">
                    <wp:posOffset>87630</wp:posOffset>
                  </wp:positionV>
                  <wp:extent cx="569595" cy="464185"/>
                  <wp:effectExtent l="19050" t="0" r="1905" b="0"/>
                  <wp:wrapNone/>
                  <wp:docPr id="949" name="图片_961"/>
                  <wp:cNvGraphicFramePr/>
                  <a:graphic xmlns:a="http://schemas.openxmlformats.org/drawingml/2006/main">
                    <a:graphicData uri="http://schemas.openxmlformats.org/drawingml/2006/picture">
                      <pic:pic xmlns:pic="http://schemas.openxmlformats.org/drawingml/2006/picture">
                        <pic:nvPicPr>
                          <pic:cNvPr id="949" name="图片_961"/>
                          <pic:cNvPicPr>
                            <a:picLocks noChangeArrowheads="1"/>
                          </pic:cNvPicPr>
                        </pic:nvPicPr>
                        <pic:blipFill>
                          <a:blip r:embed="rId84"/>
                          <a:srcRect/>
                          <a:stretch>
                            <a:fillRect/>
                          </a:stretch>
                        </pic:blipFill>
                        <pic:spPr>
                          <a:xfrm>
                            <a:off x="0" y="0"/>
                            <a:ext cx="569595" cy="46418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尺寸：560*460*750mm实木桶椅.橡胶木原木，非贴皮；坐板橡胶木原木厚度不少于15mm，上覆亚麻布海绵垫；水性环保漆</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推拉式绿板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配置参数详见附件4</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仿宋" w:hAnsi="仿宋" w:eastAsia="仿宋" w:cs="仿宋"/>
                <w:color w:val="000000" w:themeColor="text1"/>
                <w:sz w:val="24"/>
              </w:rPr>
              <w:t>86吋智能交互平板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配置参数详见附件3</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蓝牙音箱无线咪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配置参数详见附件5</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司母戊鼎</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材质：锌铜合金；规格不小于：高22厘米长18厘米宽14厘米；按照原物1：6进行仿制。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448"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编钟</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材质：合金</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司南模型</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铜质、木框，规格不小于：22×22×9厘米</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景德镇五彩瓷瓶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材质：陶瓷；规格不小于：高度30厘米，肚径21厘米。</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唐三彩</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唐三彩五人乐俑；规格不小于24*10*35 CM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黑陶高柄杯</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材质：黑陶，按照原物1：1仿制；规格不小于：高度19厘米，口径10厘米。</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景德镇青花瓷盘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材质：瓷，景德镇青花瓷盘，直径不小于25厘米。</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马踏飞燕</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材质：锌铜合金；规格不小于：高19厘米长25厘米宽6.5厘米，按照和实物5：3比例进行仿制。又名铜奔马。</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十二字砖</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材质：蓝陶，规格不小于：25*27*3 CM。仿汉十二字砖。按照实物1：1进行仿制。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尖底陶瓶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材质：陶制，仰韶文化尖底瓶，实物1：1仿制。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古钱币模型</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八种古钱币，材质青铜</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兵马俑</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材质：陶制, 规格：长度不小于7厘米，高度不小于15厘米，四兵一马。</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方升</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材质：铜；规格不小于：高3厘米、长19厘米、宽7厘米。最早的度量衡产品，按照实物1：1仿制。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四羊方尊</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材质：锌铜合金；规格不小于：高22厘米口径16厘米；按照和实物5：2的比例仿制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416"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触摸查询一体机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65寸卧式落地触摸查询一体机，含可个性化触摸查询软件，外观尺寸：1508*880mm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显示面积：1428*804mm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净重：不少于80KG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屏幕尺寸：65寸LG的LED背光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触 摸 屏：红外真10点及以上触摸屏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分 辨 率：1920*1080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亮 度：300  流明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对 比 度：2000：1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颜 色：16.7M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可视角度：178º/178º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工控主机：I5/8G/256G固态，双频无线网卡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操作系统：支持Windows7/8/10/Linux，安装正版win7</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接 口：电源口/网口/usb口等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内置有源立体声音箱不少于额定2*10W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机 体：铝合金机柜，专业钢琴烤漆，抗静电，抗微尘，抗干扰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工作温度：-20° C - 80° C</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储存温度：-40° C - 90° C</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工作湿度：0% to 90% RH  无凝结</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储存湿度：0% to 90% RH  无凝结</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★应用软件：提供多媒体查询软件、电子翻书软件、多点图片视频展示软件、信息发布软件等，预装有关高中历史查询素材</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高清录播主机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1.设备高度≤1U，方便机架式安装。考虑设备稳定性，要求采用嵌入式ARM架构设计，Linux操作系统，高度集成多种功能应用，包括导播、录制、跟踪、直播、点播、互动等功能。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2.★视频接口：支持3G-SDI in≥2、HDMI in≥2、HDMI out≥3，采集和输出分辨率均支持1080P@30fps。SDI接口支持对接入摄像机的POC供电信号、视频信号、控制信号同步传输。为避免信号干扰，不接受多条不同接口线缆绞合成一条线缆铺设或者增加额外转换设备的方式。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3.★音频接口：支持 Digital MIC≥3、Line in≥2、Line out≥1、耳机监听Headset≥1，Digital MIC接口支持对数字麦克风进行同步供电。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4.网络接口：RJ-45≥1，支持1000/100Mbps自适应，支持IPv4、IPv6双协议栈，适应互联网通信发展需求。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5.其他接口：Console≥2、USB3.0≥2。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6.存储容量：1TB 机械硬盘。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7.电源管理：采用不高于DC36V安全电压供电，具有低功耗环保优势，采用无风扇散热设计，低噪音不影响正常授课。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8.视频录制：录制分辨率支持1080P@30fps、720P@30fps，视频编码协议支持标准H.264，支持MP4视频封装格式。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9.协议支持：支持HTTP、RTMP、RTSP视频传输协议，支持FTP文件传输协议，支持VISCA云台控制协议。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10.★互动功能：支持H.323、SIP等标准互动传输协议，便捷进行远程互动教学应用，支持H.239和BFCP双流互动协议。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11.应具备自主知识产权，提供视频信号处理相关知识产权证明文件复印件。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12.应具备实时采集800万以上像素的一线通双视频云镜能力。</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13.整机使用平均无故障运行时间(MTBF)应≥200000小时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9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录播软件系统</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与高清录播主机同一品牌。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1.软件架构：支持B/S架构设计，能够方便教师使用IE、360等主流浏览器通过网络直接访问录播主机进行导播和管理。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电子云镜：支持通过电子云镜应用技术，单镜头拍摄生成全景和特写两个1080P高清画面。支持EPTZ电子云台控制功能，实现对非云台摄像机拍摄的特写画面进行电子云台控制，包括画面上下左右移动、放大缩小变焦等操作。EPTZ电子云台控制功能应具有鼠标快速定位功能，通过鼠标点击快速居中画面区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3.录制控制：支持录制、暂停、停止等基本功能操作，实现全自动、手动两种录制模式，支持录制过程中实时切换录制模式。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录制管理：支持高低码流同步录制，支持电影模式和资源模式录制，实现复合画面、每个摄像机画面及电脑课件画面的独立封装和点播。支持自定义录制分辨率、帧率和码率，最高支持1080P@30fps，码率支持512kbps到40Mbps可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5.★分段录制：支持分段录制技术，当录制的课程时间较长时，可按照用户设定的文件时长自动分割录制成多个视频文件，提供不分段、30分钟分段、60分钟分段三种方式可选。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导播管理：支持对所有接入视频和录制效果画面的实时预览，手动导播模式下支持信号源实时切换录制。提供双分屏、三分屏、画中画等录制布局，支持自定义布局方式，支持多个视频图层自由叠加组合，自定义布局时可随意拖拉画面窗口。支持渐变、缩放、切换等转场特效。支持添加LOGO，可通过鼠标直接拖拽设置LOGO在画面的显示位置。支持添加字幕，字幕颜色、字幕描边、字幕背景可设。支持设置录制的片头片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7.摄像机控制：支持鼠标快速定位功能，通过鼠标点击快速居中画面区域，通过鼠标滚轮可以调节云台摄像机的焦距。每个云台摄像机应至少支持8个预置位设置与调用功能。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8.面板管控：支持接入控制面板，对录播设备进行唤醒、录制管理。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9.视频环出：2路HDMI信号同步输出，录课模式下实时环出录课画面，双流互动模式下双HDMI输出分别实时环出互动主、辅流画面。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10.★音频处理：内置音频处理功能，支持4路音频通道同步处理，包括EQ均衡、AEC回声抑制、AGC自动增益、ANC噪声抑制。提供软件功能界面截图并加盖厂家投标专用章或公章。</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跟踪功能：基于图像识别分析技术，无需辅助定位装置，摄像机同时完成画面拍摄和跟踪检测功能，实现课堂教师、学生行为的全自动跟踪功能。包括教师走动、授课特写、课件跟踪、学生起立等场景。课件电脑跟踪支持“鼠键触发检测”和“图像变化检测”两种自动跟踪方式，可自定义电脑信号呈现保留时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跟踪屏蔽：支持设置跟踪屏蔽区域，如主动屏蔽掉教师观摩区、窗户窗帘、教室门口、大屏液晶电视等易干扰跟踪效果的地方，所屏蔽的地方系统将不对其进行图像分析跟踪运算，以避免这些地方干扰整体的跟踪效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13.★互动通讯录管理：支持查询互动云系统的通讯录数据，查询内容包括所有已在互动云系统注册的录播账号、录播昵称。支持通过通讯录选择互动对象直接呼叫，或手动输入录播账号进行呼叫。</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互动创建：支持通过通讯录选择互动录播并“一键式”呼叫创建互动房间，支持通过会议号和会议密码直接加入已创建的互动房间。支持对每台录播设备自动分配纯数字短号，可以通过短号直接呼叫录播设备创建互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15.★互动方式：提供“授课”和“会议”两种互动模式，其中“授课”模式贴近实际同步课堂教学场景，听课端观看的互动画面有主讲端控制。支持将主讲老师和课件信号双分屏或画中画模式共享给听课端观看。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16.互动画质：录播主机双向互动过程中，在4Mbps带宽下可实现1080P@30FPS画质，支持网络自适应功能。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17.★互动网络管理：支持网络检测功能，测试录播设备与互动服务器之间的网络通讯情况，包括上下行丢包率数据、带宽数据。互动画面中可叠加显示各互动点的视频码流和丢包率。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18.★双流互动功能：互动时听课端设备支持将教学场景及教学课件画面以两路独立HDMI信号分别同时环出显示到两个显示设备中。</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19.★直播管理：支持自定义直播分辨率和码率，最高支持1080P@30fps，以适应不同网络环境下保持直播的流畅性。支持RTMP和RTSP视频传输协议，支持≥3路RTMP同步推流，可从接入的摄像机信号和电脑信号中选择自定义每路推流信号源，实现多流直播。</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20.录像管理：支持对录制视频按标题、主持人、时间、时长进行排序，便于快速检索所需视频。支持对录像文件进行回放和下载。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21.视频修复：支持硬盘格式化功能，支持对设备异常断电、宕机造成的损坏视频文件进行修复。</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22.视频上传：支持与资源平台无缝对接，录播设备通过FTP传输协议将录制视频文件自动上传至资源平台。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23.支持中英文双语版本切换，适合不同用户的应用需求。</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5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高清摄像机教师用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与高清录播主机同一品牌具有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 传感器类型：CMOS、1/2.3英寸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★采用逐行扫描模式，有效像素不低于1600万。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3）★为充分保障视频采集、编辑后的高清效果，图像采集分辨率支持4608*3488；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4)采用了2D和基于运动估计的3D降噪算法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最大水平视场角49°，最大垂直视场角28.2°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网络接口：RJ45，10/100/1000M自适应</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7）视频接口：3G-SDI、网络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8）编码技术：视频H.264/H.265，音频AAC</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支持POC供电、电源适配器供电两种供电方式，根据环境实际情况可灵活选择。</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 ★内置跟踪分析功能，无需辅助跟踪摄像头即可完成对象跟踪捕捉，支持教师全景和特写切换跟踪模式。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11)★整机使用平均无故障运行时间(MTBF)应≥100000小时。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20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高清摄像机学生用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与高清录播主机同一品牌具有</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传感器类型：CMOS、1/2.3英寸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★采用逐行扫描模式，有效像素不低于1600万。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3）★为充分保障视频采集、编辑后的高清效果，图像采集分辨率支持4608*3488；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4)采用了2D和基于运动估计的3D降噪算法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最大水平视场角82.9°，最大垂直视场角52.8°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网络接口：RJ45，10/100/1000M自适应</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7）视频接口：3G-SDI、网络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8）编码技术：视频H.264/H.265，音频AAC</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★支持POC供电、电源适配器供电两种供电方式，根据环境实际情况可灵活选择。</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 ★内置跟踪分析功能，无需辅助跟踪摄像头即可完成对象跟踪捕捉，支持学生全景和特写切换跟踪模式。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11)★整机使用平均无故障运行时间(MTBF)应≥100000小时。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5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高清摄像机管理软件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与高清录播主机同一品牌具有</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摄像机管理软件采用B/S架构，支持通用浏览器直接访问进行管理。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支持网络参数设置与修改，支持一键恢复默认参数。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支持曝光模式设置功能，包括自动、手动。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支持抗闪烁频率、动态范围、光圈、快门参数设置。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支持自动白平衡设置功能，红、蓝增益可调范围0~200。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支持噪声抑制设置功能，支持2D、3D降噪。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支持摄像机图像质量调节功能，包括亮度、对比度、色调、饱和度。</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全向拾音话筒</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与高清录播主机同一品牌具有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1.指向性：超心型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2.频率响应：40Hz—16kHz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3.灵敏度：-29dB±3dB（1dB=1V/Pa at 1kHz）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4.最大声压级：130dB（T.H.D≤1% at 1kHz）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5.信噪比：70dB（1KHz at 1Pa）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6.动态范围：106dB（1kHz at Max SPL）</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7.使用电源：麦克风一线通供电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8.输出接口：RJ45，数字音频接口</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3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录制面板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与高清录播主机同一品牌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 在讲台上镶嵌式安装方式；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控制接口：RS232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信号指示灯：支持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支持一键式系统电源开关控制。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一键式录制、停止、锁定电脑信号；</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★支持本地录播全自动的开启、关闭控制。该功能同时支持录播模式和互动模式。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支持通过面板一键发起与远端设备互动连接；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★支持通过交互控制面板切换互动画面的信号源，并传输到听课室，包括本地摄像机信号、电脑信号、远端课室画面。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★支持对各画面的自由布局控制，包括单画面全屏、双分屏、三分屏、四分屏、画中画，并传输到听课室。</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10)★支持远程“一键静音”功能，主讲端可一键关闭远端互动教室发言，进入主讲授课模式。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19"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无线AP</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配置参数详见附件6</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418"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机柜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22U机柜。</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552"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线材</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配套录播线材、五金等附件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271"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立式空调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0"/>
              </w:numPr>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★3匹不少于3级能效冷暖立柜式空调。★整机10年厂家免费上门质保,具体参数规格详细见附件7.</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2、注：如果没有空调的冷凝水PVC排水管到地面，则需要安装空调冷凝水水管50PVCU到地面排水沟里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二十、学生发展活动中心清单</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技术参数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16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会议桌</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11488" behindDoc="0" locked="0" layoutInCell="1" allowOverlap="1">
                  <wp:simplePos x="0" y="0"/>
                  <wp:positionH relativeFrom="column">
                    <wp:posOffset>95250</wp:posOffset>
                  </wp:positionH>
                  <wp:positionV relativeFrom="paragraph">
                    <wp:posOffset>214630</wp:posOffset>
                  </wp:positionV>
                  <wp:extent cx="619760" cy="566420"/>
                  <wp:effectExtent l="19050" t="0" r="8890" b="0"/>
                  <wp:wrapNone/>
                  <wp:docPr id="948" name="图片_62"/>
                  <wp:cNvGraphicFramePr/>
                  <a:graphic xmlns:a="http://schemas.openxmlformats.org/drawingml/2006/main">
                    <a:graphicData uri="http://schemas.openxmlformats.org/drawingml/2006/picture">
                      <pic:pic xmlns:pic="http://schemas.openxmlformats.org/drawingml/2006/picture">
                        <pic:nvPicPr>
                          <pic:cNvPr id="948" name="图片_62"/>
                          <pic:cNvPicPr>
                            <a:picLocks noChangeArrowheads="1"/>
                          </pic:cNvPicPr>
                        </pic:nvPicPr>
                        <pic:blipFill>
                          <a:blip r:embed="rId85"/>
                          <a:srcRect/>
                          <a:stretch>
                            <a:fillRect/>
                          </a:stretch>
                        </pic:blipFill>
                        <pic:spPr>
                          <a:xfrm>
                            <a:off x="0" y="0"/>
                            <a:ext cx="619760" cy="56642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钢木学生桌.尺寸：桌面1200*600*750mm，桌面厚度≥50mm,桌面材质：进口或者国内知名松原木，桌面长条拼缝非指接表面非贴皮，环保油漆，原木颜色，桌脚材质：冷轧方钢50*50mm，厚度不少于1mm,桌脚表面涂装：所有金属部件经过流水线抛丸工艺除锈和高温除油处理，采用静电喷塑高温固化，使涂层与金属表面的附着力更强，耐腐蚀，不易脱落。涂层需光滑均匀，色泽一致，需无流挂、疙瘩、皱皮、飞漆。涂层需平整光滑、清晰，需无明显粒子、涨边现象；应无明显加工痕迹、划痕、雾光、白棱、白点、鼓泡、油白、流挂、缩孔、刷毛、积粉和杂渣。</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13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会议椅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12512" behindDoc="0" locked="0" layoutInCell="1" allowOverlap="1">
                  <wp:simplePos x="0" y="0"/>
                  <wp:positionH relativeFrom="column">
                    <wp:posOffset>5080</wp:posOffset>
                  </wp:positionH>
                  <wp:positionV relativeFrom="paragraph">
                    <wp:posOffset>270510</wp:posOffset>
                  </wp:positionV>
                  <wp:extent cx="822960" cy="488950"/>
                  <wp:effectExtent l="19050" t="0" r="0" b="0"/>
                  <wp:wrapNone/>
                  <wp:docPr id="947" name="图片_63"/>
                  <wp:cNvGraphicFramePr/>
                  <a:graphic xmlns:a="http://schemas.openxmlformats.org/drawingml/2006/main">
                    <a:graphicData uri="http://schemas.openxmlformats.org/drawingml/2006/picture">
                      <pic:pic xmlns:pic="http://schemas.openxmlformats.org/drawingml/2006/picture">
                        <pic:nvPicPr>
                          <pic:cNvPr id="947" name="图片_63"/>
                          <pic:cNvPicPr>
                            <a:picLocks noChangeArrowheads="1"/>
                          </pic:cNvPicPr>
                        </pic:nvPicPr>
                        <pic:blipFill>
                          <a:blip r:embed="rId86"/>
                          <a:srcRect/>
                          <a:stretch>
                            <a:fillRect/>
                          </a:stretch>
                        </pic:blipFill>
                        <pic:spPr>
                          <a:xfrm>
                            <a:off x="0" y="0"/>
                            <a:ext cx="822960" cy="48895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尺寸：560*46*750mm实木桶椅.橡胶木原木，非贴皮；坐板橡胶木原木厚度不少于15mm，上覆亚麻布海绵垫；水性环保漆</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把</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智能网络自动播放显示屏</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壁挂4K（3840*2160分辨率），65寸，广视角，智能网络，开机自动播放，无缝切换，循环播放，定时开关机，用B/S架构，远程电脑管理、更新内容、机器监控、插播消息；主板接口：TF、USB、LAN网口、HDMI输入；控制方式：U盘、远程发布；支持格式：图片、视频、网页、天气、WORD、EXCEL、PDF等；内置存储8G；自由分屏；智能双频WIFI；杜比音效</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无线AP</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配置参数详见附件6,包含布线调试.安装在门口走廊位置，与办公室共用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POE交换机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LS-S5130S-28S-PWR-HI ，24口全千兆POE+供电交换机.安装在交换机房。24个10/100/1000Base-T自适应以太网端口（PoE+），4个万兆SFP+口，背板带宽 336Gbps/3.36Tbps，包转发率 126Mpps，配双360W：678W（PoE为600W），安装在人文楼弱电机房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AP网络布线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全部用国标6类线从机房出发通过管道井、走廊桥架（走廊没有桥架需增加金属国标桥架），然后进入学生活动中心、政治、语文、英语、历史、地理专用教室内</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窗帘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双道窗帘，里道为优质加厚棉麻布料制作的全遮光帘（包括窗轨），外道为高级无纺布彩色喷绘定制，在窗帘上印制相关知识内容，集教学、观赏为一体的卷帘；含窗帘图文设计与安装，不含窗帘盒。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空调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1、★3匹不少于3级能效冷暖立柜式空调。★整机10年厂家免费上门质保,具体参数规格详细见附件7.</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2、注：如果没有空调的冷凝水PVC排水管到地面，则需要安装空调冷凝水水管50PVCU到地面排水沟里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271"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荣誉展示柜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约5500*350*2600mm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基材：采用优质E0级双面免漆多层板板材，采用2mm厚封边条、柜体侧板（除与地面接触边）、柜体顶板、门板、抽面板等可见处采用2mm厚封边条，其余部位封1mm封边条。板件之间采用三合一连接和木梢的方式连接固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2.封边：采用封边条厚度2.5MM的优质同色PVC封边条，无起花，异色边缘修饰平整、光滑。</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展示矮柜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尺寸：1800*500*900mm,框架结构。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1.框架：采用≥1.2mm厚镀锌钢板裁剪折弯后满焊点焊接，表面经EPOXY喷涂处理，连接件采用不锈钢连接件。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2.调整脚：采用ABS新料模具一体成型的承重型可调节地脚，螺丝SUS304不锈钢材质。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团委宣誓墙</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按照实验课程基地特色设计，符合现代中学生基本审美标准。凸显课程基地主题立意。尺寸约7000*2800mm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亚克力+雪弗板写真。</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二十一、英语学科专用教室清单</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技术参数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15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移动讲台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13536" behindDoc="0" locked="0" layoutInCell="1" allowOverlap="1">
                  <wp:simplePos x="0" y="0"/>
                  <wp:positionH relativeFrom="column">
                    <wp:posOffset>55880</wp:posOffset>
                  </wp:positionH>
                  <wp:positionV relativeFrom="paragraph">
                    <wp:posOffset>259080</wp:posOffset>
                  </wp:positionV>
                  <wp:extent cx="722630" cy="665480"/>
                  <wp:effectExtent l="19050" t="0" r="1270" b="0"/>
                  <wp:wrapNone/>
                  <wp:docPr id="946" name="ID_711F099430C6487EBCEB72566F6F0747_SpCnt_3"/>
                  <wp:cNvGraphicFramePr/>
                  <a:graphic xmlns:a="http://schemas.openxmlformats.org/drawingml/2006/main">
                    <a:graphicData uri="http://schemas.openxmlformats.org/drawingml/2006/picture">
                      <pic:pic xmlns:pic="http://schemas.openxmlformats.org/drawingml/2006/picture">
                        <pic:nvPicPr>
                          <pic:cNvPr id="946" name="ID_711F099430C6487EBCEB72566F6F0747_SpCnt_3"/>
                          <pic:cNvPicPr>
                            <a:picLocks noChangeArrowheads="1"/>
                          </pic:cNvPicPr>
                        </pic:nvPicPr>
                        <pic:blipFill>
                          <a:blip r:embed="rId15"/>
                          <a:srcRect/>
                          <a:stretch>
                            <a:fillRect/>
                          </a:stretch>
                        </pic:blipFill>
                        <pic:spPr>
                          <a:xfrm>
                            <a:off x="0" y="0"/>
                            <a:ext cx="722630" cy="66548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1、钢木结构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1.1台面：采用12.7mm厚双面膜耐腐蚀实芯理化板制作，四角倒R15圆角。耐酸、耐碱、耐高温，坚固耐用，防潮、无细孔、不膨胀、不龟裂、不变形、不导电、便于维护及具有良好的承重性能；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钢木结构：主框架采用40*40矩形管焊接而成，表面经酸洗磷化、纯环氧树脂塑粉高温固化处理，平整光滑，不允许有喷涂层脱落、鼓泡、凹陷、压痕以及表面划伤、麻点、裂痕、崩角和刃口等，切割、钻孔和倒角应去毛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柜身：柜身为悬柜，基材为16mm厚E1级实验室专用三聚氰胺板制作，柜身可任意移出，便捷、灵活性强。可见截面均经过PVC封边；贴面和封边部件应严密、平整，不允许脱胶、鼓泡、凹陷、压痕以及表面划伤、麻点、裂痕、崩角和刃口，外表的圆角、倒棱应均匀一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1.4：正前方设置可移动置物架，放置教案和教具；</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1.5桌脚：采用静音医用万向轮。</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2、整体尺寸：1200*600*900mm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15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学生桌</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14560" behindDoc="0" locked="0" layoutInCell="1" allowOverlap="1">
                  <wp:simplePos x="0" y="0"/>
                  <wp:positionH relativeFrom="column">
                    <wp:posOffset>73660</wp:posOffset>
                  </wp:positionH>
                  <wp:positionV relativeFrom="paragraph">
                    <wp:posOffset>294005</wp:posOffset>
                  </wp:positionV>
                  <wp:extent cx="643890" cy="561975"/>
                  <wp:effectExtent l="19050" t="0" r="3810" b="0"/>
                  <wp:wrapNone/>
                  <wp:docPr id="945" name="图片_64"/>
                  <wp:cNvGraphicFramePr/>
                  <a:graphic xmlns:a="http://schemas.openxmlformats.org/drawingml/2006/main">
                    <a:graphicData uri="http://schemas.openxmlformats.org/drawingml/2006/picture">
                      <pic:pic xmlns:pic="http://schemas.openxmlformats.org/drawingml/2006/picture">
                        <pic:nvPicPr>
                          <pic:cNvPr id="945" name="图片_64"/>
                          <pic:cNvPicPr>
                            <a:picLocks noChangeArrowheads="1"/>
                          </pic:cNvPicPr>
                        </pic:nvPicPr>
                        <pic:blipFill>
                          <a:blip r:embed="rId87"/>
                          <a:srcRect/>
                          <a:stretch>
                            <a:fillRect/>
                          </a:stretch>
                        </pic:blipFill>
                        <pic:spPr>
                          <a:xfrm>
                            <a:off x="0" y="0"/>
                            <a:ext cx="643890" cy="56197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钢木学生桌.尺寸：桌面1200*600*740mm，桌面厚度≥50mm,桌面材质：进口或者国内知名松原木，桌面长条拼缝非指接表面非贴皮，环保油漆，原木颜色，桌脚材质：冷轧方钢50*50mm，厚度不少于1mm,桌脚表面涂装：所有金属部件经过流水线抛丸工艺除锈和高温除油处理，采用静电喷塑高温固化，使涂层与金属表面的附着力更强，耐腐蚀，不易脱落。涂层需光滑均匀，色泽一致，需无流挂、疙瘩、皱皮、飞漆。涂层需平整光滑、清晰，需无明显粒子、涨边现象；应无明显加工痕迹、划痕、雾光、白棱、白点、鼓泡、油白、流挂、缩孔、刷毛、积粉和杂渣。</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学生椅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课椅配置及参数详细见附件1.2</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把</w:t>
            </w:r>
          </w:p>
        </w:tc>
      </w:tr>
      <w:tr>
        <w:tblPrEx>
          <w:tblCellMar>
            <w:top w:w="0" w:type="dxa"/>
            <w:left w:w="108" w:type="dxa"/>
            <w:bottom w:w="0" w:type="dxa"/>
            <w:right w:w="108" w:type="dxa"/>
          </w:tblCellMar>
        </w:tblPrEx>
        <w:trPr>
          <w:trHeight w:val="14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讨论桌</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15584" behindDoc="0" locked="0" layoutInCell="1" allowOverlap="1">
                  <wp:simplePos x="0" y="0"/>
                  <wp:positionH relativeFrom="column">
                    <wp:posOffset>127000</wp:posOffset>
                  </wp:positionH>
                  <wp:positionV relativeFrom="paragraph">
                    <wp:posOffset>208280</wp:posOffset>
                  </wp:positionV>
                  <wp:extent cx="619125" cy="548640"/>
                  <wp:effectExtent l="19050" t="0" r="9525" b="0"/>
                  <wp:wrapNone/>
                  <wp:docPr id="944" name="图片_965"/>
                  <wp:cNvGraphicFramePr/>
                  <a:graphic xmlns:a="http://schemas.openxmlformats.org/drawingml/2006/main">
                    <a:graphicData uri="http://schemas.openxmlformats.org/drawingml/2006/picture">
                      <pic:pic xmlns:pic="http://schemas.openxmlformats.org/drawingml/2006/picture">
                        <pic:nvPicPr>
                          <pic:cNvPr id="944" name="图片_965"/>
                          <pic:cNvPicPr>
                            <a:picLocks noChangeArrowheads="1"/>
                          </pic:cNvPicPr>
                        </pic:nvPicPr>
                        <pic:blipFill>
                          <a:blip r:embed="rId83"/>
                          <a:srcRect/>
                          <a:stretch>
                            <a:fillRect/>
                          </a:stretch>
                        </pic:blipFill>
                        <pic:spPr>
                          <a:xfrm>
                            <a:off x="0" y="0"/>
                            <a:ext cx="619125" cy="54864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1、实木结构；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2、台面：采用E0级多层板表面贴白蜡木，直径1000mm，四周圆角处理，光滑无毛刺，环保油漆；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3、框架：采用优质白蜡木原木构成厚实整桌框架，桌脚配可调整高低的脚垫</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4、颜色同业主商量决定.尺寸：Φ1000*750mm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讨论椅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r>
              <w:rPr>
                <w:rFonts w:hint="eastAsia" w:ascii="宋体" w:hAnsi="宋体" w:cs="宋体"/>
                <w:color w:val="000000" w:themeColor="text1"/>
                <w:sz w:val="24"/>
              </w:rPr>
              <w:drawing>
                <wp:anchor distT="0" distB="0" distL="114300" distR="114300" simplePos="0" relativeHeight="252617728" behindDoc="0" locked="0" layoutInCell="1" allowOverlap="1">
                  <wp:simplePos x="0" y="0"/>
                  <wp:positionH relativeFrom="column">
                    <wp:posOffset>125095</wp:posOffset>
                  </wp:positionH>
                  <wp:positionV relativeFrom="paragraph">
                    <wp:posOffset>62865</wp:posOffset>
                  </wp:positionV>
                  <wp:extent cx="819150" cy="495300"/>
                  <wp:effectExtent l="19050" t="0" r="0" b="0"/>
                  <wp:wrapNone/>
                  <wp:docPr id="943" name="图片_63"/>
                  <wp:cNvGraphicFramePr/>
                  <a:graphic xmlns:a="http://schemas.openxmlformats.org/drawingml/2006/main">
                    <a:graphicData uri="http://schemas.openxmlformats.org/drawingml/2006/picture">
                      <pic:pic xmlns:pic="http://schemas.openxmlformats.org/drawingml/2006/picture">
                        <pic:nvPicPr>
                          <pic:cNvPr id="943" name="图片_63"/>
                          <pic:cNvPicPr>
                            <a:picLocks noChangeArrowheads="1"/>
                          </pic:cNvPicPr>
                        </pic:nvPicPr>
                        <pic:blipFill>
                          <a:blip r:embed="rId86"/>
                          <a:srcRect/>
                          <a:stretch>
                            <a:fillRect/>
                          </a:stretch>
                        </pic:blipFill>
                        <pic:spPr>
                          <a:xfrm>
                            <a:off x="0" y="0"/>
                            <a:ext cx="819150" cy="49530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尺寸：560*46*750实木桶椅.橡胶木原木，非贴皮；坐板橡胶木原木厚度不少于15mm，上覆亚麻布海绵垫；水性环保漆</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12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展示台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1.台面：采用实验室专用12.7㎜实心理化板台面精制而成；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2.结构：采用钢木结构；3.尺寸：3475*600*800mm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6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“READ”造型展示书柜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约5500*350*2600mm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基材：采用优质E0级双面免油漆多层板板材，采用2mm厚封边条、柜体侧板（除与地面接触边）、柜体顶板、门板、抽面板等可见处采用2mm厚封边条，其余部位封1mm封边条。板件之间采用三合一连接和木梢的方式连接固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2.封边：采用封边条厚度2.5MM的优质同色PVC封边条，无起花，异色边缘修饰平整、光滑。</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271"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储存矮柜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尺寸：1500*500*900mm，全钢结构。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1.框架：采用≥1.2mm厚镀锌钢板裁剪折弯后满焊点焊接，表面经EPOXY喷涂处理，连接件采用不锈钢连接件。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2.柜体：侧板、背板采用采用≥1.2mm厚镀锌钢板裁剪折弯后满焊点焊接，表面经EPOXY喷涂处理，连接件采用不锈钢连接件。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3.柜门：采用≥1.2mm厚镀锌钢板裁剪折弯后满焊点焊接，表面经EPOXY喷涂处理，对开门式设计。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4.拉手：采用SUS304不锈钢C型拉手。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5.铰链：采用定位铰链或2mm不锈钢合页。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6.调整脚：采用ABS新料模具一体成型的承重型可调节地脚，螺丝SUS304不锈钢材质。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推拉式绿板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配置参数详见附件4</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仿宋" w:hAnsi="仿宋" w:eastAsia="仿宋" w:cs="仿宋"/>
                <w:color w:val="000000" w:themeColor="text1"/>
                <w:sz w:val="24"/>
              </w:rPr>
              <w:t>86吋智能交互平板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配置参数详见附件3</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书写板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3600*1200*26mm加厚铝合金框，进口或者国内知名实芯树脂绿板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838"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高清录播主机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1.设备高度≤1U，方便机架式安装。考虑设备稳定性，要求采用嵌入式ARM架构设计，Linux操作系统，高度集成多种功能应用，包括导播、录制、跟踪、直播、点播、互动等功能。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2.★视频接口：支持3G-SDI in≥2、HDMI in≥2、HDMI out≥3，采集和输出分辨率均支持1080P@30fps。SDI接口支持对接入摄像机的POC供电信号、视频信号、控制信号同步传输。为避免信号干扰，不接受多条不同接口线缆绞合成一条线缆铺设或者增加额外转换设备的方式。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3.★音频接口：支持 Digital MIC≥3、Line in≥2、Line out≥1、耳机监听Headset≥1，Digital MIC接口支持对数字麦克风进行同步供电。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4.网络接口：RJ-45≥1，支持1000/100Mbps自适应，支持IPv4、IPv6双协议栈，适应互联网通信发展需求。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5.其他接口：Console≥2、USB3.0≥2。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6.存储容量：1TB 机械硬盘。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7.电源管理：采用不高于DC36V安全电压供电，具有低功耗环保优势，采用无风扇散热设计，低噪音不影响正常授课。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8.视频录制：录制分辨率支持1080P@30fps、720P@30fps，视频编码协议支持标准H.264，支持MP4视频封装格式。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9.协议支持：支持HTTP、RTMP、RTSP视频传输协议，支持FTP文件传输协议，支持VISCA云台控制协议。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10.★互动功能：支持H.323、SIP等标准互动传输协议，便捷进行远程互动教学应用，支持H.239和BFCP双流互动协议。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11.应具备自主知识产权，提供视频信号处理相关知识产权证明文件复印件。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12.应具备实时采集800万以上像素的一线通双视频云镜能力。</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13.整机使用平均无故障运行时间(MTBF)应≥200000小时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55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录播软件系统</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与高清录播主机同一品牌。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1.软件架构：支持B/S架构设计，能够方便教师使用IE、360等主流浏览器通过网络直接访问录播主机进行导播和管理。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电子云镜：支持通过电子云镜应用技术，单镜头拍摄生成全景和特写两个1080P高清画面。支持EPTZ电子云台控制功能，实现对非云台摄像机拍摄的特写画面进行电子云台控制，包括画面上下左右移动、放大缩小变焦等操作。EPTZ电子云台控制功能应具有鼠标快速定位功能，通过鼠标点击快速居中画面区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3.录制控制：支持录制、暂停、停止等基本功能操作，实现全自动、手动两种录制模式，支持录制过程中实时切换录制模式。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录制管理：支持高低码流同步录制，支持电影模式和资源模式录制，实现复合画面、每个摄像机画面及电脑课件画面的独立封装和点播。支持自定义录制分辨率、帧率和码率，最高支持1080P@30fps，码率支持512kbps到40Mbps可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5.★分段录制：支持分段录制技术，当录制的课程时间较长时，可按照用户设定的文件时长自动分割录制成多个视频文件，提供不分段、30分钟分段、60分钟分段三种方式可选。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导播管理：支持对所有接入视频和录制效果画面的实时预览，手动导播模式下支持信号源实时切换录制。提供双分屏、三分屏、画中画等录制布局，支持自定义布局方式，支持多个视频图层自由叠加组合，自定义布局时可随意拖拉画面窗口。支持渐变、缩放、切换等转场特效。支持添加LOGO，可通过鼠标直接拖拽设置LOGO在画面的显示位置。支持添加字幕，字幕颜色、字幕描边、字幕背景可设。支持设置录制的片头片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7.摄像机控制：支持鼠标快速定位功能，通过鼠标点击快速居中画面区域，通过鼠标滚轮可以调节云台摄像机的焦距。每个云台摄像机应至少支持8个预置位设置与调用功能。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8.面板管控：支持接入控制面板，对录播设备进行唤醒、录制管理。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9.视频环出：2路HDMI信号同步输出，录课模式下实时环出录课画面，双流互动模式下双HDMI输出分别实时环出互动主、辅流画面。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10.★音频处理：内置音频处理功能，支持4路音频通道同步处理，包括EQ均衡、AEC回声抑制、AGC自动增益、ANC噪声抑制。提供软件功能界面截图并加盖厂家投标专用章或公章。</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跟踪功能：基于图像识别分析技术，无需辅助定位装置，摄像机同时完成画面拍摄和跟踪检测功能，实现课堂教师、学生行为的全自动跟踪功能。包括教师走动、授课特写、课件跟踪、学生起立等场景。课件电脑跟踪支持“鼠键触发检测”和“图像变化检测”两种自动跟踪方式，可自定义电脑信号呈现保留时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跟踪屏蔽：支持设置跟踪屏蔽区域，如主动屏蔽掉教师观摩区、窗户窗帘、教室门口、大屏液晶电视等易干扰跟踪效果的地方，所屏蔽的地方系统将不对其进行图像分析跟踪运算，以避免这些地方干扰整体的跟踪效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13.★互动通讯录管理：支持查询互动云系统的通讯录数据，查询内容包括所有已在互动云系统注册的录播账号、录播昵称。支持通过通讯录选择互动对象直接呼叫，或手动输入录播账号进行呼叫。</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互动创建：支持通过通讯录选择互动录播并“一键式”呼叫创建互动房间，支持通过会议号和会议密码直接加入已创建的互动房间。支持对每台录播设备自动分配纯数字短号，可以通过短号直接呼叫录播设备创建互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15.★互动方式：提供“授课”和“会议”两种互动模式，其中“授课”模式贴近实际同步课堂教学场景，听课端观看的互动画面有主讲端控制。支持将主讲老师和课件信号双分屏或画中画模式共享给听课端观看。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16.互动画质：录播主机双向互动过程中，在4Mbps带宽下可实现1080P@30FPS画质，支持网络自适应功能。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17.★互动网络管理：支持网络检测功能，测试录播设备与互动服务器之间的网络通讯情况，包括上下行丢包率数据、带宽数据。互动画面中可叠加显示各互动点的视频码流和丢包率。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18.★双流互动功能：互动时听课端设备支持将教学场景及教学课件画面以两路独立HDMI信号分别同时环出显示到两个显示设备中。</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19.★直播管理：支持自定义直播分辨率和码率，最高支持1080P@30fps，以适应不同网络环境下保持直播的流畅性。支持RTMP和RTSP视频传输协议，支持≥3路RTMP同步推流，可从接入的摄像机信号和电脑信号中选择自定义每路推流信号源，实现多流直播。</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20.录像管理：支持对录制视频按标题、主持人、时间、时长进行排序，便于快速检索所需视频。支持对录像文件进行回放和下载。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21.视频修复：支持硬盘格式化功能，支持对设备异常断电、宕机造成的损坏视频文件进行修复。</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22.视频上传：支持与资源平台无缝对接，录播设备通过FTP传输协议将录制视频文件自动上传至资源平台。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23.支持中英文双语版本切换，适合不同用户的应用需求。</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5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高清摄像机教师用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与高清录播主机同一品牌具有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 传感器类型：CMOS、1/2.3英寸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★采用逐行扫描模式，有效像素不低于1600万。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3）★为充分保障视频采集、编辑后的高清效果，图像采集分辨率支持4608*3488；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4)采用了2D和基于运动估计的3D降噪算法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最大水平视场角49°，最大垂直视场角28.2°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网络接口：RJ45，10/100/1000M自适应</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7）视频接口：3G-SDI、网络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8）编码技术：视频H.264/H.265，音频AAC</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支持POC供电、电源适配器供电两种供电方式，根据环境实际情况可灵活选择。</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 ★内置跟踪分析功能，无需辅助跟踪摄像头即可完成对象跟踪捕捉，支持教师全景和特写切换跟踪模式。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11)★整机使用平均无故障运行时间(MTBF)应≥100000小时。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20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高清摄像机学生用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与高清录播主机同一品牌具有</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传感器类型：CMOS、1/2.3英寸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★采用逐行扫描模式，有效像素不低于1600万。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3）★为充分保障视频采集、编辑后的高清效果，图像采集分辨率支持4608*3488；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4)采用了2D和基于运动估计的3D降噪算法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最大水平视场角82.9°，最大垂直视场角52.8°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网络接口：RJ45，10/100/1000M自适应</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7）视频接口：3G-SDI、网络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8）编码技术：视频H.264/H.265，音频AAC</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★支持POC供电、电源适配器供电两种供电方式，根据环境实际情况可灵活选择。</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 ★内置跟踪分析功能，无需辅助跟踪摄像头即可完成对象跟踪捕捉，支持学生全景和特写切换跟踪模式。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11)★整机使用平均无故障运行时间(MTBF)应≥100000小时。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5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高清摄像机管理软件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与高清录播主机同一品牌具有</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摄像机管理软件采用B/S架构，支持通用浏览器直接访问进行管理。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支持网络参数设置与修改，支持一键恢复默认参数。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支持曝光模式设置功能，包括自动、手动。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支持抗闪烁频率、动态范围、光圈、快门参数设置。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支持自动白平衡设置功能，红、蓝增益可调范围0~200。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支持噪声抑制设置功能，支持2D、3D降噪。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支持摄像机图像质量调节功能，包括亮度、对比度、色调、饱和度。</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全向拾音话筒</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与高清录播主机同一品牌具有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1.指向性：超心型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2.频率响应：40Hz—16kHz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3.灵敏度：-29dB±3dB（1dB=1V/Pa at 1kHz）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4.最大声压级：130dB（T.H.D≤1% at 1kHz）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5.信噪比：70dB（1KHz at 1Pa）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6.动态范围：106dB（1kHz at Max SPL）</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7.使用电源：麦克风一线通供电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8.输出接口：RJ45，数字音频接口</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3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录制面板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与高清录播主机同一品牌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 在讲台上镶嵌式安装方式；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控制接口：RS232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信号指示灯：支持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支持一键式系统电源开关控制。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一键式录制、停止、锁定电脑信号；</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★支持本地录播全自动的开启、关闭控制。该功能同时支持录播模式和互动模式。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支持通过面板一键发起与远端设备互动连接；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★支持通过交互控制面板切换互动画面的信号源，并传输到听课室，包括本地摄像机信号、电脑信号、远端课室画面。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★支持对各画面的自由布局控制，包括单画面全屏、双分屏、三分屏、四分屏、画中画，并传输到听课室。</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10)★支持远程“一键静音”功能，主讲端可一键关闭远端互动教室发言，进入主讲授课模式。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蓝牙音箱无线咪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配置参数详见附件5</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312"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机柜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22U机柜。</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558"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线材</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配套录播线材、五金等附件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5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英语VR体验系统</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屏幕分辨率：4K，75Hz刷新率，Fast-Switch快速响应技术，镜片：菲涅尔镜片；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八核处理器，主频2.45GHz，64位，Kryo280 CPU，10nm制程工艺；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视场角101°FOV；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可佩戴眼镜设计，无需视力调节，自适应瞳距，内置“护眼模式”，可在系统设置中开启；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内存容量64GB ROM，4GB RAM ，支持256GB SD卡扩展；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支持802.11b/g/n/ac 2.4G/5G WIFI连接，支持MIMO技术，双频双天线，支持Miracast屏幕投射，支持无线文件传输，支持无线投屏播放视频；手柄支持蓝牙4.2无线连接；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7. 3500mAh电池容量，续航超过3小时，Type-c usb充电及数据传输接口；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兼容3D视频、VR视频、支持Unity、UE；</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内置扬声器，内置麦克风，支持3.5mm音频接口外接耳机；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10.T型佩戴结构，自适应顶部绑带，机身电池后置设计；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11.配有操作手柄，通过一体机自带按键和操作手柄均可实现操控，机身配有返回键、确认键、音量调节键、开关机键，支持音量外放功能，即使不用耳机也能听到一体机里播放的内容声音；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12.资源：不少于50个。每个内容大约3-5分钟，包含情景人物、旅游英语、美食文化、娱乐生活等。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知识窗帘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双道窗帘，里道为优质加厚棉麻布料制作的全遮光帘（包括窗轨），外道为高级无纺布彩色喷绘定制，在窗帘上印制相关知识内容，集教学、观赏为一体的卷帘；含窗帘图文设计与安装，不含窗帘盒。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文化布展设计与安装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内容设计与排版，内容要求满足整体设计要求，材质采用高强度高弗板，贴高清写真画面。含人工。</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项</w:t>
            </w:r>
          </w:p>
        </w:tc>
      </w:tr>
      <w:tr>
        <w:tblPrEx>
          <w:tblCellMar>
            <w:top w:w="0" w:type="dxa"/>
            <w:left w:w="108" w:type="dxa"/>
            <w:bottom w:w="0" w:type="dxa"/>
            <w:right w:w="108" w:type="dxa"/>
          </w:tblCellMar>
        </w:tblPrEx>
        <w:trPr>
          <w:trHeight w:val="10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高密无线AP</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详细参数规格见附件6</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3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空调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1、★3匹不少于3级能效冷暖立柜式空调。★整机10年厂家免费上门质保,具体参数规格详细见附件7.</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2、注：如果没有空调的冷凝水PVC排水管到地面，则需要安装空调冷凝水水管50PVCU到地面排水沟里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二十二、语文学科专用教室清单</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技术参数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941"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讲台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16608" behindDoc="0" locked="0" layoutInCell="1" allowOverlap="1">
                  <wp:simplePos x="0" y="0"/>
                  <wp:positionH relativeFrom="column">
                    <wp:posOffset>162560</wp:posOffset>
                  </wp:positionH>
                  <wp:positionV relativeFrom="paragraph">
                    <wp:posOffset>51435</wp:posOffset>
                  </wp:positionV>
                  <wp:extent cx="521970" cy="520700"/>
                  <wp:effectExtent l="19050" t="0" r="0" b="0"/>
                  <wp:wrapNone/>
                  <wp:docPr id="942" name="图片_970"/>
                  <wp:cNvGraphicFramePr/>
                  <a:graphic xmlns:a="http://schemas.openxmlformats.org/drawingml/2006/main">
                    <a:graphicData uri="http://schemas.openxmlformats.org/drawingml/2006/picture">
                      <pic:pic xmlns:pic="http://schemas.openxmlformats.org/drawingml/2006/picture">
                        <pic:nvPicPr>
                          <pic:cNvPr id="942" name="图片_970"/>
                          <pic:cNvPicPr>
                            <a:picLocks noChangeArrowheads="1"/>
                          </pic:cNvPicPr>
                        </pic:nvPicPr>
                        <pic:blipFill>
                          <a:blip r:embed="rId76"/>
                          <a:srcRect/>
                          <a:stretch>
                            <a:fillRect/>
                          </a:stretch>
                        </pic:blipFill>
                        <pic:spPr>
                          <a:xfrm>
                            <a:off x="0" y="0"/>
                            <a:ext cx="521970" cy="52070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规格：2000*600*750mm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台面：榆木，厚16mm以上，榫卯结构，桌体古色古香，环保油漆。</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1125"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17632" behindDoc="0" locked="0" layoutInCell="1" allowOverlap="1">
                  <wp:simplePos x="0" y="0"/>
                  <wp:positionH relativeFrom="column">
                    <wp:posOffset>156845</wp:posOffset>
                  </wp:positionH>
                  <wp:positionV relativeFrom="paragraph">
                    <wp:posOffset>142875</wp:posOffset>
                  </wp:positionV>
                  <wp:extent cx="508000" cy="573405"/>
                  <wp:effectExtent l="19050" t="0" r="6350" b="0"/>
                  <wp:wrapNone/>
                  <wp:docPr id="941" name="图片_65"/>
                  <wp:cNvGraphicFramePr/>
                  <a:graphic xmlns:a="http://schemas.openxmlformats.org/drawingml/2006/main">
                    <a:graphicData uri="http://schemas.openxmlformats.org/drawingml/2006/picture">
                      <pic:pic xmlns:pic="http://schemas.openxmlformats.org/drawingml/2006/picture">
                        <pic:nvPicPr>
                          <pic:cNvPr id="941" name="图片_65"/>
                          <pic:cNvPicPr>
                            <a:picLocks noChangeArrowheads="1"/>
                          </pic:cNvPicPr>
                        </pic:nvPicPr>
                        <pic:blipFill>
                          <a:blip r:embed="rId77"/>
                          <a:srcRect/>
                          <a:stretch>
                            <a:fillRect/>
                          </a:stretch>
                        </pic:blipFill>
                        <pic:spPr>
                          <a:xfrm>
                            <a:off x="0" y="0"/>
                            <a:ext cx="508000" cy="57340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材质：榆木，结构：高背官帽椅，特点：榫卯结构，牙板雕花，古香古色，表面喷涂环保清漆。</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1552"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复古学生桌</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18656" behindDoc="0" locked="0" layoutInCell="1" allowOverlap="1">
                  <wp:simplePos x="0" y="0"/>
                  <wp:positionH relativeFrom="column">
                    <wp:posOffset>109220</wp:posOffset>
                  </wp:positionH>
                  <wp:positionV relativeFrom="paragraph">
                    <wp:posOffset>164465</wp:posOffset>
                  </wp:positionV>
                  <wp:extent cx="658495" cy="640715"/>
                  <wp:effectExtent l="19050" t="0" r="8255" b="0"/>
                  <wp:wrapNone/>
                  <wp:docPr id="78" name="图片_66"/>
                  <wp:cNvGraphicFramePr/>
                  <a:graphic xmlns:a="http://schemas.openxmlformats.org/drawingml/2006/main">
                    <a:graphicData uri="http://schemas.openxmlformats.org/drawingml/2006/picture">
                      <pic:pic xmlns:pic="http://schemas.openxmlformats.org/drawingml/2006/picture">
                        <pic:nvPicPr>
                          <pic:cNvPr id="78" name="图片_66"/>
                          <pic:cNvPicPr>
                            <a:picLocks noChangeArrowheads="1"/>
                          </pic:cNvPicPr>
                        </pic:nvPicPr>
                        <pic:blipFill>
                          <a:blip r:embed="rId78"/>
                          <a:srcRect/>
                          <a:stretch>
                            <a:fillRect/>
                          </a:stretch>
                        </pic:blipFill>
                        <pic:spPr>
                          <a:xfrm>
                            <a:off x="0" y="0"/>
                            <a:ext cx="658495" cy="64071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材质：南榆木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风格： 明清古典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榫卯结构，雕花、古法油漆，古香古色，表面喷涂环保漆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尺寸：1200*600*780mm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28</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1405"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学生凳</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19680" behindDoc="0" locked="0" layoutInCell="1" allowOverlap="1">
                  <wp:simplePos x="0" y="0"/>
                  <wp:positionH relativeFrom="column">
                    <wp:posOffset>147320</wp:posOffset>
                  </wp:positionH>
                  <wp:positionV relativeFrom="paragraph">
                    <wp:posOffset>139700</wp:posOffset>
                  </wp:positionV>
                  <wp:extent cx="629920" cy="600710"/>
                  <wp:effectExtent l="19050" t="0" r="0" b="0"/>
                  <wp:wrapNone/>
                  <wp:docPr id="79" name="图片_67"/>
                  <wp:cNvGraphicFramePr/>
                  <a:graphic xmlns:a="http://schemas.openxmlformats.org/drawingml/2006/main">
                    <a:graphicData uri="http://schemas.openxmlformats.org/drawingml/2006/picture">
                      <pic:pic xmlns:pic="http://schemas.openxmlformats.org/drawingml/2006/picture">
                        <pic:nvPicPr>
                          <pic:cNvPr id="79" name="图片_67"/>
                          <pic:cNvPicPr>
                            <a:picLocks noChangeArrowheads="1"/>
                          </pic:cNvPicPr>
                        </pic:nvPicPr>
                        <pic:blipFill>
                          <a:blip r:embed="rId79"/>
                          <a:srcRect/>
                          <a:stretch>
                            <a:fillRect/>
                          </a:stretch>
                        </pic:blipFill>
                        <pic:spPr>
                          <a:xfrm>
                            <a:off x="0" y="0"/>
                            <a:ext cx="629920" cy="60071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实木花鼓凳材质：白宫木（非洲金车花梨），特点：榫卯结构，古香古色，表面喷涂环保漆。尺寸：凳面直径300mm，中间直径420mm，高440mm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16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书法桌</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20704" behindDoc="0" locked="0" layoutInCell="1" allowOverlap="1">
                  <wp:simplePos x="0" y="0"/>
                  <wp:positionH relativeFrom="column">
                    <wp:posOffset>54610</wp:posOffset>
                  </wp:positionH>
                  <wp:positionV relativeFrom="paragraph">
                    <wp:posOffset>127000</wp:posOffset>
                  </wp:positionV>
                  <wp:extent cx="708660" cy="559435"/>
                  <wp:effectExtent l="19050" t="0" r="0" b="0"/>
                  <wp:wrapNone/>
                  <wp:docPr id="80" name="图片_68"/>
                  <wp:cNvGraphicFramePr/>
                  <a:graphic xmlns:a="http://schemas.openxmlformats.org/drawingml/2006/main">
                    <a:graphicData uri="http://schemas.openxmlformats.org/drawingml/2006/picture">
                      <pic:pic xmlns:pic="http://schemas.openxmlformats.org/drawingml/2006/picture">
                        <pic:nvPicPr>
                          <pic:cNvPr id="80" name="图片_68"/>
                          <pic:cNvPicPr>
                            <a:picLocks noChangeArrowheads="1"/>
                          </pic:cNvPicPr>
                        </pic:nvPicPr>
                        <pic:blipFill>
                          <a:blip r:embed="rId88"/>
                          <a:srcRect/>
                          <a:stretch>
                            <a:fillRect/>
                          </a:stretch>
                        </pic:blipFill>
                        <pic:spPr>
                          <a:xfrm>
                            <a:off x="0" y="0"/>
                            <a:ext cx="708660" cy="55943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尺寸：1600*750*800mm；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材质：南榆木原木；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风格： 明清古典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榫卯结构，雕花、古法油漆，古香古色，表面喷涂环保漆</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1406"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书法凳</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21728" behindDoc="0" locked="0" layoutInCell="1" allowOverlap="1">
                  <wp:simplePos x="0" y="0"/>
                  <wp:positionH relativeFrom="column">
                    <wp:posOffset>46355</wp:posOffset>
                  </wp:positionH>
                  <wp:positionV relativeFrom="paragraph">
                    <wp:posOffset>159385</wp:posOffset>
                  </wp:positionV>
                  <wp:extent cx="731520" cy="617220"/>
                  <wp:effectExtent l="19050" t="0" r="0" b="0"/>
                  <wp:wrapNone/>
                  <wp:docPr id="81" name="图片_69"/>
                  <wp:cNvGraphicFramePr/>
                  <a:graphic xmlns:a="http://schemas.openxmlformats.org/drawingml/2006/main">
                    <a:graphicData uri="http://schemas.openxmlformats.org/drawingml/2006/picture">
                      <pic:pic xmlns:pic="http://schemas.openxmlformats.org/drawingml/2006/picture">
                        <pic:nvPicPr>
                          <pic:cNvPr id="81" name="图片_69"/>
                          <pic:cNvPicPr>
                            <a:picLocks noChangeArrowheads="1"/>
                          </pic:cNvPicPr>
                        </pic:nvPicPr>
                        <pic:blipFill>
                          <a:blip r:embed="rId89"/>
                          <a:srcRect/>
                          <a:stretch>
                            <a:fillRect/>
                          </a:stretch>
                        </pic:blipFill>
                        <pic:spPr>
                          <a:xfrm>
                            <a:off x="0" y="0"/>
                            <a:ext cx="731520" cy="61722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实木花鼓凳材质：白宫木（非洲金车花梨），特点：榫卯结构，古香古色，表面喷涂环保漆。尺寸：凳面直径300mm，中间直径420mm，高440mm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14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书法案台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22752" behindDoc="0" locked="0" layoutInCell="1" allowOverlap="1">
                  <wp:simplePos x="0" y="0"/>
                  <wp:positionH relativeFrom="column">
                    <wp:posOffset>65405</wp:posOffset>
                  </wp:positionH>
                  <wp:positionV relativeFrom="paragraph">
                    <wp:posOffset>78105</wp:posOffset>
                  </wp:positionV>
                  <wp:extent cx="680085" cy="544830"/>
                  <wp:effectExtent l="19050" t="0" r="5715" b="0"/>
                  <wp:wrapNone/>
                  <wp:docPr id="82" name="图片_70"/>
                  <wp:cNvGraphicFramePr/>
                  <a:graphic xmlns:a="http://schemas.openxmlformats.org/drawingml/2006/main">
                    <a:graphicData uri="http://schemas.openxmlformats.org/drawingml/2006/picture">
                      <pic:pic xmlns:pic="http://schemas.openxmlformats.org/drawingml/2006/picture">
                        <pic:nvPicPr>
                          <pic:cNvPr id="82" name="图片_70"/>
                          <pic:cNvPicPr>
                            <a:picLocks noChangeArrowheads="1"/>
                          </pic:cNvPicPr>
                        </pic:nvPicPr>
                        <pic:blipFill>
                          <a:blip r:embed="rId90"/>
                          <a:srcRect/>
                          <a:stretch>
                            <a:fillRect/>
                          </a:stretch>
                        </pic:blipFill>
                        <pic:spPr>
                          <a:xfrm>
                            <a:off x="0" y="0"/>
                            <a:ext cx="680085" cy="54483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尺寸：2000*1000*800mm；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材质：南榆木原木；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风格： 明清古典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榫卯结构，雕花、古法油漆，古香古色，表面喷涂环保漆</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405"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博古架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23776" behindDoc="0" locked="0" layoutInCell="1" allowOverlap="1">
                  <wp:simplePos x="0" y="0"/>
                  <wp:positionH relativeFrom="column">
                    <wp:posOffset>79375</wp:posOffset>
                  </wp:positionH>
                  <wp:positionV relativeFrom="paragraph">
                    <wp:posOffset>224790</wp:posOffset>
                  </wp:positionV>
                  <wp:extent cx="591820" cy="541655"/>
                  <wp:effectExtent l="19050" t="0" r="0" b="0"/>
                  <wp:wrapNone/>
                  <wp:docPr id="83" name="图片_71"/>
                  <wp:cNvGraphicFramePr/>
                  <a:graphic xmlns:a="http://schemas.openxmlformats.org/drawingml/2006/main">
                    <a:graphicData uri="http://schemas.openxmlformats.org/drawingml/2006/picture">
                      <pic:pic xmlns:pic="http://schemas.openxmlformats.org/drawingml/2006/picture">
                        <pic:nvPicPr>
                          <pic:cNvPr id="83" name="图片_71"/>
                          <pic:cNvPicPr>
                            <a:picLocks noChangeArrowheads="1"/>
                          </pic:cNvPicPr>
                        </pic:nvPicPr>
                        <pic:blipFill>
                          <a:blip r:embed="rId80"/>
                          <a:srcRect/>
                          <a:stretch>
                            <a:fillRect/>
                          </a:stretch>
                        </pic:blipFill>
                        <pic:spPr>
                          <a:xfrm>
                            <a:off x="0" y="0"/>
                            <a:ext cx="591820" cy="54165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 xml:space="preserve">1.材质：框架非洲菠萝格,其他全实木；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2.榫卯结构、雕花、镂空、古法油漆；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3.具体见图片；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4.尺寸：1300*380*1960mm</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955"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青铜器浇筑演示系统</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教学功能：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开启风箱电机及加热装置，加入适量的石蜡，石蜡融化后打开槽沟塞子，液态石蜡流淌至模范里，待石蜡冷却凝固就形成相应的青铜器模型；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该模型通过“鼓风设备”、“竖炉”、“浇铸模范”三个部分的动态演示及背景板彩绘图的静态观察，描述商周时期的青铜铸造场景及工艺，旨在加深学生对青铜文化的印象，了解文物背后的生产，拓展知识的纬度，学生可以了解古代青铜器的铸造过程和工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产品结构：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1、钣金结构，产品尺寸：430*270*320mm（允许误差±3mm），主要有背景板和演示区组成；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2、背景板用以彩绘图的方式展示古代青铜的铸造工艺；展示选矿、初炼、提炼、配比、制模、翻范、浇注铸造工艺流程；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3、演示区主要包含：竖炉、鼓风设备、模范、槽沟、石蜡等；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4、支持可变档加热，根据室温旋转加热档位开关进行加热，加热档位为0~60W；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鼓风设备支持电机电动演示推拉，形象演示古代劳动人民推拉风箱的工作流程；</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66"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历史农耕文化实验套装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春秋战国时期，世界上先进的耕作方法——垄作法（畎亩制）已使用。西汉时，赵过总结劳动人民的生产经验，推行代田法，这种方法比当时普遍采用的撒播方法先进。到魏晋南北朝时期，北方旱地的耕耙耱技术形成，南方水田也采用耕耙技术。本模型产品演示功能在介绍垄作法、代田法、魏晋之后的北方与南方耕种法这三种类型的场景及工具。其中：</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1、垄作法为展示模型，重在描述其结构与特征，主要讲解井田制下农田的沟洫排水特征和垄土之后的畎亩特征，包含耦耕的耒耜；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2、代田法为展示模型，重在描述其结构与特征。由于代田法的长宽比较为悬殊，在此模型中仅做部分展示。包含耦犁和耧车；</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3、魏晋南北朝之后的北方与南方农田为互动模型，重在演示各种农具的使用与特点。北方与南方的场景合二为一，为一整个通用沙盘。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★4.互动演示区可以演示直辕犁与曲辕犁的农耕受力的情况，通过受力秤直接读数两种历史农具的省力情况。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配备要求：历史农耕与农具演示产品一套（演示地形板一件、包装各人物演示模型一套、小农具演示模型一套、直辕犁、曲辕犁互动演示模型及配重件一套、机械秤、不干沙一包）；外包装一套。</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0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教师用具</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7" name="图片_83"/>
                  <wp:cNvGraphicFramePr/>
                  <a:graphic xmlns:a="http://schemas.openxmlformats.org/drawingml/2006/main">
                    <a:graphicData uri="http://schemas.openxmlformats.org/drawingml/2006/picture">
                      <pic:pic xmlns:pic="http://schemas.openxmlformats.org/drawingml/2006/picture">
                        <pic:nvPicPr>
                          <pic:cNvPr id="77" name="图片_8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4" name="图片_147"/>
                  <wp:cNvGraphicFramePr/>
                  <a:graphic xmlns:a="http://schemas.openxmlformats.org/drawingml/2006/main">
                    <a:graphicData uri="http://schemas.openxmlformats.org/drawingml/2006/picture">
                      <pic:pic xmlns:pic="http://schemas.openxmlformats.org/drawingml/2006/picture">
                        <pic:nvPicPr>
                          <pic:cNvPr id="84" name="图片_14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5" name="图片_275"/>
                  <wp:cNvGraphicFramePr/>
                  <a:graphic xmlns:a="http://schemas.openxmlformats.org/drawingml/2006/main">
                    <a:graphicData uri="http://schemas.openxmlformats.org/drawingml/2006/picture">
                      <pic:pic xmlns:pic="http://schemas.openxmlformats.org/drawingml/2006/picture">
                        <pic:nvPicPr>
                          <pic:cNvPr id="85" name="图片_27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6" name="图片_531"/>
                  <wp:cNvGraphicFramePr/>
                  <a:graphic xmlns:a="http://schemas.openxmlformats.org/drawingml/2006/main">
                    <a:graphicData uri="http://schemas.openxmlformats.org/drawingml/2006/picture">
                      <pic:pic xmlns:pic="http://schemas.openxmlformats.org/drawingml/2006/picture">
                        <pic:nvPicPr>
                          <pic:cNvPr id="86" name="图片_53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7" name="图片_530"/>
                  <wp:cNvGraphicFramePr/>
                  <a:graphic xmlns:a="http://schemas.openxmlformats.org/drawingml/2006/main">
                    <a:graphicData uri="http://schemas.openxmlformats.org/drawingml/2006/picture">
                      <pic:pic xmlns:pic="http://schemas.openxmlformats.org/drawingml/2006/picture">
                        <pic:nvPicPr>
                          <pic:cNvPr id="87" name="图片_53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8" name="图片_911"/>
                  <wp:cNvGraphicFramePr/>
                  <a:graphic xmlns:a="http://schemas.openxmlformats.org/drawingml/2006/main">
                    <a:graphicData uri="http://schemas.openxmlformats.org/drawingml/2006/picture">
                      <pic:pic xmlns:pic="http://schemas.openxmlformats.org/drawingml/2006/picture">
                        <pic:nvPicPr>
                          <pic:cNvPr id="88" name="图片_91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9" name="图片_903"/>
                  <wp:cNvGraphicFramePr/>
                  <a:graphic xmlns:a="http://schemas.openxmlformats.org/drawingml/2006/main">
                    <a:graphicData uri="http://schemas.openxmlformats.org/drawingml/2006/picture">
                      <pic:pic xmlns:pic="http://schemas.openxmlformats.org/drawingml/2006/picture">
                        <pic:nvPicPr>
                          <pic:cNvPr id="89" name="图片_90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0" name="图片_902"/>
                  <wp:cNvGraphicFramePr/>
                  <a:graphic xmlns:a="http://schemas.openxmlformats.org/drawingml/2006/main">
                    <a:graphicData uri="http://schemas.openxmlformats.org/drawingml/2006/picture">
                      <pic:pic xmlns:pic="http://schemas.openxmlformats.org/drawingml/2006/picture">
                        <pic:nvPicPr>
                          <pic:cNvPr id="90" name="图片_90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1" name="图片_901"/>
                  <wp:cNvGraphicFramePr/>
                  <a:graphic xmlns:a="http://schemas.openxmlformats.org/drawingml/2006/main">
                    <a:graphicData uri="http://schemas.openxmlformats.org/drawingml/2006/picture">
                      <pic:pic xmlns:pic="http://schemas.openxmlformats.org/drawingml/2006/picture">
                        <pic:nvPicPr>
                          <pic:cNvPr id="91" name="图片_90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2" name="图片_900"/>
                  <wp:cNvGraphicFramePr/>
                  <a:graphic xmlns:a="http://schemas.openxmlformats.org/drawingml/2006/main">
                    <a:graphicData uri="http://schemas.openxmlformats.org/drawingml/2006/picture">
                      <pic:pic xmlns:pic="http://schemas.openxmlformats.org/drawingml/2006/picture">
                        <pic:nvPicPr>
                          <pic:cNvPr id="92" name="图片_90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3" name="图片_899"/>
                  <wp:cNvGraphicFramePr/>
                  <a:graphic xmlns:a="http://schemas.openxmlformats.org/drawingml/2006/main">
                    <a:graphicData uri="http://schemas.openxmlformats.org/drawingml/2006/picture">
                      <pic:pic xmlns:pic="http://schemas.openxmlformats.org/drawingml/2006/picture">
                        <pic:nvPicPr>
                          <pic:cNvPr id="93" name="图片_89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6" name="图片_898"/>
                  <wp:cNvGraphicFramePr/>
                  <a:graphic xmlns:a="http://schemas.openxmlformats.org/drawingml/2006/main">
                    <a:graphicData uri="http://schemas.openxmlformats.org/drawingml/2006/picture">
                      <pic:pic xmlns:pic="http://schemas.openxmlformats.org/drawingml/2006/picture">
                        <pic:nvPicPr>
                          <pic:cNvPr id="76" name="图片_89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5" name="图片_897"/>
                  <wp:cNvGraphicFramePr/>
                  <a:graphic xmlns:a="http://schemas.openxmlformats.org/drawingml/2006/main">
                    <a:graphicData uri="http://schemas.openxmlformats.org/drawingml/2006/picture">
                      <pic:pic xmlns:pic="http://schemas.openxmlformats.org/drawingml/2006/picture">
                        <pic:nvPicPr>
                          <pic:cNvPr id="75" name="图片_89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4" name="图片_896"/>
                  <wp:cNvGraphicFramePr/>
                  <a:graphic xmlns:a="http://schemas.openxmlformats.org/drawingml/2006/main">
                    <a:graphicData uri="http://schemas.openxmlformats.org/drawingml/2006/picture">
                      <pic:pic xmlns:pic="http://schemas.openxmlformats.org/drawingml/2006/picture">
                        <pic:nvPicPr>
                          <pic:cNvPr id="74" name="图片_89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3" name="图片_895"/>
                  <wp:cNvGraphicFramePr/>
                  <a:graphic xmlns:a="http://schemas.openxmlformats.org/drawingml/2006/main">
                    <a:graphicData uri="http://schemas.openxmlformats.org/drawingml/2006/picture">
                      <pic:pic xmlns:pic="http://schemas.openxmlformats.org/drawingml/2006/picture">
                        <pic:nvPicPr>
                          <pic:cNvPr id="73" name="图片_89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2" name="图片_894"/>
                  <wp:cNvGraphicFramePr/>
                  <a:graphic xmlns:a="http://schemas.openxmlformats.org/drawingml/2006/main">
                    <a:graphicData uri="http://schemas.openxmlformats.org/drawingml/2006/picture">
                      <pic:pic xmlns:pic="http://schemas.openxmlformats.org/drawingml/2006/picture">
                        <pic:nvPicPr>
                          <pic:cNvPr id="72" name="图片_89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1" name="图片_893"/>
                  <wp:cNvGraphicFramePr/>
                  <a:graphic xmlns:a="http://schemas.openxmlformats.org/drawingml/2006/main">
                    <a:graphicData uri="http://schemas.openxmlformats.org/drawingml/2006/picture">
                      <pic:pic xmlns:pic="http://schemas.openxmlformats.org/drawingml/2006/picture">
                        <pic:nvPicPr>
                          <pic:cNvPr id="71" name="图片_89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0" name="图片_892"/>
                  <wp:cNvGraphicFramePr/>
                  <a:graphic xmlns:a="http://schemas.openxmlformats.org/drawingml/2006/main">
                    <a:graphicData uri="http://schemas.openxmlformats.org/drawingml/2006/picture">
                      <pic:pic xmlns:pic="http://schemas.openxmlformats.org/drawingml/2006/picture">
                        <pic:nvPicPr>
                          <pic:cNvPr id="70" name="图片_89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9" name="图片_891"/>
                  <wp:cNvGraphicFramePr/>
                  <a:graphic xmlns:a="http://schemas.openxmlformats.org/drawingml/2006/main">
                    <a:graphicData uri="http://schemas.openxmlformats.org/drawingml/2006/picture">
                      <pic:pic xmlns:pic="http://schemas.openxmlformats.org/drawingml/2006/picture">
                        <pic:nvPicPr>
                          <pic:cNvPr id="69" name="图片_89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8" name="图片_890"/>
                  <wp:cNvGraphicFramePr/>
                  <a:graphic xmlns:a="http://schemas.openxmlformats.org/drawingml/2006/main">
                    <a:graphicData uri="http://schemas.openxmlformats.org/drawingml/2006/picture">
                      <pic:pic xmlns:pic="http://schemas.openxmlformats.org/drawingml/2006/picture">
                        <pic:nvPicPr>
                          <pic:cNvPr id="68" name="图片_89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4" name="图片_889"/>
                  <wp:cNvGraphicFramePr/>
                  <a:graphic xmlns:a="http://schemas.openxmlformats.org/drawingml/2006/main">
                    <a:graphicData uri="http://schemas.openxmlformats.org/drawingml/2006/picture">
                      <pic:pic xmlns:pic="http://schemas.openxmlformats.org/drawingml/2006/picture">
                        <pic:nvPicPr>
                          <pic:cNvPr id="94" name="图片_88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5" name="图片_888"/>
                  <wp:cNvGraphicFramePr/>
                  <a:graphic xmlns:a="http://schemas.openxmlformats.org/drawingml/2006/main">
                    <a:graphicData uri="http://schemas.openxmlformats.org/drawingml/2006/picture">
                      <pic:pic xmlns:pic="http://schemas.openxmlformats.org/drawingml/2006/picture">
                        <pic:nvPicPr>
                          <pic:cNvPr id="95" name="图片_88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6" name="图片_887"/>
                  <wp:cNvGraphicFramePr/>
                  <a:graphic xmlns:a="http://schemas.openxmlformats.org/drawingml/2006/main">
                    <a:graphicData uri="http://schemas.openxmlformats.org/drawingml/2006/picture">
                      <pic:pic xmlns:pic="http://schemas.openxmlformats.org/drawingml/2006/picture">
                        <pic:nvPicPr>
                          <pic:cNvPr id="96" name="图片_88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7" name="图片_886"/>
                  <wp:cNvGraphicFramePr/>
                  <a:graphic xmlns:a="http://schemas.openxmlformats.org/drawingml/2006/main">
                    <a:graphicData uri="http://schemas.openxmlformats.org/drawingml/2006/picture">
                      <pic:pic xmlns:pic="http://schemas.openxmlformats.org/drawingml/2006/picture">
                        <pic:nvPicPr>
                          <pic:cNvPr id="97" name="图片_88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8" name="图片_885"/>
                  <wp:cNvGraphicFramePr/>
                  <a:graphic xmlns:a="http://schemas.openxmlformats.org/drawingml/2006/main">
                    <a:graphicData uri="http://schemas.openxmlformats.org/drawingml/2006/picture">
                      <pic:pic xmlns:pic="http://schemas.openxmlformats.org/drawingml/2006/picture">
                        <pic:nvPicPr>
                          <pic:cNvPr id="98" name="图片_88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9" name="图片_884"/>
                  <wp:cNvGraphicFramePr/>
                  <a:graphic xmlns:a="http://schemas.openxmlformats.org/drawingml/2006/main">
                    <a:graphicData uri="http://schemas.openxmlformats.org/drawingml/2006/picture">
                      <pic:pic xmlns:pic="http://schemas.openxmlformats.org/drawingml/2006/picture">
                        <pic:nvPicPr>
                          <pic:cNvPr id="99" name="图片_88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00" name="图片_274"/>
                  <wp:cNvGraphicFramePr/>
                  <a:graphic xmlns:a="http://schemas.openxmlformats.org/drawingml/2006/main">
                    <a:graphicData uri="http://schemas.openxmlformats.org/drawingml/2006/picture">
                      <pic:pic xmlns:pic="http://schemas.openxmlformats.org/drawingml/2006/picture">
                        <pic:nvPicPr>
                          <pic:cNvPr id="100" name="图片_27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01" name="图片_529"/>
                  <wp:cNvGraphicFramePr/>
                  <a:graphic xmlns:a="http://schemas.openxmlformats.org/drawingml/2006/main">
                    <a:graphicData uri="http://schemas.openxmlformats.org/drawingml/2006/picture">
                      <pic:pic xmlns:pic="http://schemas.openxmlformats.org/drawingml/2006/picture">
                        <pic:nvPicPr>
                          <pic:cNvPr id="101" name="图片_52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02" name="图片_882"/>
                  <wp:cNvGraphicFramePr/>
                  <a:graphic xmlns:a="http://schemas.openxmlformats.org/drawingml/2006/main">
                    <a:graphicData uri="http://schemas.openxmlformats.org/drawingml/2006/picture">
                      <pic:pic xmlns:pic="http://schemas.openxmlformats.org/drawingml/2006/picture">
                        <pic:nvPicPr>
                          <pic:cNvPr id="102" name="图片_88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03" name="图片_881"/>
                  <wp:cNvGraphicFramePr/>
                  <a:graphic xmlns:a="http://schemas.openxmlformats.org/drawingml/2006/main">
                    <a:graphicData uri="http://schemas.openxmlformats.org/drawingml/2006/picture">
                      <pic:pic xmlns:pic="http://schemas.openxmlformats.org/drawingml/2006/picture">
                        <pic:nvPicPr>
                          <pic:cNvPr id="103" name="图片_88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04" name="图片_880"/>
                  <wp:cNvGraphicFramePr/>
                  <a:graphic xmlns:a="http://schemas.openxmlformats.org/drawingml/2006/main">
                    <a:graphicData uri="http://schemas.openxmlformats.org/drawingml/2006/picture">
                      <pic:pic xmlns:pic="http://schemas.openxmlformats.org/drawingml/2006/picture">
                        <pic:nvPicPr>
                          <pic:cNvPr id="104" name="图片_88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05" name="图片_879"/>
                  <wp:cNvGraphicFramePr/>
                  <a:graphic xmlns:a="http://schemas.openxmlformats.org/drawingml/2006/main">
                    <a:graphicData uri="http://schemas.openxmlformats.org/drawingml/2006/picture">
                      <pic:pic xmlns:pic="http://schemas.openxmlformats.org/drawingml/2006/picture">
                        <pic:nvPicPr>
                          <pic:cNvPr id="105" name="图片_87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06" name="图片_878"/>
                  <wp:cNvGraphicFramePr/>
                  <a:graphic xmlns:a="http://schemas.openxmlformats.org/drawingml/2006/main">
                    <a:graphicData uri="http://schemas.openxmlformats.org/drawingml/2006/picture">
                      <pic:pic xmlns:pic="http://schemas.openxmlformats.org/drawingml/2006/picture">
                        <pic:nvPicPr>
                          <pic:cNvPr id="106" name="图片_87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07" name="图片_877"/>
                  <wp:cNvGraphicFramePr/>
                  <a:graphic xmlns:a="http://schemas.openxmlformats.org/drawingml/2006/main">
                    <a:graphicData uri="http://schemas.openxmlformats.org/drawingml/2006/picture">
                      <pic:pic xmlns:pic="http://schemas.openxmlformats.org/drawingml/2006/picture">
                        <pic:nvPicPr>
                          <pic:cNvPr id="107" name="图片_87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08" name="图片_876"/>
                  <wp:cNvGraphicFramePr/>
                  <a:graphic xmlns:a="http://schemas.openxmlformats.org/drawingml/2006/main">
                    <a:graphicData uri="http://schemas.openxmlformats.org/drawingml/2006/picture">
                      <pic:pic xmlns:pic="http://schemas.openxmlformats.org/drawingml/2006/picture">
                        <pic:nvPicPr>
                          <pic:cNvPr id="108" name="图片_87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09" name="图片_875"/>
                  <wp:cNvGraphicFramePr/>
                  <a:graphic xmlns:a="http://schemas.openxmlformats.org/drawingml/2006/main">
                    <a:graphicData uri="http://schemas.openxmlformats.org/drawingml/2006/picture">
                      <pic:pic xmlns:pic="http://schemas.openxmlformats.org/drawingml/2006/picture">
                        <pic:nvPicPr>
                          <pic:cNvPr id="109" name="图片_87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10" name="图片_874"/>
                  <wp:cNvGraphicFramePr/>
                  <a:graphic xmlns:a="http://schemas.openxmlformats.org/drawingml/2006/main">
                    <a:graphicData uri="http://schemas.openxmlformats.org/drawingml/2006/picture">
                      <pic:pic xmlns:pic="http://schemas.openxmlformats.org/drawingml/2006/picture">
                        <pic:nvPicPr>
                          <pic:cNvPr id="110" name="图片_87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11" name="图片_873"/>
                  <wp:cNvGraphicFramePr/>
                  <a:graphic xmlns:a="http://schemas.openxmlformats.org/drawingml/2006/main">
                    <a:graphicData uri="http://schemas.openxmlformats.org/drawingml/2006/picture">
                      <pic:pic xmlns:pic="http://schemas.openxmlformats.org/drawingml/2006/picture">
                        <pic:nvPicPr>
                          <pic:cNvPr id="111" name="图片_87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12" name="图片_872"/>
                  <wp:cNvGraphicFramePr/>
                  <a:graphic xmlns:a="http://schemas.openxmlformats.org/drawingml/2006/main">
                    <a:graphicData uri="http://schemas.openxmlformats.org/drawingml/2006/picture">
                      <pic:pic xmlns:pic="http://schemas.openxmlformats.org/drawingml/2006/picture">
                        <pic:nvPicPr>
                          <pic:cNvPr id="112" name="图片_87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13" name="图片_871"/>
                  <wp:cNvGraphicFramePr/>
                  <a:graphic xmlns:a="http://schemas.openxmlformats.org/drawingml/2006/main">
                    <a:graphicData uri="http://schemas.openxmlformats.org/drawingml/2006/picture">
                      <pic:pic xmlns:pic="http://schemas.openxmlformats.org/drawingml/2006/picture">
                        <pic:nvPicPr>
                          <pic:cNvPr id="113" name="图片_87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14" name="图片_870"/>
                  <wp:cNvGraphicFramePr/>
                  <a:graphic xmlns:a="http://schemas.openxmlformats.org/drawingml/2006/main">
                    <a:graphicData uri="http://schemas.openxmlformats.org/drawingml/2006/picture">
                      <pic:pic xmlns:pic="http://schemas.openxmlformats.org/drawingml/2006/picture">
                        <pic:nvPicPr>
                          <pic:cNvPr id="114" name="图片_87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15" name="图片_869"/>
                  <wp:cNvGraphicFramePr/>
                  <a:graphic xmlns:a="http://schemas.openxmlformats.org/drawingml/2006/main">
                    <a:graphicData uri="http://schemas.openxmlformats.org/drawingml/2006/picture">
                      <pic:pic xmlns:pic="http://schemas.openxmlformats.org/drawingml/2006/picture">
                        <pic:nvPicPr>
                          <pic:cNvPr id="115" name="图片_86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16" name="图片_868"/>
                  <wp:cNvGraphicFramePr/>
                  <a:graphic xmlns:a="http://schemas.openxmlformats.org/drawingml/2006/main">
                    <a:graphicData uri="http://schemas.openxmlformats.org/drawingml/2006/picture">
                      <pic:pic xmlns:pic="http://schemas.openxmlformats.org/drawingml/2006/picture">
                        <pic:nvPicPr>
                          <pic:cNvPr id="116" name="图片_86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17" name="图片_867"/>
                  <wp:cNvGraphicFramePr/>
                  <a:graphic xmlns:a="http://schemas.openxmlformats.org/drawingml/2006/main">
                    <a:graphicData uri="http://schemas.openxmlformats.org/drawingml/2006/picture">
                      <pic:pic xmlns:pic="http://schemas.openxmlformats.org/drawingml/2006/picture">
                        <pic:nvPicPr>
                          <pic:cNvPr id="117" name="图片_86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18" name="图片_866"/>
                  <wp:cNvGraphicFramePr/>
                  <a:graphic xmlns:a="http://schemas.openxmlformats.org/drawingml/2006/main">
                    <a:graphicData uri="http://schemas.openxmlformats.org/drawingml/2006/picture">
                      <pic:pic xmlns:pic="http://schemas.openxmlformats.org/drawingml/2006/picture">
                        <pic:nvPicPr>
                          <pic:cNvPr id="118" name="图片_86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19" name="图片_865"/>
                  <wp:cNvGraphicFramePr/>
                  <a:graphic xmlns:a="http://schemas.openxmlformats.org/drawingml/2006/main">
                    <a:graphicData uri="http://schemas.openxmlformats.org/drawingml/2006/picture">
                      <pic:pic xmlns:pic="http://schemas.openxmlformats.org/drawingml/2006/picture">
                        <pic:nvPicPr>
                          <pic:cNvPr id="119" name="图片_86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20" name="图片_864"/>
                  <wp:cNvGraphicFramePr/>
                  <a:graphic xmlns:a="http://schemas.openxmlformats.org/drawingml/2006/main">
                    <a:graphicData uri="http://schemas.openxmlformats.org/drawingml/2006/picture">
                      <pic:pic xmlns:pic="http://schemas.openxmlformats.org/drawingml/2006/picture">
                        <pic:nvPicPr>
                          <pic:cNvPr id="120" name="图片_86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21" name="图片_863"/>
                  <wp:cNvGraphicFramePr/>
                  <a:graphic xmlns:a="http://schemas.openxmlformats.org/drawingml/2006/main">
                    <a:graphicData uri="http://schemas.openxmlformats.org/drawingml/2006/picture">
                      <pic:pic xmlns:pic="http://schemas.openxmlformats.org/drawingml/2006/picture">
                        <pic:nvPicPr>
                          <pic:cNvPr id="121" name="图片_86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22" name="图片_862"/>
                  <wp:cNvGraphicFramePr/>
                  <a:graphic xmlns:a="http://schemas.openxmlformats.org/drawingml/2006/main">
                    <a:graphicData uri="http://schemas.openxmlformats.org/drawingml/2006/picture">
                      <pic:pic xmlns:pic="http://schemas.openxmlformats.org/drawingml/2006/picture">
                        <pic:nvPicPr>
                          <pic:cNvPr id="122" name="图片_86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23" name="图片_861"/>
                  <wp:cNvGraphicFramePr/>
                  <a:graphic xmlns:a="http://schemas.openxmlformats.org/drawingml/2006/main">
                    <a:graphicData uri="http://schemas.openxmlformats.org/drawingml/2006/picture">
                      <pic:pic xmlns:pic="http://schemas.openxmlformats.org/drawingml/2006/picture">
                        <pic:nvPicPr>
                          <pic:cNvPr id="123" name="图片_86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24" name="图片_860"/>
                  <wp:cNvGraphicFramePr/>
                  <a:graphic xmlns:a="http://schemas.openxmlformats.org/drawingml/2006/main">
                    <a:graphicData uri="http://schemas.openxmlformats.org/drawingml/2006/picture">
                      <pic:pic xmlns:pic="http://schemas.openxmlformats.org/drawingml/2006/picture">
                        <pic:nvPicPr>
                          <pic:cNvPr id="124" name="图片_86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25" name="图片_859"/>
                  <wp:cNvGraphicFramePr/>
                  <a:graphic xmlns:a="http://schemas.openxmlformats.org/drawingml/2006/main">
                    <a:graphicData uri="http://schemas.openxmlformats.org/drawingml/2006/picture">
                      <pic:pic xmlns:pic="http://schemas.openxmlformats.org/drawingml/2006/picture">
                        <pic:nvPicPr>
                          <pic:cNvPr id="125" name="图片_85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26" name="图片_858"/>
                  <wp:cNvGraphicFramePr/>
                  <a:graphic xmlns:a="http://schemas.openxmlformats.org/drawingml/2006/main">
                    <a:graphicData uri="http://schemas.openxmlformats.org/drawingml/2006/picture">
                      <pic:pic xmlns:pic="http://schemas.openxmlformats.org/drawingml/2006/picture">
                        <pic:nvPicPr>
                          <pic:cNvPr id="126" name="图片_85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27" name="图片_857"/>
                  <wp:cNvGraphicFramePr/>
                  <a:graphic xmlns:a="http://schemas.openxmlformats.org/drawingml/2006/main">
                    <a:graphicData uri="http://schemas.openxmlformats.org/drawingml/2006/picture">
                      <pic:pic xmlns:pic="http://schemas.openxmlformats.org/drawingml/2006/picture">
                        <pic:nvPicPr>
                          <pic:cNvPr id="127" name="图片_85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28" name="图片_856"/>
                  <wp:cNvGraphicFramePr/>
                  <a:graphic xmlns:a="http://schemas.openxmlformats.org/drawingml/2006/main">
                    <a:graphicData uri="http://schemas.openxmlformats.org/drawingml/2006/picture">
                      <pic:pic xmlns:pic="http://schemas.openxmlformats.org/drawingml/2006/picture">
                        <pic:nvPicPr>
                          <pic:cNvPr id="128" name="图片_85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29" name="图片_855"/>
                  <wp:cNvGraphicFramePr/>
                  <a:graphic xmlns:a="http://schemas.openxmlformats.org/drawingml/2006/main">
                    <a:graphicData uri="http://schemas.openxmlformats.org/drawingml/2006/picture">
                      <pic:pic xmlns:pic="http://schemas.openxmlformats.org/drawingml/2006/picture">
                        <pic:nvPicPr>
                          <pic:cNvPr id="129" name="图片_85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30" name="图片_854"/>
                  <wp:cNvGraphicFramePr/>
                  <a:graphic xmlns:a="http://schemas.openxmlformats.org/drawingml/2006/main">
                    <a:graphicData uri="http://schemas.openxmlformats.org/drawingml/2006/picture">
                      <pic:pic xmlns:pic="http://schemas.openxmlformats.org/drawingml/2006/picture">
                        <pic:nvPicPr>
                          <pic:cNvPr id="130" name="图片_85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31" name="图片_853"/>
                  <wp:cNvGraphicFramePr/>
                  <a:graphic xmlns:a="http://schemas.openxmlformats.org/drawingml/2006/main">
                    <a:graphicData uri="http://schemas.openxmlformats.org/drawingml/2006/picture">
                      <pic:pic xmlns:pic="http://schemas.openxmlformats.org/drawingml/2006/picture">
                        <pic:nvPicPr>
                          <pic:cNvPr id="131" name="图片_85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32" name="图片_852"/>
                  <wp:cNvGraphicFramePr/>
                  <a:graphic xmlns:a="http://schemas.openxmlformats.org/drawingml/2006/main">
                    <a:graphicData uri="http://schemas.openxmlformats.org/drawingml/2006/picture">
                      <pic:pic xmlns:pic="http://schemas.openxmlformats.org/drawingml/2006/picture">
                        <pic:nvPicPr>
                          <pic:cNvPr id="132" name="图片_85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33" name="图片_905"/>
                  <wp:cNvGraphicFramePr/>
                  <a:graphic xmlns:a="http://schemas.openxmlformats.org/drawingml/2006/main">
                    <a:graphicData uri="http://schemas.openxmlformats.org/drawingml/2006/picture">
                      <pic:pic xmlns:pic="http://schemas.openxmlformats.org/drawingml/2006/picture">
                        <pic:nvPicPr>
                          <pic:cNvPr id="133" name="图片_90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34" name="图片_850"/>
                  <wp:cNvGraphicFramePr/>
                  <a:graphic xmlns:a="http://schemas.openxmlformats.org/drawingml/2006/main">
                    <a:graphicData uri="http://schemas.openxmlformats.org/drawingml/2006/picture">
                      <pic:pic xmlns:pic="http://schemas.openxmlformats.org/drawingml/2006/picture">
                        <pic:nvPicPr>
                          <pic:cNvPr id="134" name="图片_85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35" name="图片_849"/>
                  <wp:cNvGraphicFramePr/>
                  <a:graphic xmlns:a="http://schemas.openxmlformats.org/drawingml/2006/main">
                    <a:graphicData uri="http://schemas.openxmlformats.org/drawingml/2006/picture">
                      <pic:pic xmlns:pic="http://schemas.openxmlformats.org/drawingml/2006/picture">
                        <pic:nvPicPr>
                          <pic:cNvPr id="135" name="图片_84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36" name="图片_848"/>
                  <wp:cNvGraphicFramePr/>
                  <a:graphic xmlns:a="http://schemas.openxmlformats.org/drawingml/2006/main">
                    <a:graphicData uri="http://schemas.openxmlformats.org/drawingml/2006/picture">
                      <pic:pic xmlns:pic="http://schemas.openxmlformats.org/drawingml/2006/picture">
                        <pic:nvPicPr>
                          <pic:cNvPr id="136" name="图片_84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37" name="图片_847"/>
                  <wp:cNvGraphicFramePr/>
                  <a:graphic xmlns:a="http://schemas.openxmlformats.org/drawingml/2006/main">
                    <a:graphicData uri="http://schemas.openxmlformats.org/drawingml/2006/picture">
                      <pic:pic xmlns:pic="http://schemas.openxmlformats.org/drawingml/2006/picture">
                        <pic:nvPicPr>
                          <pic:cNvPr id="137" name="图片_84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38" name="图片_846"/>
                  <wp:cNvGraphicFramePr/>
                  <a:graphic xmlns:a="http://schemas.openxmlformats.org/drawingml/2006/main">
                    <a:graphicData uri="http://schemas.openxmlformats.org/drawingml/2006/picture">
                      <pic:pic xmlns:pic="http://schemas.openxmlformats.org/drawingml/2006/picture">
                        <pic:nvPicPr>
                          <pic:cNvPr id="138" name="图片_84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39" name="图片_845"/>
                  <wp:cNvGraphicFramePr/>
                  <a:graphic xmlns:a="http://schemas.openxmlformats.org/drawingml/2006/main">
                    <a:graphicData uri="http://schemas.openxmlformats.org/drawingml/2006/picture">
                      <pic:pic xmlns:pic="http://schemas.openxmlformats.org/drawingml/2006/picture">
                        <pic:nvPicPr>
                          <pic:cNvPr id="139" name="图片_84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923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40" name="图片_844"/>
                  <wp:cNvGraphicFramePr/>
                  <a:graphic xmlns:a="http://schemas.openxmlformats.org/drawingml/2006/main">
                    <a:graphicData uri="http://schemas.openxmlformats.org/drawingml/2006/picture">
                      <pic:pic xmlns:pic="http://schemas.openxmlformats.org/drawingml/2006/picture">
                        <pic:nvPicPr>
                          <pic:cNvPr id="140" name="图片_84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41" name="图片_843"/>
                  <wp:cNvGraphicFramePr/>
                  <a:graphic xmlns:a="http://schemas.openxmlformats.org/drawingml/2006/main">
                    <a:graphicData uri="http://schemas.openxmlformats.org/drawingml/2006/picture">
                      <pic:pic xmlns:pic="http://schemas.openxmlformats.org/drawingml/2006/picture">
                        <pic:nvPicPr>
                          <pic:cNvPr id="141" name="图片_84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42" name="图片_842"/>
                  <wp:cNvGraphicFramePr/>
                  <a:graphic xmlns:a="http://schemas.openxmlformats.org/drawingml/2006/main">
                    <a:graphicData uri="http://schemas.openxmlformats.org/drawingml/2006/picture">
                      <pic:pic xmlns:pic="http://schemas.openxmlformats.org/drawingml/2006/picture">
                        <pic:nvPicPr>
                          <pic:cNvPr id="142" name="图片_84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43" name="图片_841"/>
                  <wp:cNvGraphicFramePr/>
                  <a:graphic xmlns:a="http://schemas.openxmlformats.org/drawingml/2006/main">
                    <a:graphicData uri="http://schemas.openxmlformats.org/drawingml/2006/picture">
                      <pic:pic xmlns:pic="http://schemas.openxmlformats.org/drawingml/2006/picture">
                        <pic:nvPicPr>
                          <pic:cNvPr id="143" name="图片_84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44" name="图片_840"/>
                  <wp:cNvGraphicFramePr/>
                  <a:graphic xmlns:a="http://schemas.openxmlformats.org/drawingml/2006/main">
                    <a:graphicData uri="http://schemas.openxmlformats.org/drawingml/2006/picture">
                      <pic:pic xmlns:pic="http://schemas.openxmlformats.org/drawingml/2006/picture">
                        <pic:nvPicPr>
                          <pic:cNvPr id="144" name="图片_84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45" name="图片_839"/>
                  <wp:cNvGraphicFramePr/>
                  <a:graphic xmlns:a="http://schemas.openxmlformats.org/drawingml/2006/main">
                    <a:graphicData uri="http://schemas.openxmlformats.org/drawingml/2006/picture">
                      <pic:pic xmlns:pic="http://schemas.openxmlformats.org/drawingml/2006/picture">
                        <pic:nvPicPr>
                          <pic:cNvPr id="145" name="图片_83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46" name="图片_838"/>
                  <wp:cNvGraphicFramePr/>
                  <a:graphic xmlns:a="http://schemas.openxmlformats.org/drawingml/2006/main">
                    <a:graphicData uri="http://schemas.openxmlformats.org/drawingml/2006/picture">
                      <pic:pic xmlns:pic="http://schemas.openxmlformats.org/drawingml/2006/picture">
                        <pic:nvPicPr>
                          <pic:cNvPr id="146" name="图片_83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47" name="图片_837"/>
                  <wp:cNvGraphicFramePr/>
                  <a:graphic xmlns:a="http://schemas.openxmlformats.org/drawingml/2006/main">
                    <a:graphicData uri="http://schemas.openxmlformats.org/drawingml/2006/picture">
                      <pic:pic xmlns:pic="http://schemas.openxmlformats.org/drawingml/2006/picture">
                        <pic:nvPicPr>
                          <pic:cNvPr id="147" name="图片_83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48" name="图片_836"/>
                  <wp:cNvGraphicFramePr/>
                  <a:graphic xmlns:a="http://schemas.openxmlformats.org/drawingml/2006/main">
                    <a:graphicData uri="http://schemas.openxmlformats.org/drawingml/2006/picture">
                      <pic:pic xmlns:pic="http://schemas.openxmlformats.org/drawingml/2006/picture">
                        <pic:nvPicPr>
                          <pic:cNvPr id="148" name="图片_83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49" name="图片_528"/>
                  <wp:cNvGraphicFramePr/>
                  <a:graphic xmlns:a="http://schemas.openxmlformats.org/drawingml/2006/main">
                    <a:graphicData uri="http://schemas.openxmlformats.org/drawingml/2006/picture">
                      <pic:pic xmlns:pic="http://schemas.openxmlformats.org/drawingml/2006/picture">
                        <pic:nvPicPr>
                          <pic:cNvPr id="149" name="图片_52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50" name="图片_834"/>
                  <wp:cNvGraphicFramePr/>
                  <a:graphic xmlns:a="http://schemas.openxmlformats.org/drawingml/2006/main">
                    <a:graphicData uri="http://schemas.openxmlformats.org/drawingml/2006/picture">
                      <pic:pic xmlns:pic="http://schemas.openxmlformats.org/drawingml/2006/picture">
                        <pic:nvPicPr>
                          <pic:cNvPr id="150" name="图片_83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51" name="图片_833"/>
                  <wp:cNvGraphicFramePr/>
                  <a:graphic xmlns:a="http://schemas.openxmlformats.org/drawingml/2006/main">
                    <a:graphicData uri="http://schemas.openxmlformats.org/drawingml/2006/picture">
                      <pic:pic xmlns:pic="http://schemas.openxmlformats.org/drawingml/2006/picture">
                        <pic:nvPicPr>
                          <pic:cNvPr id="151" name="图片_83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52" name="图片_832"/>
                  <wp:cNvGraphicFramePr/>
                  <a:graphic xmlns:a="http://schemas.openxmlformats.org/drawingml/2006/main">
                    <a:graphicData uri="http://schemas.openxmlformats.org/drawingml/2006/picture">
                      <pic:pic xmlns:pic="http://schemas.openxmlformats.org/drawingml/2006/picture">
                        <pic:nvPicPr>
                          <pic:cNvPr id="152" name="图片_83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53" name="图片_831"/>
                  <wp:cNvGraphicFramePr/>
                  <a:graphic xmlns:a="http://schemas.openxmlformats.org/drawingml/2006/main">
                    <a:graphicData uri="http://schemas.openxmlformats.org/drawingml/2006/picture">
                      <pic:pic xmlns:pic="http://schemas.openxmlformats.org/drawingml/2006/picture">
                        <pic:nvPicPr>
                          <pic:cNvPr id="153" name="图片_83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54" name="图片_830"/>
                  <wp:cNvGraphicFramePr/>
                  <a:graphic xmlns:a="http://schemas.openxmlformats.org/drawingml/2006/main">
                    <a:graphicData uri="http://schemas.openxmlformats.org/drawingml/2006/picture">
                      <pic:pic xmlns:pic="http://schemas.openxmlformats.org/drawingml/2006/picture">
                        <pic:nvPicPr>
                          <pic:cNvPr id="154" name="图片_83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55" name="图片_829"/>
                  <wp:cNvGraphicFramePr/>
                  <a:graphic xmlns:a="http://schemas.openxmlformats.org/drawingml/2006/main">
                    <a:graphicData uri="http://schemas.openxmlformats.org/drawingml/2006/picture">
                      <pic:pic xmlns:pic="http://schemas.openxmlformats.org/drawingml/2006/picture">
                        <pic:nvPicPr>
                          <pic:cNvPr id="155" name="图片_82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56" name="图片_828"/>
                  <wp:cNvGraphicFramePr/>
                  <a:graphic xmlns:a="http://schemas.openxmlformats.org/drawingml/2006/main">
                    <a:graphicData uri="http://schemas.openxmlformats.org/drawingml/2006/picture">
                      <pic:pic xmlns:pic="http://schemas.openxmlformats.org/drawingml/2006/picture">
                        <pic:nvPicPr>
                          <pic:cNvPr id="156" name="图片_82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57" name="图片_827"/>
                  <wp:cNvGraphicFramePr/>
                  <a:graphic xmlns:a="http://schemas.openxmlformats.org/drawingml/2006/main">
                    <a:graphicData uri="http://schemas.openxmlformats.org/drawingml/2006/picture">
                      <pic:pic xmlns:pic="http://schemas.openxmlformats.org/drawingml/2006/picture">
                        <pic:nvPicPr>
                          <pic:cNvPr id="157" name="图片_82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108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58" name="图片_826"/>
                  <wp:cNvGraphicFramePr/>
                  <a:graphic xmlns:a="http://schemas.openxmlformats.org/drawingml/2006/main">
                    <a:graphicData uri="http://schemas.openxmlformats.org/drawingml/2006/picture">
                      <pic:pic xmlns:pic="http://schemas.openxmlformats.org/drawingml/2006/picture">
                        <pic:nvPicPr>
                          <pic:cNvPr id="158" name="图片_82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59" name="图片_825"/>
                  <wp:cNvGraphicFramePr/>
                  <a:graphic xmlns:a="http://schemas.openxmlformats.org/drawingml/2006/main">
                    <a:graphicData uri="http://schemas.openxmlformats.org/drawingml/2006/picture">
                      <pic:pic xmlns:pic="http://schemas.openxmlformats.org/drawingml/2006/picture">
                        <pic:nvPicPr>
                          <pic:cNvPr id="159" name="图片_82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60" name="图片_824"/>
                  <wp:cNvGraphicFramePr/>
                  <a:graphic xmlns:a="http://schemas.openxmlformats.org/drawingml/2006/main">
                    <a:graphicData uri="http://schemas.openxmlformats.org/drawingml/2006/picture">
                      <pic:pic xmlns:pic="http://schemas.openxmlformats.org/drawingml/2006/picture">
                        <pic:nvPicPr>
                          <pic:cNvPr id="160" name="图片_82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138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61" name="图片_823"/>
                  <wp:cNvGraphicFramePr/>
                  <a:graphic xmlns:a="http://schemas.openxmlformats.org/drawingml/2006/main">
                    <a:graphicData uri="http://schemas.openxmlformats.org/drawingml/2006/picture">
                      <pic:pic xmlns:pic="http://schemas.openxmlformats.org/drawingml/2006/picture">
                        <pic:nvPicPr>
                          <pic:cNvPr id="161" name="图片_82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62" name="图片_822"/>
                  <wp:cNvGraphicFramePr/>
                  <a:graphic xmlns:a="http://schemas.openxmlformats.org/drawingml/2006/main">
                    <a:graphicData uri="http://schemas.openxmlformats.org/drawingml/2006/picture">
                      <pic:pic xmlns:pic="http://schemas.openxmlformats.org/drawingml/2006/picture">
                        <pic:nvPicPr>
                          <pic:cNvPr id="162" name="图片_82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63" name="图片_821"/>
                  <wp:cNvGraphicFramePr/>
                  <a:graphic xmlns:a="http://schemas.openxmlformats.org/drawingml/2006/main">
                    <a:graphicData uri="http://schemas.openxmlformats.org/drawingml/2006/picture">
                      <pic:pic xmlns:pic="http://schemas.openxmlformats.org/drawingml/2006/picture">
                        <pic:nvPicPr>
                          <pic:cNvPr id="163" name="图片_82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169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64" name="图片_820"/>
                  <wp:cNvGraphicFramePr/>
                  <a:graphic xmlns:a="http://schemas.openxmlformats.org/drawingml/2006/main">
                    <a:graphicData uri="http://schemas.openxmlformats.org/drawingml/2006/picture">
                      <pic:pic xmlns:pic="http://schemas.openxmlformats.org/drawingml/2006/picture">
                        <pic:nvPicPr>
                          <pic:cNvPr id="164" name="图片_82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65" name="图片_917"/>
                  <wp:cNvGraphicFramePr/>
                  <a:graphic xmlns:a="http://schemas.openxmlformats.org/drawingml/2006/main">
                    <a:graphicData uri="http://schemas.openxmlformats.org/drawingml/2006/picture">
                      <pic:pic xmlns:pic="http://schemas.openxmlformats.org/drawingml/2006/picture">
                        <pic:nvPicPr>
                          <pic:cNvPr id="165" name="图片_91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66" name="图片_817"/>
                  <wp:cNvGraphicFramePr/>
                  <a:graphic xmlns:a="http://schemas.openxmlformats.org/drawingml/2006/main">
                    <a:graphicData uri="http://schemas.openxmlformats.org/drawingml/2006/picture">
                      <pic:pic xmlns:pic="http://schemas.openxmlformats.org/drawingml/2006/picture">
                        <pic:nvPicPr>
                          <pic:cNvPr id="166" name="图片_81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200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67" name="图片_816"/>
                  <wp:cNvGraphicFramePr/>
                  <a:graphic xmlns:a="http://schemas.openxmlformats.org/drawingml/2006/main">
                    <a:graphicData uri="http://schemas.openxmlformats.org/drawingml/2006/picture">
                      <pic:pic xmlns:pic="http://schemas.openxmlformats.org/drawingml/2006/picture">
                        <pic:nvPicPr>
                          <pic:cNvPr id="167" name="图片_81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68" name="图片_815"/>
                  <wp:cNvGraphicFramePr/>
                  <a:graphic xmlns:a="http://schemas.openxmlformats.org/drawingml/2006/main">
                    <a:graphicData uri="http://schemas.openxmlformats.org/drawingml/2006/picture">
                      <pic:pic xmlns:pic="http://schemas.openxmlformats.org/drawingml/2006/picture">
                        <pic:nvPicPr>
                          <pic:cNvPr id="168" name="图片_81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69" name="图片_814"/>
                  <wp:cNvGraphicFramePr/>
                  <a:graphic xmlns:a="http://schemas.openxmlformats.org/drawingml/2006/main">
                    <a:graphicData uri="http://schemas.openxmlformats.org/drawingml/2006/picture">
                      <pic:pic xmlns:pic="http://schemas.openxmlformats.org/drawingml/2006/picture">
                        <pic:nvPicPr>
                          <pic:cNvPr id="169" name="图片_81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70" name="图片_813"/>
                  <wp:cNvGraphicFramePr/>
                  <a:graphic xmlns:a="http://schemas.openxmlformats.org/drawingml/2006/main">
                    <a:graphicData uri="http://schemas.openxmlformats.org/drawingml/2006/picture">
                      <pic:pic xmlns:pic="http://schemas.openxmlformats.org/drawingml/2006/picture">
                        <pic:nvPicPr>
                          <pic:cNvPr id="170" name="图片_81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71" name="图片_812"/>
                  <wp:cNvGraphicFramePr/>
                  <a:graphic xmlns:a="http://schemas.openxmlformats.org/drawingml/2006/main">
                    <a:graphicData uri="http://schemas.openxmlformats.org/drawingml/2006/picture">
                      <pic:pic xmlns:pic="http://schemas.openxmlformats.org/drawingml/2006/picture">
                        <pic:nvPicPr>
                          <pic:cNvPr id="171" name="图片_81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72" name="图片_811"/>
                  <wp:cNvGraphicFramePr/>
                  <a:graphic xmlns:a="http://schemas.openxmlformats.org/drawingml/2006/main">
                    <a:graphicData uri="http://schemas.openxmlformats.org/drawingml/2006/picture">
                      <pic:pic xmlns:pic="http://schemas.openxmlformats.org/drawingml/2006/picture">
                        <pic:nvPicPr>
                          <pic:cNvPr id="172" name="图片_81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261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73" name="图片_810"/>
                  <wp:cNvGraphicFramePr/>
                  <a:graphic xmlns:a="http://schemas.openxmlformats.org/drawingml/2006/main">
                    <a:graphicData uri="http://schemas.openxmlformats.org/drawingml/2006/picture">
                      <pic:pic xmlns:pic="http://schemas.openxmlformats.org/drawingml/2006/picture">
                        <pic:nvPicPr>
                          <pic:cNvPr id="173" name="图片_81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74" name="图片_809"/>
                  <wp:cNvGraphicFramePr/>
                  <a:graphic xmlns:a="http://schemas.openxmlformats.org/drawingml/2006/main">
                    <a:graphicData uri="http://schemas.openxmlformats.org/drawingml/2006/picture">
                      <pic:pic xmlns:pic="http://schemas.openxmlformats.org/drawingml/2006/picture">
                        <pic:nvPicPr>
                          <pic:cNvPr id="174" name="图片_80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75" name="图片_808"/>
                  <wp:cNvGraphicFramePr/>
                  <a:graphic xmlns:a="http://schemas.openxmlformats.org/drawingml/2006/main">
                    <a:graphicData uri="http://schemas.openxmlformats.org/drawingml/2006/picture">
                      <pic:pic xmlns:pic="http://schemas.openxmlformats.org/drawingml/2006/picture">
                        <pic:nvPicPr>
                          <pic:cNvPr id="175" name="图片_80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76" name="图片_807"/>
                  <wp:cNvGraphicFramePr/>
                  <a:graphic xmlns:a="http://schemas.openxmlformats.org/drawingml/2006/main">
                    <a:graphicData uri="http://schemas.openxmlformats.org/drawingml/2006/picture">
                      <pic:pic xmlns:pic="http://schemas.openxmlformats.org/drawingml/2006/picture">
                        <pic:nvPicPr>
                          <pic:cNvPr id="176" name="图片_80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302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77" name="图片_806"/>
                  <wp:cNvGraphicFramePr/>
                  <a:graphic xmlns:a="http://schemas.openxmlformats.org/drawingml/2006/main">
                    <a:graphicData uri="http://schemas.openxmlformats.org/drawingml/2006/picture">
                      <pic:pic xmlns:pic="http://schemas.openxmlformats.org/drawingml/2006/picture">
                        <pic:nvPicPr>
                          <pic:cNvPr id="177" name="图片_80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78" name="图片_805"/>
                  <wp:cNvGraphicFramePr/>
                  <a:graphic xmlns:a="http://schemas.openxmlformats.org/drawingml/2006/main">
                    <a:graphicData uri="http://schemas.openxmlformats.org/drawingml/2006/picture">
                      <pic:pic xmlns:pic="http://schemas.openxmlformats.org/drawingml/2006/picture">
                        <pic:nvPicPr>
                          <pic:cNvPr id="178" name="图片_80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323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79" name="图片_804"/>
                  <wp:cNvGraphicFramePr/>
                  <a:graphic xmlns:a="http://schemas.openxmlformats.org/drawingml/2006/main">
                    <a:graphicData uri="http://schemas.openxmlformats.org/drawingml/2006/picture">
                      <pic:pic xmlns:pic="http://schemas.openxmlformats.org/drawingml/2006/picture">
                        <pic:nvPicPr>
                          <pic:cNvPr id="179" name="图片_80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80" name="图片_259"/>
                  <wp:cNvGraphicFramePr/>
                  <a:graphic xmlns:a="http://schemas.openxmlformats.org/drawingml/2006/main">
                    <a:graphicData uri="http://schemas.openxmlformats.org/drawingml/2006/picture">
                      <pic:pic xmlns:pic="http://schemas.openxmlformats.org/drawingml/2006/picture">
                        <pic:nvPicPr>
                          <pic:cNvPr id="180" name="图片_25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343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81" name="图片_802"/>
                  <wp:cNvGraphicFramePr/>
                  <a:graphic xmlns:a="http://schemas.openxmlformats.org/drawingml/2006/main">
                    <a:graphicData uri="http://schemas.openxmlformats.org/drawingml/2006/picture">
                      <pic:pic xmlns:pic="http://schemas.openxmlformats.org/drawingml/2006/picture">
                        <pic:nvPicPr>
                          <pic:cNvPr id="181" name="图片_80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353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82" name="图片_801"/>
                  <wp:cNvGraphicFramePr/>
                  <a:graphic xmlns:a="http://schemas.openxmlformats.org/drawingml/2006/main">
                    <a:graphicData uri="http://schemas.openxmlformats.org/drawingml/2006/picture">
                      <pic:pic xmlns:pic="http://schemas.openxmlformats.org/drawingml/2006/picture">
                        <pic:nvPicPr>
                          <pic:cNvPr id="182" name="图片_80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83" name="图片_800"/>
                  <wp:cNvGraphicFramePr/>
                  <a:graphic xmlns:a="http://schemas.openxmlformats.org/drawingml/2006/main">
                    <a:graphicData uri="http://schemas.openxmlformats.org/drawingml/2006/picture">
                      <pic:pic xmlns:pic="http://schemas.openxmlformats.org/drawingml/2006/picture">
                        <pic:nvPicPr>
                          <pic:cNvPr id="183" name="图片_80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374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84" name="图片_799"/>
                  <wp:cNvGraphicFramePr/>
                  <a:graphic xmlns:a="http://schemas.openxmlformats.org/drawingml/2006/main">
                    <a:graphicData uri="http://schemas.openxmlformats.org/drawingml/2006/picture">
                      <pic:pic xmlns:pic="http://schemas.openxmlformats.org/drawingml/2006/picture">
                        <pic:nvPicPr>
                          <pic:cNvPr id="184" name="图片_79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384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85" name="图片_798"/>
                  <wp:cNvGraphicFramePr/>
                  <a:graphic xmlns:a="http://schemas.openxmlformats.org/drawingml/2006/main">
                    <a:graphicData uri="http://schemas.openxmlformats.org/drawingml/2006/picture">
                      <pic:pic xmlns:pic="http://schemas.openxmlformats.org/drawingml/2006/picture">
                        <pic:nvPicPr>
                          <pic:cNvPr id="185" name="图片_79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86" name="图片_797"/>
                  <wp:cNvGraphicFramePr/>
                  <a:graphic xmlns:a="http://schemas.openxmlformats.org/drawingml/2006/main">
                    <a:graphicData uri="http://schemas.openxmlformats.org/drawingml/2006/picture">
                      <pic:pic xmlns:pic="http://schemas.openxmlformats.org/drawingml/2006/picture">
                        <pic:nvPicPr>
                          <pic:cNvPr id="186" name="图片_79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87" name="图片_796"/>
                  <wp:cNvGraphicFramePr/>
                  <a:graphic xmlns:a="http://schemas.openxmlformats.org/drawingml/2006/main">
                    <a:graphicData uri="http://schemas.openxmlformats.org/drawingml/2006/picture">
                      <pic:pic xmlns:pic="http://schemas.openxmlformats.org/drawingml/2006/picture">
                        <pic:nvPicPr>
                          <pic:cNvPr id="187" name="图片_79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415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88" name="图片_795"/>
                  <wp:cNvGraphicFramePr/>
                  <a:graphic xmlns:a="http://schemas.openxmlformats.org/drawingml/2006/main">
                    <a:graphicData uri="http://schemas.openxmlformats.org/drawingml/2006/picture">
                      <pic:pic xmlns:pic="http://schemas.openxmlformats.org/drawingml/2006/picture">
                        <pic:nvPicPr>
                          <pic:cNvPr id="188" name="图片_79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89" name="图片_794"/>
                  <wp:cNvGraphicFramePr/>
                  <a:graphic xmlns:a="http://schemas.openxmlformats.org/drawingml/2006/main">
                    <a:graphicData uri="http://schemas.openxmlformats.org/drawingml/2006/picture">
                      <pic:pic xmlns:pic="http://schemas.openxmlformats.org/drawingml/2006/picture">
                        <pic:nvPicPr>
                          <pic:cNvPr id="189" name="图片_79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90" name="图片_793"/>
                  <wp:cNvGraphicFramePr/>
                  <a:graphic xmlns:a="http://schemas.openxmlformats.org/drawingml/2006/main">
                    <a:graphicData uri="http://schemas.openxmlformats.org/drawingml/2006/picture">
                      <pic:pic xmlns:pic="http://schemas.openxmlformats.org/drawingml/2006/picture">
                        <pic:nvPicPr>
                          <pic:cNvPr id="190" name="图片_79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446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91" name="图片_792"/>
                  <wp:cNvGraphicFramePr/>
                  <a:graphic xmlns:a="http://schemas.openxmlformats.org/drawingml/2006/main">
                    <a:graphicData uri="http://schemas.openxmlformats.org/drawingml/2006/picture">
                      <pic:pic xmlns:pic="http://schemas.openxmlformats.org/drawingml/2006/picture">
                        <pic:nvPicPr>
                          <pic:cNvPr id="191" name="图片_79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92" name="图片_791"/>
                  <wp:cNvGraphicFramePr/>
                  <a:graphic xmlns:a="http://schemas.openxmlformats.org/drawingml/2006/main">
                    <a:graphicData uri="http://schemas.openxmlformats.org/drawingml/2006/picture">
                      <pic:pic xmlns:pic="http://schemas.openxmlformats.org/drawingml/2006/picture">
                        <pic:nvPicPr>
                          <pic:cNvPr id="192" name="图片_79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93" name="图片_790"/>
                  <wp:cNvGraphicFramePr/>
                  <a:graphic xmlns:a="http://schemas.openxmlformats.org/drawingml/2006/main">
                    <a:graphicData uri="http://schemas.openxmlformats.org/drawingml/2006/picture">
                      <pic:pic xmlns:pic="http://schemas.openxmlformats.org/drawingml/2006/picture">
                        <pic:nvPicPr>
                          <pic:cNvPr id="193" name="图片_79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476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94" name="图片_789"/>
                  <wp:cNvGraphicFramePr/>
                  <a:graphic xmlns:a="http://schemas.openxmlformats.org/drawingml/2006/main">
                    <a:graphicData uri="http://schemas.openxmlformats.org/drawingml/2006/picture">
                      <pic:pic xmlns:pic="http://schemas.openxmlformats.org/drawingml/2006/picture">
                        <pic:nvPicPr>
                          <pic:cNvPr id="194" name="图片_78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95" name="图片_788"/>
                  <wp:cNvGraphicFramePr/>
                  <a:graphic xmlns:a="http://schemas.openxmlformats.org/drawingml/2006/main">
                    <a:graphicData uri="http://schemas.openxmlformats.org/drawingml/2006/picture">
                      <pic:pic xmlns:pic="http://schemas.openxmlformats.org/drawingml/2006/picture">
                        <pic:nvPicPr>
                          <pic:cNvPr id="195" name="图片_78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497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96" name="图片_907"/>
                  <wp:cNvGraphicFramePr/>
                  <a:graphic xmlns:a="http://schemas.openxmlformats.org/drawingml/2006/main">
                    <a:graphicData uri="http://schemas.openxmlformats.org/drawingml/2006/picture">
                      <pic:pic xmlns:pic="http://schemas.openxmlformats.org/drawingml/2006/picture">
                        <pic:nvPicPr>
                          <pic:cNvPr id="196" name="图片_90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507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97" name="图片_785"/>
                  <wp:cNvGraphicFramePr/>
                  <a:graphic xmlns:a="http://schemas.openxmlformats.org/drawingml/2006/main">
                    <a:graphicData uri="http://schemas.openxmlformats.org/drawingml/2006/picture">
                      <pic:pic xmlns:pic="http://schemas.openxmlformats.org/drawingml/2006/picture">
                        <pic:nvPicPr>
                          <pic:cNvPr id="197" name="图片_78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98" name="图片_784"/>
                  <wp:cNvGraphicFramePr/>
                  <a:graphic xmlns:a="http://schemas.openxmlformats.org/drawingml/2006/main">
                    <a:graphicData uri="http://schemas.openxmlformats.org/drawingml/2006/picture">
                      <pic:pic xmlns:pic="http://schemas.openxmlformats.org/drawingml/2006/picture">
                        <pic:nvPicPr>
                          <pic:cNvPr id="198" name="图片_78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199" name="图片_783"/>
                  <wp:cNvGraphicFramePr/>
                  <a:graphic xmlns:a="http://schemas.openxmlformats.org/drawingml/2006/main">
                    <a:graphicData uri="http://schemas.openxmlformats.org/drawingml/2006/picture">
                      <pic:pic xmlns:pic="http://schemas.openxmlformats.org/drawingml/2006/picture">
                        <pic:nvPicPr>
                          <pic:cNvPr id="199" name="图片_78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538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00" name="图片_782"/>
                  <wp:cNvGraphicFramePr/>
                  <a:graphic xmlns:a="http://schemas.openxmlformats.org/drawingml/2006/main">
                    <a:graphicData uri="http://schemas.openxmlformats.org/drawingml/2006/picture">
                      <pic:pic xmlns:pic="http://schemas.openxmlformats.org/drawingml/2006/picture">
                        <pic:nvPicPr>
                          <pic:cNvPr id="200" name="图片_78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01" name="图片_781"/>
                  <wp:cNvGraphicFramePr/>
                  <a:graphic xmlns:a="http://schemas.openxmlformats.org/drawingml/2006/main">
                    <a:graphicData uri="http://schemas.openxmlformats.org/drawingml/2006/picture">
                      <pic:pic xmlns:pic="http://schemas.openxmlformats.org/drawingml/2006/picture">
                        <pic:nvPicPr>
                          <pic:cNvPr id="201" name="图片_78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02" name="图片_780"/>
                  <wp:cNvGraphicFramePr/>
                  <a:graphic xmlns:a="http://schemas.openxmlformats.org/drawingml/2006/main">
                    <a:graphicData uri="http://schemas.openxmlformats.org/drawingml/2006/picture">
                      <pic:pic xmlns:pic="http://schemas.openxmlformats.org/drawingml/2006/picture">
                        <pic:nvPicPr>
                          <pic:cNvPr id="202" name="图片_78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568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03" name="图片_779"/>
                  <wp:cNvGraphicFramePr/>
                  <a:graphic xmlns:a="http://schemas.openxmlformats.org/drawingml/2006/main">
                    <a:graphicData uri="http://schemas.openxmlformats.org/drawingml/2006/picture">
                      <pic:pic xmlns:pic="http://schemas.openxmlformats.org/drawingml/2006/picture">
                        <pic:nvPicPr>
                          <pic:cNvPr id="203" name="图片_77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04" name="图片_778"/>
                  <wp:cNvGraphicFramePr/>
                  <a:graphic xmlns:a="http://schemas.openxmlformats.org/drawingml/2006/main">
                    <a:graphicData uri="http://schemas.openxmlformats.org/drawingml/2006/picture">
                      <pic:pic xmlns:pic="http://schemas.openxmlformats.org/drawingml/2006/picture">
                        <pic:nvPicPr>
                          <pic:cNvPr id="204" name="图片_77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05" name="图片_777"/>
                  <wp:cNvGraphicFramePr/>
                  <a:graphic xmlns:a="http://schemas.openxmlformats.org/drawingml/2006/main">
                    <a:graphicData uri="http://schemas.openxmlformats.org/drawingml/2006/picture">
                      <pic:pic xmlns:pic="http://schemas.openxmlformats.org/drawingml/2006/picture">
                        <pic:nvPicPr>
                          <pic:cNvPr id="205" name="图片_77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599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06" name="图片_776"/>
                  <wp:cNvGraphicFramePr/>
                  <a:graphic xmlns:a="http://schemas.openxmlformats.org/drawingml/2006/main">
                    <a:graphicData uri="http://schemas.openxmlformats.org/drawingml/2006/picture">
                      <pic:pic xmlns:pic="http://schemas.openxmlformats.org/drawingml/2006/picture">
                        <pic:nvPicPr>
                          <pic:cNvPr id="206" name="图片_77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07" name="图片_775"/>
                  <wp:cNvGraphicFramePr/>
                  <a:graphic xmlns:a="http://schemas.openxmlformats.org/drawingml/2006/main">
                    <a:graphicData uri="http://schemas.openxmlformats.org/drawingml/2006/picture">
                      <pic:pic xmlns:pic="http://schemas.openxmlformats.org/drawingml/2006/picture">
                        <pic:nvPicPr>
                          <pic:cNvPr id="207" name="图片_77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08" name="图片_774"/>
                  <wp:cNvGraphicFramePr/>
                  <a:graphic xmlns:a="http://schemas.openxmlformats.org/drawingml/2006/main">
                    <a:graphicData uri="http://schemas.openxmlformats.org/drawingml/2006/picture">
                      <pic:pic xmlns:pic="http://schemas.openxmlformats.org/drawingml/2006/picture">
                        <pic:nvPicPr>
                          <pic:cNvPr id="208" name="图片_77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09" name="图片_773"/>
                  <wp:cNvGraphicFramePr/>
                  <a:graphic xmlns:a="http://schemas.openxmlformats.org/drawingml/2006/main">
                    <a:graphicData uri="http://schemas.openxmlformats.org/drawingml/2006/picture">
                      <pic:pic xmlns:pic="http://schemas.openxmlformats.org/drawingml/2006/picture">
                        <pic:nvPicPr>
                          <pic:cNvPr id="209" name="图片_77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10" name="图片_772"/>
                  <wp:cNvGraphicFramePr/>
                  <a:graphic xmlns:a="http://schemas.openxmlformats.org/drawingml/2006/main">
                    <a:graphicData uri="http://schemas.openxmlformats.org/drawingml/2006/picture">
                      <pic:pic xmlns:pic="http://schemas.openxmlformats.org/drawingml/2006/picture">
                        <pic:nvPicPr>
                          <pic:cNvPr id="210" name="图片_77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11" name="图片_146"/>
                  <wp:cNvGraphicFramePr/>
                  <a:graphic xmlns:a="http://schemas.openxmlformats.org/drawingml/2006/main">
                    <a:graphicData uri="http://schemas.openxmlformats.org/drawingml/2006/picture">
                      <pic:pic xmlns:pic="http://schemas.openxmlformats.org/drawingml/2006/picture">
                        <pic:nvPicPr>
                          <pic:cNvPr id="211" name="图片_14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661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12" name="图片_273"/>
                  <wp:cNvGraphicFramePr/>
                  <a:graphic xmlns:a="http://schemas.openxmlformats.org/drawingml/2006/main">
                    <a:graphicData uri="http://schemas.openxmlformats.org/drawingml/2006/picture">
                      <pic:pic xmlns:pic="http://schemas.openxmlformats.org/drawingml/2006/picture">
                        <pic:nvPicPr>
                          <pic:cNvPr id="212" name="图片_27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13" name="图片_527"/>
                  <wp:cNvGraphicFramePr/>
                  <a:graphic xmlns:a="http://schemas.openxmlformats.org/drawingml/2006/main">
                    <a:graphicData uri="http://schemas.openxmlformats.org/drawingml/2006/picture">
                      <pic:pic xmlns:pic="http://schemas.openxmlformats.org/drawingml/2006/picture">
                        <pic:nvPicPr>
                          <pic:cNvPr id="213" name="图片_52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14" name="图片_770"/>
                  <wp:cNvGraphicFramePr/>
                  <a:graphic xmlns:a="http://schemas.openxmlformats.org/drawingml/2006/main">
                    <a:graphicData uri="http://schemas.openxmlformats.org/drawingml/2006/picture">
                      <pic:pic xmlns:pic="http://schemas.openxmlformats.org/drawingml/2006/picture">
                        <pic:nvPicPr>
                          <pic:cNvPr id="214" name="图片_77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691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15" name="图片_769"/>
                  <wp:cNvGraphicFramePr/>
                  <a:graphic xmlns:a="http://schemas.openxmlformats.org/drawingml/2006/main">
                    <a:graphicData uri="http://schemas.openxmlformats.org/drawingml/2006/picture">
                      <pic:pic xmlns:pic="http://schemas.openxmlformats.org/drawingml/2006/picture">
                        <pic:nvPicPr>
                          <pic:cNvPr id="215" name="图片_76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16" name="图片_768"/>
                  <wp:cNvGraphicFramePr/>
                  <a:graphic xmlns:a="http://schemas.openxmlformats.org/drawingml/2006/main">
                    <a:graphicData uri="http://schemas.openxmlformats.org/drawingml/2006/picture">
                      <pic:pic xmlns:pic="http://schemas.openxmlformats.org/drawingml/2006/picture">
                        <pic:nvPicPr>
                          <pic:cNvPr id="216" name="图片_76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17" name="图片_767"/>
                  <wp:cNvGraphicFramePr/>
                  <a:graphic xmlns:a="http://schemas.openxmlformats.org/drawingml/2006/main">
                    <a:graphicData uri="http://schemas.openxmlformats.org/drawingml/2006/picture">
                      <pic:pic xmlns:pic="http://schemas.openxmlformats.org/drawingml/2006/picture">
                        <pic:nvPicPr>
                          <pic:cNvPr id="217" name="图片_76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722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18" name="图片_766"/>
                  <wp:cNvGraphicFramePr/>
                  <a:graphic xmlns:a="http://schemas.openxmlformats.org/drawingml/2006/main">
                    <a:graphicData uri="http://schemas.openxmlformats.org/drawingml/2006/picture">
                      <pic:pic xmlns:pic="http://schemas.openxmlformats.org/drawingml/2006/picture">
                        <pic:nvPicPr>
                          <pic:cNvPr id="218" name="图片_76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19" name="图片_765"/>
                  <wp:cNvGraphicFramePr/>
                  <a:graphic xmlns:a="http://schemas.openxmlformats.org/drawingml/2006/main">
                    <a:graphicData uri="http://schemas.openxmlformats.org/drawingml/2006/picture">
                      <pic:pic xmlns:pic="http://schemas.openxmlformats.org/drawingml/2006/picture">
                        <pic:nvPicPr>
                          <pic:cNvPr id="219" name="图片_76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743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20" name="图片_764"/>
                  <wp:cNvGraphicFramePr/>
                  <a:graphic xmlns:a="http://schemas.openxmlformats.org/drawingml/2006/main">
                    <a:graphicData uri="http://schemas.openxmlformats.org/drawingml/2006/picture">
                      <pic:pic xmlns:pic="http://schemas.openxmlformats.org/drawingml/2006/picture">
                        <pic:nvPicPr>
                          <pic:cNvPr id="220" name="图片_76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753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21" name="图片_763"/>
                  <wp:cNvGraphicFramePr/>
                  <a:graphic xmlns:a="http://schemas.openxmlformats.org/drawingml/2006/main">
                    <a:graphicData uri="http://schemas.openxmlformats.org/drawingml/2006/picture">
                      <pic:pic xmlns:pic="http://schemas.openxmlformats.org/drawingml/2006/picture">
                        <pic:nvPicPr>
                          <pic:cNvPr id="221" name="图片_76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763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22" name="图片_762"/>
                  <wp:cNvGraphicFramePr/>
                  <a:graphic xmlns:a="http://schemas.openxmlformats.org/drawingml/2006/main">
                    <a:graphicData uri="http://schemas.openxmlformats.org/drawingml/2006/picture">
                      <pic:pic xmlns:pic="http://schemas.openxmlformats.org/drawingml/2006/picture">
                        <pic:nvPicPr>
                          <pic:cNvPr id="222" name="图片_76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23" name="图片_761"/>
                  <wp:cNvGraphicFramePr/>
                  <a:graphic xmlns:a="http://schemas.openxmlformats.org/drawingml/2006/main">
                    <a:graphicData uri="http://schemas.openxmlformats.org/drawingml/2006/picture">
                      <pic:pic xmlns:pic="http://schemas.openxmlformats.org/drawingml/2006/picture">
                        <pic:nvPicPr>
                          <pic:cNvPr id="223" name="图片_76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784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24" name="图片_760"/>
                  <wp:cNvGraphicFramePr/>
                  <a:graphic xmlns:a="http://schemas.openxmlformats.org/drawingml/2006/main">
                    <a:graphicData uri="http://schemas.openxmlformats.org/drawingml/2006/picture">
                      <pic:pic xmlns:pic="http://schemas.openxmlformats.org/drawingml/2006/picture">
                        <pic:nvPicPr>
                          <pic:cNvPr id="224" name="图片_76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25" name="图片_759"/>
                  <wp:cNvGraphicFramePr/>
                  <a:graphic xmlns:a="http://schemas.openxmlformats.org/drawingml/2006/main">
                    <a:graphicData uri="http://schemas.openxmlformats.org/drawingml/2006/picture">
                      <pic:pic xmlns:pic="http://schemas.openxmlformats.org/drawingml/2006/picture">
                        <pic:nvPicPr>
                          <pic:cNvPr id="225" name="图片_75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804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26" name="图片_758"/>
                  <wp:cNvGraphicFramePr/>
                  <a:graphic xmlns:a="http://schemas.openxmlformats.org/drawingml/2006/main">
                    <a:graphicData uri="http://schemas.openxmlformats.org/drawingml/2006/picture">
                      <pic:pic xmlns:pic="http://schemas.openxmlformats.org/drawingml/2006/picture">
                        <pic:nvPicPr>
                          <pic:cNvPr id="226" name="图片_75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814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27" name="图片_757"/>
                  <wp:cNvGraphicFramePr/>
                  <a:graphic xmlns:a="http://schemas.openxmlformats.org/drawingml/2006/main">
                    <a:graphicData uri="http://schemas.openxmlformats.org/drawingml/2006/picture">
                      <pic:pic xmlns:pic="http://schemas.openxmlformats.org/drawingml/2006/picture">
                        <pic:nvPicPr>
                          <pic:cNvPr id="227" name="图片_75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28" name="图片_756"/>
                  <wp:cNvGraphicFramePr/>
                  <a:graphic xmlns:a="http://schemas.openxmlformats.org/drawingml/2006/main">
                    <a:graphicData uri="http://schemas.openxmlformats.org/drawingml/2006/picture">
                      <pic:pic xmlns:pic="http://schemas.openxmlformats.org/drawingml/2006/picture">
                        <pic:nvPicPr>
                          <pic:cNvPr id="228" name="图片_75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29" name="图片_526"/>
                  <wp:cNvGraphicFramePr/>
                  <a:graphic xmlns:a="http://schemas.openxmlformats.org/drawingml/2006/main">
                    <a:graphicData uri="http://schemas.openxmlformats.org/drawingml/2006/picture">
                      <pic:pic xmlns:pic="http://schemas.openxmlformats.org/drawingml/2006/picture">
                        <pic:nvPicPr>
                          <pic:cNvPr id="229" name="图片_52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845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30" name="图片_753"/>
                  <wp:cNvGraphicFramePr/>
                  <a:graphic xmlns:a="http://schemas.openxmlformats.org/drawingml/2006/main">
                    <a:graphicData uri="http://schemas.openxmlformats.org/drawingml/2006/picture">
                      <pic:pic xmlns:pic="http://schemas.openxmlformats.org/drawingml/2006/picture">
                        <pic:nvPicPr>
                          <pic:cNvPr id="230" name="图片_75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855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31" name="图片_752"/>
                  <wp:cNvGraphicFramePr/>
                  <a:graphic xmlns:a="http://schemas.openxmlformats.org/drawingml/2006/main">
                    <a:graphicData uri="http://schemas.openxmlformats.org/drawingml/2006/picture">
                      <pic:pic xmlns:pic="http://schemas.openxmlformats.org/drawingml/2006/picture">
                        <pic:nvPicPr>
                          <pic:cNvPr id="231" name="图片_75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865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32" name="图片_751"/>
                  <wp:cNvGraphicFramePr/>
                  <a:graphic xmlns:a="http://schemas.openxmlformats.org/drawingml/2006/main">
                    <a:graphicData uri="http://schemas.openxmlformats.org/drawingml/2006/picture">
                      <pic:pic xmlns:pic="http://schemas.openxmlformats.org/drawingml/2006/picture">
                        <pic:nvPicPr>
                          <pic:cNvPr id="232" name="图片_75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876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33" name="图片_750"/>
                  <wp:cNvGraphicFramePr/>
                  <a:graphic xmlns:a="http://schemas.openxmlformats.org/drawingml/2006/main">
                    <a:graphicData uri="http://schemas.openxmlformats.org/drawingml/2006/picture">
                      <pic:pic xmlns:pic="http://schemas.openxmlformats.org/drawingml/2006/picture">
                        <pic:nvPicPr>
                          <pic:cNvPr id="233" name="图片_75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886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34" name="图片_749"/>
                  <wp:cNvGraphicFramePr/>
                  <a:graphic xmlns:a="http://schemas.openxmlformats.org/drawingml/2006/main">
                    <a:graphicData uri="http://schemas.openxmlformats.org/drawingml/2006/picture">
                      <pic:pic xmlns:pic="http://schemas.openxmlformats.org/drawingml/2006/picture">
                        <pic:nvPicPr>
                          <pic:cNvPr id="234" name="图片_74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896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35" name="图片_748"/>
                  <wp:cNvGraphicFramePr/>
                  <a:graphic xmlns:a="http://schemas.openxmlformats.org/drawingml/2006/main">
                    <a:graphicData uri="http://schemas.openxmlformats.org/drawingml/2006/picture">
                      <pic:pic xmlns:pic="http://schemas.openxmlformats.org/drawingml/2006/picture">
                        <pic:nvPicPr>
                          <pic:cNvPr id="235" name="图片_74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906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36" name="图片_747"/>
                  <wp:cNvGraphicFramePr/>
                  <a:graphic xmlns:a="http://schemas.openxmlformats.org/drawingml/2006/main">
                    <a:graphicData uri="http://schemas.openxmlformats.org/drawingml/2006/picture">
                      <pic:pic xmlns:pic="http://schemas.openxmlformats.org/drawingml/2006/picture">
                        <pic:nvPicPr>
                          <pic:cNvPr id="236" name="图片_74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917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37" name="图片_746"/>
                  <wp:cNvGraphicFramePr/>
                  <a:graphic xmlns:a="http://schemas.openxmlformats.org/drawingml/2006/main">
                    <a:graphicData uri="http://schemas.openxmlformats.org/drawingml/2006/picture">
                      <pic:pic xmlns:pic="http://schemas.openxmlformats.org/drawingml/2006/picture">
                        <pic:nvPicPr>
                          <pic:cNvPr id="237" name="图片_74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927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38" name="图片_745"/>
                  <wp:cNvGraphicFramePr/>
                  <a:graphic xmlns:a="http://schemas.openxmlformats.org/drawingml/2006/main">
                    <a:graphicData uri="http://schemas.openxmlformats.org/drawingml/2006/picture">
                      <pic:pic xmlns:pic="http://schemas.openxmlformats.org/drawingml/2006/picture">
                        <pic:nvPicPr>
                          <pic:cNvPr id="238" name="图片_74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937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39" name="图片_744"/>
                  <wp:cNvGraphicFramePr/>
                  <a:graphic xmlns:a="http://schemas.openxmlformats.org/drawingml/2006/main">
                    <a:graphicData uri="http://schemas.openxmlformats.org/drawingml/2006/picture">
                      <pic:pic xmlns:pic="http://schemas.openxmlformats.org/drawingml/2006/picture">
                        <pic:nvPicPr>
                          <pic:cNvPr id="239" name="图片_74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947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40" name="图片_743"/>
                  <wp:cNvGraphicFramePr/>
                  <a:graphic xmlns:a="http://schemas.openxmlformats.org/drawingml/2006/main">
                    <a:graphicData uri="http://schemas.openxmlformats.org/drawingml/2006/picture">
                      <pic:pic xmlns:pic="http://schemas.openxmlformats.org/drawingml/2006/picture">
                        <pic:nvPicPr>
                          <pic:cNvPr id="240" name="图片_74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958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41" name="图片_742"/>
                  <wp:cNvGraphicFramePr/>
                  <a:graphic xmlns:a="http://schemas.openxmlformats.org/drawingml/2006/main">
                    <a:graphicData uri="http://schemas.openxmlformats.org/drawingml/2006/picture">
                      <pic:pic xmlns:pic="http://schemas.openxmlformats.org/drawingml/2006/picture">
                        <pic:nvPicPr>
                          <pic:cNvPr id="241" name="图片_74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968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42" name="图片_741"/>
                  <wp:cNvGraphicFramePr/>
                  <a:graphic xmlns:a="http://schemas.openxmlformats.org/drawingml/2006/main">
                    <a:graphicData uri="http://schemas.openxmlformats.org/drawingml/2006/picture">
                      <pic:pic xmlns:pic="http://schemas.openxmlformats.org/drawingml/2006/picture">
                        <pic:nvPicPr>
                          <pic:cNvPr id="242" name="图片_74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978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43" name="图片_740"/>
                  <wp:cNvGraphicFramePr/>
                  <a:graphic xmlns:a="http://schemas.openxmlformats.org/drawingml/2006/main">
                    <a:graphicData uri="http://schemas.openxmlformats.org/drawingml/2006/picture">
                      <pic:pic xmlns:pic="http://schemas.openxmlformats.org/drawingml/2006/picture">
                        <pic:nvPicPr>
                          <pic:cNvPr id="243" name="图片_74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988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44" name="图片_491"/>
                  <wp:cNvGraphicFramePr/>
                  <a:graphic xmlns:a="http://schemas.openxmlformats.org/drawingml/2006/main">
                    <a:graphicData uri="http://schemas.openxmlformats.org/drawingml/2006/picture">
                      <pic:pic xmlns:pic="http://schemas.openxmlformats.org/drawingml/2006/picture">
                        <pic:nvPicPr>
                          <pic:cNvPr id="244" name="图片_49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8999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45" name="图片_738"/>
                  <wp:cNvGraphicFramePr/>
                  <a:graphic xmlns:a="http://schemas.openxmlformats.org/drawingml/2006/main">
                    <a:graphicData uri="http://schemas.openxmlformats.org/drawingml/2006/picture">
                      <pic:pic xmlns:pic="http://schemas.openxmlformats.org/drawingml/2006/picture">
                        <pic:nvPicPr>
                          <pic:cNvPr id="245" name="图片_73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009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46" name="图片_737"/>
                  <wp:cNvGraphicFramePr/>
                  <a:graphic xmlns:a="http://schemas.openxmlformats.org/drawingml/2006/main">
                    <a:graphicData uri="http://schemas.openxmlformats.org/drawingml/2006/picture">
                      <pic:pic xmlns:pic="http://schemas.openxmlformats.org/drawingml/2006/picture">
                        <pic:nvPicPr>
                          <pic:cNvPr id="246" name="图片_73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019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47" name="图片_736"/>
                  <wp:cNvGraphicFramePr/>
                  <a:graphic xmlns:a="http://schemas.openxmlformats.org/drawingml/2006/main">
                    <a:graphicData uri="http://schemas.openxmlformats.org/drawingml/2006/picture">
                      <pic:pic xmlns:pic="http://schemas.openxmlformats.org/drawingml/2006/picture">
                        <pic:nvPicPr>
                          <pic:cNvPr id="247" name="图片_73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029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48" name="图片_735"/>
                  <wp:cNvGraphicFramePr/>
                  <a:graphic xmlns:a="http://schemas.openxmlformats.org/drawingml/2006/main">
                    <a:graphicData uri="http://schemas.openxmlformats.org/drawingml/2006/picture">
                      <pic:pic xmlns:pic="http://schemas.openxmlformats.org/drawingml/2006/picture">
                        <pic:nvPicPr>
                          <pic:cNvPr id="248" name="图片_73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040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49" name="图片_734"/>
                  <wp:cNvGraphicFramePr/>
                  <a:graphic xmlns:a="http://schemas.openxmlformats.org/drawingml/2006/main">
                    <a:graphicData uri="http://schemas.openxmlformats.org/drawingml/2006/picture">
                      <pic:pic xmlns:pic="http://schemas.openxmlformats.org/drawingml/2006/picture">
                        <pic:nvPicPr>
                          <pic:cNvPr id="249" name="图片_73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050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50" name="图片_733"/>
                  <wp:cNvGraphicFramePr/>
                  <a:graphic xmlns:a="http://schemas.openxmlformats.org/drawingml/2006/main">
                    <a:graphicData uri="http://schemas.openxmlformats.org/drawingml/2006/picture">
                      <pic:pic xmlns:pic="http://schemas.openxmlformats.org/drawingml/2006/picture">
                        <pic:nvPicPr>
                          <pic:cNvPr id="250" name="图片_73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060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51" name="图片_732"/>
                  <wp:cNvGraphicFramePr/>
                  <a:graphic xmlns:a="http://schemas.openxmlformats.org/drawingml/2006/main">
                    <a:graphicData uri="http://schemas.openxmlformats.org/drawingml/2006/picture">
                      <pic:pic xmlns:pic="http://schemas.openxmlformats.org/drawingml/2006/picture">
                        <pic:nvPicPr>
                          <pic:cNvPr id="251" name="图片_73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070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52" name="图片_731"/>
                  <wp:cNvGraphicFramePr/>
                  <a:graphic xmlns:a="http://schemas.openxmlformats.org/drawingml/2006/main">
                    <a:graphicData uri="http://schemas.openxmlformats.org/drawingml/2006/picture">
                      <pic:pic xmlns:pic="http://schemas.openxmlformats.org/drawingml/2006/picture">
                        <pic:nvPicPr>
                          <pic:cNvPr id="252" name="图片_73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080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53" name="图片_730"/>
                  <wp:cNvGraphicFramePr/>
                  <a:graphic xmlns:a="http://schemas.openxmlformats.org/drawingml/2006/main">
                    <a:graphicData uri="http://schemas.openxmlformats.org/drawingml/2006/picture">
                      <pic:pic xmlns:pic="http://schemas.openxmlformats.org/drawingml/2006/picture">
                        <pic:nvPicPr>
                          <pic:cNvPr id="253" name="图片_73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091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54" name="图片_729"/>
                  <wp:cNvGraphicFramePr/>
                  <a:graphic xmlns:a="http://schemas.openxmlformats.org/drawingml/2006/main">
                    <a:graphicData uri="http://schemas.openxmlformats.org/drawingml/2006/picture">
                      <pic:pic xmlns:pic="http://schemas.openxmlformats.org/drawingml/2006/picture">
                        <pic:nvPicPr>
                          <pic:cNvPr id="254" name="图片_72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101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55" name="图片_728"/>
                  <wp:cNvGraphicFramePr/>
                  <a:graphic xmlns:a="http://schemas.openxmlformats.org/drawingml/2006/main">
                    <a:graphicData uri="http://schemas.openxmlformats.org/drawingml/2006/picture">
                      <pic:pic xmlns:pic="http://schemas.openxmlformats.org/drawingml/2006/picture">
                        <pic:nvPicPr>
                          <pic:cNvPr id="255" name="图片_72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111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56" name="图片_727"/>
                  <wp:cNvGraphicFramePr/>
                  <a:graphic xmlns:a="http://schemas.openxmlformats.org/drawingml/2006/main">
                    <a:graphicData uri="http://schemas.openxmlformats.org/drawingml/2006/picture">
                      <pic:pic xmlns:pic="http://schemas.openxmlformats.org/drawingml/2006/picture">
                        <pic:nvPicPr>
                          <pic:cNvPr id="256" name="图片_72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121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57" name="图片_726"/>
                  <wp:cNvGraphicFramePr/>
                  <a:graphic xmlns:a="http://schemas.openxmlformats.org/drawingml/2006/main">
                    <a:graphicData uri="http://schemas.openxmlformats.org/drawingml/2006/picture">
                      <pic:pic xmlns:pic="http://schemas.openxmlformats.org/drawingml/2006/picture">
                        <pic:nvPicPr>
                          <pic:cNvPr id="257" name="图片_72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132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58" name="图片_725"/>
                  <wp:cNvGraphicFramePr/>
                  <a:graphic xmlns:a="http://schemas.openxmlformats.org/drawingml/2006/main">
                    <a:graphicData uri="http://schemas.openxmlformats.org/drawingml/2006/picture">
                      <pic:pic xmlns:pic="http://schemas.openxmlformats.org/drawingml/2006/picture">
                        <pic:nvPicPr>
                          <pic:cNvPr id="258" name="图片_72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142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59" name="图片_724"/>
                  <wp:cNvGraphicFramePr/>
                  <a:graphic xmlns:a="http://schemas.openxmlformats.org/drawingml/2006/main">
                    <a:graphicData uri="http://schemas.openxmlformats.org/drawingml/2006/picture">
                      <pic:pic xmlns:pic="http://schemas.openxmlformats.org/drawingml/2006/picture">
                        <pic:nvPicPr>
                          <pic:cNvPr id="259" name="图片_72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152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60" name="图片_272"/>
                  <wp:cNvGraphicFramePr/>
                  <a:graphic xmlns:a="http://schemas.openxmlformats.org/drawingml/2006/main">
                    <a:graphicData uri="http://schemas.openxmlformats.org/drawingml/2006/picture">
                      <pic:pic xmlns:pic="http://schemas.openxmlformats.org/drawingml/2006/picture">
                        <pic:nvPicPr>
                          <pic:cNvPr id="260" name="图片_27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162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61" name="图片_525"/>
                  <wp:cNvGraphicFramePr/>
                  <a:graphic xmlns:a="http://schemas.openxmlformats.org/drawingml/2006/main">
                    <a:graphicData uri="http://schemas.openxmlformats.org/drawingml/2006/picture">
                      <pic:pic xmlns:pic="http://schemas.openxmlformats.org/drawingml/2006/picture">
                        <pic:nvPicPr>
                          <pic:cNvPr id="261" name="图片_52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173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62" name="图片_524"/>
                  <wp:cNvGraphicFramePr/>
                  <a:graphic xmlns:a="http://schemas.openxmlformats.org/drawingml/2006/main">
                    <a:graphicData uri="http://schemas.openxmlformats.org/drawingml/2006/picture">
                      <pic:pic xmlns:pic="http://schemas.openxmlformats.org/drawingml/2006/picture">
                        <pic:nvPicPr>
                          <pic:cNvPr id="262" name="图片_52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183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63" name="图片_721"/>
                  <wp:cNvGraphicFramePr/>
                  <a:graphic xmlns:a="http://schemas.openxmlformats.org/drawingml/2006/main">
                    <a:graphicData uri="http://schemas.openxmlformats.org/drawingml/2006/picture">
                      <pic:pic xmlns:pic="http://schemas.openxmlformats.org/drawingml/2006/picture">
                        <pic:nvPicPr>
                          <pic:cNvPr id="263" name="图片_72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193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64" name="图片_720"/>
                  <wp:cNvGraphicFramePr/>
                  <a:graphic xmlns:a="http://schemas.openxmlformats.org/drawingml/2006/main">
                    <a:graphicData uri="http://schemas.openxmlformats.org/drawingml/2006/picture">
                      <pic:pic xmlns:pic="http://schemas.openxmlformats.org/drawingml/2006/picture">
                        <pic:nvPicPr>
                          <pic:cNvPr id="264" name="图片_72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203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65" name="图片_719"/>
                  <wp:cNvGraphicFramePr/>
                  <a:graphic xmlns:a="http://schemas.openxmlformats.org/drawingml/2006/main">
                    <a:graphicData uri="http://schemas.openxmlformats.org/drawingml/2006/picture">
                      <pic:pic xmlns:pic="http://schemas.openxmlformats.org/drawingml/2006/picture">
                        <pic:nvPicPr>
                          <pic:cNvPr id="265" name="图片_71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214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66" name="图片_718"/>
                  <wp:cNvGraphicFramePr/>
                  <a:graphic xmlns:a="http://schemas.openxmlformats.org/drawingml/2006/main">
                    <a:graphicData uri="http://schemas.openxmlformats.org/drawingml/2006/picture">
                      <pic:pic xmlns:pic="http://schemas.openxmlformats.org/drawingml/2006/picture">
                        <pic:nvPicPr>
                          <pic:cNvPr id="266" name="图片_71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224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67" name="图片_717"/>
                  <wp:cNvGraphicFramePr/>
                  <a:graphic xmlns:a="http://schemas.openxmlformats.org/drawingml/2006/main">
                    <a:graphicData uri="http://schemas.openxmlformats.org/drawingml/2006/picture">
                      <pic:pic xmlns:pic="http://schemas.openxmlformats.org/drawingml/2006/picture">
                        <pic:nvPicPr>
                          <pic:cNvPr id="267" name="图片_71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234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68" name="图片_716"/>
                  <wp:cNvGraphicFramePr/>
                  <a:graphic xmlns:a="http://schemas.openxmlformats.org/drawingml/2006/main">
                    <a:graphicData uri="http://schemas.openxmlformats.org/drawingml/2006/picture">
                      <pic:pic xmlns:pic="http://schemas.openxmlformats.org/drawingml/2006/picture">
                        <pic:nvPicPr>
                          <pic:cNvPr id="268" name="图片_71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244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69" name="图片_715"/>
                  <wp:cNvGraphicFramePr/>
                  <a:graphic xmlns:a="http://schemas.openxmlformats.org/drawingml/2006/main">
                    <a:graphicData uri="http://schemas.openxmlformats.org/drawingml/2006/picture">
                      <pic:pic xmlns:pic="http://schemas.openxmlformats.org/drawingml/2006/picture">
                        <pic:nvPicPr>
                          <pic:cNvPr id="269" name="图片_71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255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70" name="图片_714"/>
                  <wp:cNvGraphicFramePr/>
                  <a:graphic xmlns:a="http://schemas.openxmlformats.org/drawingml/2006/main">
                    <a:graphicData uri="http://schemas.openxmlformats.org/drawingml/2006/picture">
                      <pic:pic xmlns:pic="http://schemas.openxmlformats.org/drawingml/2006/picture">
                        <pic:nvPicPr>
                          <pic:cNvPr id="270" name="图片_71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265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71" name="图片_713"/>
                  <wp:cNvGraphicFramePr/>
                  <a:graphic xmlns:a="http://schemas.openxmlformats.org/drawingml/2006/main">
                    <a:graphicData uri="http://schemas.openxmlformats.org/drawingml/2006/picture">
                      <pic:pic xmlns:pic="http://schemas.openxmlformats.org/drawingml/2006/picture">
                        <pic:nvPicPr>
                          <pic:cNvPr id="271" name="图片_71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275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72" name="图片_712"/>
                  <wp:cNvGraphicFramePr/>
                  <a:graphic xmlns:a="http://schemas.openxmlformats.org/drawingml/2006/main">
                    <a:graphicData uri="http://schemas.openxmlformats.org/drawingml/2006/picture">
                      <pic:pic xmlns:pic="http://schemas.openxmlformats.org/drawingml/2006/picture">
                        <pic:nvPicPr>
                          <pic:cNvPr id="272" name="图片_71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285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73" name="图片_711"/>
                  <wp:cNvGraphicFramePr/>
                  <a:graphic xmlns:a="http://schemas.openxmlformats.org/drawingml/2006/main">
                    <a:graphicData uri="http://schemas.openxmlformats.org/drawingml/2006/picture">
                      <pic:pic xmlns:pic="http://schemas.openxmlformats.org/drawingml/2006/picture">
                        <pic:nvPicPr>
                          <pic:cNvPr id="273" name="图片_71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296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74" name="图片_710"/>
                  <wp:cNvGraphicFramePr/>
                  <a:graphic xmlns:a="http://schemas.openxmlformats.org/drawingml/2006/main">
                    <a:graphicData uri="http://schemas.openxmlformats.org/drawingml/2006/picture">
                      <pic:pic xmlns:pic="http://schemas.openxmlformats.org/drawingml/2006/picture">
                        <pic:nvPicPr>
                          <pic:cNvPr id="274" name="图片_71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306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75" name="图片_709"/>
                  <wp:cNvGraphicFramePr/>
                  <a:graphic xmlns:a="http://schemas.openxmlformats.org/drawingml/2006/main">
                    <a:graphicData uri="http://schemas.openxmlformats.org/drawingml/2006/picture">
                      <pic:pic xmlns:pic="http://schemas.openxmlformats.org/drawingml/2006/picture">
                        <pic:nvPicPr>
                          <pic:cNvPr id="275" name="图片_70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316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76" name="图片_708"/>
                  <wp:cNvGraphicFramePr/>
                  <a:graphic xmlns:a="http://schemas.openxmlformats.org/drawingml/2006/main">
                    <a:graphicData uri="http://schemas.openxmlformats.org/drawingml/2006/picture">
                      <pic:pic xmlns:pic="http://schemas.openxmlformats.org/drawingml/2006/picture">
                        <pic:nvPicPr>
                          <pic:cNvPr id="276" name="图片_70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326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77" name="图片_493"/>
                  <wp:cNvGraphicFramePr/>
                  <a:graphic xmlns:a="http://schemas.openxmlformats.org/drawingml/2006/main">
                    <a:graphicData uri="http://schemas.openxmlformats.org/drawingml/2006/picture">
                      <pic:pic xmlns:pic="http://schemas.openxmlformats.org/drawingml/2006/picture">
                        <pic:nvPicPr>
                          <pic:cNvPr id="277" name="图片_49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336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78" name="图片_706"/>
                  <wp:cNvGraphicFramePr/>
                  <a:graphic xmlns:a="http://schemas.openxmlformats.org/drawingml/2006/main">
                    <a:graphicData uri="http://schemas.openxmlformats.org/drawingml/2006/picture">
                      <pic:pic xmlns:pic="http://schemas.openxmlformats.org/drawingml/2006/picture">
                        <pic:nvPicPr>
                          <pic:cNvPr id="278" name="图片_70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347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79" name="图片_705"/>
                  <wp:cNvGraphicFramePr/>
                  <a:graphic xmlns:a="http://schemas.openxmlformats.org/drawingml/2006/main">
                    <a:graphicData uri="http://schemas.openxmlformats.org/drawingml/2006/picture">
                      <pic:pic xmlns:pic="http://schemas.openxmlformats.org/drawingml/2006/picture">
                        <pic:nvPicPr>
                          <pic:cNvPr id="279" name="图片_70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357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80" name="图片_704"/>
                  <wp:cNvGraphicFramePr/>
                  <a:graphic xmlns:a="http://schemas.openxmlformats.org/drawingml/2006/main">
                    <a:graphicData uri="http://schemas.openxmlformats.org/drawingml/2006/picture">
                      <pic:pic xmlns:pic="http://schemas.openxmlformats.org/drawingml/2006/picture">
                        <pic:nvPicPr>
                          <pic:cNvPr id="280" name="图片_70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367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81" name="图片_703"/>
                  <wp:cNvGraphicFramePr/>
                  <a:graphic xmlns:a="http://schemas.openxmlformats.org/drawingml/2006/main">
                    <a:graphicData uri="http://schemas.openxmlformats.org/drawingml/2006/picture">
                      <pic:pic xmlns:pic="http://schemas.openxmlformats.org/drawingml/2006/picture">
                        <pic:nvPicPr>
                          <pic:cNvPr id="281" name="图片_70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377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82" name="图片_702"/>
                  <wp:cNvGraphicFramePr/>
                  <a:graphic xmlns:a="http://schemas.openxmlformats.org/drawingml/2006/main">
                    <a:graphicData uri="http://schemas.openxmlformats.org/drawingml/2006/picture">
                      <pic:pic xmlns:pic="http://schemas.openxmlformats.org/drawingml/2006/picture">
                        <pic:nvPicPr>
                          <pic:cNvPr id="282" name="图片_70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388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83" name="图片_701"/>
                  <wp:cNvGraphicFramePr/>
                  <a:graphic xmlns:a="http://schemas.openxmlformats.org/drawingml/2006/main">
                    <a:graphicData uri="http://schemas.openxmlformats.org/drawingml/2006/picture">
                      <pic:pic xmlns:pic="http://schemas.openxmlformats.org/drawingml/2006/picture">
                        <pic:nvPicPr>
                          <pic:cNvPr id="283" name="图片_70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398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84" name="图片_700"/>
                  <wp:cNvGraphicFramePr/>
                  <a:graphic xmlns:a="http://schemas.openxmlformats.org/drawingml/2006/main">
                    <a:graphicData uri="http://schemas.openxmlformats.org/drawingml/2006/picture">
                      <pic:pic xmlns:pic="http://schemas.openxmlformats.org/drawingml/2006/picture">
                        <pic:nvPicPr>
                          <pic:cNvPr id="284" name="图片_70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408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85" name="图片_699"/>
                  <wp:cNvGraphicFramePr/>
                  <a:graphic xmlns:a="http://schemas.openxmlformats.org/drawingml/2006/main">
                    <a:graphicData uri="http://schemas.openxmlformats.org/drawingml/2006/picture">
                      <pic:pic xmlns:pic="http://schemas.openxmlformats.org/drawingml/2006/picture">
                        <pic:nvPicPr>
                          <pic:cNvPr id="285" name="图片_69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418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86" name="图片_698"/>
                  <wp:cNvGraphicFramePr/>
                  <a:graphic xmlns:a="http://schemas.openxmlformats.org/drawingml/2006/main">
                    <a:graphicData uri="http://schemas.openxmlformats.org/drawingml/2006/picture">
                      <pic:pic xmlns:pic="http://schemas.openxmlformats.org/drawingml/2006/picture">
                        <pic:nvPicPr>
                          <pic:cNvPr id="286" name="图片_69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429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87" name="图片_697"/>
                  <wp:cNvGraphicFramePr/>
                  <a:graphic xmlns:a="http://schemas.openxmlformats.org/drawingml/2006/main">
                    <a:graphicData uri="http://schemas.openxmlformats.org/drawingml/2006/picture">
                      <pic:pic xmlns:pic="http://schemas.openxmlformats.org/drawingml/2006/picture">
                        <pic:nvPicPr>
                          <pic:cNvPr id="287" name="图片_69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439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88" name="图片_696"/>
                  <wp:cNvGraphicFramePr/>
                  <a:graphic xmlns:a="http://schemas.openxmlformats.org/drawingml/2006/main">
                    <a:graphicData uri="http://schemas.openxmlformats.org/drawingml/2006/picture">
                      <pic:pic xmlns:pic="http://schemas.openxmlformats.org/drawingml/2006/picture">
                        <pic:nvPicPr>
                          <pic:cNvPr id="288" name="图片_69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449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89" name="图片_695"/>
                  <wp:cNvGraphicFramePr/>
                  <a:graphic xmlns:a="http://schemas.openxmlformats.org/drawingml/2006/main">
                    <a:graphicData uri="http://schemas.openxmlformats.org/drawingml/2006/picture">
                      <pic:pic xmlns:pic="http://schemas.openxmlformats.org/drawingml/2006/picture">
                        <pic:nvPicPr>
                          <pic:cNvPr id="289" name="图片_69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459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90" name="图片_694"/>
                  <wp:cNvGraphicFramePr/>
                  <a:graphic xmlns:a="http://schemas.openxmlformats.org/drawingml/2006/main">
                    <a:graphicData uri="http://schemas.openxmlformats.org/drawingml/2006/picture">
                      <pic:pic xmlns:pic="http://schemas.openxmlformats.org/drawingml/2006/picture">
                        <pic:nvPicPr>
                          <pic:cNvPr id="290" name="图片_69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470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91" name="图片_693"/>
                  <wp:cNvGraphicFramePr/>
                  <a:graphic xmlns:a="http://schemas.openxmlformats.org/drawingml/2006/main">
                    <a:graphicData uri="http://schemas.openxmlformats.org/drawingml/2006/picture">
                      <pic:pic xmlns:pic="http://schemas.openxmlformats.org/drawingml/2006/picture">
                        <pic:nvPicPr>
                          <pic:cNvPr id="291" name="图片_69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480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92" name="图片_692"/>
                  <wp:cNvGraphicFramePr/>
                  <a:graphic xmlns:a="http://schemas.openxmlformats.org/drawingml/2006/main">
                    <a:graphicData uri="http://schemas.openxmlformats.org/drawingml/2006/picture">
                      <pic:pic xmlns:pic="http://schemas.openxmlformats.org/drawingml/2006/picture">
                        <pic:nvPicPr>
                          <pic:cNvPr id="292" name="图片_69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490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93" name="图片_690"/>
                  <wp:cNvGraphicFramePr/>
                  <a:graphic xmlns:a="http://schemas.openxmlformats.org/drawingml/2006/main">
                    <a:graphicData uri="http://schemas.openxmlformats.org/drawingml/2006/picture">
                      <pic:pic xmlns:pic="http://schemas.openxmlformats.org/drawingml/2006/picture">
                        <pic:nvPicPr>
                          <pic:cNvPr id="293" name="图片_69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500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94" name="图片_689"/>
                  <wp:cNvGraphicFramePr/>
                  <a:graphic xmlns:a="http://schemas.openxmlformats.org/drawingml/2006/main">
                    <a:graphicData uri="http://schemas.openxmlformats.org/drawingml/2006/picture">
                      <pic:pic xmlns:pic="http://schemas.openxmlformats.org/drawingml/2006/picture">
                        <pic:nvPicPr>
                          <pic:cNvPr id="294" name="图片_68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511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95" name="图片_688"/>
                  <wp:cNvGraphicFramePr/>
                  <a:graphic xmlns:a="http://schemas.openxmlformats.org/drawingml/2006/main">
                    <a:graphicData uri="http://schemas.openxmlformats.org/drawingml/2006/picture">
                      <pic:pic xmlns:pic="http://schemas.openxmlformats.org/drawingml/2006/picture">
                        <pic:nvPicPr>
                          <pic:cNvPr id="295" name="图片_68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521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96" name="图片_687"/>
                  <wp:cNvGraphicFramePr/>
                  <a:graphic xmlns:a="http://schemas.openxmlformats.org/drawingml/2006/main">
                    <a:graphicData uri="http://schemas.openxmlformats.org/drawingml/2006/picture">
                      <pic:pic xmlns:pic="http://schemas.openxmlformats.org/drawingml/2006/picture">
                        <pic:nvPicPr>
                          <pic:cNvPr id="296" name="图片_68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531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97" name="图片_686"/>
                  <wp:cNvGraphicFramePr/>
                  <a:graphic xmlns:a="http://schemas.openxmlformats.org/drawingml/2006/main">
                    <a:graphicData uri="http://schemas.openxmlformats.org/drawingml/2006/picture">
                      <pic:pic xmlns:pic="http://schemas.openxmlformats.org/drawingml/2006/picture">
                        <pic:nvPicPr>
                          <pic:cNvPr id="297" name="图片_68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541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98" name="图片_685"/>
                  <wp:cNvGraphicFramePr/>
                  <a:graphic xmlns:a="http://schemas.openxmlformats.org/drawingml/2006/main">
                    <a:graphicData uri="http://schemas.openxmlformats.org/drawingml/2006/picture">
                      <pic:pic xmlns:pic="http://schemas.openxmlformats.org/drawingml/2006/picture">
                        <pic:nvPicPr>
                          <pic:cNvPr id="298" name="图片_68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552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299" name="图片_684"/>
                  <wp:cNvGraphicFramePr/>
                  <a:graphic xmlns:a="http://schemas.openxmlformats.org/drawingml/2006/main">
                    <a:graphicData uri="http://schemas.openxmlformats.org/drawingml/2006/picture">
                      <pic:pic xmlns:pic="http://schemas.openxmlformats.org/drawingml/2006/picture">
                        <pic:nvPicPr>
                          <pic:cNvPr id="299" name="图片_68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562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00" name="图片_683"/>
                  <wp:cNvGraphicFramePr/>
                  <a:graphic xmlns:a="http://schemas.openxmlformats.org/drawingml/2006/main">
                    <a:graphicData uri="http://schemas.openxmlformats.org/drawingml/2006/picture">
                      <pic:pic xmlns:pic="http://schemas.openxmlformats.org/drawingml/2006/picture">
                        <pic:nvPicPr>
                          <pic:cNvPr id="300" name="图片_68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572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01" name="图片_682"/>
                  <wp:cNvGraphicFramePr/>
                  <a:graphic xmlns:a="http://schemas.openxmlformats.org/drawingml/2006/main">
                    <a:graphicData uri="http://schemas.openxmlformats.org/drawingml/2006/picture">
                      <pic:pic xmlns:pic="http://schemas.openxmlformats.org/drawingml/2006/picture">
                        <pic:nvPicPr>
                          <pic:cNvPr id="301" name="图片_68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582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02" name="图片_681"/>
                  <wp:cNvGraphicFramePr/>
                  <a:graphic xmlns:a="http://schemas.openxmlformats.org/drawingml/2006/main">
                    <a:graphicData uri="http://schemas.openxmlformats.org/drawingml/2006/picture">
                      <pic:pic xmlns:pic="http://schemas.openxmlformats.org/drawingml/2006/picture">
                        <pic:nvPicPr>
                          <pic:cNvPr id="302" name="图片_68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592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03" name="图片_680"/>
                  <wp:cNvGraphicFramePr/>
                  <a:graphic xmlns:a="http://schemas.openxmlformats.org/drawingml/2006/main">
                    <a:graphicData uri="http://schemas.openxmlformats.org/drawingml/2006/picture">
                      <pic:pic xmlns:pic="http://schemas.openxmlformats.org/drawingml/2006/picture">
                        <pic:nvPicPr>
                          <pic:cNvPr id="303" name="图片_68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603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04" name="图片_679"/>
                  <wp:cNvGraphicFramePr/>
                  <a:graphic xmlns:a="http://schemas.openxmlformats.org/drawingml/2006/main">
                    <a:graphicData uri="http://schemas.openxmlformats.org/drawingml/2006/picture">
                      <pic:pic xmlns:pic="http://schemas.openxmlformats.org/drawingml/2006/picture">
                        <pic:nvPicPr>
                          <pic:cNvPr id="304" name="图片_67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613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05" name="图片_678"/>
                  <wp:cNvGraphicFramePr/>
                  <a:graphic xmlns:a="http://schemas.openxmlformats.org/drawingml/2006/main">
                    <a:graphicData uri="http://schemas.openxmlformats.org/drawingml/2006/picture">
                      <pic:pic xmlns:pic="http://schemas.openxmlformats.org/drawingml/2006/picture">
                        <pic:nvPicPr>
                          <pic:cNvPr id="305" name="图片_67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623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06" name="图片_677"/>
                  <wp:cNvGraphicFramePr/>
                  <a:graphic xmlns:a="http://schemas.openxmlformats.org/drawingml/2006/main">
                    <a:graphicData uri="http://schemas.openxmlformats.org/drawingml/2006/picture">
                      <pic:pic xmlns:pic="http://schemas.openxmlformats.org/drawingml/2006/picture">
                        <pic:nvPicPr>
                          <pic:cNvPr id="306" name="图片_67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633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07" name="图片_676"/>
                  <wp:cNvGraphicFramePr/>
                  <a:graphic xmlns:a="http://schemas.openxmlformats.org/drawingml/2006/main">
                    <a:graphicData uri="http://schemas.openxmlformats.org/drawingml/2006/picture">
                      <pic:pic xmlns:pic="http://schemas.openxmlformats.org/drawingml/2006/picture">
                        <pic:nvPicPr>
                          <pic:cNvPr id="307" name="图片_67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644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08" name="图片_496"/>
                  <wp:cNvGraphicFramePr/>
                  <a:graphic xmlns:a="http://schemas.openxmlformats.org/drawingml/2006/main">
                    <a:graphicData uri="http://schemas.openxmlformats.org/drawingml/2006/picture">
                      <pic:pic xmlns:pic="http://schemas.openxmlformats.org/drawingml/2006/picture">
                        <pic:nvPicPr>
                          <pic:cNvPr id="308" name="图片_49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654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09" name="图片_674"/>
                  <wp:cNvGraphicFramePr/>
                  <a:graphic xmlns:a="http://schemas.openxmlformats.org/drawingml/2006/main">
                    <a:graphicData uri="http://schemas.openxmlformats.org/drawingml/2006/picture">
                      <pic:pic xmlns:pic="http://schemas.openxmlformats.org/drawingml/2006/picture">
                        <pic:nvPicPr>
                          <pic:cNvPr id="309" name="图片_67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664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10" name="图片_673"/>
                  <wp:cNvGraphicFramePr/>
                  <a:graphic xmlns:a="http://schemas.openxmlformats.org/drawingml/2006/main">
                    <a:graphicData uri="http://schemas.openxmlformats.org/drawingml/2006/picture">
                      <pic:pic xmlns:pic="http://schemas.openxmlformats.org/drawingml/2006/picture">
                        <pic:nvPicPr>
                          <pic:cNvPr id="310" name="图片_67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674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11" name="图片_672"/>
                  <wp:cNvGraphicFramePr/>
                  <a:graphic xmlns:a="http://schemas.openxmlformats.org/drawingml/2006/main">
                    <a:graphicData uri="http://schemas.openxmlformats.org/drawingml/2006/picture">
                      <pic:pic xmlns:pic="http://schemas.openxmlformats.org/drawingml/2006/picture">
                        <pic:nvPicPr>
                          <pic:cNvPr id="311" name="图片_67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685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12" name="图片_671"/>
                  <wp:cNvGraphicFramePr/>
                  <a:graphic xmlns:a="http://schemas.openxmlformats.org/drawingml/2006/main">
                    <a:graphicData uri="http://schemas.openxmlformats.org/drawingml/2006/picture">
                      <pic:pic xmlns:pic="http://schemas.openxmlformats.org/drawingml/2006/picture">
                        <pic:nvPicPr>
                          <pic:cNvPr id="312" name="图片_67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695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13" name="图片_670"/>
                  <wp:cNvGraphicFramePr/>
                  <a:graphic xmlns:a="http://schemas.openxmlformats.org/drawingml/2006/main">
                    <a:graphicData uri="http://schemas.openxmlformats.org/drawingml/2006/picture">
                      <pic:pic xmlns:pic="http://schemas.openxmlformats.org/drawingml/2006/picture">
                        <pic:nvPicPr>
                          <pic:cNvPr id="313" name="图片_67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705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14" name="图片_669"/>
                  <wp:cNvGraphicFramePr/>
                  <a:graphic xmlns:a="http://schemas.openxmlformats.org/drawingml/2006/main">
                    <a:graphicData uri="http://schemas.openxmlformats.org/drawingml/2006/picture">
                      <pic:pic xmlns:pic="http://schemas.openxmlformats.org/drawingml/2006/picture">
                        <pic:nvPicPr>
                          <pic:cNvPr id="314" name="图片_66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715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15" name="图片_668"/>
                  <wp:cNvGraphicFramePr/>
                  <a:graphic xmlns:a="http://schemas.openxmlformats.org/drawingml/2006/main">
                    <a:graphicData uri="http://schemas.openxmlformats.org/drawingml/2006/picture">
                      <pic:pic xmlns:pic="http://schemas.openxmlformats.org/drawingml/2006/picture">
                        <pic:nvPicPr>
                          <pic:cNvPr id="315" name="图片_66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726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16" name="图片_667"/>
                  <wp:cNvGraphicFramePr/>
                  <a:graphic xmlns:a="http://schemas.openxmlformats.org/drawingml/2006/main">
                    <a:graphicData uri="http://schemas.openxmlformats.org/drawingml/2006/picture">
                      <pic:pic xmlns:pic="http://schemas.openxmlformats.org/drawingml/2006/picture">
                        <pic:nvPicPr>
                          <pic:cNvPr id="316" name="图片_66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736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17" name="图片_666"/>
                  <wp:cNvGraphicFramePr/>
                  <a:graphic xmlns:a="http://schemas.openxmlformats.org/drawingml/2006/main">
                    <a:graphicData uri="http://schemas.openxmlformats.org/drawingml/2006/picture">
                      <pic:pic xmlns:pic="http://schemas.openxmlformats.org/drawingml/2006/picture">
                        <pic:nvPicPr>
                          <pic:cNvPr id="317" name="图片_66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746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18" name="图片_665"/>
                  <wp:cNvGraphicFramePr/>
                  <a:graphic xmlns:a="http://schemas.openxmlformats.org/drawingml/2006/main">
                    <a:graphicData uri="http://schemas.openxmlformats.org/drawingml/2006/picture">
                      <pic:pic xmlns:pic="http://schemas.openxmlformats.org/drawingml/2006/picture">
                        <pic:nvPicPr>
                          <pic:cNvPr id="318" name="图片_66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756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19" name="图片_664"/>
                  <wp:cNvGraphicFramePr/>
                  <a:graphic xmlns:a="http://schemas.openxmlformats.org/drawingml/2006/main">
                    <a:graphicData uri="http://schemas.openxmlformats.org/drawingml/2006/picture">
                      <pic:pic xmlns:pic="http://schemas.openxmlformats.org/drawingml/2006/picture">
                        <pic:nvPicPr>
                          <pic:cNvPr id="319" name="图片_66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767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20" name="图片_663"/>
                  <wp:cNvGraphicFramePr/>
                  <a:graphic xmlns:a="http://schemas.openxmlformats.org/drawingml/2006/main">
                    <a:graphicData uri="http://schemas.openxmlformats.org/drawingml/2006/picture">
                      <pic:pic xmlns:pic="http://schemas.openxmlformats.org/drawingml/2006/picture">
                        <pic:nvPicPr>
                          <pic:cNvPr id="320" name="图片_66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777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21" name="图片_662"/>
                  <wp:cNvGraphicFramePr/>
                  <a:graphic xmlns:a="http://schemas.openxmlformats.org/drawingml/2006/main">
                    <a:graphicData uri="http://schemas.openxmlformats.org/drawingml/2006/picture">
                      <pic:pic xmlns:pic="http://schemas.openxmlformats.org/drawingml/2006/picture">
                        <pic:nvPicPr>
                          <pic:cNvPr id="321" name="图片_66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787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22" name="图片_661"/>
                  <wp:cNvGraphicFramePr/>
                  <a:graphic xmlns:a="http://schemas.openxmlformats.org/drawingml/2006/main">
                    <a:graphicData uri="http://schemas.openxmlformats.org/drawingml/2006/picture">
                      <pic:pic xmlns:pic="http://schemas.openxmlformats.org/drawingml/2006/picture">
                        <pic:nvPicPr>
                          <pic:cNvPr id="322" name="图片_66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797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23" name="图片_660"/>
                  <wp:cNvGraphicFramePr/>
                  <a:graphic xmlns:a="http://schemas.openxmlformats.org/drawingml/2006/main">
                    <a:graphicData uri="http://schemas.openxmlformats.org/drawingml/2006/picture">
                      <pic:pic xmlns:pic="http://schemas.openxmlformats.org/drawingml/2006/picture">
                        <pic:nvPicPr>
                          <pic:cNvPr id="323" name="图片_66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808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24" name="图片_82"/>
                  <wp:cNvGraphicFramePr/>
                  <a:graphic xmlns:a="http://schemas.openxmlformats.org/drawingml/2006/main">
                    <a:graphicData uri="http://schemas.openxmlformats.org/drawingml/2006/picture">
                      <pic:pic xmlns:pic="http://schemas.openxmlformats.org/drawingml/2006/picture">
                        <pic:nvPicPr>
                          <pic:cNvPr id="324" name="图片_8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818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25" name="图片_145"/>
                  <wp:cNvGraphicFramePr/>
                  <a:graphic xmlns:a="http://schemas.openxmlformats.org/drawingml/2006/main">
                    <a:graphicData uri="http://schemas.openxmlformats.org/drawingml/2006/picture">
                      <pic:pic xmlns:pic="http://schemas.openxmlformats.org/drawingml/2006/picture">
                        <pic:nvPicPr>
                          <pic:cNvPr id="325" name="图片_14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828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26" name="图片_271"/>
                  <wp:cNvGraphicFramePr/>
                  <a:graphic xmlns:a="http://schemas.openxmlformats.org/drawingml/2006/main">
                    <a:graphicData uri="http://schemas.openxmlformats.org/drawingml/2006/picture">
                      <pic:pic xmlns:pic="http://schemas.openxmlformats.org/drawingml/2006/picture">
                        <pic:nvPicPr>
                          <pic:cNvPr id="326" name="图片_27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838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27" name="图片_523"/>
                  <wp:cNvGraphicFramePr/>
                  <a:graphic xmlns:a="http://schemas.openxmlformats.org/drawingml/2006/main">
                    <a:graphicData uri="http://schemas.openxmlformats.org/drawingml/2006/picture">
                      <pic:pic xmlns:pic="http://schemas.openxmlformats.org/drawingml/2006/picture">
                        <pic:nvPicPr>
                          <pic:cNvPr id="327" name="图片_52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848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28" name="图片_656"/>
                  <wp:cNvGraphicFramePr/>
                  <a:graphic xmlns:a="http://schemas.openxmlformats.org/drawingml/2006/main">
                    <a:graphicData uri="http://schemas.openxmlformats.org/drawingml/2006/picture">
                      <pic:pic xmlns:pic="http://schemas.openxmlformats.org/drawingml/2006/picture">
                        <pic:nvPicPr>
                          <pic:cNvPr id="328" name="图片_65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859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29" name="图片_655"/>
                  <wp:cNvGraphicFramePr/>
                  <a:graphic xmlns:a="http://schemas.openxmlformats.org/drawingml/2006/main">
                    <a:graphicData uri="http://schemas.openxmlformats.org/drawingml/2006/picture">
                      <pic:pic xmlns:pic="http://schemas.openxmlformats.org/drawingml/2006/picture">
                        <pic:nvPicPr>
                          <pic:cNvPr id="329" name="图片_65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869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30" name="图片_654"/>
                  <wp:cNvGraphicFramePr/>
                  <a:graphic xmlns:a="http://schemas.openxmlformats.org/drawingml/2006/main">
                    <a:graphicData uri="http://schemas.openxmlformats.org/drawingml/2006/picture">
                      <pic:pic xmlns:pic="http://schemas.openxmlformats.org/drawingml/2006/picture">
                        <pic:nvPicPr>
                          <pic:cNvPr id="330" name="图片_65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879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31" name="图片_653"/>
                  <wp:cNvGraphicFramePr/>
                  <a:graphic xmlns:a="http://schemas.openxmlformats.org/drawingml/2006/main">
                    <a:graphicData uri="http://schemas.openxmlformats.org/drawingml/2006/picture">
                      <pic:pic xmlns:pic="http://schemas.openxmlformats.org/drawingml/2006/picture">
                        <pic:nvPicPr>
                          <pic:cNvPr id="331" name="图片_65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889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32" name="图片_652"/>
                  <wp:cNvGraphicFramePr/>
                  <a:graphic xmlns:a="http://schemas.openxmlformats.org/drawingml/2006/main">
                    <a:graphicData uri="http://schemas.openxmlformats.org/drawingml/2006/picture">
                      <pic:pic xmlns:pic="http://schemas.openxmlformats.org/drawingml/2006/picture">
                        <pic:nvPicPr>
                          <pic:cNvPr id="332" name="图片_65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900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33" name="图片_651"/>
                  <wp:cNvGraphicFramePr/>
                  <a:graphic xmlns:a="http://schemas.openxmlformats.org/drawingml/2006/main">
                    <a:graphicData uri="http://schemas.openxmlformats.org/drawingml/2006/picture">
                      <pic:pic xmlns:pic="http://schemas.openxmlformats.org/drawingml/2006/picture">
                        <pic:nvPicPr>
                          <pic:cNvPr id="333" name="图片_65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910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34" name="图片_650"/>
                  <wp:cNvGraphicFramePr/>
                  <a:graphic xmlns:a="http://schemas.openxmlformats.org/drawingml/2006/main">
                    <a:graphicData uri="http://schemas.openxmlformats.org/drawingml/2006/picture">
                      <pic:pic xmlns:pic="http://schemas.openxmlformats.org/drawingml/2006/picture">
                        <pic:nvPicPr>
                          <pic:cNvPr id="334" name="图片_65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920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35" name="图片_649"/>
                  <wp:cNvGraphicFramePr/>
                  <a:graphic xmlns:a="http://schemas.openxmlformats.org/drawingml/2006/main">
                    <a:graphicData uri="http://schemas.openxmlformats.org/drawingml/2006/picture">
                      <pic:pic xmlns:pic="http://schemas.openxmlformats.org/drawingml/2006/picture">
                        <pic:nvPicPr>
                          <pic:cNvPr id="335" name="图片_64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930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36" name="图片_648"/>
                  <wp:cNvGraphicFramePr/>
                  <a:graphic xmlns:a="http://schemas.openxmlformats.org/drawingml/2006/main">
                    <a:graphicData uri="http://schemas.openxmlformats.org/drawingml/2006/picture">
                      <pic:pic xmlns:pic="http://schemas.openxmlformats.org/drawingml/2006/picture">
                        <pic:nvPicPr>
                          <pic:cNvPr id="336" name="图片_64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941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37" name="图片_647"/>
                  <wp:cNvGraphicFramePr/>
                  <a:graphic xmlns:a="http://schemas.openxmlformats.org/drawingml/2006/main">
                    <a:graphicData uri="http://schemas.openxmlformats.org/drawingml/2006/picture">
                      <pic:pic xmlns:pic="http://schemas.openxmlformats.org/drawingml/2006/picture">
                        <pic:nvPicPr>
                          <pic:cNvPr id="337" name="图片_64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951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38" name="图片_646"/>
                  <wp:cNvGraphicFramePr/>
                  <a:graphic xmlns:a="http://schemas.openxmlformats.org/drawingml/2006/main">
                    <a:graphicData uri="http://schemas.openxmlformats.org/drawingml/2006/picture">
                      <pic:pic xmlns:pic="http://schemas.openxmlformats.org/drawingml/2006/picture">
                        <pic:nvPicPr>
                          <pic:cNvPr id="338" name="图片_64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961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39" name="图片_645"/>
                  <wp:cNvGraphicFramePr/>
                  <a:graphic xmlns:a="http://schemas.openxmlformats.org/drawingml/2006/main">
                    <a:graphicData uri="http://schemas.openxmlformats.org/drawingml/2006/picture">
                      <pic:pic xmlns:pic="http://schemas.openxmlformats.org/drawingml/2006/picture">
                        <pic:nvPicPr>
                          <pic:cNvPr id="339" name="图片_64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971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40" name="图片_644"/>
                  <wp:cNvGraphicFramePr/>
                  <a:graphic xmlns:a="http://schemas.openxmlformats.org/drawingml/2006/main">
                    <a:graphicData uri="http://schemas.openxmlformats.org/drawingml/2006/picture">
                      <pic:pic xmlns:pic="http://schemas.openxmlformats.org/drawingml/2006/picture">
                        <pic:nvPicPr>
                          <pic:cNvPr id="340" name="图片_64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982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41" name="图片_254"/>
                  <wp:cNvGraphicFramePr/>
                  <a:graphic xmlns:a="http://schemas.openxmlformats.org/drawingml/2006/main">
                    <a:graphicData uri="http://schemas.openxmlformats.org/drawingml/2006/picture">
                      <pic:pic xmlns:pic="http://schemas.openxmlformats.org/drawingml/2006/picture">
                        <pic:nvPicPr>
                          <pic:cNvPr id="341" name="图片_25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19992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42" name="图片_642"/>
                  <wp:cNvGraphicFramePr/>
                  <a:graphic xmlns:a="http://schemas.openxmlformats.org/drawingml/2006/main">
                    <a:graphicData uri="http://schemas.openxmlformats.org/drawingml/2006/picture">
                      <pic:pic xmlns:pic="http://schemas.openxmlformats.org/drawingml/2006/picture">
                        <pic:nvPicPr>
                          <pic:cNvPr id="342" name="图片_64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002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43" name="图片_641"/>
                  <wp:cNvGraphicFramePr/>
                  <a:graphic xmlns:a="http://schemas.openxmlformats.org/drawingml/2006/main">
                    <a:graphicData uri="http://schemas.openxmlformats.org/drawingml/2006/picture">
                      <pic:pic xmlns:pic="http://schemas.openxmlformats.org/drawingml/2006/picture">
                        <pic:nvPicPr>
                          <pic:cNvPr id="343" name="图片_64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012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44" name="图片_640"/>
                  <wp:cNvGraphicFramePr/>
                  <a:graphic xmlns:a="http://schemas.openxmlformats.org/drawingml/2006/main">
                    <a:graphicData uri="http://schemas.openxmlformats.org/drawingml/2006/picture">
                      <pic:pic xmlns:pic="http://schemas.openxmlformats.org/drawingml/2006/picture">
                        <pic:nvPicPr>
                          <pic:cNvPr id="344" name="图片_64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023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45" name="图片_639"/>
                  <wp:cNvGraphicFramePr/>
                  <a:graphic xmlns:a="http://schemas.openxmlformats.org/drawingml/2006/main">
                    <a:graphicData uri="http://schemas.openxmlformats.org/drawingml/2006/picture">
                      <pic:pic xmlns:pic="http://schemas.openxmlformats.org/drawingml/2006/picture">
                        <pic:nvPicPr>
                          <pic:cNvPr id="345" name="图片_63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033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46" name="图片_638"/>
                  <wp:cNvGraphicFramePr/>
                  <a:graphic xmlns:a="http://schemas.openxmlformats.org/drawingml/2006/main">
                    <a:graphicData uri="http://schemas.openxmlformats.org/drawingml/2006/picture">
                      <pic:pic xmlns:pic="http://schemas.openxmlformats.org/drawingml/2006/picture">
                        <pic:nvPicPr>
                          <pic:cNvPr id="346" name="图片_63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043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47" name="图片_637"/>
                  <wp:cNvGraphicFramePr/>
                  <a:graphic xmlns:a="http://schemas.openxmlformats.org/drawingml/2006/main">
                    <a:graphicData uri="http://schemas.openxmlformats.org/drawingml/2006/picture">
                      <pic:pic xmlns:pic="http://schemas.openxmlformats.org/drawingml/2006/picture">
                        <pic:nvPicPr>
                          <pic:cNvPr id="347" name="图片_63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053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48" name="图片_636"/>
                  <wp:cNvGraphicFramePr/>
                  <a:graphic xmlns:a="http://schemas.openxmlformats.org/drawingml/2006/main">
                    <a:graphicData uri="http://schemas.openxmlformats.org/drawingml/2006/picture">
                      <pic:pic xmlns:pic="http://schemas.openxmlformats.org/drawingml/2006/picture">
                        <pic:nvPicPr>
                          <pic:cNvPr id="348" name="图片_63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064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49" name="图片_635"/>
                  <wp:cNvGraphicFramePr/>
                  <a:graphic xmlns:a="http://schemas.openxmlformats.org/drawingml/2006/main">
                    <a:graphicData uri="http://schemas.openxmlformats.org/drawingml/2006/picture">
                      <pic:pic xmlns:pic="http://schemas.openxmlformats.org/drawingml/2006/picture">
                        <pic:nvPicPr>
                          <pic:cNvPr id="349" name="图片_63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074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50" name="图片_634"/>
                  <wp:cNvGraphicFramePr/>
                  <a:graphic xmlns:a="http://schemas.openxmlformats.org/drawingml/2006/main">
                    <a:graphicData uri="http://schemas.openxmlformats.org/drawingml/2006/picture">
                      <pic:pic xmlns:pic="http://schemas.openxmlformats.org/drawingml/2006/picture">
                        <pic:nvPicPr>
                          <pic:cNvPr id="350" name="图片_63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084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51" name="图片_633"/>
                  <wp:cNvGraphicFramePr/>
                  <a:graphic xmlns:a="http://schemas.openxmlformats.org/drawingml/2006/main">
                    <a:graphicData uri="http://schemas.openxmlformats.org/drawingml/2006/picture">
                      <pic:pic xmlns:pic="http://schemas.openxmlformats.org/drawingml/2006/picture">
                        <pic:nvPicPr>
                          <pic:cNvPr id="351" name="图片_63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094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52" name="图片_632"/>
                  <wp:cNvGraphicFramePr/>
                  <a:graphic xmlns:a="http://schemas.openxmlformats.org/drawingml/2006/main">
                    <a:graphicData uri="http://schemas.openxmlformats.org/drawingml/2006/picture">
                      <pic:pic xmlns:pic="http://schemas.openxmlformats.org/drawingml/2006/picture">
                        <pic:nvPicPr>
                          <pic:cNvPr id="352" name="图片_63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104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53" name="图片_631"/>
                  <wp:cNvGraphicFramePr/>
                  <a:graphic xmlns:a="http://schemas.openxmlformats.org/drawingml/2006/main">
                    <a:graphicData uri="http://schemas.openxmlformats.org/drawingml/2006/picture">
                      <pic:pic xmlns:pic="http://schemas.openxmlformats.org/drawingml/2006/picture">
                        <pic:nvPicPr>
                          <pic:cNvPr id="353" name="图片_63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115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54" name="图片_630"/>
                  <wp:cNvGraphicFramePr/>
                  <a:graphic xmlns:a="http://schemas.openxmlformats.org/drawingml/2006/main">
                    <a:graphicData uri="http://schemas.openxmlformats.org/drawingml/2006/picture">
                      <pic:pic xmlns:pic="http://schemas.openxmlformats.org/drawingml/2006/picture">
                        <pic:nvPicPr>
                          <pic:cNvPr id="354" name="图片_63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125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55" name="图片_629"/>
                  <wp:cNvGraphicFramePr/>
                  <a:graphic xmlns:a="http://schemas.openxmlformats.org/drawingml/2006/main">
                    <a:graphicData uri="http://schemas.openxmlformats.org/drawingml/2006/picture">
                      <pic:pic xmlns:pic="http://schemas.openxmlformats.org/drawingml/2006/picture">
                        <pic:nvPicPr>
                          <pic:cNvPr id="355" name="图片_62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135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56" name="图片_628"/>
                  <wp:cNvGraphicFramePr/>
                  <a:graphic xmlns:a="http://schemas.openxmlformats.org/drawingml/2006/main">
                    <a:graphicData uri="http://schemas.openxmlformats.org/drawingml/2006/picture">
                      <pic:pic xmlns:pic="http://schemas.openxmlformats.org/drawingml/2006/picture">
                        <pic:nvPicPr>
                          <pic:cNvPr id="356" name="图片_62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145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57" name="图片_522"/>
                  <wp:cNvGraphicFramePr/>
                  <a:graphic xmlns:a="http://schemas.openxmlformats.org/drawingml/2006/main">
                    <a:graphicData uri="http://schemas.openxmlformats.org/drawingml/2006/picture">
                      <pic:pic xmlns:pic="http://schemas.openxmlformats.org/drawingml/2006/picture">
                        <pic:nvPicPr>
                          <pic:cNvPr id="357" name="图片_52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156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58" name="图片_626"/>
                  <wp:cNvGraphicFramePr/>
                  <a:graphic xmlns:a="http://schemas.openxmlformats.org/drawingml/2006/main">
                    <a:graphicData uri="http://schemas.openxmlformats.org/drawingml/2006/picture">
                      <pic:pic xmlns:pic="http://schemas.openxmlformats.org/drawingml/2006/picture">
                        <pic:nvPicPr>
                          <pic:cNvPr id="358" name="图片_62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166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59" name="图片_625"/>
                  <wp:cNvGraphicFramePr/>
                  <a:graphic xmlns:a="http://schemas.openxmlformats.org/drawingml/2006/main">
                    <a:graphicData uri="http://schemas.openxmlformats.org/drawingml/2006/picture">
                      <pic:pic xmlns:pic="http://schemas.openxmlformats.org/drawingml/2006/picture">
                        <pic:nvPicPr>
                          <pic:cNvPr id="359" name="图片_62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176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60" name="图片_624"/>
                  <wp:cNvGraphicFramePr/>
                  <a:graphic xmlns:a="http://schemas.openxmlformats.org/drawingml/2006/main">
                    <a:graphicData uri="http://schemas.openxmlformats.org/drawingml/2006/picture">
                      <pic:pic xmlns:pic="http://schemas.openxmlformats.org/drawingml/2006/picture">
                        <pic:nvPicPr>
                          <pic:cNvPr id="360" name="图片_62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186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61" name="图片_623"/>
                  <wp:cNvGraphicFramePr/>
                  <a:graphic xmlns:a="http://schemas.openxmlformats.org/drawingml/2006/main">
                    <a:graphicData uri="http://schemas.openxmlformats.org/drawingml/2006/picture">
                      <pic:pic xmlns:pic="http://schemas.openxmlformats.org/drawingml/2006/picture">
                        <pic:nvPicPr>
                          <pic:cNvPr id="361" name="图片_62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197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62" name="图片_622"/>
                  <wp:cNvGraphicFramePr/>
                  <a:graphic xmlns:a="http://schemas.openxmlformats.org/drawingml/2006/main">
                    <a:graphicData uri="http://schemas.openxmlformats.org/drawingml/2006/picture">
                      <pic:pic xmlns:pic="http://schemas.openxmlformats.org/drawingml/2006/picture">
                        <pic:nvPicPr>
                          <pic:cNvPr id="362" name="图片_62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207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63" name="图片_621"/>
                  <wp:cNvGraphicFramePr/>
                  <a:graphic xmlns:a="http://schemas.openxmlformats.org/drawingml/2006/main">
                    <a:graphicData uri="http://schemas.openxmlformats.org/drawingml/2006/picture">
                      <pic:pic xmlns:pic="http://schemas.openxmlformats.org/drawingml/2006/picture">
                        <pic:nvPicPr>
                          <pic:cNvPr id="363" name="图片_62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217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64" name="图片_620"/>
                  <wp:cNvGraphicFramePr/>
                  <a:graphic xmlns:a="http://schemas.openxmlformats.org/drawingml/2006/main">
                    <a:graphicData uri="http://schemas.openxmlformats.org/drawingml/2006/picture">
                      <pic:pic xmlns:pic="http://schemas.openxmlformats.org/drawingml/2006/picture">
                        <pic:nvPicPr>
                          <pic:cNvPr id="364" name="图片_62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227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65" name="图片_619"/>
                  <wp:cNvGraphicFramePr/>
                  <a:graphic xmlns:a="http://schemas.openxmlformats.org/drawingml/2006/main">
                    <a:graphicData uri="http://schemas.openxmlformats.org/drawingml/2006/picture">
                      <pic:pic xmlns:pic="http://schemas.openxmlformats.org/drawingml/2006/picture">
                        <pic:nvPicPr>
                          <pic:cNvPr id="365" name="图片_61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238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66" name="图片_618"/>
                  <wp:cNvGraphicFramePr/>
                  <a:graphic xmlns:a="http://schemas.openxmlformats.org/drawingml/2006/main">
                    <a:graphicData uri="http://schemas.openxmlformats.org/drawingml/2006/picture">
                      <pic:pic xmlns:pic="http://schemas.openxmlformats.org/drawingml/2006/picture">
                        <pic:nvPicPr>
                          <pic:cNvPr id="366" name="图片_61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248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67" name="图片_617"/>
                  <wp:cNvGraphicFramePr/>
                  <a:graphic xmlns:a="http://schemas.openxmlformats.org/drawingml/2006/main">
                    <a:graphicData uri="http://schemas.openxmlformats.org/drawingml/2006/picture">
                      <pic:pic xmlns:pic="http://schemas.openxmlformats.org/drawingml/2006/picture">
                        <pic:nvPicPr>
                          <pic:cNvPr id="367" name="图片_61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258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68" name="图片_616"/>
                  <wp:cNvGraphicFramePr/>
                  <a:graphic xmlns:a="http://schemas.openxmlformats.org/drawingml/2006/main">
                    <a:graphicData uri="http://schemas.openxmlformats.org/drawingml/2006/picture">
                      <pic:pic xmlns:pic="http://schemas.openxmlformats.org/drawingml/2006/picture">
                        <pic:nvPicPr>
                          <pic:cNvPr id="368" name="图片_61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268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69" name="图片_615"/>
                  <wp:cNvGraphicFramePr/>
                  <a:graphic xmlns:a="http://schemas.openxmlformats.org/drawingml/2006/main">
                    <a:graphicData uri="http://schemas.openxmlformats.org/drawingml/2006/picture">
                      <pic:pic xmlns:pic="http://schemas.openxmlformats.org/drawingml/2006/picture">
                        <pic:nvPicPr>
                          <pic:cNvPr id="369" name="图片_61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279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70" name="图片_614"/>
                  <wp:cNvGraphicFramePr/>
                  <a:graphic xmlns:a="http://schemas.openxmlformats.org/drawingml/2006/main">
                    <a:graphicData uri="http://schemas.openxmlformats.org/drawingml/2006/picture">
                      <pic:pic xmlns:pic="http://schemas.openxmlformats.org/drawingml/2006/picture">
                        <pic:nvPicPr>
                          <pic:cNvPr id="370" name="图片_61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289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71" name="图片_613"/>
                  <wp:cNvGraphicFramePr/>
                  <a:graphic xmlns:a="http://schemas.openxmlformats.org/drawingml/2006/main">
                    <a:graphicData uri="http://schemas.openxmlformats.org/drawingml/2006/picture">
                      <pic:pic xmlns:pic="http://schemas.openxmlformats.org/drawingml/2006/picture">
                        <pic:nvPicPr>
                          <pic:cNvPr id="371" name="图片_61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299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72" name="图片_612"/>
                  <wp:cNvGraphicFramePr/>
                  <a:graphic xmlns:a="http://schemas.openxmlformats.org/drawingml/2006/main">
                    <a:graphicData uri="http://schemas.openxmlformats.org/drawingml/2006/picture">
                      <pic:pic xmlns:pic="http://schemas.openxmlformats.org/drawingml/2006/picture">
                        <pic:nvPicPr>
                          <pic:cNvPr id="372" name="图片_61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309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73" name="图片_495"/>
                  <wp:cNvGraphicFramePr/>
                  <a:graphic xmlns:a="http://schemas.openxmlformats.org/drawingml/2006/main">
                    <a:graphicData uri="http://schemas.openxmlformats.org/drawingml/2006/picture">
                      <pic:pic xmlns:pic="http://schemas.openxmlformats.org/drawingml/2006/picture">
                        <pic:nvPicPr>
                          <pic:cNvPr id="373" name="图片_49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320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74" name="图片_610"/>
                  <wp:cNvGraphicFramePr/>
                  <a:graphic xmlns:a="http://schemas.openxmlformats.org/drawingml/2006/main">
                    <a:graphicData uri="http://schemas.openxmlformats.org/drawingml/2006/picture">
                      <pic:pic xmlns:pic="http://schemas.openxmlformats.org/drawingml/2006/picture">
                        <pic:nvPicPr>
                          <pic:cNvPr id="374" name="图片_61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330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75" name="图片_609"/>
                  <wp:cNvGraphicFramePr/>
                  <a:graphic xmlns:a="http://schemas.openxmlformats.org/drawingml/2006/main">
                    <a:graphicData uri="http://schemas.openxmlformats.org/drawingml/2006/picture">
                      <pic:pic xmlns:pic="http://schemas.openxmlformats.org/drawingml/2006/picture">
                        <pic:nvPicPr>
                          <pic:cNvPr id="375" name="图片_60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340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76" name="图片_608"/>
                  <wp:cNvGraphicFramePr/>
                  <a:graphic xmlns:a="http://schemas.openxmlformats.org/drawingml/2006/main">
                    <a:graphicData uri="http://schemas.openxmlformats.org/drawingml/2006/picture">
                      <pic:pic xmlns:pic="http://schemas.openxmlformats.org/drawingml/2006/picture">
                        <pic:nvPicPr>
                          <pic:cNvPr id="376" name="图片_60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350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77" name="图片_607"/>
                  <wp:cNvGraphicFramePr/>
                  <a:graphic xmlns:a="http://schemas.openxmlformats.org/drawingml/2006/main">
                    <a:graphicData uri="http://schemas.openxmlformats.org/drawingml/2006/picture">
                      <pic:pic xmlns:pic="http://schemas.openxmlformats.org/drawingml/2006/picture">
                        <pic:nvPicPr>
                          <pic:cNvPr id="377" name="图片_60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360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78" name="图片_606"/>
                  <wp:cNvGraphicFramePr/>
                  <a:graphic xmlns:a="http://schemas.openxmlformats.org/drawingml/2006/main">
                    <a:graphicData uri="http://schemas.openxmlformats.org/drawingml/2006/picture">
                      <pic:pic xmlns:pic="http://schemas.openxmlformats.org/drawingml/2006/picture">
                        <pic:nvPicPr>
                          <pic:cNvPr id="378" name="图片_60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371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79" name="图片_605"/>
                  <wp:cNvGraphicFramePr/>
                  <a:graphic xmlns:a="http://schemas.openxmlformats.org/drawingml/2006/main">
                    <a:graphicData uri="http://schemas.openxmlformats.org/drawingml/2006/picture">
                      <pic:pic xmlns:pic="http://schemas.openxmlformats.org/drawingml/2006/picture">
                        <pic:nvPicPr>
                          <pic:cNvPr id="379" name="图片_60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381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80" name="图片_604"/>
                  <wp:cNvGraphicFramePr/>
                  <a:graphic xmlns:a="http://schemas.openxmlformats.org/drawingml/2006/main">
                    <a:graphicData uri="http://schemas.openxmlformats.org/drawingml/2006/picture">
                      <pic:pic xmlns:pic="http://schemas.openxmlformats.org/drawingml/2006/picture">
                        <pic:nvPicPr>
                          <pic:cNvPr id="380" name="图片_60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391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81" name="图片_603"/>
                  <wp:cNvGraphicFramePr/>
                  <a:graphic xmlns:a="http://schemas.openxmlformats.org/drawingml/2006/main">
                    <a:graphicData uri="http://schemas.openxmlformats.org/drawingml/2006/picture">
                      <pic:pic xmlns:pic="http://schemas.openxmlformats.org/drawingml/2006/picture">
                        <pic:nvPicPr>
                          <pic:cNvPr id="381" name="图片_60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401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82" name="图片_602"/>
                  <wp:cNvGraphicFramePr/>
                  <a:graphic xmlns:a="http://schemas.openxmlformats.org/drawingml/2006/main">
                    <a:graphicData uri="http://schemas.openxmlformats.org/drawingml/2006/picture">
                      <pic:pic xmlns:pic="http://schemas.openxmlformats.org/drawingml/2006/picture">
                        <pic:nvPicPr>
                          <pic:cNvPr id="382" name="图片_60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412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83" name="图片_601"/>
                  <wp:cNvGraphicFramePr/>
                  <a:graphic xmlns:a="http://schemas.openxmlformats.org/drawingml/2006/main">
                    <a:graphicData uri="http://schemas.openxmlformats.org/drawingml/2006/picture">
                      <pic:pic xmlns:pic="http://schemas.openxmlformats.org/drawingml/2006/picture">
                        <pic:nvPicPr>
                          <pic:cNvPr id="383" name="图片_60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422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84" name="图片_600"/>
                  <wp:cNvGraphicFramePr/>
                  <a:graphic xmlns:a="http://schemas.openxmlformats.org/drawingml/2006/main">
                    <a:graphicData uri="http://schemas.openxmlformats.org/drawingml/2006/picture">
                      <pic:pic xmlns:pic="http://schemas.openxmlformats.org/drawingml/2006/picture">
                        <pic:nvPicPr>
                          <pic:cNvPr id="384" name="图片_60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432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85" name="图片_599"/>
                  <wp:cNvGraphicFramePr/>
                  <a:graphic xmlns:a="http://schemas.openxmlformats.org/drawingml/2006/main">
                    <a:graphicData uri="http://schemas.openxmlformats.org/drawingml/2006/picture">
                      <pic:pic xmlns:pic="http://schemas.openxmlformats.org/drawingml/2006/picture">
                        <pic:nvPicPr>
                          <pic:cNvPr id="385" name="图片_59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442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86" name="图片_598"/>
                  <wp:cNvGraphicFramePr/>
                  <a:graphic xmlns:a="http://schemas.openxmlformats.org/drawingml/2006/main">
                    <a:graphicData uri="http://schemas.openxmlformats.org/drawingml/2006/picture">
                      <pic:pic xmlns:pic="http://schemas.openxmlformats.org/drawingml/2006/picture">
                        <pic:nvPicPr>
                          <pic:cNvPr id="386" name="图片_59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453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87" name="图片_597"/>
                  <wp:cNvGraphicFramePr/>
                  <a:graphic xmlns:a="http://schemas.openxmlformats.org/drawingml/2006/main">
                    <a:graphicData uri="http://schemas.openxmlformats.org/drawingml/2006/picture">
                      <pic:pic xmlns:pic="http://schemas.openxmlformats.org/drawingml/2006/picture">
                        <pic:nvPicPr>
                          <pic:cNvPr id="387" name="图片_59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463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88" name="图片_596"/>
                  <wp:cNvGraphicFramePr/>
                  <a:graphic xmlns:a="http://schemas.openxmlformats.org/drawingml/2006/main">
                    <a:graphicData uri="http://schemas.openxmlformats.org/drawingml/2006/picture">
                      <pic:pic xmlns:pic="http://schemas.openxmlformats.org/drawingml/2006/picture">
                        <pic:nvPicPr>
                          <pic:cNvPr id="388" name="图片_59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473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89" name="图片_270"/>
                  <wp:cNvGraphicFramePr/>
                  <a:graphic xmlns:a="http://schemas.openxmlformats.org/drawingml/2006/main">
                    <a:graphicData uri="http://schemas.openxmlformats.org/drawingml/2006/picture">
                      <pic:pic xmlns:pic="http://schemas.openxmlformats.org/drawingml/2006/picture">
                        <pic:nvPicPr>
                          <pic:cNvPr id="389" name="图片_27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483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90" name="图片_521"/>
                  <wp:cNvGraphicFramePr/>
                  <a:graphic xmlns:a="http://schemas.openxmlformats.org/drawingml/2006/main">
                    <a:graphicData uri="http://schemas.openxmlformats.org/drawingml/2006/picture">
                      <pic:pic xmlns:pic="http://schemas.openxmlformats.org/drawingml/2006/picture">
                        <pic:nvPicPr>
                          <pic:cNvPr id="390" name="图片_52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494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91" name="图片_593"/>
                  <wp:cNvGraphicFramePr/>
                  <a:graphic xmlns:a="http://schemas.openxmlformats.org/drawingml/2006/main">
                    <a:graphicData uri="http://schemas.openxmlformats.org/drawingml/2006/picture">
                      <pic:pic xmlns:pic="http://schemas.openxmlformats.org/drawingml/2006/picture">
                        <pic:nvPicPr>
                          <pic:cNvPr id="391" name="图片_59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504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92" name="图片_592"/>
                  <wp:cNvGraphicFramePr/>
                  <a:graphic xmlns:a="http://schemas.openxmlformats.org/drawingml/2006/main">
                    <a:graphicData uri="http://schemas.openxmlformats.org/drawingml/2006/picture">
                      <pic:pic xmlns:pic="http://schemas.openxmlformats.org/drawingml/2006/picture">
                        <pic:nvPicPr>
                          <pic:cNvPr id="392" name="图片_59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514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93" name="图片_591"/>
                  <wp:cNvGraphicFramePr/>
                  <a:graphic xmlns:a="http://schemas.openxmlformats.org/drawingml/2006/main">
                    <a:graphicData uri="http://schemas.openxmlformats.org/drawingml/2006/picture">
                      <pic:pic xmlns:pic="http://schemas.openxmlformats.org/drawingml/2006/picture">
                        <pic:nvPicPr>
                          <pic:cNvPr id="393" name="图片_59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524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94" name="图片_590"/>
                  <wp:cNvGraphicFramePr/>
                  <a:graphic xmlns:a="http://schemas.openxmlformats.org/drawingml/2006/main">
                    <a:graphicData uri="http://schemas.openxmlformats.org/drawingml/2006/picture">
                      <pic:pic xmlns:pic="http://schemas.openxmlformats.org/drawingml/2006/picture">
                        <pic:nvPicPr>
                          <pic:cNvPr id="394" name="图片_59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535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95" name="图片_589"/>
                  <wp:cNvGraphicFramePr/>
                  <a:graphic xmlns:a="http://schemas.openxmlformats.org/drawingml/2006/main">
                    <a:graphicData uri="http://schemas.openxmlformats.org/drawingml/2006/picture">
                      <pic:pic xmlns:pic="http://schemas.openxmlformats.org/drawingml/2006/picture">
                        <pic:nvPicPr>
                          <pic:cNvPr id="395" name="图片_58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545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96" name="图片_588"/>
                  <wp:cNvGraphicFramePr/>
                  <a:graphic xmlns:a="http://schemas.openxmlformats.org/drawingml/2006/main">
                    <a:graphicData uri="http://schemas.openxmlformats.org/drawingml/2006/picture">
                      <pic:pic xmlns:pic="http://schemas.openxmlformats.org/drawingml/2006/picture">
                        <pic:nvPicPr>
                          <pic:cNvPr id="396" name="图片_58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555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97" name="图片_587"/>
                  <wp:cNvGraphicFramePr/>
                  <a:graphic xmlns:a="http://schemas.openxmlformats.org/drawingml/2006/main">
                    <a:graphicData uri="http://schemas.openxmlformats.org/drawingml/2006/picture">
                      <pic:pic xmlns:pic="http://schemas.openxmlformats.org/drawingml/2006/picture">
                        <pic:nvPicPr>
                          <pic:cNvPr id="397" name="图片_58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565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98" name="图片_586"/>
                  <wp:cNvGraphicFramePr/>
                  <a:graphic xmlns:a="http://schemas.openxmlformats.org/drawingml/2006/main">
                    <a:graphicData uri="http://schemas.openxmlformats.org/drawingml/2006/picture">
                      <pic:pic xmlns:pic="http://schemas.openxmlformats.org/drawingml/2006/picture">
                        <pic:nvPicPr>
                          <pic:cNvPr id="398" name="图片_58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576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399" name="图片_585"/>
                  <wp:cNvGraphicFramePr/>
                  <a:graphic xmlns:a="http://schemas.openxmlformats.org/drawingml/2006/main">
                    <a:graphicData uri="http://schemas.openxmlformats.org/drawingml/2006/picture">
                      <pic:pic xmlns:pic="http://schemas.openxmlformats.org/drawingml/2006/picture">
                        <pic:nvPicPr>
                          <pic:cNvPr id="399" name="图片_58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586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00" name="图片_584"/>
                  <wp:cNvGraphicFramePr/>
                  <a:graphic xmlns:a="http://schemas.openxmlformats.org/drawingml/2006/main">
                    <a:graphicData uri="http://schemas.openxmlformats.org/drawingml/2006/picture">
                      <pic:pic xmlns:pic="http://schemas.openxmlformats.org/drawingml/2006/picture">
                        <pic:nvPicPr>
                          <pic:cNvPr id="400" name="图片_58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596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01" name="图片_583"/>
                  <wp:cNvGraphicFramePr/>
                  <a:graphic xmlns:a="http://schemas.openxmlformats.org/drawingml/2006/main">
                    <a:graphicData uri="http://schemas.openxmlformats.org/drawingml/2006/picture">
                      <pic:pic xmlns:pic="http://schemas.openxmlformats.org/drawingml/2006/picture">
                        <pic:nvPicPr>
                          <pic:cNvPr id="401" name="图片_58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606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02" name="图片_582"/>
                  <wp:cNvGraphicFramePr/>
                  <a:graphic xmlns:a="http://schemas.openxmlformats.org/drawingml/2006/main">
                    <a:graphicData uri="http://schemas.openxmlformats.org/drawingml/2006/picture">
                      <pic:pic xmlns:pic="http://schemas.openxmlformats.org/drawingml/2006/picture">
                        <pic:nvPicPr>
                          <pic:cNvPr id="402" name="图片_58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616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03" name="图片_581"/>
                  <wp:cNvGraphicFramePr/>
                  <a:graphic xmlns:a="http://schemas.openxmlformats.org/drawingml/2006/main">
                    <a:graphicData uri="http://schemas.openxmlformats.org/drawingml/2006/picture">
                      <pic:pic xmlns:pic="http://schemas.openxmlformats.org/drawingml/2006/picture">
                        <pic:nvPicPr>
                          <pic:cNvPr id="403" name="图片_58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627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04" name="图片_580"/>
                  <wp:cNvGraphicFramePr/>
                  <a:graphic xmlns:a="http://schemas.openxmlformats.org/drawingml/2006/main">
                    <a:graphicData uri="http://schemas.openxmlformats.org/drawingml/2006/picture">
                      <pic:pic xmlns:pic="http://schemas.openxmlformats.org/drawingml/2006/picture">
                        <pic:nvPicPr>
                          <pic:cNvPr id="404" name="图片_58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637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05" name="图片_492"/>
                  <wp:cNvGraphicFramePr/>
                  <a:graphic xmlns:a="http://schemas.openxmlformats.org/drawingml/2006/main">
                    <a:graphicData uri="http://schemas.openxmlformats.org/drawingml/2006/picture">
                      <pic:pic xmlns:pic="http://schemas.openxmlformats.org/drawingml/2006/picture">
                        <pic:nvPicPr>
                          <pic:cNvPr id="405" name="图片_49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647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06" name="图片_578"/>
                  <wp:cNvGraphicFramePr/>
                  <a:graphic xmlns:a="http://schemas.openxmlformats.org/drawingml/2006/main">
                    <a:graphicData uri="http://schemas.openxmlformats.org/drawingml/2006/picture">
                      <pic:pic xmlns:pic="http://schemas.openxmlformats.org/drawingml/2006/picture">
                        <pic:nvPicPr>
                          <pic:cNvPr id="406" name="图片_57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657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07" name="图片_577"/>
                  <wp:cNvGraphicFramePr/>
                  <a:graphic xmlns:a="http://schemas.openxmlformats.org/drawingml/2006/main">
                    <a:graphicData uri="http://schemas.openxmlformats.org/drawingml/2006/picture">
                      <pic:pic xmlns:pic="http://schemas.openxmlformats.org/drawingml/2006/picture">
                        <pic:nvPicPr>
                          <pic:cNvPr id="407" name="图片_57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668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08" name="图片_576"/>
                  <wp:cNvGraphicFramePr/>
                  <a:graphic xmlns:a="http://schemas.openxmlformats.org/drawingml/2006/main">
                    <a:graphicData uri="http://schemas.openxmlformats.org/drawingml/2006/picture">
                      <pic:pic xmlns:pic="http://schemas.openxmlformats.org/drawingml/2006/picture">
                        <pic:nvPicPr>
                          <pic:cNvPr id="408" name="图片_57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678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09" name="图片_575"/>
                  <wp:cNvGraphicFramePr/>
                  <a:graphic xmlns:a="http://schemas.openxmlformats.org/drawingml/2006/main">
                    <a:graphicData uri="http://schemas.openxmlformats.org/drawingml/2006/picture">
                      <pic:pic xmlns:pic="http://schemas.openxmlformats.org/drawingml/2006/picture">
                        <pic:nvPicPr>
                          <pic:cNvPr id="409" name="图片_57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688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10" name="图片_574"/>
                  <wp:cNvGraphicFramePr/>
                  <a:graphic xmlns:a="http://schemas.openxmlformats.org/drawingml/2006/main">
                    <a:graphicData uri="http://schemas.openxmlformats.org/drawingml/2006/picture">
                      <pic:pic xmlns:pic="http://schemas.openxmlformats.org/drawingml/2006/picture">
                        <pic:nvPicPr>
                          <pic:cNvPr id="410" name="图片_57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698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11" name="图片_573"/>
                  <wp:cNvGraphicFramePr/>
                  <a:graphic xmlns:a="http://schemas.openxmlformats.org/drawingml/2006/main">
                    <a:graphicData uri="http://schemas.openxmlformats.org/drawingml/2006/picture">
                      <pic:pic xmlns:pic="http://schemas.openxmlformats.org/drawingml/2006/picture">
                        <pic:nvPicPr>
                          <pic:cNvPr id="411" name="图片_57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709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12" name="图片_572"/>
                  <wp:cNvGraphicFramePr/>
                  <a:graphic xmlns:a="http://schemas.openxmlformats.org/drawingml/2006/main">
                    <a:graphicData uri="http://schemas.openxmlformats.org/drawingml/2006/picture">
                      <pic:pic xmlns:pic="http://schemas.openxmlformats.org/drawingml/2006/picture">
                        <pic:nvPicPr>
                          <pic:cNvPr id="412" name="图片_57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719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13" name="图片_571"/>
                  <wp:cNvGraphicFramePr/>
                  <a:graphic xmlns:a="http://schemas.openxmlformats.org/drawingml/2006/main">
                    <a:graphicData uri="http://schemas.openxmlformats.org/drawingml/2006/picture">
                      <pic:pic xmlns:pic="http://schemas.openxmlformats.org/drawingml/2006/picture">
                        <pic:nvPicPr>
                          <pic:cNvPr id="413" name="图片_57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729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14" name="图片_570"/>
                  <wp:cNvGraphicFramePr/>
                  <a:graphic xmlns:a="http://schemas.openxmlformats.org/drawingml/2006/main">
                    <a:graphicData uri="http://schemas.openxmlformats.org/drawingml/2006/picture">
                      <pic:pic xmlns:pic="http://schemas.openxmlformats.org/drawingml/2006/picture">
                        <pic:nvPicPr>
                          <pic:cNvPr id="414" name="图片_57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739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15" name="图片_569"/>
                  <wp:cNvGraphicFramePr/>
                  <a:graphic xmlns:a="http://schemas.openxmlformats.org/drawingml/2006/main">
                    <a:graphicData uri="http://schemas.openxmlformats.org/drawingml/2006/picture">
                      <pic:pic xmlns:pic="http://schemas.openxmlformats.org/drawingml/2006/picture">
                        <pic:nvPicPr>
                          <pic:cNvPr id="415" name="图片_56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750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16" name="图片_568"/>
                  <wp:cNvGraphicFramePr/>
                  <a:graphic xmlns:a="http://schemas.openxmlformats.org/drawingml/2006/main">
                    <a:graphicData uri="http://schemas.openxmlformats.org/drawingml/2006/picture">
                      <pic:pic xmlns:pic="http://schemas.openxmlformats.org/drawingml/2006/picture">
                        <pic:nvPicPr>
                          <pic:cNvPr id="416" name="图片_56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760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17" name="图片_567"/>
                  <wp:cNvGraphicFramePr/>
                  <a:graphic xmlns:a="http://schemas.openxmlformats.org/drawingml/2006/main">
                    <a:graphicData uri="http://schemas.openxmlformats.org/drawingml/2006/picture">
                      <pic:pic xmlns:pic="http://schemas.openxmlformats.org/drawingml/2006/picture">
                        <pic:nvPicPr>
                          <pic:cNvPr id="417" name="图片_56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770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18" name="图片_566"/>
                  <wp:cNvGraphicFramePr/>
                  <a:graphic xmlns:a="http://schemas.openxmlformats.org/drawingml/2006/main">
                    <a:graphicData uri="http://schemas.openxmlformats.org/drawingml/2006/picture">
                      <pic:pic xmlns:pic="http://schemas.openxmlformats.org/drawingml/2006/picture">
                        <pic:nvPicPr>
                          <pic:cNvPr id="418" name="图片_56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780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19" name="图片_565"/>
                  <wp:cNvGraphicFramePr/>
                  <a:graphic xmlns:a="http://schemas.openxmlformats.org/drawingml/2006/main">
                    <a:graphicData uri="http://schemas.openxmlformats.org/drawingml/2006/picture">
                      <pic:pic xmlns:pic="http://schemas.openxmlformats.org/drawingml/2006/picture">
                        <pic:nvPicPr>
                          <pic:cNvPr id="419" name="图片_56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791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20" name="图片_564"/>
                  <wp:cNvGraphicFramePr/>
                  <a:graphic xmlns:a="http://schemas.openxmlformats.org/drawingml/2006/main">
                    <a:graphicData uri="http://schemas.openxmlformats.org/drawingml/2006/picture">
                      <pic:pic xmlns:pic="http://schemas.openxmlformats.org/drawingml/2006/picture">
                        <pic:nvPicPr>
                          <pic:cNvPr id="420" name="图片_56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801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21" name="图片_520"/>
                  <wp:cNvGraphicFramePr/>
                  <a:graphic xmlns:a="http://schemas.openxmlformats.org/drawingml/2006/main">
                    <a:graphicData uri="http://schemas.openxmlformats.org/drawingml/2006/picture">
                      <pic:pic xmlns:pic="http://schemas.openxmlformats.org/drawingml/2006/picture">
                        <pic:nvPicPr>
                          <pic:cNvPr id="421" name="图片_52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811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22" name="图片_562"/>
                  <wp:cNvGraphicFramePr/>
                  <a:graphic xmlns:a="http://schemas.openxmlformats.org/drawingml/2006/main">
                    <a:graphicData uri="http://schemas.openxmlformats.org/drawingml/2006/picture">
                      <pic:pic xmlns:pic="http://schemas.openxmlformats.org/drawingml/2006/picture">
                        <pic:nvPicPr>
                          <pic:cNvPr id="422" name="图片_56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821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23" name="图片_561"/>
                  <wp:cNvGraphicFramePr/>
                  <a:graphic xmlns:a="http://schemas.openxmlformats.org/drawingml/2006/main">
                    <a:graphicData uri="http://schemas.openxmlformats.org/drawingml/2006/picture">
                      <pic:pic xmlns:pic="http://schemas.openxmlformats.org/drawingml/2006/picture">
                        <pic:nvPicPr>
                          <pic:cNvPr id="423" name="图片_56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832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24" name="图片_560"/>
                  <wp:cNvGraphicFramePr/>
                  <a:graphic xmlns:a="http://schemas.openxmlformats.org/drawingml/2006/main">
                    <a:graphicData uri="http://schemas.openxmlformats.org/drawingml/2006/picture">
                      <pic:pic xmlns:pic="http://schemas.openxmlformats.org/drawingml/2006/picture">
                        <pic:nvPicPr>
                          <pic:cNvPr id="424" name="图片_56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842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25" name="图片_559"/>
                  <wp:cNvGraphicFramePr/>
                  <a:graphic xmlns:a="http://schemas.openxmlformats.org/drawingml/2006/main">
                    <a:graphicData uri="http://schemas.openxmlformats.org/drawingml/2006/picture">
                      <pic:pic xmlns:pic="http://schemas.openxmlformats.org/drawingml/2006/picture">
                        <pic:nvPicPr>
                          <pic:cNvPr id="425" name="图片_55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852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26" name="图片_558"/>
                  <wp:cNvGraphicFramePr/>
                  <a:graphic xmlns:a="http://schemas.openxmlformats.org/drawingml/2006/main">
                    <a:graphicData uri="http://schemas.openxmlformats.org/drawingml/2006/picture">
                      <pic:pic xmlns:pic="http://schemas.openxmlformats.org/drawingml/2006/picture">
                        <pic:nvPicPr>
                          <pic:cNvPr id="426" name="图片_55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862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27" name="图片_557"/>
                  <wp:cNvGraphicFramePr/>
                  <a:graphic xmlns:a="http://schemas.openxmlformats.org/drawingml/2006/main">
                    <a:graphicData uri="http://schemas.openxmlformats.org/drawingml/2006/picture">
                      <pic:pic xmlns:pic="http://schemas.openxmlformats.org/drawingml/2006/picture">
                        <pic:nvPicPr>
                          <pic:cNvPr id="427" name="图片_55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872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28" name="图片_556"/>
                  <wp:cNvGraphicFramePr/>
                  <a:graphic xmlns:a="http://schemas.openxmlformats.org/drawingml/2006/main">
                    <a:graphicData uri="http://schemas.openxmlformats.org/drawingml/2006/picture">
                      <pic:pic xmlns:pic="http://schemas.openxmlformats.org/drawingml/2006/picture">
                        <pic:nvPicPr>
                          <pic:cNvPr id="428" name="图片_55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883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29" name="图片_555"/>
                  <wp:cNvGraphicFramePr/>
                  <a:graphic xmlns:a="http://schemas.openxmlformats.org/drawingml/2006/main">
                    <a:graphicData uri="http://schemas.openxmlformats.org/drawingml/2006/picture">
                      <pic:pic xmlns:pic="http://schemas.openxmlformats.org/drawingml/2006/picture">
                        <pic:nvPicPr>
                          <pic:cNvPr id="429" name="图片_55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893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30" name="图片_554"/>
                  <wp:cNvGraphicFramePr/>
                  <a:graphic xmlns:a="http://schemas.openxmlformats.org/drawingml/2006/main">
                    <a:graphicData uri="http://schemas.openxmlformats.org/drawingml/2006/picture">
                      <pic:pic xmlns:pic="http://schemas.openxmlformats.org/drawingml/2006/picture">
                        <pic:nvPicPr>
                          <pic:cNvPr id="430" name="图片_55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903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31" name="图片_553"/>
                  <wp:cNvGraphicFramePr/>
                  <a:graphic xmlns:a="http://schemas.openxmlformats.org/drawingml/2006/main">
                    <a:graphicData uri="http://schemas.openxmlformats.org/drawingml/2006/picture">
                      <pic:pic xmlns:pic="http://schemas.openxmlformats.org/drawingml/2006/picture">
                        <pic:nvPicPr>
                          <pic:cNvPr id="431" name="图片_55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913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32" name="图片_552"/>
                  <wp:cNvGraphicFramePr/>
                  <a:graphic xmlns:a="http://schemas.openxmlformats.org/drawingml/2006/main">
                    <a:graphicData uri="http://schemas.openxmlformats.org/drawingml/2006/picture">
                      <pic:pic xmlns:pic="http://schemas.openxmlformats.org/drawingml/2006/picture">
                        <pic:nvPicPr>
                          <pic:cNvPr id="432" name="图片_55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924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33" name="图片_551"/>
                  <wp:cNvGraphicFramePr/>
                  <a:graphic xmlns:a="http://schemas.openxmlformats.org/drawingml/2006/main">
                    <a:graphicData uri="http://schemas.openxmlformats.org/drawingml/2006/picture">
                      <pic:pic xmlns:pic="http://schemas.openxmlformats.org/drawingml/2006/picture">
                        <pic:nvPicPr>
                          <pic:cNvPr id="433" name="图片_55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934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34" name="图片_550"/>
                  <wp:cNvGraphicFramePr/>
                  <a:graphic xmlns:a="http://schemas.openxmlformats.org/drawingml/2006/main">
                    <a:graphicData uri="http://schemas.openxmlformats.org/drawingml/2006/picture">
                      <pic:pic xmlns:pic="http://schemas.openxmlformats.org/drawingml/2006/picture">
                        <pic:nvPicPr>
                          <pic:cNvPr id="434" name="图片_55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944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35" name="图片_549"/>
                  <wp:cNvGraphicFramePr/>
                  <a:graphic xmlns:a="http://schemas.openxmlformats.org/drawingml/2006/main">
                    <a:graphicData uri="http://schemas.openxmlformats.org/drawingml/2006/picture">
                      <pic:pic xmlns:pic="http://schemas.openxmlformats.org/drawingml/2006/picture">
                        <pic:nvPicPr>
                          <pic:cNvPr id="435" name="图片_54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954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36" name="图片_548"/>
                  <wp:cNvGraphicFramePr/>
                  <a:graphic xmlns:a="http://schemas.openxmlformats.org/drawingml/2006/main">
                    <a:graphicData uri="http://schemas.openxmlformats.org/drawingml/2006/picture">
                      <pic:pic xmlns:pic="http://schemas.openxmlformats.org/drawingml/2006/picture">
                        <pic:nvPicPr>
                          <pic:cNvPr id="436" name="图片_54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965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37" name="图片_497"/>
                  <wp:cNvGraphicFramePr/>
                  <a:graphic xmlns:a="http://schemas.openxmlformats.org/drawingml/2006/main">
                    <a:graphicData uri="http://schemas.openxmlformats.org/drawingml/2006/picture">
                      <pic:pic xmlns:pic="http://schemas.openxmlformats.org/drawingml/2006/picture">
                        <pic:nvPicPr>
                          <pic:cNvPr id="437" name="图片_49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975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38" name="图片_546"/>
                  <wp:cNvGraphicFramePr/>
                  <a:graphic xmlns:a="http://schemas.openxmlformats.org/drawingml/2006/main">
                    <a:graphicData uri="http://schemas.openxmlformats.org/drawingml/2006/picture">
                      <pic:pic xmlns:pic="http://schemas.openxmlformats.org/drawingml/2006/picture">
                        <pic:nvPicPr>
                          <pic:cNvPr id="438" name="图片_54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985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39" name="图片_545"/>
                  <wp:cNvGraphicFramePr/>
                  <a:graphic xmlns:a="http://schemas.openxmlformats.org/drawingml/2006/main">
                    <a:graphicData uri="http://schemas.openxmlformats.org/drawingml/2006/picture">
                      <pic:pic xmlns:pic="http://schemas.openxmlformats.org/drawingml/2006/picture">
                        <pic:nvPicPr>
                          <pic:cNvPr id="439" name="图片_54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0995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40" name="图片_544"/>
                  <wp:cNvGraphicFramePr/>
                  <a:graphic xmlns:a="http://schemas.openxmlformats.org/drawingml/2006/main">
                    <a:graphicData uri="http://schemas.openxmlformats.org/drawingml/2006/picture">
                      <pic:pic xmlns:pic="http://schemas.openxmlformats.org/drawingml/2006/picture">
                        <pic:nvPicPr>
                          <pic:cNvPr id="440" name="图片_54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006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41" name="图片_543"/>
                  <wp:cNvGraphicFramePr/>
                  <a:graphic xmlns:a="http://schemas.openxmlformats.org/drawingml/2006/main">
                    <a:graphicData uri="http://schemas.openxmlformats.org/drawingml/2006/picture">
                      <pic:pic xmlns:pic="http://schemas.openxmlformats.org/drawingml/2006/picture">
                        <pic:nvPicPr>
                          <pic:cNvPr id="441" name="图片_54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016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42" name="图片_542"/>
                  <wp:cNvGraphicFramePr/>
                  <a:graphic xmlns:a="http://schemas.openxmlformats.org/drawingml/2006/main">
                    <a:graphicData uri="http://schemas.openxmlformats.org/drawingml/2006/picture">
                      <pic:pic xmlns:pic="http://schemas.openxmlformats.org/drawingml/2006/picture">
                        <pic:nvPicPr>
                          <pic:cNvPr id="442" name="图片_54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026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43" name="图片_541"/>
                  <wp:cNvGraphicFramePr/>
                  <a:graphic xmlns:a="http://schemas.openxmlformats.org/drawingml/2006/main">
                    <a:graphicData uri="http://schemas.openxmlformats.org/drawingml/2006/picture">
                      <pic:pic xmlns:pic="http://schemas.openxmlformats.org/drawingml/2006/picture">
                        <pic:nvPicPr>
                          <pic:cNvPr id="443" name="图片_54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036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44" name="图片_540"/>
                  <wp:cNvGraphicFramePr/>
                  <a:graphic xmlns:a="http://schemas.openxmlformats.org/drawingml/2006/main">
                    <a:graphicData uri="http://schemas.openxmlformats.org/drawingml/2006/picture">
                      <pic:pic xmlns:pic="http://schemas.openxmlformats.org/drawingml/2006/picture">
                        <pic:nvPicPr>
                          <pic:cNvPr id="444" name="图片_54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047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45" name="图片_539"/>
                  <wp:cNvGraphicFramePr/>
                  <a:graphic xmlns:a="http://schemas.openxmlformats.org/drawingml/2006/main">
                    <a:graphicData uri="http://schemas.openxmlformats.org/drawingml/2006/picture">
                      <pic:pic xmlns:pic="http://schemas.openxmlformats.org/drawingml/2006/picture">
                        <pic:nvPicPr>
                          <pic:cNvPr id="445" name="图片_53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057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46" name="图片_538"/>
                  <wp:cNvGraphicFramePr/>
                  <a:graphic xmlns:a="http://schemas.openxmlformats.org/drawingml/2006/main">
                    <a:graphicData uri="http://schemas.openxmlformats.org/drawingml/2006/picture">
                      <pic:pic xmlns:pic="http://schemas.openxmlformats.org/drawingml/2006/picture">
                        <pic:nvPicPr>
                          <pic:cNvPr id="446" name="图片_53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067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47" name="图片_537"/>
                  <wp:cNvGraphicFramePr/>
                  <a:graphic xmlns:a="http://schemas.openxmlformats.org/drawingml/2006/main">
                    <a:graphicData uri="http://schemas.openxmlformats.org/drawingml/2006/picture">
                      <pic:pic xmlns:pic="http://schemas.openxmlformats.org/drawingml/2006/picture">
                        <pic:nvPicPr>
                          <pic:cNvPr id="447" name="图片_53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077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48" name="图片_536"/>
                  <wp:cNvGraphicFramePr/>
                  <a:graphic xmlns:a="http://schemas.openxmlformats.org/drawingml/2006/main">
                    <a:graphicData uri="http://schemas.openxmlformats.org/drawingml/2006/picture">
                      <pic:pic xmlns:pic="http://schemas.openxmlformats.org/drawingml/2006/picture">
                        <pic:nvPicPr>
                          <pic:cNvPr id="448" name="图片_53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088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49" name="图片_535"/>
                  <wp:cNvGraphicFramePr/>
                  <a:graphic xmlns:a="http://schemas.openxmlformats.org/drawingml/2006/main">
                    <a:graphicData uri="http://schemas.openxmlformats.org/drawingml/2006/picture">
                      <pic:pic xmlns:pic="http://schemas.openxmlformats.org/drawingml/2006/picture">
                        <pic:nvPicPr>
                          <pic:cNvPr id="449" name="图片_53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098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50" name="图片_534"/>
                  <wp:cNvGraphicFramePr/>
                  <a:graphic xmlns:a="http://schemas.openxmlformats.org/drawingml/2006/main">
                    <a:graphicData uri="http://schemas.openxmlformats.org/drawingml/2006/picture">
                      <pic:pic xmlns:pic="http://schemas.openxmlformats.org/drawingml/2006/picture">
                        <pic:nvPicPr>
                          <pic:cNvPr id="450" name="图片_53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108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51" name="图片_533"/>
                  <wp:cNvGraphicFramePr/>
                  <a:graphic xmlns:a="http://schemas.openxmlformats.org/drawingml/2006/main">
                    <a:graphicData uri="http://schemas.openxmlformats.org/drawingml/2006/picture">
                      <pic:pic xmlns:pic="http://schemas.openxmlformats.org/drawingml/2006/picture">
                        <pic:nvPicPr>
                          <pic:cNvPr id="451" name="图片_53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118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52" name="图片_532"/>
                  <wp:cNvGraphicFramePr/>
                  <a:graphic xmlns:a="http://schemas.openxmlformats.org/drawingml/2006/main">
                    <a:graphicData uri="http://schemas.openxmlformats.org/drawingml/2006/picture">
                      <pic:pic xmlns:pic="http://schemas.openxmlformats.org/drawingml/2006/picture">
                        <pic:nvPicPr>
                          <pic:cNvPr id="452" name="图片_53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128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53" name="图片_144"/>
                  <wp:cNvGraphicFramePr/>
                  <a:graphic xmlns:a="http://schemas.openxmlformats.org/drawingml/2006/main">
                    <a:graphicData uri="http://schemas.openxmlformats.org/drawingml/2006/picture">
                      <pic:pic xmlns:pic="http://schemas.openxmlformats.org/drawingml/2006/picture">
                        <pic:nvPicPr>
                          <pic:cNvPr id="453" name="图片_14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139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54" name="图片_269"/>
                  <wp:cNvGraphicFramePr/>
                  <a:graphic xmlns:a="http://schemas.openxmlformats.org/drawingml/2006/main">
                    <a:graphicData uri="http://schemas.openxmlformats.org/drawingml/2006/picture">
                      <pic:pic xmlns:pic="http://schemas.openxmlformats.org/drawingml/2006/picture">
                        <pic:nvPicPr>
                          <pic:cNvPr id="454" name="图片_26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149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55" name="图片_519"/>
                  <wp:cNvGraphicFramePr/>
                  <a:graphic xmlns:a="http://schemas.openxmlformats.org/drawingml/2006/main">
                    <a:graphicData uri="http://schemas.openxmlformats.org/drawingml/2006/picture">
                      <pic:pic xmlns:pic="http://schemas.openxmlformats.org/drawingml/2006/picture">
                        <pic:nvPicPr>
                          <pic:cNvPr id="455" name="图片_51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159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56" name="图片_518"/>
                  <wp:cNvGraphicFramePr/>
                  <a:graphic xmlns:a="http://schemas.openxmlformats.org/drawingml/2006/main">
                    <a:graphicData uri="http://schemas.openxmlformats.org/drawingml/2006/picture">
                      <pic:pic xmlns:pic="http://schemas.openxmlformats.org/drawingml/2006/picture">
                        <pic:nvPicPr>
                          <pic:cNvPr id="456" name="图片_51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169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57" name="图片_268"/>
                  <wp:cNvGraphicFramePr/>
                  <a:graphic xmlns:a="http://schemas.openxmlformats.org/drawingml/2006/main">
                    <a:graphicData uri="http://schemas.openxmlformats.org/drawingml/2006/picture">
                      <pic:pic xmlns:pic="http://schemas.openxmlformats.org/drawingml/2006/picture">
                        <pic:nvPicPr>
                          <pic:cNvPr id="457" name="图片_26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180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58" name="图片_517"/>
                  <wp:cNvGraphicFramePr/>
                  <a:graphic xmlns:a="http://schemas.openxmlformats.org/drawingml/2006/main">
                    <a:graphicData uri="http://schemas.openxmlformats.org/drawingml/2006/picture">
                      <pic:pic xmlns:pic="http://schemas.openxmlformats.org/drawingml/2006/picture">
                        <pic:nvPicPr>
                          <pic:cNvPr id="458" name="图片_51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190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59" name="图片_516"/>
                  <wp:cNvGraphicFramePr/>
                  <a:graphic xmlns:a="http://schemas.openxmlformats.org/drawingml/2006/main">
                    <a:graphicData uri="http://schemas.openxmlformats.org/drawingml/2006/picture">
                      <pic:pic xmlns:pic="http://schemas.openxmlformats.org/drawingml/2006/picture">
                        <pic:nvPicPr>
                          <pic:cNvPr id="459" name="图片_51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200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60" name="图片_81"/>
                  <wp:cNvGraphicFramePr/>
                  <a:graphic xmlns:a="http://schemas.openxmlformats.org/drawingml/2006/main">
                    <a:graphicData uri="http://schemas.openxmlformats.org/drawingml/2006/picture">
                      <pic:pic xmlns:pic="http://schemas.openxmlformats.org/drawingml/2006/picture">
                        <pic:nvPicPr>
                          <pic:cNvPr id="460" name="图片_8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210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61" name="图片_143"/>
                  <wp:cNvGraphicFramePr/>
                  <a:graphic xmlns:a="http://schemas.openxmlformats.org/drawingml/2006/main">
                    <a:graphicData uri="http://schemas.openxmlformats.org/drawingml/2006/picture">
                      <pic:pic xmlns:pic="http://schemas.openxmlformats.org/drawingml/2006/picture">
                        <pic:nvPicPr>
                          <pic:cNvPr id="461" name="图片_14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221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62" name="图片_267"/>
                  <wp:cNvGraphicFramePr/>
                  <a:graphic xmlns:a="http://schemas.openxmlformats.org/drawingml/2006/main">
                    <a:graphicData uri="http://schemas.openxmlformats.org/drawingml/2006/picture">
                      <pic:pic xmlns:pic="http://schemas.openxmlformats.org/drawingml/2006/picture">
                        <pic:nvPicPr>
                          <pic:cNvPr id="462" name="图片_26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231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63" name="图片_515"/>
                  <wp:cNvGraphicFramePr/>
                  <a:graphic xmlns:a="http://schemas.openxmlformats.org/drawingml/2006/main">
                    <a:graphicData uri="http://schemas.openxmlformats.org/drawingml/2006/picture">
                      <pic:pic xmlns:pic="http://schemas.openxmlformats.org/drawingml/2006/picture">
                        <pic:nvPicPr>
                          <pic:cNvPr id="463" name="图片_51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241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64" name="图片_256"/>
                  <wp:cNvGraphicFramePr/>
                  <a:graphic xmlns:a="http://schemas.openxmlformats.org/drawingml/2006/main">
                    <a:graphicData uri="http://schemas.openxmlformats.org/drawingml/2006/picture">
                      <pic:pic xmlns:pic="http://schemas.openxmlformats.org/drawingml/2006/picture">
                        <pic:nvPicPr>
                          <pic:cNvPr id="464" name="图片_25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251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65" name="图片_514"/>
                  <wp:cNvGraphicFramePr/>
                  <a:graphic xmlns:a="http://schemas.openxmlformats.org/drawingml/2006/main">
                    <a:graphicData uri="http://schemas.openxmlformats.org/drawingml/2006/picture">
                      <pic:pic xmlns:pic="http://schemas.openxmlformats.org/drawingml/2006/picture">
                        <pic:nvPicPr>
                          <pic:cNvPr id="465" name="图片_51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262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66" name="图片_266"/>
                  <wp:cNvGraphicFramePr/>
                  <a:graphic xmlns:a="http://schemas.openxmlformats.org/drawingml/2006/main">
                    <a:graphicData uri="http://schemas.openxmlformats.org/drawingml/2006/picture">
                      <pic:pic xmlns:pic="http://schemas.openxmlformats.org/drawingml/2006/picture">
                        <pic:nvPicPr>
                          <pic:cNvPr id="466" name="图片_26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272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67" name="图片_513"/>
                  <wp:cNvGraphicFramePr/>
                  <a:graphic xmlns:a="http://schemas.openxmlformats.org/drawingml/2006/main">
                    <a:graphicData uri="http://schemas.openxmlformats.org/drawingml/2006/picture">
                      <pic:pic xmlns:pic="http://schemas.openxmlformats.org/drawingml/2006/picture">
                        <pic:nvPicPr>
                          <pic:cNvPr id="467" name="图片_51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282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68" name="图片_512"/>
                  <wp:cNvGraphicFramePr/>
                  <a:graphic xmlns:a="http://schemas.openxmlformats.org/drawingml/2006/main">
                    <a:graphicData uri="http://schemas.openxmlformats.org/drawingml/2006/picture">
                      <pic:pic xmlns:pic="http://schemas.openxmlformats.org/drawingml/2006/picture">
                        <pic:nvPicPr>
                          <pic:cNvPr id="468" name="图片_51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292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69" name="图片_142"/>
                  <wp:cNvGraphicFramePr/>
                  <a:graphic xmlns:a="http://schemas.openxmlformats.org/drawingml/2006/main">
                    <a:graphicData uri="http://schemas.openxmlformats.org/drawingml/2006/picture">
                      <pic:pic xmlns:pic="http://schemas.openxmlformats.org/drawingml/2006/picture">
                        <pic:nvPicPr>
                          <pic:cNvPr id="469" name="图片_14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303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70" name="图片_265"/>
                  <wp:cNvGraphicFramePr/>
                  <a:graphic xmlns:a="http://schemas.openxmlformats.org/drawingml/2006/main">
                    <a:graphicData uri="http://schemas.openxmlformats.org/drawingml/2006/picture">
                      <pic:pic xmlns:pic="http://schemas.openxmlformats.org/drawingml/2006/picture">
                        <pic:nvPicPr>
                          <pic:cNvPr id="470" name="图片_26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313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71" name="图片_511"/>
                  <wp:cNvGraphicFramePr/>
                  <a:graphic xmlns:a="http://schemas.openxmlformats.org/drawingml/2006/main">
                    <a:graphicData uri="http://schemas.openxmlformats.org/drawingml/2006/picture">
                      <pic:pic xmlns:pic="http://schemas.openxmlformats.org/drawingml/2006/picture">
                        <pic:nvPicPr>
                          <pic:cNvPr id="471" name="图片_51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323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72" name="图片_510"/>
                  <wp:cNvGraphicFramePr/>
                  <a:graphic xmlns:a="http://schemas.openxmlformats.org/drawingml/2006/main">
                    <a:graphicData uri="http://schemas.openxmlformats.org/drawingml/2006/picture">
                      <pic:pic xmlns:pic="http://schemas.openxmlformats.org/drawingml/2006/picture">
                        <pic:nvPicPr>
                          <pic:cNvPr id="472" name="图片_51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333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73" name="图片_264"/>
                  <wp:cNvGraphicFramePr/>
                  <a:graphic xmlns:a="http://schemas.openxmlformats.org/drawingml/2006/main">
                    <a:graphicData uri="http://schemas.openxmlformats.org/drawingml/2006/picture">
                      <pic:pic xmlns:pic="http://schemas.openxmlformats.org/drawingml/2006/picture">
                        <pic:nvPicPr>
                          <pic:cNvPr id="473" name="图片_26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344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74" name="图片_508"/>
                  <wp:cNvGraphicFramePr/>
                  <a:graphic xmlns:a="http://schemas.openxmlformats.org/drawingml/2006/main">
                    <a:graphicData uri="http://schemas.openxmlformats.org/drawingml/2006/picture">
                      <pic:pic xmlns:pic="http://schemas.openxmlformats.org/drawingml/2006/picture">
                        <pic:nvPicPr>
                          <pic:cNvPr id="474" name="图片_50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354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75" name="图片_509"/>
                  <wp:cNvGraphicFramePr/>
                  <a:graphic xmlns:a="http://schemas.openxmlformats.org/drawingml/2006/main">
                    <a:graphicData uri="http://schemas.openxmlformats.org/drawingml/2006/picture">
                      <pic:pic xmlns:pic="http://schemas.openxmlformats.org/drawingml/2006/picture">
                        <pic:nvPicPr>
                          <pic:cNvPr id="475" name="图片_50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364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76" name="图片_507"/>
                  <wp:cNvGraphicFramePr/>
                  <a:graphic xmlns:a="http://schemas.openxmlformats.org/drawingml/2006/main">
                    <a:graphicData uri="http://schemas.openxmlformats.org/drawingml/2006/picture">
                      <pic:pic xmlns:pic="http://schemas.openxmlformats.org/drawingml/2006/picture">
                        <pic:nvPicPr>
                          <pic:cNvPr id="476" name="图片_50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374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77" name="图片_506"/>
                  <wp:cNvGraphicFramePr/>
                  <a:graphic xmlns:a="http://schemas.openxmlformats.org/drawingml/2006/main">
                    <a:graphicData uri="http://schemas.openxmlformats.org/drawingml/2006/picture">
                      <pic:pic xmlns:pic="http://schemas.openxmlformats.org/drawingml/2006/picture">
                        <pic:nvPicPr>
                          <pic:cNvPr id="477" name="图片_50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384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78" name="图片_505"/>
                  <wp:cNvGraphicFramePr/>
                  <a:graphic xmlns:a="http://schemas.openxmlformats.org/drawingml/2006/main">
                    <a:graphicData uri="http://schemas.openxmlformats.org/drawingml/2006/picture">
                      <pic:pic xmlns:pic="http://schemas.openxmlformats.org/drawingml/2006/picture">
                        <pic:nvPicPr>
                          <pic:cNvPr id="478" name="图片_50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395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79" name="图片_504"/>
                  <wp:cNvGraphicFramePr/>
                  <a:graphic xmlns:a="http://schemas.openxmlformats.org/drawingml/2006/main">
                    <a:graphicData uri="http://schemas.openxmlformats.org/drawingml/2006/picture">
                      <pic:pic xmlns:pic="http://schemas.openxmlformats.org/drawingml/2006/picture">
                        <pic:nvPicPr>
                          <pic:cNvPr id="479" name="图片_50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395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80" name="图片_503"/>
                  <wp:cNvGraphicFramePr/>
                  <a:graphic xmlns:a="http://schemas.openxmlformats.org/drawingml/2006/main">
                    <a:graphicData uri="http://schemas.openxmlformats.org/drawingml/2006/picture">
                      <pic:pic xmlns:pic="http://schemas.openxmlformats.org/drawingml/2006/picture">
                        <pic:nvPicPr>
                          <pic:cNvPr id="480" name="图片_50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405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81" name="图片_502"/>
                  <wp:cNvGraphicFramePr/>
                  <a:graphic xmlns:a="http://schemas.openxmlformats.org/drawingml/2006/main">
                    <a:graphicData uri="http://schemas.openxmlformats.org/drawingml/2006/picture">
                      <pic:pic xmlns:pic="http://schemas.openxmlformats.org/drawingml/2006/picture">
                        <pic:nvPicPr>
                          <pic:cNvPr id="481" name="图片_50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415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82" name="图片_501"/>
                  <wp:cNvGraphicFramePr/>
                  <a:graphic xmlns:a="http://schemas.openxmlformats.org/drawingml/2006/main">
                    <a:graphicData uri="http://schemas.openxmlformats.org/drawingml/2006/picture">
                      <pic:pic xmlns:pic="http://schemas.openxmlformats.org/drawingml/2006/picture">
                        <pic:nvPicPr>
                          <pic:cNvPr id="482" name="图片_50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425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83" name="图片_500"/>
                  <wp:cNvGraphicFramePr/>
                  <a:graphic xmlns:a="http://schemas.openxmlformats.org/drawingml/2006/main">
                    <a:graphicData uri="http://schemas.openxmlformats.org/drawingml/2006/picture">
                      <pic:pic xmlns:pic="http://schemas.openxmlformats.org/drawingml/2006/picture">
                        <pic:nvPicPr>
                          <pic:cNvPr id="483" name="图片_50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436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84" name="图片_80"/>
                  <wp:cNvGraphicFramePr/>
                  <a:graphic xmlns:a="http://schemas.openxmlformats.org/drawingml/2006/main">
                    <a:graphicData uri="http://schemas.openxmlformats.org/drawingml/2006/picture">
                      <pic:pic xmlns:pic="http://schemas.openxmlformats.org/drawingml/2006/picture">
                        <pic:nvPicPr>
                          <pic:cNvPr id="484" name="图片_8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446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85" name="图片_141"/>
                  <wp:cNvGraphicFramePr/>
                  <a:graphic xmlns:a="http://schemas.openxmlformats.org/drawingml/2006/main">
                    <a:graphicData uri="http://schemas.openxmlformats.org/drawingml/2006/picture">
                      <pic:pic xmlns:pic="http://schemas.openxmlformats.org/drawingml/2006/picture">
                        <pic:nvPicPr>
                          <pic:cNvPr id="485" name="图片_14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456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86" name="图片_263"/>
                  <wp:cNvGraphicFramePr/>
                  <a:graphic xmlns:a="http://schemas.openxmlformats.org/drawingml/2006/main">
                    <a:graphicData uri="http://schemas.openxmlformats.org/drawingml/2006/picture">
                      <pic:pic xmlns:pic="http://schemas.openxmlformats.org/drawingml/2006/picture">
                        <pic:nvPicPr>
                          <pic:cNvPr id="486" name="图片_26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466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87" name="图片_262"/>
                  <wp:cNvGraphicFramePr/>
                  <a:graphic xmlns:a="http://schemas.openxmlformats.org/drawingml/2006/main">
                    <a:graphicData uri="http://schemas.openxmlformats.org/drawingml/2006/picture">
                      <pic:pic xmlns:pic="http://schemas.openxmlformats.org/drawingml/2006/picture">
                        <pic:nvPicPr>
                          <pic:cNvPr id="487" name="图片_26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477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88" name="图片_140"/>
                  <wp:cNvGraphicFramePr/>
                  <a:graphic xmlns:a="http://schemas.openxmlformats.org/drawingml/2006/main">
                    <a:graphicData uri="http://schemas.openxmlformats.org/drawingml/2006/picture">
                      <pic:pic xmlns:pic="http://schemas.openxmlformats.org/drawingml/2006/picture">
                        <pic:nvPicPr>
                          <pic:cNvPr id="488" name="图片_14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487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89" name="图片_261"/>
                  <wp:cNvGraphicFramePr/>
                  <a:graphic xmlns:a="http://schemas.openxmlformats.org/drawingml/2006/main">
                    <a:graphicData uri="http://schemas.openxmlformats.org/drawingml/2006/picture">
                      <pic:pic xmlns:pic="http://schemas.openxmlformats.org/drawingml/2006/picture">
                        <pic:nvPicPr>
                          <pic:cNvPr id="489" name="图片_26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497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90" name="图片_260"/>
                  <wp:cNvGraphicFramePr/>
                  <a:graphic xmlns:a="http://schemas.openxmlformats.org/drawingml/2006/main">
                    <a:graphicData uri="http://schemas.openxmlformats.org/drawingml/2006/picture">
                      <pic:pic xmlns:pic="http://schemas.openxmlformats.org/drawingml/2006/picture">
                        <pic:nvPicPr>
                          <pic:cNvPr id="490" name="图片_26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507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91" name="图片_489"/>
                  <wp:cNvGraphicFramePr/>
                  <a:graphic xmlns:a="http://schemas.openxmlformats.org/drawingml/2006/main">
                    <a:graphicData uri="http://schemas.openxmlformats.org/drawingml/2006/picture">
                      <pic:pic xmlns:pic="http://schemas.openxmlformats.org/drawingml/2006/picture">
                        <pic:nvPicPr>
                          <pic:cNvPr id="491" name="图片_48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518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92" name="图片_137"/>
                  <wp:cNvGraphicFramePr/>
                  <a:graphic xmlns:a="http://schemas.openxmlformats.org/drawingml/2006/main">
                    <a:graphicData uri="http://schemas.openxmlformats.org/drawingml/2006/picture">
                      <pic:pic xmlns:pic="http://schemas.openxmlformats.org/drawingml/2006/picture">
                        <pic:nvPicPr>
                          <pic:cNvPr id="492" name="图片_13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528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93" name="图片_494"/>
                  <wp:cNvGraphicFramePr/>
                  <a:graphic xmlns:a="http://schemas.openxmlformats.org/drawingml/2006/main">
                    <a:graphicData uri="http://schemas.openxmlformats.org/drawingml/2006/picture">
                      <pic:pic xmlns:pic="http://schemas.openxmlformats.org/drawingml/2006/picture">
                        <pic:nvPicPr>
                          <pic:cNvPr id="493" name="图片_49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538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94" name="图片_136"/>
                  <wp:cNvGraphicFramePr/>
                  <a:graphic xmlns:a="http://schemas.openxmlformats.org/drawingml/2006/main">
                    <a:graphicData uri="http://schemas.openxmlformats.org/drawingml/2006/picture">
                      <pic:pic xmlns:pic="http://schemas.openxmlformats.org/drawingml/2006/picture">
                        <pic:nvPicPr>
                          <pic:cNvPr id="494" name="图片_13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548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95" name="图片_485"/>
                  <wp:cNvGraphicFramePr/>
                  <a:graphic xmlns:a="http://schemas.openxmlformats.org/drawingml/2006/main">
                    <a:graphicData uri="http://schemas.openxmlformats.org/drawingml/2006/picture">
                      <pic:pic xmlns:pic="http://schemas.openxmlformats.org/drawingml/2006/picture">
                        <pic:nvPicPr>
                          <pic:cNvPr id="495" name="图片_48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559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96" name="图片_484"/>
                  <wp:cNvGraphicFramePr/>
                  <a:graphic xmlns:a="http://schemas.openxmlformats.org/drawingml/2006/main">
                    <a:graphicData uri="http://schemas.openxmlformats.org/drawingml/2006/picture">
                      <pic:pic xmlns:pic="http://schemas.openxmlformats.org/drawingml/2006/picture">
                        <pic:nvPicPr>
                          <pic:cNvPr id="496" name="图片_48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569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97" name="图片_486"/>
                  <wp:cNvGraphicFramePr/>
                  <a:graphic xmlns:a="http://schemas.openxmlformats.org/drawingml/2006/main">
                    <a:graphicData uri="http://schemas.openxmlformats.org/drawingml/2006/picture">
                      <pic:pic xmlns:pic="http://schemas.openxmlformats.org/drawingml/2006/picture">
                        <pic:nvPicPr>
                          <pic:cNvPr id="497" name="图片_48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579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98" name="图片_482"/>
                  <wp:cNvGraphicFramePr/>
                  <a:graphic xmlns:a="http://schemas.openxmlformats.org/drawingml/2006/main">
                    <a:graphicData uri="http://schemas.openxmlformats.org/drawingml/2006/picture">
                      <pic:pic xmlns:pic="http://schemas.openxmlformats.org/drawingml/2006/picture">
                        <pic:nvPicPr>
                          <pic:cNvPr id="498" name="图片_48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589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499" name="图片_481"/>
                  <wp:cNvGraphicFramePr/>
                  <a:graphic xmlns:a="http://schemas.openxmlformats.org/drawingml/2006/main">
                    <a:graphicData uri="http://schemas.openxmlformats.org/drawingml/2006/picture">
                      <pic:pic xmlns:pic="http://schemas.openxmlformats.org/drawingml/2006/picture">
                        <pic:nvPicPr>
                          <pic:cNvPr id="499" name="图片_48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600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00" name="图片_480"/>
                  <wp:cNvGraphicFramePr/>
                  <a:graphic xmlns:a="http://schemas.openxmlformats.org/drawingml/2006/main">
                    <a:graphicData uri="http://schemas.openxmlformats.org/drawingml/2006/picture">
                      <pic:pic xmlns:pic="http://schemas.openxmlformats.org/drawingml/2006/picture">
                        <pic:nvPicPr>
                          <pic:cNvPr id="500" name="图片_48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610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01" name="图片_479"/>
                  <wp:cNvGraphicFramePr/>
                  <a:graphic xmlns:a="http://schemas.openxmlformats.org/drawingml/2006/main">
                    <a:graphicData uri="http://schemas.openxmlformats.org/drawingml/2006/picture">
                      <pic:pic xmlns:pic="http://schemas.openxmlformats.org/drawingml/2006/picture">
                        <pic:nvPicPr>
                          <pic:cNvPr id="501" name="图片_47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620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02" name="图片_478"/>
                  <wp:cNvGraphicFramePr/>
                  <a:graphic xmlns:a="http://schemas.openxmlformats.org/drawingml/2006/main">
                    <a:graphicData uri="http://schemas.openxmlformats.org/drawingml/2006/picture">
                      <pic:pic xmlns:pic="http://schemas.openxmlformats.org/drawingml/2006/picture">
                        <pic:nvPicPr>
                          <pic:cNvPr id="502" name="图片_47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630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03" name="图片_477"/>
                  <wp:cNvGraphicFramePr/>
                  <a:graphic xmlns:a="http://schemas.openxmlformats.org/drawingml/2006/main">
                    <a:graphicData uri="http://schemas.openxmlformats.org/drawingml/2006/picture">
                      <pic:pic xmlns:pic="http://schemas.openxmlformats.org/drawingml/2006/picture">
                        <pic:nvPicPr>
                          <pic:cNvPr id="503" name="图片_47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640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04" name="图片_476"/>
                  <wp:cNvGraphicFramePr/>
                  <a:graphic xmlns:a="http://schemas.openxmlformats.org/drawingml/2006/main">
                    <a:graphicData uri="http://schemas.openxmlformats.org/drawingml/2006/picture">
                      <pic:pic xmlns:pic="http://schemas.openxmlformats.org/drawingml/2006/picture">
                        <pic:nvPicPr>
                          <pic:cNvPr id="504" name="图片_47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651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05" name="图片_475"/>
                  <wp:cNvGraphicFramePr/>
                  <a:graphic xmlns:a="http://schemas.openxmlformats.org/drawingml/2006/main">
                    <a:graphicData uri="http://schemas.openxmlformats.org/drawingml/2006/picture">
                      <pic:pic xmlns:pic="http://schemas.openxmlformats.org/drawingml/2006/picture">
                        <pic:nvPicPr>
                          <pic:cNvPr id="505" name="图片_47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661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06" name="图片_474"/>
                  <wp:cNvGraphicFramePr/>
                  <a:graphic xmlns:a="http://schemas.openxmlformats.org/drawingml/2006/main">
                    <a:graphicData uri="http://schemas.openxmlformats.org/drawingml/2006/picture">
                      <pic:pic xmlns:pic="http://schemas.openxmlformats.org/drawingml/2006/picture">
                        <pic:nvPicPr>
                          <pic:cNvPr id="506" name="图片_47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671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07" name="图片_473"/>
                  <wp:cNvGraphicFramePr/>
                  <a:graphic xmlns:a="http://schemas.openxmlformats.org/drawingml/2006/main">
                    <a:graphicData uri="http://schemas.openxmlformats.org/drawingml/2006/picture">
                      <pic:pic xmlns:pic="http://schemas.openxmlformats.org/drawingml/2006/picture">
                        <pic:nvPicPr>
                          <pic:cNvPr id="507" name="图片_47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681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08" name="图片_472"/>
                  <wp:cNvGraphicFramePr/>
                  <a:graphic xmlns:a="http://schemas.openxmlformats.org/drawingml/2006/main">
                    <a:graphicData uri="http://schemas.openxmlformats.org/drawingml/2006/picture">
                      <pic:pic xmlns:pic="http://schemas.openxmlformats.org/drawingml/2006/picture">
                        <pic:nvPicPr>
                          <pic:cNvPr id="508" name="图片_47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692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09" name="图片_471"/>
                  <wp:cNvGraphicFramePr/>
                  <a:graphic xmlns:a="http://schemas.openxmlformats.org/drawingml/2006/main">
                    <a:graphicData uri="http://schemas.openxmlformats.org/drawingml/2006/picture">
                      <pic:pic xmlns:pic="http://schemas.openxmlformats.org/drawingml/2006/picture">
                        <pic:nvPicPr>
                          <pic:cNvPr id="509" name="图片_47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702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10" name="图片_470"/>
                  <wp:cNvGraphicFramePr/>
                  <a:graphic xmlns:a="http://schemas.openxmlformats.org/drawingml/2006/main">
                    <a:graphicData uri="http://schemas.openxmlformats.org/drawingml/2006/picture">
                      <pic:pic xmlns:pic="http://schemas.openxmlformats.org/drawingml/2006/picture">
                        <pic:nvPicPr>
                          <pic:cNvPr id="510" name="图片_47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712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11" name="图片_469"/>
                  <wp:cNvGraphicFramePr/>
                  <a:graphic xmlns:a="http://schemas.openxmlformats.org/drawingml/2006/main">
                    <a:graphicData uri="http://schemas.openxmlformats.org/drawingml/2006/picture">
                      <pic:pic xmlns:pic="http://schemas.openxmlformats.org/drawingml/2006/picture">
                        <pic:nvPicPr>
                          <pic:cNvPr id="511" name="图片_46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722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12" name="图片_468"/>
                  <wp:cNvGraphicFramePr/>
                  <a:graphic xmlns:a="http://schemas.openxmlformats.org/drawingml/2006/main">
                    <a:graphicData uri="http://schemas.openxmlformats.org/drawingml/2006/picture">
                      <pic:pic xmlns:pic="http://schemas.openxmlformats.org/drawingml/2006/picture">
                        <pic:nvPicPr>
                          <pic:cNvPr id="512" name="图片_46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733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13" name="图片_904"/>
                  <wp:cNvGraphicFramePr/>
                  <a:graphic xmlns:a="http://schemas.openxmlformats.org/drawingml/2006/main">
                    <a:graphicData uri="http://schemas.openxmlformats.org/drawingml/2006/picture">
                      <pic:pic xmlns:pic="http://schemas.openxmlformats.org/drawingml/2006/picture">
                        <pic:nvPicPr>
                          <pic:cNvPr id="513" name="图片_90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743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14" name="图片_466"/>
                  <wp:cNvGraphicFramePr/>
                  <a:graphic xmlns:a="http://schemas.openxmlformats.org/drawingml/2006/main">
                    <a:graphicData uri="http://schemas.openxmlformats.org/drawingml/2006/picture">
                      <pic:pic xmlns:pic="http://schemas.openxmlformats.org/drawingml/2006/picture">
                        <pic:nvPicPr>
                          <pic:cNvPr id="514" name="图片_46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753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15" name="图片_465"/>
                  <wp:cNvGraphicFramePr/>
                  <a:graphic xmlns:a="http://schemas.openxmlformats.org/drawingml/2006/main">
                    <a:graphicData uri="http://schemas.openxmlformats.org/drawingml/2006/picture">
                      <pic:pic xmlns:pic="http://schemas.openxmlformats.org/drawingml/2006/picture">
                        <pic:nvPicPr>
                          <pic:cNvPr id="515" name="图片_46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763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16" name="图片_464"/>
                  <wp:cNvGraphicFramePr/>
                  <a:graphic xmlns:a="http://schemas.openxmlformats.org/drawingml/2006/main">
                    <a:graphicData uri="http://schemas.openxmlformats.org/drawingml/2006/picture">
                      <pic:pic xmlns:pic="http://schemas.openxmlformats.org/drawingml/2006/picture">
                        <pic:nvPicPr>
                          <pic:cNvPr id="516" name="图片_46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774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17" name="图片_463"/>
                  <wp:cNvGraphicFramePr/>
                  <a:graphic xmlns:a="http://schemas.openxmlformats.org/drawingml/2006/main">
                    <a:graphicData uri="http://schemas.openxmlformats.org/drawingml/2006/picture">
                      <pic:pic xmlns:pic="http://schemas.openxmlformats.org/drawingml/2006/picture">
                        <pic:nvPicPr>
                          <pic:cNvPr id="517" name="图片_46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784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18" name="图片_462"/>
                  <wp:cNvGraphicFramePr/>
                  <a:graphic xmlns:a="http://schemas.openxmlformats.org/drawingml/2006/main">
                    <a:graphicData uri="http://schemas.openxmlformats.org/drawingml/2006/picture">
                      <pic:pic xmlns:pic="http://schemas.openxmlformats.org/drawingml/2006/picture">
                        <pic:nvPicPr>
                          <pic:cNvPr id="518" name="图片_46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794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19" name="图片_461"/>
                  <wp:cNvGraphicFramePr/>
                  <a:graphic xmlns:a="http://schemas.openxmlformats.org/drawingml/2006/main">
                    <a:graphicData uri="http://schemas.openxmlformats.org/drawingml/2006/picture">
                      <pic:pic xmlns:pic="http://schemas.openxmlformats.org/drawingml/2006/picture">
                        <pic:nvPicPr>
                          <pic:cNvPr id="519" name="图片_46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804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20" name="图片_460"/>
                  <wp:cNvGraphicFramePr/>
                  <a:graphic xmlns:a="http://schemas.openxmlformats.org/drawingml/2006/main">
                    <a:graphicData uri="http://schemas.openxmlformats.org/drawingml/2006/picture">
                      <pic:pic xmlns:pic="http://schemas.openxmlformats.org/drawingml/2006/picture">
                        <pic:nvPicPr>
                          <pic:cNvPr id="520" name="图片_46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815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21" name="图片_459"/>
                  <wp:cNvGraphicFramePr/>
                  <a:graphic xmlns:a="http://schemas.openxmlformats.org/drawingml/2006/main">
                    <a:graphicData uri="http://schemas.openxmlformats.org/drawingml/2006/picture">
                      <pic:pic xmlns:pic="http://schemas.openxmlformats.org/drawingml/2006/picture">
                        <pic:nvPicPr>
                          <pic:cNvPr id="521" name="图片_45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825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22" name="图片_458"/>
                  <wp:cNvGraphicFramePr/>
                  <a:graphic xmlns:a="http://schemas.openxmlformats.org/drawingml/2006/main">
                    <a:graphicData uri="http://schemas.openxmlformats.org/drawingml/2006/picture">
                      <pic:pic xmlns:pic="http://schemas.openxmlformats.org/drawingml/2006/picture">
                        <pic:nvPicPr>
                          <pic:cNvPr id="522" name="图片_45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835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23" name="图片_457"/>
                  <wp:cNvGraphicFramePr/>
                  <a:graphic xmlns:a="http://schemas.openxmlformats.org/drawingml/2006/main">
                    <a:graphicData uri="http://schemas.openxmlformats.org/drawingml/2006/picture">
                      <pic:pic xmlns:pic="http://schemas.openxmlformats.org/drawingml/2006/picture">
                        <pic:nvPicPr>
                          <pic:cNvPr id="523" name="图片_45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845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24" name="图片_456"/>
                  <wp:cNvGraphicFramePr/>
                  <a:graphic xmlns:a="http://schemas.openxmlformats.org/drawingml/2006/main">
                    <a:graphicData uri="http://schemas.openxmlformats.org/drawingml/2006/picture">
                      <pic:pic xmlns:pic="http://schemas.openxmlformats.org/drawingml/2006/picture">
                        <pic:nvPicPr>
                          <pic:cNvPr id="524" name="图片_45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856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25" name="图片_455"/>
                  <wp:cNvGraphicFramePr/>
                  <a:graphic xmlns:a="http://schemas.openxmlformats.org/drawingml/2006/main">
                    <a:graphicData uri="http://schemas.openxmlformats.org/drawingml/2006/picture">
                      <pic:pic xmlns:pic="http://schemas.openxmlformats.org/drawingml/2006/picture">
                        <pic:nvPicPr>
                          <pic:cNvPr id="525" name="图片_45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866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26" name="图片_454"/>
                  <wp:cNvGraphicFramePr/>
                  <a:graphic xmlns:a="http://schemas.openxmlformats.org/drawingml/2006/main">
                    <a:graphicData uri="http://schemas.openxmlformats.org/drawingml/2006/picture">
                      <pic:pic xmlns:pic="http://schemas.openxmlformats.org/drawingml/2006/picture">
                        <pic:nvPicPr>
                          <pic:cNvPr id="526" name="图片_45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876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27" name="图片_453"/>
                  <wp:cNvGraphicFramePr/>
                  <a:graphic xmlns:a="http://schemas.openxmlformats.org/drawingml/2006/main">
                    <a:graphicData uri="http://schemas.openxmlformats.org/drawingml/2006/picture">
                      <pic:pic xmlns:pic="http://schemas.openxmlformats.org/drawingml/2006/picture">
                        <pic:nvPicPr>
                          <pic:cNvPr id="527" name="图片_45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886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28" name="图片_452"/>
                  <wp:cNvGraphicFramePr/>
                  <a:graphic xmlns:a="http://schemas.openxmlformats.org/drawingml/2006/main">
                    <a:graphicData uri="http://schemas.openxmlformats.org/drawingml/2006/picture">
                      <pic:pic xmlns:pic="http://schemas.openxmlformats.org/drawingml/2006/picture">
                        <pic:nvPicPr>
                          <pic:cNvPr id="528" name="图片_45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896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29" name="图片_883"/>
                  <wp:cNvGraphicFramePr/>
                  <a:graphic xmlns:a="http://schemas.openxmlformats.org/drawingml/2006/main">
                    <a:graphicData uri="http://schemas.openxmlformats.org/drawingml/2006/picture">
                      <pic:pic xmlns:pic="http://schemas.openxmlformats.org/drawingml/2006/picture">
                        <pic:nvPicPr>
                          <pic:cNvPr id="529" name="图片_88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907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30" name="图片_450"/>
                  <wp:cNvGraphicFramePr/>
                  <a:graphic xmlns:a="http://schemas.openxmlformats.org/drawingml/2006/main">
                    <a:graphicData uri="http://schemas.openxmlformats.org/drawingml/2006/picture">
                      <pic:pic xmlns:pic="http://schemas.openxmlformats.org/drawingml/2006/picture">
                        <pic:nvPicPr>
                          <pic:cNvPr id="530" name="图片_45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917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31" name="图片_449"/>
                  <wp:cNvGraphicFramePr/>
                  <a:graphic xmlns:a="http://schemas.openxmlformats.org/drawingml/2006/main">
                    <a:graphicData uri="http://schemas.openxmlformats.org/drawingml/2006/picture">
                      <pic:pic xmlns:pic="http://schemas.openxmlformats.org/drawingml/2006/picture">
                        <pic:nvPicPr>
                          <pic:cNvPr id="531" name="图片_44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927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32" name="图片_448"/>
                  <wp:cNvGraphicFramePr/>
                  <a:graphic xmlns:a="http://schemas.openxmlformats.org/drawingml/2006/main">
                    <a:graphicData uri="http://schemas.openxmlformats.org/drawingml/2006/picture">
                      <pic:pic xmlns:pic="http://schemas.openxmlformats.org/drawingml/2006/picture">
                        <pic:nvPicPr>
                          <pic:cNvPr id="532" name="图片_44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937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33" name="图片_447"/>
                  <wp:cNvGraphicFramePr/>
                  <a:graphic xmlns:a="http://schemas.openxmlformats.org/drawingml/2006/main">
                    <a:graphicData uri="http://schemas.openxmlformats.org/drawingml/2006/picture">
                      <pic:pic xmlns:pic="http://schemas.openxmlformats.org/drawingml/2006/picture">
                        <pic:nvPicPr>
                          <pic:cNvPr id="533" name="图片_44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948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34" name="图片_446"/>
                  <wp:cNvGraphicFramePr/>
                  <a:graphic xmlns:a="http://schemas.openxmlformats.org/drawingml/2006/main">
                    <a:graphicData uri="http://schemas.openxmlformats.org/drawingml/2006/picture">
                      <pic:pic xmlns:pic="http://schemas.openxmlformats.org/drawingml/2006/picture">
                        <pic:nvPicPr>
                          <pic:cNvPr id="534" name="图片_44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958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35" name="图片_445"/>
                  <wp:cNvGraphicFramePr/>
                  <a:graphic xmlns:a="http://schemas.openxmlformats.org/drawingml/2006/main">
                    <a:graphicData uri="http://schemas.openxmlformats.org/drawingml/2006/picture">
                      <pic:pic xmlns:pic="http://schemas.openxmlformats.org/drawingml/2006/picture">
                        <pic:nvPicPr>
                          <pic:cNvPr id="535" name="图片_44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968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36" name="图片_444"/>
                  <wp:cNvGraphicFramePr/>
                  <a:graphic xmlns:a="http://schemas.openxmlformats.org/drawingml/2006/main">
                    <a:graphicData uri="http://schemas.openxmlformats.org/drawingml/2006/picture">
                      <pic:pic xmlns:pic="http://schemas.openxmlformats.org/drawingml/2006/picture">
                        <pic:nvPicPr>
                          <pic:cNvPr id="536" name="图片_44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978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37" name="图片_443"/>
                  <wp:cNvGraphicFramePr/>
                  <a:graphic xmlns:a="http://schemas.openxmlformats.org/drawingml/2006/main">
                    <a:graphicData uri="http://schemas.openxmlformats.org/drawingml/2006/picture">
                      <pic:pic xmlns:pic="http://schemas.openxmlformats.org/drawingml/2006/picture">
                        <pic:nvPicPr>
                          <pic:cNvPr id="537" name="图片_44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989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38" name="图片_442"/>
                  <wp:cNvGraphicFramePr/>
                  <a:graphic xmlns:a="http://schemas.openxmlformats.org/drawingml/2006/main">
                    <a:graphicData uri="http://schemas.openxmlformats.org/drawingml/2006/picture">
                      <pic:pic xmlns:pic="http://schemas.openxmlformats.org/drawingml/2006/picture">
                        <pic:nvPicPr>
                          <pic:cNvPr id="538" name="图片_44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1999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39" name="图片_441"/>
                  <wp:cNvGraphicFramePr/>
                  <a:graphic xmlns:a="http://schemas.openxmlformats.org/drawingml/2006/main">
                    <a:graphicData uri="http://schemas.openxmlformats.org/drawingml/2006/picture">
                      <pic:pic xmlns:pic="http://schemas.openxmlformats.org/drawingml/2006/picture">
                        <pic:nvPicPr>
                          <pic:cNvPr id="539" name="图片_44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009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40" name="图片_440"/>
                  <wp:cNvGraphicFramePr/>
                  <a:graphic xmlns:a="http://schemas.openxmlformats.org/drawingml/2006/main">
                    <a:graphicData uri="http://schemas.openxmlformats.org/drawingml/2006/picture">
                      <pic:pic xmlns:pic="http://schemas.openxmlformats.org/drawingml/2006/picture">
                        <pic:nvPicPr>
                          <pic:cNvPr id="540" name="图片_44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019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41" name="图片_439"/>
                  <wp:cNvGraphicFramePr/>
                  <a:graphic xmlns:a="http://schemas.openxmlformats.org/drawingml/2006/main">
                    <a:graphicData uri="http://schemas.openxmlformats.org/drawingml/2006/picture">
                      <pic:pic xmlns:pic="http://schemas.openxmlformats.org/drawingml/2006/picture">
                        <pic:nvPicPr>
                          <pic:cNvPr id="541" name="图片_43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030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42" name="图片_438"/>
                  <wp:cNvGraphicFramePr/>
                  <a:graphic xmlns:a="http://schemas.openxmlformats.org/drawingml/2006/main">
                    <a:graphicData uri="http://schemas.openxmlformats.org/drawingml/2006/picture">
                      <pic:pic xmlns:pic="http://schemas.openxmlformats.org/drawingml/2006/picture">
                        <pic:nvPicPr>
                          <pic:cNvPr id="542" name="图片_43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040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43" name="图片_437"/>
                  <wp:cNvGraphicFramePr/>
                  <a:graphic xmlns:a="http://schemas.openxmlformats.org/drawingml/2006/main">
                    <a:graphicData uri="http://schemas.openxmlformats.org/drawingml/2006/picture">
                      <pic:pic xmlns:pic="http://schemas.openxmlformats.org/drawingml/2006/picture">
                        <pic:nvPicPr>
                          <pic:cNvPr id="543" name="图片_43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050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44" name="图片_436"/>
                  <wp:cNvGraphicFramePr/>
                  <a:graphic xmlns:a="http://schemas.openxmlformats.org/drawingml/2006/main">
                    <a:graphicData uri="http://schemas.openxmlformats.org/drawingml/2006/picture">
                      <pic:pic xmlns:pic="http://schemas.openxmlformats.org/drawingml/2006/picture">
                        <pic:nvPicPr>
                          <pic:cNvPr id="544" name="图片_43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060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45" name="图片_906"/>
                  <wp:cNvGraphicFramePr/>
                  <a:graphic xmlns:a="http://schemas.openxmlformats.org/drawingml/2006/main">
                    <a:graphicData uri="http://schemas.openxmlformats.org/drawingml/2006/picture">
                      <pic:pic xmlns:pic="http://schemas.openxmlformats.org/drawingml/2006/picture">
                        <pic:nvPicPr>
                          <pic:cNvPr id="545" name="图片_90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071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46" name="图片_434"/>
                  <wp:cNvGraphicFramePr/>
                  <a:graphic xmlns:a="http://schemas.openxmlformats.org/drawingml/2006/main">
                    <a:graphicData uri="http://schemas.openxmlformats.org/drawingml/2006/picture">
                      <pic:pic xmlns:pic="http://schemas.openxmlformats.org/drawingml/2006/picture">
                        <pic:nvPicPr>
                          <pic:cNvPr id="546" name="图片_43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081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47" name="图片_433"/>
                  <wp:cNvGraphicFramePr/>
                  <a:graphic xmlns:a="http://schemas.openxmlformats.org/drawingml/2006/main">
                    <a:graphicData uri="http://schemas.openxmlformats.org/drawingml/2006/picture">
                      <pic:pic xmlns:pic="http://schemas.openxmlformats.org/drawingml/2006/picture">
                        <pic:nvPicPr>
                          <pic:cNvPr id="547" name="图片_43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091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48" name="图片_432"/>
                  <wp:cNvGraphicFramePr/>
                  <a:graphic xmlns:a="http://schemas.openxmlformats.org/drawingml/2006/main">
                    <a:graphicData uri="http://schemas.openxmlformats.org/drawingml/2006/picture">
                      <pic:pic xmlns:pic="http://schemas.openxmlformats.org/drawingml/2006/picture">
                        <pic:nvPicPr>
                          <pic:cNvPr id="548" name="图片_43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101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49" name="图片_431"/>
                  <wp:cNvGraphicFramePr/>
                  <a:graphic xmlns:a="http://schemas.openxmlformats.org/drawingml/2006/main">
                    <a:graphicData uri="http://schemas.openxmlformats.org/drawingml/2006/picture">
                      <pic:pic xmlns:pic="http://schemas.openxmlformats.org/drawingml/2006/picture">
                        <pic:nvPicPr>
                          <pic:cNvPr id="549" name="图片_43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112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50" name="图片_430"/>
                  <wp:cNvGraphicFramePr/>
                  <a:graphic xmlns:a="http://schemas.openxmlformats.org/drawingml/2006/main">
                    <a:graphicData uri="http://schemas.openxmlformats.org/drawingml/2006/picture">
                      <pic:pic xmlns:pic="http://schemas.openxmlformats.org/drawingml/2006/picture">
                        <pic:nvPicPr>
                          <pic:cNvPr id="550" name="图片_43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122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51" name="图片_429"/>
                  <wp:cNvGraphicFramePr/>
                  <a:graphic xmlns:a="http://schemas.openxmlformats.org/drawingml/2006/main">
                    <a:graphicData uri="http://schemas.openxmlformats.org/drawingml/2006/picture">
                      <pic:pic xmlns:pic="http://schemas.openxmlformats.org/drawingml/2006/picture">
                        <pic:nvPicPr>
                          <pic:cNvPr id="551" name="图片_42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132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52" name="图片_428"/>
                  <wp:cNvGraphicFramePr/>
                  <a:graphic xmlns:a="http://schemas.openxmlformats.org/drawingml/2006/main">
                    <a:graphicData uri="http://schemas.openxmlformats.org/drawingml/2006/picture">
                      <pic:pic xmlns:pic="http://schemas.openxmlformats.org/drawingml/2006/picture">
                        <pic:nvPicPr>
                          <pic:cNvPr id="552" name="图片_42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142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53" name="图片_835"/>
                  <wp:cNvGraphicFramePr/>
                  <a:graphic xmlns:a="http://schemas.openxmlformats.org/drawingml/2006/main">
                    <a:graphicData uri="http://schemas.openxmlformats.org/drawingml/2006/picture">
                      <pic:pic xmlns:pic="http://schemas.openxmlformats.org/drawingml/2006/picture">
                        <pic:nvPicPr>
                          <pic:cNvPr id="553" name="图片_83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152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54" name="图片_426"/>
                  <wp:cNvGraphicFramePr/>
                  <a:graphic xmlns:a="http://schemas.openxmlformats.org/drawingml/2006/main">
                    <a:graphicData uri="http://schemas.openxmlformats.org/drawingml/2006/picture">
                      <pic:pic xmlns:pic="http://schemas.openxmlformats.org/drawingml/2006/picture">
                        <pic:nvPicPr>
                          <pic:cNvPr id="554" name="图片_42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163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55" name="图片_425"/>
                  <wp:cNvGraphicFramePr/>
                  <a:graphic xmlns:a="http://schemas.openxmlformats.org/drawingml/2006/main">
                    <a:graphicData uri="http://schemas.openxmlformats.org/drawingml/2006/picture">
                      <pic:pic xmlns:pic="http://schemas.openxmlformats.org/drawingml/2006/picture">
                        <pic:nvPicPr>
                          <pic:cNvPr id="555" name="图片_42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173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56" name="图片_424"/>
                  <wp:cNvGraphicFramePr/>
                  <a:graphic xmlns:a="http://schemas.openxmlformats.org/drawingml/2006/main">
                    <a:graphicData uri="http://schemas.openxmlformats.org/drawingml/2006/picture">
                      <pic:pic xmlns:pic="http://schemas.openxmlformats.org/drawingml/2006/picture">
                        <pic:nvPicPr>
                          <pic:cNvPr id="556" name="图片_42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183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57" name="图片_423"/>
                  <wp:cNvGraphicFramePr/>
                  <a:graphic xmlns:a="http://schemas.openxmlformats.org/drawingml/2006/main">
                    <a:graphicData uri="http://schemas.openxmlformats.org/drawingml/2006/picture">
                      <pic:pic xmlns:pic="http://schemas.openxmlformats.org/drawingml/2006/picture">
                        <pic:nvPicPr>
                          <pic:cNvPr id="557" name="图片_42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193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58" name="图片_422"/>
                  <wp:cNvGraphicFramePr/>
                  <a:graphic xmlns:a="http://schemas.openxmlformats.org/drawingml/2006/main">
                    <a:graphicData uri="http://schemas.openxmlformats.org/drawingml/2006/picture">
                      <pic:pic xmlns:pic="http://schemas.openxmlformats.org/drawingml/2006/picture">
                        <pic:nvPicPr>
                          <pic:cNvPr id="558" name="图片_42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204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59" name="图片_421"/>
                  <wp:cNvGraphicFramePr/>
                  <a:graphic xmlns:a="http://schemas.openxmlformats.org/drawingml/2006/main">
                    <a:graphicData uri="http://schemas.openxmlformats.org/drawingml/2006/picture">
                      <pic:pic xmlns:pic="http://schemas.openxmlformats.org/drawingml/2006/picture">
                        <pic:nvPicPr>
                          <pic:cNvPr id="559" name="图片_42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214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60" name="图片_420"/>
                  <wp:cNvGraphicFramePr/>
                  <a:graphic xmlns:a="http://schemas.openxmlformats.org/drawingml/2006/main">
                    <a:graphicData uri="http://schemas.openxmlformats.org/drawingml/2006/picture">
                      <pic:pic xmlns:pic="http://schemas.openxmlformats.org/drawingml/2006/picture">
                        <pic:nvPicPr>
                          <pic:cNvPr id="560" name="图片_42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224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61" name="图片_818"/>
                  <wp:cNvGraphicFramePr/>
                  <a:graphic xmlns:a="http://schemas.openxmlformats.org/drawingml/2006/main">
                    <a:graphicData uri="http://schemas.openxmlformats.org/drawingml/2006/picture">
                      <pic:pic xmlns:pic="http://schemas.openxmlformats.org/drawingml/2006/picture">
                        <pic:nvPicPr>
                          <pic:cNvPr id="561" name="图片_81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234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62" name="图片_418"/>
                  <wp:cNvGraphicFramePr/>
                  <a:graphic xmlns:a="http://schemas.openxmlformats.org/drawingml/2006/main">
                    <a:graphicData uri="http://schemas.openxmlformats.org/drawingml/2006/picture">
                      <pic:pic xmlns:pic="http://schemas.openxmlformats.org/drawingml/2006/picture">
                        <pic:nvPicPr>
                          <pic:cNvPr id="562" name="图片_41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245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63" name="图片_417"/>
                  <wp:cNvGraphicFramePr/>
                  <a:graphic xmlns:a="http://schemas.openxmlformats.org/drawingml/2006/main">
                    <a:graphicData uri="http://schemas.openxmlformats.org/drawingml/2006/picture">
                      <pic:pic xmlns:pic="http://schemas.openxmlformats.org/drawingml/2006/picture">
                        <pic:nvPicPr>
                          <pic:cNvPr id="563" name="图片_41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255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64" name="图片_416"/>
                  <wp:cNvGraphicFramePr/>
                  <a:graphic xmlns:a="http://schemas.openxmlformats.org/drawingml/2006/main">
                    <a:graphicData uri="http://schemas.openxmlformats.org/drawingml/2006/picture">
                      <pic:pic xmlns:pic="http://schemas.openxmlformats.org/drawingml/2006/picture">
                        <pic:nvPicPr>
                          <pic:cNvPr id="564" name="图片_41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265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65" name="图片_415"/>
                  <wp:cNvGraphicFramePr/>
                  <a:graphic xmlns:a="http://schemas.openxmlformats.org/drawingml/2006/main">
                    <a:graphicData uri="http://schemas.openxmlformats.org/drawingml/2006/picture">
                      <pic:pic xmlns:pic="http://schemas.openxmlformats.org/drawingml/2006/picture">
                        <pic:nvPicPr>
                          <pic:cNvPr id="565" name="图片_41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275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66" name="图片_414"/>
                  <wp:cNvGraphicFramePr/>
                  <a:graphic xmlns:a="http://schemas.openxmlformats.org/drawingml/2006/main">
                    <a:graphicData uri="http://schemas.openxmlformats.org/drawingml/2006/picture">
                      <pic:pic xmlns:pic="http://schemas.openxmlformats.org/drawingml/2006/picture">
                        <pic:nvPicPr>
                          <pic:cNvPr id="566" name="图片_41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286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67" name="图片_413"/>
                  <wp:cNvGraphicFramePr/>
                  <a:graphic xmlns:a="http://schemas.openxmlformats.org/drawingml/2006/main">
                    <a:graphicData uri="http://schemas.openxmlformats.org/drawingml/2006/picture">
                      <pic:pic xmlns:pic="http://schemas.openxmlformats.org/drawingml/2006/picture">
                        <pic:nvPicPr>
                          <pic:cNvPr id="567" name="图片_41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296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68" name="图片_412"/>
                  <wp:cNvGraphicFramePr/>
                  <a:graphic xmlns:a="http://schemas.openxmlformats.org/drawingml/2006/main">
                    <a:graphicData uri="http://schemas.openxmlformats.org/drawingml/2006/picture">
                      <pic:pic xmlns:pic="http://schemas.openxmlformats.org/drawingml/2006/picture">
                        <pic:nvPicPr>
                          <pic:cNvPr id="568" name="图片_41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306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69" name="图片_803"/>
                  <wp:cNvGraphicFramePr/>
                  <a:graphic xmlns:a="http://schemas.openxmlformats.org/drawingml/2006/main">
                    <a:graphicData uri="http://schemas.openxmlformats.org/drawingml/2006/picture">
                      <pic:pic xmlns:pic="http://schemas.openxmlformats.org/drawingml/2006/picture">
                        <pic:nvPicPr>
                          <pic:cNvPr id="569" name="图片_80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316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70" name="图片_410"/>
                  <wp:cNvGraphicFramePr/>
                  <a:graphic xmlns:a="http://schemas.openxmlformats.org/drawingml/2006/main">
                    <a:graphicData uri="http://schemas.openxmlformats.org/drawingml/2006/picture">
                      <pic:pic xmlns:pic="http://schemas.openxmlformats.org/drawingml/2006/picture">
                        <pic:nvPicPr>
                          <pic:cNvPr id="570" name="图片_41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327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71" name="图片_409"/>
                  <wp:cNvGraphicFramePr/>
                  <a:graphic xmlns:a="http://schemas.openxmlformats.org/drawingml/2006/main">
                    <a:graphicData uri="http://schemas.openxmlformats.org/drawingml/2006/picture">
                      <pic:pic xmlns:pic="http://schemas.openxmlformats.org/drawingml/2006/picture">
                        <pic:nvPicPr>
                          <pic:cNvPr id="571" name="图片_40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337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72" name="图片_408"/>
                  <wp:cNvGraphicFramePr/>
                  <a:graphic xmlns:a="http://schemas.openxmlformats.org/drawingml/2006/main">
                    <a:graphicData uri="http://schemas.openxmlformats.org/drawingml/2006/picture">
                      <pic:pic xmlns:pic="http://schemas.openxmlformats.org/drawingml/2006/picture">
                        <pic:nvPicPr>
                          <pic:cNvPr id="572" name="图片_40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347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73" name="图片_407"/>
                  <wp:cNvGraphicFramePr/>
                  <a:graphic xmlns:a="http://schemas.openxmlformats.org/drawingml/2006/main">
                    <a:graphicData uri="http://schemas.openxmlformats.org/drawingml/2006/picture">
                      <pic:pic xmlns:pic="http://schemas.openxmlformats.org/drawingml/2006/picture">
                        <pic:nvPicPr>
                          <pic:cNvPr id="573" name="图片_40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357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74" name="图片_406"/>
                  <wp:cNvGraphicFramePr/>
                  <a:graphic xmlns:a="http://schemas.openxmlformats.org/drawingml/2006/main">
                    <a:graphicData uri="http://schemas.openxmlformats.org/drawingml/2006/picture">
                      <pic:pic xmlns:pic="http://schemas.openxmlformats.org/drawingml/2006/picture">
                        <pic:nvPicPr>
                          <pic:cNvPr id="574" name="图片_40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368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75" name="图片_405"/>
                  <wp:cNvGraphicFramePr/>
                  <a:graphic xmlns:a="http://schemas.openxmlformats.org/drawingml/2006/main">
                    <a:graphicData uri="http://schemas.openxmlformats.org/drawingml/2006/picture">
                      <pic:pic xmlns:pic="http://schemas.openxmlformats.org/drawingml/2006/picture">
                        <pic:nvPicPr>
                          <pic:cNvPr id="575" name="图片_40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378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76" name="图片_404"/>
                  <wp:cNvGraphicFramePr/>
                  <a:graphic xmlns:a="http://schemas.openxmlformats.org/drawingml/2006/main">
                    <a:graphicData uri="http://schemas.openxmlformats.org/drawingml/2006/picture">
                      <pic:pic xmlns:pic="http://schemas.openxmlformats.org/drawingml/2006/picture">
                        <pic:nvPicPr>
                          <pic:cNvPr id="576" name="图片_40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388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77" name="图片_908"/>
                  <wp:cNvGraphicFramePr/>
                  <a:graphic xmlns:a="http://schemas.openxmlformats.org/drawingml/2006/main">
                    <a:graphicData uri="http://schemas.openxmlformats.org/drawingml/2006/picture">
                      <pic:pic xmlns:pic="http://schemas.openxmlformats.org/drawingml/2006/picture">
                        <pic:nvPicPr>
                          <pic:cNvPr id="577" name="图片_90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398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78" name="图片_402"/>
                  <wp:cNvGraphicFramePr/>
                  <a:graphic xmlns:a="http://schemas.openxmlformats.org/drawingml/2006/main">
                    <a:graphicData uri="http://schemas.openxmlformats.org/drawingml/2006/picture">
                      <pic:pic xmlns:pic="http://schemas.openxmlformats.org/drawingml/2006/picture">
                        <pic:nvPicPr>
                          <pic:cNvPr id="578" name="图片_40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408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79" name="图片_401"/>
                  <wp:cNvGraphicFramePr/>
                  <a:graphic xmlns:a="http://schemas.openxmlformats.org/drawingml/2006/main">
                    <a:graphicData uri="http://schemas.openxmlformats.org/drawingml/2006/picture">
                      <pic:pic xmlns:pic="http://schemas.openxmlformats.org/drawingml/2006/picture">
                        <pic:nvPicPr>
                          <pic:cNvPr id="579" name="图片_40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419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80" name="图片_400"/>
                  <wp:cNvGraphicFramePr/>
                  <a:graphic xmlns:a="http://schemas.openxmlformats.org/drawingml/2006/main">
                    <a:graphicData uri="http://schemas.openxmlformats.org/drawingml/2006/picture">
                      <pic:pic xmlns:pic="http://schemas.openxmlformats.org/drawingml/2006/picture">
                        <pic:nvPicPr>
                          <pic:cNvPr id="580" name="图片_40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429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81" name="图片_399"/>
                  <wp:cNvGraphicFramePr/>
                  <a:graphic xmlns:a="http://schemas.openxmlformats.org/drawingml/2006/main">
                    <a:graphicData uri="http://schemas.openxmlformats.org/drawingml/2006/picture">
                      <pic:pic xmlns:pic="http://schemas.openxmlformats.org/drawingml/2006/picture">
                        <pic:nvPicPr>
                          <pic:cNvPr id="581" name="图片_39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439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82" name="图片_398"/>
                  <wp:cNvGraphicFramePr/>
                  <a:graphic xmlns:a="http://schemas.openxmlformats.org/drawingml/2006/main">
                    <a:graphicData uri="http://schemas.openxmlformats.org/drawingml/2006/picture">
                      <pic:pic xmlns:pic="http://schemas.openxmlformats.org/drawingml/2006/picture">
                        <pic:nvPicPr>
                          <pic:cNvPr id="582" name="图片_39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449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83" name="图片_397"/>
                  <wp:cNvGraphicFramePr/>
                  <a:graphic xmlns:a="http://schemas.openxmlformats.org/drawingml/2006/main">
                    <a:graphicData uri="http://schemas.openxmlformats.org/drawingml/2006/picture">
                      <pic:pic xmlns:pic="http://schemas.openxmlformats.org/drawingml/2006/picture">
                        <pic:nvPicPr>
                          <pic:cNvPr id="583" name="图片_39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460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84" name="图片_396"/>
                  <wp:cNvGraphicFramePr/>
                  <a:graphic xmlns:a="http://schemas.openxmlformats.org/drawingml/2006/main">
                    <a:graphicData uri="http://schemas.openxmlformats.org/drawingml/2006/picture">
                      <pic:pic xmlns:pic="http://schemas.openxmlformats.org/drawingml/2006/picture">
                        <pic:nvPicPr>
                          <pic:cNvPr id="584" name="图片_39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470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85" name="图片_771"/>
                  <wp:cNvGraphicFramePr/>
                  <a:graphic xmlns:a="http://schemas.openxmlformats.org/drawingml/2006/main">
                    <a:graphicData uri="http://schemas.openxmlformats.org/drawingml/2006/picture">
                      <pic:pic xmlns:pic="http://schemas.openxmlformats.org/drawingml/2006/picture">
                        <pic:nvPicPr>
                          <pic:cNvPr id="585" name="图片_77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480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86" name="图片_394"/>
                  <wp:cNvGraphicFramePr/>
                  <a:graphic xmlns:a="http://schemas.openxmlformats.org/drawingml/2006/main">
                    <a:graphicData uri="http://schemas.openxmlformats.org/drawingml/2006/picture">
                      <pic:pic xmlns:pic="http://schemas.openxmlformats.org/drawingml/2006/picture">
                        <pic:nvPicPr>
                          <pic:cNvPr id="586" name="图片_39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490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87" name="图片_393"/>
                  <wp:cNvGraphicFramePr/>
                  <a:graphic xmlns:a="http://schemas.openxmlformats.org/drawingml/2006/main">
                    <a:graphicData uri="http://schemas.openxmlformats.org/drawingml/2006/picture">
                      <pic:pic xmlns:pic="http://schemas.openxmlformats.org/drawingml/2006/picture">
                        <pic:nvPicPr>
                          <pic:cNvPr id="587" name="图片_39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501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88" name="图片_392"/>
                  <wp:cNvGraphicFramePr/>
                  <a:graphic xmlns:a="http://schemas.openxmlformats.org/drawingml/2006/main">
                    <a:graphicData uri="http://schemas.openxmlformats.org/drawingml/2006/picture">
                      <pic:pic xmlns:pic="http://schemas.openxmlformats.org/drawingml/2006/picture">
                        <pic:nvPicPr>
                          <pic:cNvPr id="588" name="图片_39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511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89" name="图片_391"/>
                  <wp:cNvGraphicFramePr/>
                  <a:graphic xmlns:a="http://schemas.openxmlformats.org/drawingml/2006/main">
                    <a:graphicData uri="http://schemas.openxmlformats.org/drawingml/2006/picture">
                      <pic:pic xmlns:pic="http://schemas.openxmlformats.org/drawingml/2006/picture">
                        <pic:nvPicPr>
                          <pic:cNvPr id="589" name="图片_39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521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90" name="图片_390"/>
                  <wp:cNvGraphicFramePr/>
                  <a:graphic xmlns:a="http://schemas.openxmlformats.org/drawingml/2006/main">
                    <a:graphicData uri="http://schemas.openxmlformats.org/drawingml/2006/picture">
                      <pic:pic xmlns:pic="http://schemas.openxmlformats.org/drawingml/2006/picture">
                        <pic:nvPicPr>
                          <pic:cNvPr id="590" name="图片_39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531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91" name="图片_389"/>
                  <wp:cNvGraphicFramePr/>
                  <a:graphic xmlns:a="http://schemas.openxmlformats.org/drawingml/2006/main">
                    <a:graphicData uri="http://schemas.openxmlformats.org/drawingml/2006/picture">
                      <pic:pic xmlns:pic="http://schemas.openxmlformats.org/drawingml/2006/picture">
                        <pic:nvPicPr>
                          <pic:cNvPr id="591" name="图片_38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542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92" name="图片_388"/>
                  <wp:cNvGraphicFramePr/>
                  <a:graphic xmlns:a="http://schemas.openxmlformats.org/drawingml/2006/main">
                    <a:graphicData uri="http://schemas.openxmlformats.org/drawingml/2006/picture">
                      <pic:pic xmlns:pic="http://schemas.openxmlformats.org/drawingml/2006/picture">
                        <pic:nvPicPr>
                          <pic:cNvPr id="592" name="图片_38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552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93" name="图片_754"/>
                  <wp:cNvGraphicFramePr/>
                  <a:graphic xmlns:a="http://schemas.openxmlformats.org/drawingml/2006/main">
                    <a:graphicData uri="http://schemas.openxmlformats.org/drawingml/2006/picture">
                      <pic:pic xmlns:pic="http://schemas.openxmlformats.org/drawingml/2006/picture">
                        <pic:nvPicPr>
                          <pic:cNvPr id="593" name="图片_75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562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94" name="图片_386"/>
                  <wp:cNvGraphicFramePr/>
                  <a:graphic xmlns:a="http://schemas.openxmlformats.org/drawingml/2006/main">
                    <a:graphicData uri="http://schemas.openxmlformats.org/drawingml/2006/picture">
                      <pic:pic xmlns:pic="http://schemas.openxmlformats.org/drawingml/2006/picture">
                        <pic:nvPicPr>
                          <pic:cNvPr id="594" name="图片_38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572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95" name="图片_385"/>
                  <wp:cNvGraphicFramePr/>
                  <a:graphic xmlns:a="http://schemas.openxmlformats.org/drawingml/2006/main">
                    <a:graphicData uri="http://schemas.openxmlformats.org/drawingml/2006/picture">
                      <pic:pic xmlns:pic="http://schemas.openxmlformats.org/drawingml/2006/picture">
                        <pic:nvPicPr>
                          <pic:cNvPr id="595" name="图片_38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583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96" name="图片_384"/>
                  <wp:cNvGraphicFramePr/>
                  <a:graphic xmlns:a="http://schemas.openxmlformats.org/drawingml/2006/main">
                    <a:graphicData uri="http://schemas.openxmlformats.org/drawingml/2006/picture">
                      <pic:pic xmlns:pic="http://schemas.openxmlformats.org/drawingml/2006/picture">
                        <pic:nvPicPr>
                          <pic:cNvPr id="596" name="图片_38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593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97" name="图片_383"/>
                  <wp:cNvGraphicFramePr/>
                  <a:graphic xmlns:a="http://schemas.openxmlformats.org/drawingml/2006/main">
                    <a:graphicData uri="http://schemas.openxmlformats.org/drawingml/2006/picture">
                      <pic:pic xmlns:pic="http://schemas.openxmlformats.org/drawingml/2006/picture">
                        <pic:nvPicPr>
                          <pic:cNvPr id="597" name="图片_38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603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98" name="图片_382"/>
                  <wp:cNvGraphicFramePr/>
                  <a:graphic xmlns:a="http://schemas.openxmlformats.org/drawingml/2006/main">
                    <a:graphicData uri="http://schemas.openxmlformats.org/drawingml/2006/picture">
                      <pic:pic xmlns:pic="http://schemas.openxmlformats.org/drawingml/2006/picture">
                        <pic:nvPicPr>
                          <pic:cNvPr id="598" name="图片_38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613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99" name="图片_381"/>
                  <wp:cNvGraphicFramePr/>
                  <a:graphic xmlns:a="http://schemas.openxmlformats.org/drawingml/2006/main">
                    <a:graphicData uri="http://schemas.openxmlformats.org/drawingml/2006/picture">
                      <pic:pic xmlns:pic="http://schemas.openxmlformats.org/drawingml/2006/picture">
                        <pic:nvPicPr>
                          <pic:cNvPr id="599" name="图片_38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624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00" name="图片_380"/>
                  <wp:cNvGraphicFramePr/>
                  <a:graphic xmlns:a="http://schemas.openxmlformats.org/drawingml/2006/main">
                    <a:graphicData uri="http://schemas.openxmlformats.org/drawingml/2006/picture">
                      <pic:pic xmlns:pic="http://schemas.openxmlformats.org/drawingml/2006/picture">
                        <pic:nvPicPr>
                          <pic:cNvPr id="600" name="图片_38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634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01" name="图片_739"/>
                  <wp:cNvGraphicFramePr/>
                  <a:graphic xmlns:a="http://schemas.openxmlformats.org/drawingml/2006/main">
                    <a:graphicData uri="http://schemas.openxmlformats.org/drawingml/2006/picture">
                      <pic:pic xmlns:pic="http://schemas.openxmlformats.org/drawingml/2006/picture">
                        <pic:nvPicPr>
                          <pic:cNvPr id="601" name="图片_73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644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02" name="图片_378"/>
                  <wp:cNvGraphicFramePr/>
                  <a:graphic xmlns:a="http://schemas.openxmlformats.org/drawingml/2006/main">
                    <a:graphicData uri="http://schemas.openxmlformats.org/drawingml/2006/picture">
                      <pic:pic xmlns:pic="http://schemas.openxmlformats.org/drawingml/2006/picture">
                        <pic:nvPicPr>
                          <pic:cNvPr id="602" name="图片_37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654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03" name="图片_377"/>
                  <wp:cNvGraphicFramePr/>
                  <a:graphic xmlns:a="http://schemas.openxmlformats.org/drawingml/2006/main">
                    <a:graphicData uri="http://schemas.openxmlformats.org/drawingml/2006/picture">
                      <pic:pic xmlns:pic="http://schemas.openxmlformats.org/drawingml/2006/picture">
                        <pic:nvPicPr>
                          <pic:cNvPr id="603" name="图片_37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664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04" name="图片_376"/>
                  <wp:cNvGraphicFramePr/>
                  <a:graphic xmlns:a="http://schemas.openxmlformats.org/drawingml/2006/main">
                    <a:graphicData uri="http://schemas.openxmlformats.org/drawingml/2006/picture">
                      <pic:pic xmlns:pic="http://schemas.openxmlformats.org/drawingml/2006/picture">
                        <pic:nvPicPr>
                          <pic:cNvPr id="604" name="图片_37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675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05" name="图片_375"/>
                  <wp:cNvGraphicFramePr/>
                  <a:graphic xmlns:a="http://schemas.openxmlformats.org/drawingml/2006/main">
                    <a:graphicData uri="http://schemas.openxmlformats.org/drawingml/2006/picture">
                      <pic:pic xmlns:pic="http://schemas.openxmlformats.org/drawingml/2006/picture">
                        <pic:nvPicPr>
                          <pic:cNvPr id="605" name="图片_37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685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06" name="图片_374"/>
                  <wp:cNvGraphicFramePr/>
                  <a:graphic xmlns:a="http://schemas.openxmlformats.org/drawingml/2006/main">
                    <a:graphicData uri="http://schemas.openxmlformats.org/drawingml/2006/picture">
                      <pic:pic xmlns:pic="http://schemas.openxmlformats.org/drawingml/2006/picture">
                        <pic:nvPicPr>
                          <pic:cNvPr id="606" name="图片_37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695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07" name="图片_373"/>
                  <wp:cNvGraphicFramePr/>
                  <a:graphic xmlns:a="http://schemas.openxmlformats.org/drawingml/2006/main">
                    <a:graphicData uri="http://schemas.openxmlformats.org/drawingml/2006/picture">
                      <pic:pic xmlns:pic="http://schemas.openxmlformats.org/drawingml/2006/picture">
                        <pic:nvPicPr>
                          <pic:cNvPr id="607" name="图片_37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705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08" name="图片_372"/>
                  <wp:cNvGraphicFramePr/>
                  <a:graphic xmlns:a="http://schemas.openxmlformats.org/drawingml/2006/main">
                    <a:graphicData uri="http://schemas.openxmlformats.org/drawingml/2006/picture">
                      <pic:pic xmlns:pic="http://schemas.openxmlformats.org/drawingml/2006/picture">
                        <pic:nvPicPr>
                          <pic:cNvPr id="608" name="图片_37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716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09" name="图片_370"/>
                  <wp:cNvGraphicFramePr/>
                  <a:graphic xmlns:a="http://schemas.openxmlformats.org/drawingml/2006/main">
                    <a:graphicData uri="http://schemas.openxmlformats.org/drawingml/2006/picture">
                      <pic:pic xmlns:pic="http://schemas.openxmlformats.org/drawingml/2006/picture">
                        <pic:nvPicPr>
                          <pic:cNvPr id="609" name="图片_37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726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10" name="图片_369"/>
                  <wp:cNvGraphicFramePr/>
                  <a:graphic xmlns:a="http://schemas.openxmlformats.org/drawingml/2006/main">
                    <a:graphicData uri="http://schemas.openxmlformats.org/drawingml/2006/picture">
                      <pic:pic xmlns:pic="http://schemas.openxmlformats.org/drawingml/2006/picture">
                        <pic:nvPicPr>
                          <pic:cNvPr id="610" name="图片_36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736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11" name="图片_368"/>
                  <wp:cNvGraphicFramePr/>
                  <a:graphic xmlns:a="http://schemas.openxmlformats.org/drawingml/2006/main">
                    <a:graphicData uri="http://schemas.openxmlformats.org/drawingml/2006/picture">
                      <pic:pic xmlns:pic="http://schemas.openxmlformats.org/drawingml/2006/picture">
                        <pic:nvPicPr>
                          <pic:cNvPr id="611" name="图片_36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746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12" name="图片_367"/>
                  <wp:cNvGraphicFramePr/>
                  <a:graphic xmlns:a="http://schemas.openxmlformats.org/drawingml/2006/main">
                    <a:graphicData uri="http://schemas.openxmlformats.org/drawingml/2006/picture">
                      <pic:pic xmlns:pic="http://schemas.openxmlformats.org/drawingml/2006/picture">
                        <pic:nvPicPr>
                          <pic:cNvPr id="612" name="图片_36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757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13" name="图片_366"/>
                  <wp:cNvGraphicFramePr/>
                  <a:graphic xmlns:a="http://schemas.openxmlformats.org/drawingml/2006/main">
                    <a:graphicData uri="http://schemas.openxmlformats.org/drawingml/2006/picture">
                      <pic:pic xmlns:pic="http://schemas.openxmlformats.org/drawingml/2006/picture">
                        <pic:nvPicPr>
                          <pic:cNvPr id="613" name="图片_36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767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14" name="图片_365"/>
                  <wp:cNvGraphicFramePr/>
                  <a:graphic xmlns:a="http://schemas.openxmlformats.org/drawingml/2006/main">
                    <a:graphicData uri="http://schemas.openxmlformats.org/drawingml/2006/picture">
                      <pic:pic xmlns:pic="http://schemas.openxmlformats.org/drawingml/2006/picture">
                        <pic:nvPicPr>
                          <pic:cNvPr id="614" name="图片_36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777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15" name="图片_364"/>
                  <wp:cNvGraphicFramePr/>
                  <a:graphic xmlns:a="http://schemas.openxmlformats.org/drawingml/2006/main">
                    <a:graphicData uri="http://schemas.openxmlformats.org/drawingml/2006/picture">
                      <pic:pic xmlns:pic="http://schemas.openxmlformats.org/drawingml/2006/picture">
                        <pic:nvPicPr>
                          <pic:cNvPr id="615" name="图片_36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787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16" name="图片_707"/>
                  <wp:cNvGraphicFramePr/>
                  <a:graphic xmlns:a="http://schemas.openxmlformats.org/drawingml/2006/main">
                    <a:graphicData uri="http://schemas.openxmlformats.org/drawingml/2006/picture">
                      <pic:pic xmlns:pic="http://schemas.openxmlformats.org/drawingml/2006/picture">
                        <pic:nvPicPr>
                          <pic:cNvPr id="616" name="图片_70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798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17" name="图片_362"/>
                  <wp:cNvGraphicFramePr/>
                  <a:graphic xmlns:a="http://schemas.openxmlformats.org/drawingml/2006/main">
                    <a:graphicData uri="http://schemas.openxmlformats.org/drawingml/2006/picture">
                      <pic:pic xmlns:pic="http://schemas.openxmlformats.org/drawingml/2006/picture">
                        <pic:nvPicPr>
                          <pic:cNvPr id="617" name="图片_36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808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18" name="图片_361"/>
                  <wp:cNvGraphicFramePr/>
                  <a:graphic xmlns:a="http://schemas.openxmlformats.org/drawingml/2006/main">
                    <a:graphicData uri="http://schemas.openxmlformats.org/drawingml/2006/picture">
                      <pic:pic xmlns:pic="http://schemas.openxmlformats.org/drawingml/2006/picture">
                        <pic:nvPicPr>
                          <pic:cNvPr id="618" name="图片_36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818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19" name="图片_360"/>
                  <wp:cNvGraphicFramePr/>
                  <a:graphic xmlns:a="http://schemas.openxmlformats.org/drawingml/2006/main">
                    <a:graphicData uri="http://schemas.openxmlformats.org/drawingml/2006/picture">
                      <pic:pic xmlns:pic="http://schemas.openxmlformats.org/drawingml/2006/picture">
                        <pic:nvPicPr>
                          <pic:cNvPr id="619" name="图片_36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828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20" name="图片_359"/>
                  <wp:cNvGraphicFramePr/>
                  <a:graphic xmlns:a="http://schemas.openxmlformats.org/drawingml/2006/main">
                    <a:graphicData uri="http://schemas.openxmlformats.org/drawingml/2006/picture">
                      <pic:pic xmlns:pic="http://schemas.openxmlformats.org/drawingml/2006/picture">
                        <pic:nvPicPr>
                          <pic:cNvPr id="620" name="图片_35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839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21" name="图片_358"/>
                  <wp:cNvGraphicFramePr/>
                  <a:graphic xmlns:a="http://schemas.openxmlformats.org/drawingml/2006/main">
                    <a:graphicData uri="http://schemas.openxmlformats.org/drawingml/2006/picture">
                      <pic:pic xmlns:pic="http://schemas.openxmlformats.org/drawingml/2006/picture">
                        <pic:nvPicPr>
                          <pic:cNvPr id="621" name="图片_35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849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22" name="图片_357"/>
                  <wp:cNvGraphicFramePr/>
                  <a:graphic xmlns:a="http://schemas.openxmlformats.org/drawingml/2006/main">
                    <a:graphicData uri="http://schemas.openxmlformats.org/drawingml/2006/picture">
                      <pic:pic xmlns:pic="http://schemas.openxmlformats.org/drawingml/2006/picture">
                        <pic:nvPicPr>
                          <pic:cNvPr id="622" name="图片_35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859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23" name="图片_356"/>
                  <wp:cNvGraphicFramePr/>
                  <a:graphic xmlns:a="http://schemas.openxmlformats.org/drawingml/2006/main">
                    <a:graphicData uri="http://schemas.openxmlformats.org/drawingml/2006/picture">
                      <pic:pic xmlns:pic="http://schemas.openxmlformats.org/drawingml/2006/picture">
                        <pic:nvPicPr>
                          <pic:cNvPr id="623" name="图片_35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869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24" name="图片_253"/>
                  <wp:cNvGraphicFramePr/>
                  <a:graphic xmlns:a="http://schemas.openxmlformats.org/drawingml/2006/main">
                    <a:graphicData uri="http://schemas.openxmlformats.org/drawingml/2006/picture">
                      <pic:pic xmlns:pic="http://schemas.openxmlformats.org/drawingml/2006/picture">
                        <pic:nvPicPr>
                          <pic:cNvPr id="624" name="图片_25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880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25" name="图片_354"/>
                  <wp:cNvGraphicFramePr/>
                  <a:graphic xmlns:a="http://schemas.openxmlformats.org/drawingml/2006/main">
                    <a:graphicData uri="http://schemas.openxmlformats.org/drawingml/2006/picture">
                      <pic:pic xmlns:pic="http://schemas.openxmlformats.org/drawingml/2006/picture">
                        <pic:nvPicPr>
                          <pic:cNvPr id="625" name="图片_35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890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26" name="图片_353"/>
                  <wp:cNvGraphicFramePr/>
                  <a:graphic xmlns:a="http://schemas.openxmlformats.org/drawingml/2006/main">
                    <a:graphicData uri="http://schemas.openxmlformats.org/drawingml/2006/picture">
                      <pic:pic xmlns:pic="http://schemas.openxmlformats.org/drawingml/2006/picture">
                        <pic:nvPicPr>
                          <pic:cNvPr id="626" name="图片_35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900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27" name="图片_352"/>
                  <wp:cNvGraphicFramePr/>
                  <a:graphic xmlns:a="http://schemas.openxmlformats.org/drawingml/2006/main">
                    <a:graphicData uri="http://schemas.openxmlformats.org/drawingml/2006/picture">
                      <pic:pic xmlns:pic="http://schemas.openxmlformats.org/drawingml/2006/picture">
                        <pic:nvPicPr>
                          <pic:cNvPr id="627" name="图片_35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910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28" name="图片_351"/>
                  <wp:cNvGraphicFramePr/>
                  <a:graphic xmlns:a="http://schemas.openxmlformats.org/drawingml/2006/main">
                    <a:graphicData uri="http://schemas.openxmlformats.org/drawingml/2006/picture">
                      <pic:pic xmlns:pic="http://schemas.openxmlformats.org/drawingml/2006/picture">
                        <pic:nvPicPr>
                          <pic:cNvPr id="628" name="图片_35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920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29" name="图片_350"/>
                  <wp:cNvGraphicFramePr/>
                  <a:graphic xmlns:a="http://schemas.openxmlformats.org/drawingml/2006/main">
                    <a:graphicData uri="http://schemas.openxmlformats.org/drawingml/2006/picture">
                      <pic:pic xmlns:pic="http://schemas.openxmlformats.org/drawingml/2006/picture">
                        <pic:nvPicPr>
                          <pic:cNvPr id="629" name="图片_35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931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30" name="图片_349"/>
                  <wp:cNvGraphicFramePr/>
                  <a:graphic xmlns:a="http://schemas.openxmlformats.org/drawingml/2006/main">
                    <a:graphicData uri="http://schemas.openxmlformats.org/drawingml/2006/picture">
                      <pic:pic xmlns:pic="http://schemas.openxmlformats.org/drawingml/2006/picture">
                        <pic:nvPicPr>
                          <pic:cNvPr id="630" name="图片_34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941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31" name="图片_348"/>
                  <wp:cNvGraphicFramePr/>
                  <a:graphic xmlns:a="http://schemas.openxmlformats.org/drawingml/2006/main">
                    <a:graphicData uri="http://schemas.openxmlformats.org/drawingml/2006/picture">
                      <pic:pic xmlns:pic="http://schemas.openxmlformats.org/drawingml/2006/picture">
                        <pic:nvPicPr>
                          <pic:cNvPr id="631" name="图片_34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951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32" name="图片_675"/>
                  <wp:cNvGraphicFramePr/>
                  <a:graphic xmlns:a="http://schemas.openxmlformats.org/drawingml/2006/main">
                    <a:graphicData uri="http://schemas.openxmlformats.org/drawingml/2006/picture">
                      <pic:pic xmlns:pic="http://schemas.openxmlformats.org/drawingml/2006/picture">
                        <pic:nvPicPr>
                          <pic:cNvPr id="632" name="图片_67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961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33" name="图片_346"/>
                  <wp:cNvGraphicFramePr/>
                  <a:graphic xmlns:a="http://schemas.openxmlformats.org/drawingml/2006/main">
                    <a:graphicData uri="http://schemas.openxmlformats.org/drawingml/2006/picture">
                      <pic:pic xmlns:pic="http://schemas.openxmlformats.org/drawingml/2006/picture">
                        <pic:nvPicPr>
                          <pic:cNvPr id="633" name="图片_34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972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34" name="图片_345"/>
                  <wp:cNvGraphicFramePr/>
                  <a:graphic xmlns:a="http://schemas.openxmlformats.org/drawingml/2006/main">
                    <a:graphicData uri="http://schemas.openxmlformats.org/drawingml/2006/picture">
                      <pic:pic xmlns:pic="http://schemas.openxmlformats.org/drawingml/2006/picture">
                        <pic:nvPicPr>
                          <pic:cNvPr id="634" name="图片_34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982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35" name="图片_344"/>
                  <wp:cNvGraphicFramePr/>
                  <a:graphic xmlns:a="http://schemas.openxmlformats.org/drawingml/2006/main">
                    <a:graphicData uri="http://schemas.openxmlformats.org/drawingml/2006/picture">
                      <pic:pic xmlns:pic="http://schemas.openxmlformats.org/drawingml/2006/picture">
                        <pic:nvPicPr>
                          <pic:cNvPr id="635" name="图片_34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2992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36" name="图片_343"/>
                  <wp:cNvGraphicFramePr/>
                  <a:graphic xmlns:a="http://schemas.openxmlformats.org/drawingml/2006/main">
                    <a:graphicData uri="http://schemas.openxmlformats.org/drawingml/2006/picture">
                      <pic:pic xmlns:pic="http://schemas.openxmlformats.org/drawingml/2006/picture">
                        <pic:nvPicPr>
                          <pic:cNvPr id="636" name="图片_34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002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37" name="图片_342"/>
                  <wp:cNvGraphicFramePr/>
                  <a:graphic xmlns:a="http://schemas.openxmlformats.org/drawingml/2006/main">
                    <a:graphicData uri="http://schemas.openxmlformats.org/drawingml/2006/picture">
                      <pic:pic xmlns:pic="http://schemas.openxmlformats.org/drawingml/2006/picture">
                        <pic:nvPicPr>
                          <pic:cNvPr id="637" name="图片_34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013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38" name="图片_341"/>
                  <wp:cNvGraphicFramePr/>
                  <a:graphic xmlns:a="http://schemas.openxmlformats.org/drawingml/2006/main">
                    <a:graphicData uri="http://schemas.openxmlformats.org/drawingml/2006/picture">
                      <pic:pic xmlns:pic="http://schemas.openxmlformats.org/drawingml/2006/picture">
                        <pic:nvPicPr>
                          <pic:cNvPr id="638" name="图片_34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023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39" name="图片_340"/>
                  <wp:cNvGraphicFramePr/>
                  <a:graphic xmlns:a="http://schemas.openxmlformats.org/drawingml/2006/main">
                    <a:graphicData uri="http://schemas.openxmlformats.org/drawingml/2006/picture">
                      <pic:pic xmlns:pic="http://schemas.openxmlformats.org/drawingml/2006/picture">
                        <pic:nvPicPr>
                          <pic:cNvPr id="639" name="图片_34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033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40" name="图片_499"/>
                  <wp:cNvGraphicFramePr/>
                  <a:graphic xmlns:a="http://schemas.openxmlformats.org/drawingml/2006/main">
                    <a:graphicData uri="http://schemas.openxmlformats.org/drawingml/2006/picture">
                      <pic:pic xmlns:pic="http://schemas.openxmlformats.org/drawingml/2006/picture">
                        <pic:nvPicPr>
                          <pic:cNvPr id="640" name="图片_49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043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41" name="图片_498"/>
                  <wp:cNvGraphicFramePr/>
                  <a:graphic xmlns:a="http://schemas.openxmlformats.org/drawingml/2006/main">
                    <a:graphicData uri="http://schemas.openxmlformats.org/drawingml/2006/picture">
                      <pic:pic xmlns:pic="http://schemas.openxmlformats.org/drawingml/2006/picture">
                        <pic:nvPicPr>
                          <pic:cNvPr id="641" name="图片_49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054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42" name="图片_139"/>
                  <wp:cNvGraphicFramePr/>
                  <a:graphic xmlns:a="http://schemas.openxmlformats.org/drawingml/2006/main">
                    <a:graphicData uri="http://schemas.openxmlformats.org/drawingml/2006/picture">
                      <pic:pic xmlns:pic="http://schemas.openxmlformats.org/drawingml/2006/picture">
                        <pic:nvPicPr>
                          <pic:cNvPr id="642" name="图片_13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064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43" name="图片_916"/>
                  <wp:cNvGraphicFramePr/>
                  <a:graphic xmlns:a="http://schemas.openxmlformats.org/drawingml/2006/main">
                    <a:graphicData uri="http://schemas.openxmlformats.org/drawingml/2006/picture">
                      <pic:pic xmlns:pic="http://schemas.openxmlformats.org/drawingml/2006/picture">
                        <pic:nvPicPr>
                          <pic:cNvPr id="643" name="图片_91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074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44" name="图片_913"/>
                  <wp:cNvGraphicFramePr/>
                  <a:graphic xmlns:a="http://schemas.openxmlformats.org/drawingml/2006/main">
                    <a:graphicData uri="http://schemas.openxmlformats.org/drawingml/2006/picture">
                      <pic:pic xmlns:pic="http://schemas.openxmlformats.org/drawingml/2006/picture">
                        <pic:nvPicPr>
                          <pic:cNvPr id="644" name="图片_91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084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45" name="图片_657"/>
                  <wp:cNvGraphicFramePr/>
                  <a:graphic xmlns:a="http://schemas.openxmlformats.org/drawingml/2006/main">
                    <a:graphicData uri="http://schemas.openxmlformats.org/drawingml/2006/picture">
                      <pic:pic xmlns:pic="http://schemas.openxmlformats.org/drawingml/2006/picture">
                        <pic:nvPicPr>
                          <pic:cNvPr id="645" name="图片_65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095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46" name="图片_337"/>
                  <wp:cNvGraphicFramePr/>
                  <a:graphic xmlns:a="http://schemas.openxmlformats.org/drawingml/2006/main">
                    <a:graphicData uri="http://schemas.openxmlformats.org/drawingml/2006/picture">
                      <pic:pic xmlns:pic="http://schemas.openxmlformats.org/drawingml/2006/picture">
                        <pic:nvPicPr>
                          <pic:cNvPr id="646" name="图片_33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105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47" name="图片_336"/>
                  <wp:cNvGraphicFramePr/>
                  <a:graphic xmlns:a="http://schemas.openxmlformats.org/drawingml/2006/main">
                    <a:graphicData uri="http://schemas.openxmlformats.org/drawingml/2006/picture">
                      <pic:pic xmlns:pic="http://schemas.openxmlformats.org/drawingml/2006/picture">
                        <pic:nvPicPr>
                          <pic:cNvPr id="647" name="图片_33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115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48" name="图片_335"/>
                  <wp:cNvGraphicFramePr/>
                  <a:graphic xmlns:a="http://schemas.openxmlformats.org/drawingml/2006/main">
                    <a:graphicData uri="http://schemas.openxmlformats.org/drawingml/2006/picture">
                      <pic:pic xmlns:pic="http://schemas.openxmlformats.org/drawingml/2006/picture">
                        <pic:nvPicPr>
                          <pic:cNvPr id="648" name="图片_33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125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49" name="图片_334"/>
                  <wp:cNvGraphicFramePr/>
                  <a:graphic xmlns:a="http://schemas.openxmlformats.org/drawingml/2006/main">
                    <a:graphicData uri="http://schemas.openxmlformats.org/drawingml/2006/picture">
                      <pic:pic xmlns:pic="http://schemas.openxmlformats.org/drawingml/2006/picture">
                        <pic:nvPicPr>
                          <pic:cNvPr id="649" name="图片_33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136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50" name="图片_333"/>
                  <wp:cNvGraphicFramePr/>
                  <a:graphic xmlns:a="http://schemas.openxmlformats.org/drawingml/2006/main">
                    <a:graphicData uri="http://schemas.openxmlformats.org/drawingml/2006/picture">
                      <pic:pic xmlns:pic="http://schemas.openxmlformats.org/drawingml/2006/picture">
                        <pic:nvPicPr>
                          <pic:cNvPr id="650" name="图片_33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146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51" name="图片_332"/>
                  <wp:cNvGraphicFramePr/>
                  <a:graphic xmlns:a="http://schemas.openxmlformats.org/drawingml/2006/main">
                    <a:graphicData uri="http://schemas.openxmlformats.org/drawingml/2006/picture">
                      <pic:pic xmlns:pic="http://schemas.openxmlformats.org/drawingml/2006/picture">
                        <pic:nvPicPr>
                          <pic:cNvPr id="651" name="图片_33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156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52" name="图片_643"/>
                  <wp:cNvGraphicFramePr/>
                  <a:graphic xmlns:a="http://schemas.openxmlformats.org/drawingml/2006/main">
                    <a:graphicData uri="http://schemas.openxmlformats.org/drawingml/2006/picture">
                      <pic:pic xmlns:pic="http://schemas.openxmlformats.org/drawingml/2006/picture">
                        <pic:nvPicPr>
                          <pic:cNvPr id="652" name="图片_64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166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53" name="图片_330"/>
                  <wp:cNvGraphicFramePr/>
                  <a:graphic xmlns:a="http://schemas.openxmlformats.org/drawingml/2006/main">
                    <a:graphicData uri="http://schemas.openxmlformats.org/drawingml/2006/picture">
                      <pic:pic xmlns:pic="http://schemas.openxmlformats.org/drawingml/2006/picture">
                        <pic:nvPicPr>
                          <pic:cNvPr id="653" name="图片_33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176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54" name="图片_329"/>
                  <wp:cNvGraphicFramePr/>
                  <a:graphic xmlns:a="http://schemas.openxmlformats.org/drawingml/2006/main">
                    <a:graphicData uri="http://schemas.openxmlformats.org/drawingml/2006/picture">
                      <pic:pic xmlns:pic="http://schemas.openxmlformats.org/drawingml/2006/picture">
                        <pic:nvPicPr>
                          <pic:cNvPr id="654" name="图片_32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187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55" name="图片_328"/>
                  <wp:cNvGraphicFramePr/>
                  <a:graphic xmlns:a="http://schemas.openxmlformats.org/drawingml/2006/main">
                    <a:graphicData uri="http://schemas.openxmlformats.org/drawingml/2006/picture">
                      <pic:pic xmlns:pic="http://schemas.openxmlformats.org/drawingml/2006/picture">
                        <pic:nvPicPr>
                          <pic:cNvPr id="655" name="图片_32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197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56" name="图片_327"/>
                  <wp:cNvGraphicFramePr/>
                  <a:graphic xmlns:a="http://schemas.openxmlformats.org/drawingml/2006/main">
                    <a:graphicData uri="http://schemas.openxmlformats.org/drawingml/2006/picture">
                      <pic:pic xmlns:pic="http://schemas.openxmlformats.org/drawingml/2006/picture">
                        <pic:nvPicPr>
                          <pic:cNvPr id="656" name="图片_32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207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57" name="图片_326"/>
                  <wp:cNvGraphicFramePr/>
                  <a:graphic xmlns:a="http://schemas.openxmlformats.org/drawingml/2006/main">
                    <a:graphicData uri="http://schemas.openxmlformats.org/drawingml/2006/picture">
                      <pic:pic xmlns:pic="http://schemas.openxmlformats.org/drawingml/2006/picture">
                        <pic:nvPicPr>
                          <pic:cNvPr id="657" name="图片_32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217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58" name="图片_325"/>
                  <wp:cNvGraphicFramePr/>
                  <a:graphic xmlns:a="http://schemas.openxmlformats.org/drawingml/2006/main">
                    <a:graphicData uri="http://schemas.openxmlformats.org/drawingml/2006/picture">
                      <pic:pic xmlns:pic="http://schemas.openxmlformats.org/drawingml/2006/picture">
                        <pic:nvPicPr>
                          <pic:cNvPr id="658" name="图片_32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228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59" name="图片_324"/>
                  <wp:cNvGraphicFramePr/>
                  <a:graphic xmlns:a="http://schemas.openxmlformats.org/drawingml/2006/main">
                    <a:graphicData uri="http://schemas.openxmlformats.org/drawingml/2006/picture">
                      <pic:pic xmlns:pic="http://schemas.openxmlformats.org/drawingml/2006/picture">
                        <pic:nvPicPr>
                          <pic:cNvPr id="659" name="图片_32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238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60" name="图片_487"/>
                  <wp:cNvGraphicFramePr/>
                  <a:graphic xmlns:a="http://schemas.openxmlformats.org/drawingml/2006/main">
                    <a:graphicData uri="http://schemas.openxmlformats.org/drawingml/2006/picture">
                      <pic:pic xmlns:pic="http://schemas.openxmlformats.org/drawingml/2006/picture">
                        <pic:nvPicPr>
                          <pic:cNvPr id="660" name="图片_48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248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61" name="图片_322"/>
                  <wp:cNvGraphicFramePr/>
                  <a:graphic xmlns:a="http://schemas.openxmlformats.org/drawingml/2006/main">
                    <a:graphicData uri="http://schemas.openxmlformats.org/drawingml/2006/picture">
                      <pic:pic xmlns:pic="http://schemas.openxmlformats.org/drawingml/2006/picture">
                        <pic:nvPicPr>
                          <pic:cNvPr id="661" name="图片_32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258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62" name="图片_321"/>
                  <wp:cNvGraphicFramePr/>
                  <a:graphic xmlns:a="http://schemas.openxmlformats.org/drawingml/2006/main">
                    <a:graphicData uri="http://schemas.openxmlformats.org/drawingml/2006/picture">
                      <pic:pic xmlns:pic="http://schemas.openxmlformats.org/drawingml/2006/picture">
                        <pic:nvPicPr>
                          <pic:cNvPr id="662" name="图片_32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269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63" name="图片_320"/>
                  <wp:cNvGraphicFramePr/>
                  <a:graphic xmlns:a="http://schemas.openxmlformats.org/drawingml/2006/main">
                    <a:graphicData uri="http://schemas.openxmlformats.org/drawingml/2006/picture">
                      <pic:pic xmlns:pic="http://schemas.openxmlformats.org/drawingml/2006/picture">
                        <pic:nvPicPr>
                          <pic:cNvPr id="663" name="图片_32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279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64" name="图片_319"/>
                  <wp:cNvGraphicFramePr/>
                  <a:graphic xmlns:a="http://schemas.openxmlformats.org/drawingml/2006/main">
                    <a:graphicData uri="http://schemas.openxmlformats.org/drawingml/2006/picture">
                      <pic:pic xmlns:pic="http://schemas.openxmlformats.org/drawingml/2006/picture">
                        <pic:nvPicPr>
                          <pic:cNvPr id="664" name="图片_31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289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65" name="图片_318"/>
                  <wp:cNvGraphicFramePr/>
                  <a:graphic xmlns:a="http://schemas.openxmlformats.org/drawingml/2006/main">
                    <a:graphicData uri="http://schemas.openxmlformats.org/drawingml/2006/picture">
                      <pic:pic xmlns:pic="http://schemas.openxmlformats.org/drawingml/2006/picture">
                        <pic:nvPicPr>
                          <pic:cNvPr id="665" name="图片_31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299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66" name="图片_317"/>
                  <wp:cNvGraphicFramePr/>
                  <a:graphic xmlns:a="http://schemas.openxmlformats.org/drawingml/2006/main">
                    <a:graphicData uri="http://schemas.openxmlformats.org/drawingml/2006/picture">
                      <pic:pic xmlns:pic="http://schemas.openxmlformats.org/drawingml/2006/picture">
                        <pic:nvPicPr>
                          <pic:cNvPr id="666" name="图片_31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310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67" name="图片_316"/>
                  <wp:cNvGraphicFramePr/>
                  <a:graphic xmlns:a="http://schemas.openxmlformats.org/drawingml/2006/main">
                    <a:graphicData uri="http://schemas.openxmlformats.org/drawingml/2006/picture">
                      <pic:pic xmlns:pic="http://schemas.openxmlformats.org/drawingml/2006/picture">
                        <pic:nvPicPr>
                          <pic:cNvPr id="667" name="图片_31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320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68" name="图片_611"/>
                  <wp:cNvGraphicFramePr/>
                  <a:graphic xmlns:a="http://schemas.openxmlformats.org/drawingml/2006/main">
                    <a:graphicData uri="http://schemas.openxmlformats.org/drawingml/2006/picture">
                      <pic:pic xmlns:pic="http://schemas.openxmlformats.org/drawingml/2006/picture">
                        <pic:nvPicPr>
                          <pic:cNvPr id="668" name="图片_61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330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69" name="图片_314"/>
                  <wp:cNvGraphicFramePr/>
                  <a:graphic xmlns:a="http://schemas.openxmlformats.org/drawingml/2006/main">
                    <a:graphicData uri="http://schemas.openxmlformats.org/drawingml/2006/picture">
                      <pic:pic xmlns:pic="http://schemas.openxmlformats.org/drawingml/2006/picture">
                        <pic:nvPicPr>
                          <pic:cNvPr id="669" name="图片_31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340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70" name="图片_313"/>
                  <wp:cNvGraphicFramePr/>
                  <a:graphic xmlns:a="http://schemas.openxmlformats.org/drawingml/2006/main">
                    <a:graphicData uri="http://schemas.openxmlformats.org/drawingml/2006/picture">
                      <pic:pic xmlns:pic="http://schemas.openxmlformats.org/drawingml/2006/picture">
                        <pic:nvPicPr>
                          <pic:cNvPr id="670" name="图片_31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351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71" name="图片_312"/>
                  <wp:cNvGraphicFramePr/>
                  <a:graphic xmlns:a="http://schemas.openxmlformats.org/drawingml/2006/main">
                    <a:graphicData uri="http://schemas.openxmlformats.org/drawingml/2006/picture">
                      <pic:pic xmlns:pic="http://schemas.openxmlformats.org/drawingml/2006/picture">
                        <pic:nvPicPr>
                          <pic:cNvPr id="671" name="图片_31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361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72" name="图片_311"/>
                  <wp:cNvGraphicFramePr/>
                  <a:graphic xmlns:a="http://schemas.openxmlformats.org/drawingml/2006/main">
                    <a:graphicData uri="http://schemas.openxmlformats.org/drawingml/2006/picture">
                      <pic:pic xmlns:pic="http://schemas.openxmlformats.org/drawingml/2006/picture">
                        <pic:nvPicPr>
                          <pic:cNvPr id="672" name="图片_31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371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73" name="图片_310"/>
                  <wp:cNvGraphicFramePr/>
                  <a:graphic xmlns:a="http://schemas.openxmlformats.org/drawingml/2006/main">
                    <a:graphicData uri="http://schemas.openxmlformats.org/drawingml/2006/picture">
                      <pic:pic xmlns:pic="http://schemas.openxmlformats.org/drawingml/2006/picture">
                        <pic:nvPicPr>
                          <pic:cNvPr id="673" name="图片_31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381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74" name="图片_309"/>
                  <wp:cNvGraphicFramePr/>
                  <a:graphic xmlns:a="http://schemas.openxmlformats.org/drawingml/2006/main">
                    <a:graphicData uri="http://schemas.openxmlformats.org/drawingml/2006/picture">
                      <pic:pic xmlns:pic="http://schemas.openxmlformats.org/drawingml/2006/picture">
                        <pic:nvPicPr>
                          <pic:cNvPr id="674" name="图片_30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392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75" name="图片_308"/>
                  <wp:cNvGraphicFramePr/>
                  <a:graphic xmlns:a="http://schemas.openxmlformats.org/drawingml/2006/main">
                    <a:graphicData uri="http://schemas.openxmlformats.org/drawingml/2006/picture">
                      <pic:pic xmlns:pic="http://schemas.openxmlformats.org/drawingml/2006/picture">
                        <pic:nvPicPr>
                          <pic:cNvPr id="675" name="图片_30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402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76" name="图片_306"/>
                  <wp:cNvGraphicFramePr/>
                  <a:graphic xmlns:a="http://schemas.openxmlformats.org/drawingml/2006/main">
                    <a:graphicData uri="http://schemas.openxmlformats.org/drawingml/2006/picture">
                      <pic:pic xmlns:pic="http://schemas.openxmlformats.org/drawingml/2006/picture">
                        <pic:nvPicPr>
                          <pic:cNvPr id="676" name="图片_30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412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77" name="图片_305"/>
                  <wp:cNvGraphicFramePr/>
                  <a:graphic xmlns:a="http://schemas.openxmlformats.org/drawingml/2006/main">
                    <a:graphicData uri="http://schemas.openxmlformats.org/drawingml/2006/picture">
                      <pic:pic xmlns:pic="http://schemas.openxmlformats.org/drawingml/2006/picture">
                        <pic:nvPicPr>
                          <pic:cNvPr id="677" name="图片_30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422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78" name="图片_304"/>
                  <wp:cNvGraphicFramePr/>
                  <a:graphic xmlns:a="http://schemas.openxmlformats.org/drawingml/2006/main">
                    <a:graphicData uri="http://schemas.openxmlformats.org/drawingml/2006/picture">
                      <pic:pic xmlns:pic="http://schemas.openxmlformats.org/drawingml/2006/picture">
                        <pic:nvPicPr>
                          <pic:cNvPr id="678" name="图片_30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432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79" name="图片_303"/>
                  <wp:cNvGraphicFramePr/>
                  <a:graphic xmlns:a="http://schemas.openxmlformats.org/drawingml/2006/main">
                    <a:graphicData uri="http://schemas.openxmlformats.org/drawingml/2006/picture">
                      <pic:pic xmlns:pic="http://schemas.openxmlformats.org/drawingml/2006/picture">
                        <pic:nvPicPr>
                          <pic:cNvPr id="679" name="图片_30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443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80" name="图片_302"/>
                  <wp:cNvGraphicFramePr/>
                  <a:graphic xmlns:a="http://schemas.openxmlformats.org/drawingml/2006/main">
                    <a:graphicData uri="http://schemas.openxmlformats.org/drawingml/2006/picture">
                      <pic:pic xmlns:pic="http://schemas.openxmlformats.org/drawingml/2006/picture">
                        <pic:nvPicPr>
                          <pic:cNvPr id="680" name="图片_30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453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81" name="图片_301"/>
                  <wp:cNvGraphicFramePr/>
                  <a:graphic xmlns:a="http://schemas.openxmlformats.org/drawingml/2006/main">
                    <a:graphicData uri="http://schemas.openxmlformats.org/drawingml/2006/picture">
                      <pic:pic xmlns:pic="http://schemas.openxmlformats.org/drawingml/2006/picture">
                        <pic:nvPicPr>
                          <pic:cNvPr id="681" name="图片_30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463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82" name="图片_300"/>
                  <wp:cNvGraphicFramePr/>
                  <a:graphic xmlns:a="http://schemas.openxmlformats.org/drawingml/2006/main">
                    <a:graphicData uri="http://schemas.openxmlformats.org/drawingml/2006/picture">
                      <pic:pic xmlns:pic="http://schemas.openxmlformats.org/drawingml/2006/picture">
                        <pic:nvPicPr>
                          <pic:cNvPr id="682" name="图片_30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473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83" name="图片_579"/>
                  <wp:cNvGraphicFramePr/>
                  <a:graphic xmlns:a="http://schemas.openxmlformats.org/drawingml/2006/main">
                    <a:graphicData uri="http://schemas.openxmlformats.org/drawingml/2006/picture">
                      <pic:pic xmlns:pic="http://schemas.openxmlformats.org/drawingml/2006/picture">
                        <pic:nvPicPr>
                          <pic:cNvPr id="683" name="图片_57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484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84" name="图片_298"/>
                  <wp:cNvGraphicFramePr/>
                  <a:graphic xmlns:a="http://schemas.openxmlformats.org/drawingml/2006/main">
                    <a:graphicData uri="http://schemas.openxmlformats.org/drawingml/2006/picture">
                      <pic:pic xmlns:pic="http://schemas.openxmlformats.org/drawingml/2006/picture">
                        <pic:nvPicPr>
                          <pic:cNvPr id="684" name="图片_29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494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85" name="图片_297"/>
                  <wp:cNvGraphicFramePr/>
                  <a:graphic xmlns:a="http://schemas.openxmlformats.org/drawingml/2006/main">
                    <a:graphicData uri="http://schemas.openxmlformats.org/drawingml/2006/picture">
                      <pic:pic xmlns:pic="http://schemas.openxmlformats.org/drawingml/2006/picture">
                        <pic:nvPicPr>
                          <pic:cNvPr id="685" name="图片_29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504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86" name="图片_296"/>
                  <wp:cNvGraphicFramePr/>
                  <a:graphic xmlns:a="http://schemas.openxmlformats.org/drawingml/2006/main">
                    <a:graphicData uri="http://schemas.openxmlformats.org/drawingml/2006/picture">
                      <pic:pic xmlns:pic="http://schemas.openxmlformats.org/drawingml/2006/picture">
                        <pic:nvPicPr>
                          <pic:cNvPr id="686" name="图片_29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514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87" name="图片_295"/>
                  <wp:cNvGraphicFramePr/>
                  <a:graphic xmlns:a="http://schemas.openxmlformats.org/drawingml/2006/main">
                    <a:graphicData uri="http://schemas.openxmlformats.org/drawingml/2006/picture">
                      <pic:pic xmlns:pic="http://schemas.openxmlformats.org/drawingml/2006/picture">
                        <pic:nvPicPr>
                          <pic:cNvPr id="687" name="图片_29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525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88" name="图片_294"/>
                  <wp:cNvGraphicFramePr/>
                  <a:graphic xmlns:a="http://schemas.openxmlformats.org/drawingml/2006/main">
                    <a:graphicData uri="http://schemas.openxmlformats.org/drawingml/2006/picture">
                      <pic:pic xmlns:pic="http://schemas.openxmlformats.org/drawingml/2006/picture">
                        <pic:nvPicPr>
                          <pic:cNvPr id="688" name="图片_29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535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89" name="图片_293"/>
                  <wp:cNvGraphicFramePr/>
                  <a:graphic xmlns:a="http://schemas.openxmlformats.org/drawingml/2006/main">
                    <a:graphicData uri="http://schemas.openxmlformats.org/drawingml/2006/picture">
                      <pic:pic xmlns:pic="http://schemas.openxmlformats.org/drawingml/2006/picture">
                        <pic:nvPicPr>
                          <pic:cNvPr id="689" name="图片_29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545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90" name="图片_292"/>
                  <wp:cNvGraphicFramePr/>
                  <a:graphic xmlns:a="http://schemas.openxmlformats.org/drawingml/2006/main">
                    <a:graphicData uri="http://schemas.openxmlformats.org/drawingml/2006/picture">
                      <pic:pic xmlns:pic="http://schemas.openxmlformats.org/drawingml/2006/picture">
                        <pic:nvPicPr>
                          <pic:cNvPr id="690" name="图片_29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555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91" name="图片_490"/>
                  <wp:cNvGraphicFramePr/>
                  <a:graphic xmlns:a="http://schemas.openxmlformats.org/drawingml/2006/main">
                    <a:graphicData uri="http://schemas.openxmlformats.org/drawingml/2006/picture">
                      <pic:pic xmlns:pic="http://schemas.openxmlformats.org/drawingml/2006/picture">
                        <pic:nvPicPr>
                          <pic:cNvPr id="691" name="图片_49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566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92" name="图片_290"/>
                  <wp:cNvGraphicFramePr/>
                  <a:graphic xmlns:a="http://schemas.openxmlformats.org/drawingml/2006/main">
                    <a:graphicData uri="http://schemas.openxmlformats.org/drawingml/2006/picture">
                      <pic:pic xmlns:pic="http://schemas.openxmlformats.org/drawingml/2006/picture">
                        <pic:nvPicPr>
                          <pic:cNvPr id="692" name="图片_29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576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93" name="图片_289"/>
                  <wp:cNvGraphicFramePr/>
                  <a:graphic xmlns:a="http://schemas.openxmlformats.org/drawingml/2006/main">
                    <a:graphicData uri="http://schemas.openxmlformats.org/drawingml/2006/picture">
                      <pic:pic xmlns:pic="http://schemas.openxmlformats.org/drawingml/2006/picture">
                        <pic:nvPicPr>
                          <pic:cNvPr id="693" name="图片_28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586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94" name="图片_288"/>
                  <wp:cNvGraphicFramePr/>
                  <a:graphic xmlns:a="http://schemas.openxmlformats.org/drawingml/2006/main">
                    <a:graphicData uri="http://schemas.openxmlformats.org/drawingml/2006/picture">
                      <pic:pic xmlns:pic="http://schemas.openxmlformats.org/drawingml/2006/picture">
                        <pic:nvPicPr>
                          <pic:cNvPr id="694" name="图片_28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596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95" name="图片_287"/>
                  <wp:cNvGraphicFramePr/>
                  <a:graphic xmlns:a="http://schemas.openxmlformats.org/drawingml/2006/main">
                    <a:graphicData uri="http://schemas.openxmlformats.org/drawingml/2006/picture">
                      <pic:pic xmlns:pic="http://schemas.openxmlformats.org/drawingml/2006/picture">
                        <pic:nvPicPr>
                          <pic:cNvPr id="695" name="图片_28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607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96" name="图片_286"/>
                  <wp:cNvGraphicFramePr/>
                  <a:graphic xmlns:a="http://schemas.openxmlformats.org/drawingml/2006/main">
                    <a:graphicData uri="http://schemas.openxmlformats.org/drawingml/2006/picture">
                      <pic:pic xmlns:pic="http://schemas.openxmlformats.org/drawingml/2006/picture">
                        <pic:nvPicPr>
                          <pic:cNvPr id="696" name="图片_28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617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97" name="图片_285"/>
                  <wp:cNvGraphicFramePr/>
                  <a:graphic xmlns:a="http://schemas.openxmlformats.org/drawingml/2006/main">
                    <a:graphicData uri="http://schemas.openxmlformats.org/drawingml/2006/picture">
                      <pic:pic xmlns:pic="http://schemas.openxmlformats.org/drawingml/2006/picture">
                        <pic:nvPicPr>
                          <pic:cNvPr id="697" name="图片_28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627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98" name="图片_284"/>
                  <wp:cNvGraphicFramePr/>
                  <a:graphic xmlns:a="http://schemas.openxmlformats.org/drawingml/2006/main">
                    <a:graphicData uri="http://schemas.openxmlformats.org/drawingml/2006/picture">
                      <pic:pic xmlns:pic="http://schemas.openxmlformats.org/drawingml/2006/picture">
                        <pic:nvPicPr>
                          <pic:cNvPr id="698" name="图片_28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637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699" name="图片_547"/>
                  <wp:cNvGraphicFramePr/>
                  <a:graphic xmlns:a="http://schemas.openxmlformats.org/drawingml/2006/main">
                    <a:graphicData uri="http://schemas.openxmlformats.org/drawingml/2006/picture">
                      <pic:pic xmlns:pic="http://schemas.openxmlformats.org/drawingml/2006/picture">
                        <pic:nvPicPr>
                          <pic:cNvPr id="699" name="图片_54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648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00" name="图片_282"/>
                  <wp:cNvGraphicFramePr/>
                  <a:graphic xmlns:a="http://schemas.openxmlformats.org/drawingml/2006/main">
                    <a:graphicData uri="http://schemas.openxmlformats.org/drawingml/2006/picture">
                      <pic:pic xmlns:pic="http://schemas.openxmlformats.org/drawingml/2006/picture">
                        <pic:nvPicPr>
                          <pic:cNvPr id="700" name="图片_28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658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01" name="图片_281"/>
                  <wp:cNvGraphicFramePr/>
                  <a:graphic xmlns:a="http://schemas.openxmlformats.org/drawingml/2006/main">
                    <a:graphicData uri="http://schemas.openxmlformats.org/drawingml/2006/picture">
                      <pic:pic xmlns:pic="http://schemas.openxmlformats.org/drawingml/2006/picture">
                        <pic:nvPicPr>
                          <pic:cNvPr id="701" name="图片_28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668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02" name="图片_280"/>
                  <wp:cNvGraphicFramePr/>
                  <a:graphic xmlns:a="http://schemas.openxmlformats.org/drawingml/2006/main">
                    <a:graphicData uri="http://schemas.openxmlformats.org/drawingml/2006/picture">
                      <pic:pic xmlns:pic="http://schemas.openxmlformats.org/drawingml/2006/picture">
                        <pic:nvPicPr>
                          <pic:cNvPr id="702" name="图片_28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678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03" name="图片_279"/>
                  <wp:cNvGraphicFramePr/>
                  <a:graphic xmlns:a="http://schemas.openxmlformats.org/drawingml/2006/main">
                    <a:graphicData uri="http://schemas.openxmlformats.org/drawingml/2006/picture">
                      <pic:pic xmlns:pic="http://schemas.openxmlformats.org/drawingml/2006/picture">
                        <pic:nvPicPr>
                          <pic:cNvPr id="703" name="图片_27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688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04" name="图片_278"/>
                  <wp:cNvGraphicFramePr/>
                  <a:graphic xmlns:a="http://schemas.openxmlformats.org/drawingml/2006/main">
                    <a:graphicData uri="http://schemas.openxmlformats.org/drawingml/2006/picture">
                      <pic:pic xmlns:pic="http://schemas.openxmlformats.org/drawingml/2006/picture">
                        <pic:nvPicPr>
                          <pic:cNvPr id="704" name="图片_27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699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05" name="图片_277"/>
                  <wp:cNvGraphicFramePr/>
                  <a:graphic xmlns:a="http://schemas.openxmlformats.org/drawingml/2006/main">
                    <a:graphicData uri="http://schemas.openxmlformats.org/drawingml/2006/picture">
                      <pic:pic xmlns:pic="http://schemas.openxmlformats.org/drawingml/2006/picture">
                        <pic:nvPicPr>
                          <pic:cNvPr id="705" name="图片_27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709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06" name="图片_276"/>
                  <wp:cNvGraphicFramePr/>
                  <a:graphic xmlns:a="http://schemas.openxmlformats.org/drawingml/2006/main">
                    <a:graphicData uri="http://schemas.openxmlformats.org/drawingml/2006/picture">
                      <pic:pic xmlns:pic="http://schemas.openxmlformats.org/drawingml/2006/picture">
                        <pic:nvPicPr>
                          <pic:cNvPr id="706" name="图片_27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719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07" name="图片_79"/>
                  <wp:cNvGraphicFramePr/>
                  <a:graphic xmlns:a="http://schemas.openxmlformats.org/drawingml/2006/main">
                    <a:graphicData uri="http://schemas.openxmlformats.org/drawingml/2006/picture">
                      <pic:pic xmlns:pic="http://schemas.openxmlformats.org/drawingml/2006/picture">
                        <pic:nvPicPr>
                          <pic:cNvPr id="707" name="图片_7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729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08" name="图片_138"/>
                  <wp:cNvGraphicFramePr/>
                  <a:graphic xmlns:a="http://schemas.openxmlformats.org/drawingml/2006/main">
                    <a:graphicData uri="http://schemas.openxmlformats.org/drawingml/2006/picture">
                      <pic:pic xmlns:pic="http://schemas.openxmlformats.org/drawingml/2006/picture">
                        <pic:nvPicPr>
                          <pic:cNvPr id="708" name="图片_13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740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09" name="图片_488"/>
                  <wp:cNvGraphicFramePr/>
                  <a:graphic xmlns:a="http://schemas.openxmlformats.org/drawingml/2006/main">
                    <a:graphicData uri="http://schemas.openxmlformats.org/drawingml/2006/picture">
                      <pic:pic xmlns:pic="http://schemas.openxmlformats.org/drawingml/2006/picture">
                        <pic:nvPicPr>
                          <pic:cNvPr id="709" name="图片_48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750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10" name="图片_255"/>
                  <wp:cNvGraphicFramePr/>
                  <a:graphic xmlns:a="http://schemas.openxmlformats.org/drawingml/2006/main">
                    <a:graphicData uri="http://schemas.openxmlformats.org/drawingml/2006/picture">
                      <pic:pic xmlns:pic="http://schemas.openxmlformats.org/drawingml/2006/picture">
                        <pic:nvPicPr>
                          <pic:cNvPr id="710" name="图片_25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760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11" name="图片_258"/>
                  <wp:cNvGraphicFramePr/>
                  <a:graphic xmlns:a="http://schemas.openxmlformats.org/drawingml/2006/main">
                    <a:graphicData uri="http://schemas.openxmlformats.org/drawingml/2006/picture">
                      <pic:pic xmlns:pic="http://schemas.openxmlformats.org/drawingml/2006/picture">
                        <pic:nvPicPr>
                          <pic:cNvPr id="711" name="图片_25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770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12" name="图片_78"/>
                  <wp:cNvGraphicFramePr/>
                  <a:graphic xmlns:a="http://schemas.openxmlformats.org/drawingml/2006/main">
                    <a:graphicData uri="http://schemas.openxmlformats.org/drawingml/2006/picture">
                      <pic:pic xmlns:pic="http://schemas.openxmlformats.org/drawingml/2006/picture">
                        <pic:nvPicPr>
                          <pic:cNvPr id="712" name="图片_7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781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13" name="图片_257"/>
                  <wp:cNvGraphicFramePr/>
                  <a:graphic xmlns:a="http://schemas.openxmlformats.org/drawingml/2006/main">
                    <a:graphicData uri="http://schemas.openxmlformats.org/drawingml/2006/picture">
                      <pic:pic xmlns:pic="http://schemas.openxmlformats.org/drawingml/2006/picture">
                        <pic:nvPicPr>
                          <pic:cNvPr id="713" name="图片_25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791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14" name="图片_252"/>
                  <wp:cNvGraphicFramePr/>
                  <a:graphic xmlns:a="http://schemas.openxmlformats.org/drawingml/2006/main">
                    <a:graphicData uri="http://schemas.openxmlformats.org/drawingml/2006/picture">
                      <pic:pic xmlns:pic="http://schemas.openxmlformats.org/drawingml/2006/picture">
                        <pic:nvPicPr>
                          <pic:cNvPr id="714" name="图片_25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801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15" name="图片_77"/>
                  <wp:cNvGraphicFramePr/>
                  <a:graphic xmlns:a="http://schemas.openxmlformats.org/drawingml/2006/main">
                    <a:graphicData uri="http://schemas.openxmlformats.org/drawingml/2006/picture">
                      <pic:pic xmlns:pic="http://schemas.openxmlformats.org/drawingml/2006/picture">
                        <pic:nvPicPr>
                          <pic:cNvPr id="715" name="图片_7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811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16" name="图片_135"/>
                  <wp:cNvGraphicFramePr/>
                  <a:graphic xmlns:a="http://schemas.openxmlformats.org/drawingml/2006/main">
                    <a:graphicData uri="http://schemas.openxmlformats.org/drawingml/2006/picture">
                      <pic:pic xmlns:pic="http://schemas.openxmlformats.org/drawingml/2006/picture">
                        <pic:nvPicPr>
                          <pic:cNvPr id="716" name="图片_13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822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17" name="图片_251"/>
                  <wp:cNvGraphicFramePr/>
                  <a:graphic xmlns:a="http://schemas.openxmlformats.org/drawingml/2006/main">
                    <a:graphicData uri="http://schemas.openxmlformats.org/drawingml/2006/picture">
                      <pic:pic xmlns:pic="http://schemas.openxmlformats.org/drawingml/2006/picture">
                        <pic:nvPicPr>
                          <pic:cNvPr id="717" name="图片_25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832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18" name="图片_483"/>
                  <wp:cNvGraphicFramePr/>
                  <a:graphic xmlns:a="http://schemas.openxmlformats.org/drawingml/2006/main">
                    <a:graphicData uri="http://schemas.openxmlformats.org/drawingml/2006/picture">
                      <pic:pic xmlns:pic="http://schemas.openxmlformats.org/drawingml/2006/picture">
                        <pic:nvPicPr>
                          <pic:cNvPr id="718" name="图片_48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842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19" name="图片_250"/>
                  <wp:cNvGraphicFramePr/>
                  <a:graphic xmlns:a="http://schemas.openxmlformats.org/drawingml/2006/main">
                    <a:graphicData uri="http://schemas.openxmlformats.org/drawingml/2006/picture">
                      <pic:pic xmlns:pic="http://schemas.openxmlformats.org/drawingml/2006/picture">
                        <pic:nvPicPr>
                          <pic:cNvPr id="719" name="图片_25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852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20" name="图片_134"/>
                  <wp:cNvGraphicFramePr/>
                  <a:graphic xmlns:a="http://schemas.openxmlformats.org/drawingml/2006/main">
                    <a:graphicData uri="http://schemas.openxmlformats.org/drawingml/2006/picture">
                      <pic:pic xmlns:pic="http://schemas.openxmlformats.org/drawingml/2006/picture">
                        <pic:nvPicPr>
                          <pic:cNvPr id="720" name="图片_13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863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21" name="图片_249"/>
                  <wp:cNvGraphicFramePr/>
                  <a:graphic xmlns:a="http://schemas.openxmlformats.org/drawingml/2006/main">
                    <a:graphicData uri="http://schemas.openxmlformats.org/drawingml/2006/picture">
                      <pic:pic xmlns:pic="http://schemas.openxmlformats.org/drawingml/2006/picture">
                        <pic:nvPicPr>
                          <pic:cNvPr id="721" name="图片_24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873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22" name="图片_248"/>
                  <wp:cNvGraphicFramePr/>
                  <a:graphic xmlns:a="http://schemas.openxmlformats.org/drawingml/2006/main">
                    <a:graphicData uri="http://schemas.openxmlformats.org/drawingml/2006/picture">
                      <pic:pic xmlns:pic="http://schemas.openxmlformats.org/drawingml/2006/picture">
                        <pic:nvPicPr>
                          <pic:cNvPr id="722" name="图片_24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883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23" name="图片_76"/>
                  <wp:cNvGraphicFramePr/>
                  <a:graphic xmlns:a="http://schemas.openxmlformats.org/drawingml/2006/main">
                    <a:graphicData uri="http://schemas.openxmlformats.org/drawingml/2006/picture">
                      <pic:pic xmlns:pic="http://schemas.openxmlformats.org/drawingml/2006/picture">
                        <pic:nvPicPr>
                          <pic:cNvPr id="723" name="图片_7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893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24" name="图片_133"/>
                  <wp:cNvGraphicFramePr/>
                  <a:graphic xmlns:a="http://schemas.openxmlformats.org/drawingml/2006/main">
                    <a:graphicData uri="http://schemas.openxmlformats.org/drawingml/2006/picture">
                      <pic:pic xmlns:pic="http://schemas.openxmlformats.org/drawingml/2006/picture">
                        <pic:nvPicPr>
                          <pic:cNvPr id="724" name="图片_13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904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25" name="图片_247"/>
                  <wp:cNvGraphicFramePr/>
                  <a:graphic xmlns:a="http://schemas.openxmlformats.org/drawingml/2006/main">
                    <a:graphicData uri="http://schemas.openxmlformats.org/drawingml/2006/picture">
                      <pic:pic xmlns:pic="http://schemas.openxmlformats.org/drawingml/2006/picture">
                        <pic:nvPicPr>
                          <pic:cNvPr id="725" name="图片_24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914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26" name="图片_246"/>
                  <wp:cNvGraphicFramePr/>
                  <a:graphic xmlns:a="http://schemas.openxmlformats.org/drawingml/2006/main">
                    <a:graphicData uri="http://schemas.openxmlformats.org/drawingml/2006/picture">
                      <pic:pic xmlns:pic="http://schemas.openxmlformats.org/drawingml/2006/picture">
                        <pic:nvPicPr>
                          <pic:cNvPr id="726" name="图片_24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924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27" name="图片_132"/>
                  <wp:cNvGraphicFramePr/>
                  <a:graphic xmlns:a="http://schemas.openxmlformats.org/drawingml/2006/main">
                    <a:graphicData uri="http://schemas.openxmlformats.org/drawingml/2006/picture">
                      <pic:pic xmlns:pic="http://schemas.openxmlformats.org/drawingml/2006/picture">
                        <pic:nvPicPr>
                          <pic:cNvPr id="727" name="图片_13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934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28" name="图片_245"/>
                  <wp:cNvGraphicFramePr/>
                  <a:graphic xmlns:a="http://schemas.openxmlformats.org/drawingml/2006/main">
                    <a:graphicData uri="http://schemas.openxmlformats.org/drawingml/2006/picture">
                      <pic:pic xmlns:pic="http://schemas.openxmlformats.org/drawingml/2006/picture">
                        <pic:nvPicPr>
                          <pic:cNvPr id="728" name="图片_24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944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29" name="图片_244"/>
                  <wp:cNvGraphicFramePr/>
                  <a:graphic xmlns:a="http://schemas.openxmlformats.org/drawingml/2006/main">
                    <a:graphicData uri="http://schemas.openxmlformats.org/drawingml/2006/picture">
                      <pic:pic xmlns:pic="http://schemas.openxmlformats.org/drawingml/2006/picture">
                        <pic:nvPicPr>
                          <pic:cNvPr id="729" name="图片_24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955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30" name="图片_75"/>
                  <wp:cNvGraphicFramePr/>
                  <a:graphic xmlns:a="http://schemas.openxmlformats.org/drawingml/2006/main">
                    <a:graphicData uri="http://schemas.openxmlformats.org/drawingml/2006/picture">
                      <pic:pic xmlns:pic="http://schemas.openxmlformats.org/drawingml/2006/picture">
                        <pic:nvPicPr>
                          <pic:cNvPr id="730" name="图片_7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965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31" name="图片_131"/>
                  <wp:cNvGraphicFramePr/>
                  <a:graphic xmlns:a="http://schemas.openxmlformats.org/drawingml/2006/main">
                    <a:graphicData uri="http://schemas.openxmlformats.org/drawingml/2006/picture">
                      <pic:pic xmlns:pic="http://schemas.openxmlformats.org/drawingml/2006/picture">
                        <pic:nvPicPr>
                          <pic:cNvPr id="731" name="图片_13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975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32" name="图片_243"/>
                  <wp:cNvGraphicFramePr/>
                  <a:graphic xmlns:a="http://schemas.openxmlformats.org/drawingml/2006/main">
                    <a:graphicData uri="http://schemas.openxmlformats.org/drawingml/2006/picture">
                      <pic:pic xmlns:pic="http://schemas.openxmlformats.org/drawingml/2006/picture">
                        <pic:nvPicPr>
                          <pic:cNvPr id="732" name="图片_24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985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33" name="图片_467"/>
                  <wp:cNvGraphicFramePr/>
                  <a:graphic xmlns:a="http://schemas.openxmlformats.org/drawingml/2006/main">
                    <a:graphicData uri="http://schemas.openxmlformats.org/drawingml/2006/picture">
                      <pic:pic xmlns:pic="http://schemas.openxmlformats.org/drawingml/2006/picture">
                        <pic:nvPicPr>
                          <pic:cNvPr id="733" name="图片_46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3996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34" name="图片_915"/>
                  <wp:cNvGraphicFramePr/>
                  <a:graphic xmlns:a="http://schemas.openxmlformats.org/drawingml/2006/main">
                    <a:graphicData uri="http://schemas.openxmlformats.org/drawingml/2006/picture">
                      <pic:pic xmlns:pic="http://schemas.openxmlformats.org/drawingml/2006/picture">
                        <pic:nvPicPr>
                          <pic:cNvPr id="734" name="图片_91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006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35" name="图片_914"/>
                  <wp:cNvGraphicFramePr/>
                  <a:graphic xmlns:a="http://schemas.openxmlformats.org/drawingml/2006/main">
                    <a:graphicData uri="http://schemas.openxmlformats.org/drawingml/2006/picture">
                      <pic:pic xmlns:pic="http://schemas.openxmlformats.org/drawingml/2006/picture">
                        <pic:nvPicPr>
                          <pic:cNvPr id="735" name="图片_91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016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36" name="图片_242"/>
                  <wp:cNvGraphicFramePr/>
                  <a:graphic xmlns:a="http://schemas.openxmlformats.org/drawingml/2006/main">
                    <a:graphicData uri="http://schemas.openxmlformats.org/drawingml/2006/picture">
                      <pic:pic xmlns:pic="http://schemas.openxmlformats.org/drawingml/2006/picture">
                        <pic:nvPicPr>
                          <pic:cNvPr id="736" name="图片_24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026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37" name="图片_130"/>
                  <wp:cNvGraphicFramePr/>
                  <a:graphic xmlns:a="http://schemas.openxmlformats.org/drawingml/2006/main">
                    <a:graphicData uri="http://schemas.openxmlformats.org/drawingml/2006/picture">
                      <pic:pic xmlns:pic="http://schemas.openxmlformats.org/drawingml/2006/picture">
                        <pic:nvPicPr>
                          <pic:cNvPr id="737" name="图片_13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037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38" name="图片_241"/>
                  <wp:cNvGraphicFramePr/>
                  <a:graphic xmlns:a="http://schemas.openxmlformats.org/drawingml/2006/main">
                    <a:graphicData uri="http://schemas.openxmlformats.org/drawingml/2006/picture">
                      <pic:pic xmlns:pic="http://schemas.openxmlformats.org/drawingml/2006/picture">
                        <pic:nvPicPr>
                          <pic:cNvPr id="738" name="图片_24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047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39" name="图片_240"/>
                  <wp:cNvGraphicFramePr/>
                  <a:graphic xmlns:a="http://schemas.openxmlformats.org/drawingml/2006/main">
                    <a:graphicData uri="http://schemas.openxmlformats.org/drawingml/2006/picture">
                      <pic:pic xmlns:pic="http://schemas.openxmlformats.org/drawingml/2006/picture">
                        <pic:nvPicPr>
                          <pic:cNvPr id="739" name="图片_24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057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40" name="图片_74"/>
                  <wp:cNvGraphicFramePr/>
                  <a:graphic xmlns:a="http://schemas.openxmlformats.org/drawingml/2006/main">
                    <a:graphicData uri="http://schemas.openxmlformats.org/drawingml/2006/picture">
                      <pic:pic xmlns:pic="http://schemas.openxmlformats.org/drawingml/2006/picture">
                        <pic:nvPicPr>
                          <pic:cNvPr id="740" name="图片_7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067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41" name="图片_129"/>
                  <wp:cNvGraphicFramePr/>
                  <a:graphic xmlns:a="http://schemas.openxmlformats.org/drawingml/2006/main">
                    <a:graphicData uri="http://schemas.openxmlformats.org/drawingml/2006/picture">
                      <pic:pic xmlns:pic="http://schemas.openxmlformats.org/drawingml/2006/picture">
                        <pic:nvPicPr>
                          <pic:cNvPr id="741" name="图片_12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078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42" name="图片_239"/>
                  <wp:cNvGraphicFramePr/>
                  <a:graphic xmlns:a="http://schemas.openxmlformats.org/drawingml/2006/main">
                    <a:graphicData uri="http://schemas.openxmlformats.org/drawingml/2006/picture">
                      <pic:pic xmlns:pic="http://schemas.openxmlformats.org/drawingml/2006/picture">
                        <pic:nvPicPr>
                          <pic:cNvPr id="742" name="图片_23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088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43" name="图片_238"/>
                  <wp:cNvGraphicFramePr/>
                  <a:graphic xmlns:a="http://schemas.openxmlformats.org/drawingml/2006/main">
                    <a:graphicData uri="http://schemas.openxmlformats.org/drawingml/2006/picture">
                      <pic:pic xmlns:pic="http://schemas.openxmlformats.org/drawingml/2006/picture">
                        <pic:nvPicPr>
                          <pic:cNvPr id="743" name="图片_23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098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44" name="图片_128"/>
                  <wp:cNvGraphicFramePr/>
                  <a:graphic xmlns:a="http://schemas.openxmlformats.org/drawingml/2006/main">
                    <a:graphicData uri="http://schemas.openxmlformats.org/drawingml/2006/picture">
                      <pic:pic xmlns:pic="http://schemas.openxmlformats.org/drawingml/2006/picture">
                        <pic:nvPicPr>
                          <pic:cNvPr id="744" name="图片_12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108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45" name="图片_236"/>
                  <wp:cNvGraphicFramePr/>
                  <a:graphic xmlns:a="http://schemas.openxmlformats.org/drawingml/2006/main">
                    <a:graphicData uri="http://schemas.openxmlformats.org/drawingml/2006/picture">
                      <pic:pic xmlns:pic="http://schemas.openxmlformats.org/drawingml/2006/picture">
                        <pic:nvPicPr>
                          <pic:cNvPr id="745" name="图片_23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119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46" name="图片_237"/>
                  <wp:cNvGraphicFramePr/>
                  <a:graphic xmlns:a="http://schemas.openxmlformats.org/drawingml/2006/main">
                    <a:graphicData uri="http://schemas.openxmlformats.org/drawingml/2006/picture">
                      <pic:pic xmlns:pic="http://schemas.openxmlformats.org/drawingml/2006/picture">
                        <pic:nvPicPr>
                          <pic:cNvPr id="746" name="图片_23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129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47" name="图片_451"/>
                  <wp:cNvGraphicFramePr/>
                  <a:graphic xmlns:a="http://schemas.openxmlformats.org/drawingml/2006/main">
                    <a:graphicData uri="http://schemas.openxmlformats.org/drawingml/2006/picture">
                      <pic:pic xmlns:pic="http://schemas.openxmlformats.org/drawingml/2006/picture">
                        <pic:nvPicPr>
                          <pic:cNvPr id="747" name="图片_45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139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48" name="图片_234"/>
                  <wp:cNvGraphicFramePr/>
                  <a:graphic xmlns:a="http://schemas.openxmlformats.org/drawingml/2006/main">
                    <a:graphicData uri="http://schemas.openxmlformats.org/drawingml/2006/picture">
                      <pic:pic xmlns:pic="http://schemas.openxmlformats.org/drawingml/2006/picture">
                        <pic:nvPicPr>
                          <pic:cNvPr id="748" name="图片_23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149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49" name="图片_233"/>
                  <wp:cNvGraphicFramePr/>
                  <a:graphic xmlns:a="http://schemas.openxmlformats.org/drawingml/2006/main">
                    <a:graphicData uri="http://schemas.openxmlformats.org/drawingml/2006/picture">
                      <pic:pic xmlns:pic="http://schemas.openxmlformats.org/drawingml/2006/picture">
                        <pic:nvPicPr>
                          <pic:cNvPr id="749" name="图片_23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160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50" name="图片_232"/>
                  <wp:cNvGraphicFramePr/>
                  <a:graphic xmlns:a="http://schemas.openxmlformats.org/drawingml/2006/main">
                    <a:graphicData uri="http://schemas.openxmlformats.org/drawingml/2006/picture">
                      <pic:pic xmlns:pic="http://schemas.openxmlformats.org/drawingml/2006/picture">
                        <pic:nvPicPr>
                          <pic:cNvPr id="750" name="图片_23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170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51" name="图片_231"/>
                  <wp:cNvGraphicFramePr/>
                  <a:graphic xmlns:a="http://schemas.openxmlformats.org/drawingml/2006/main">
                    <a:graphicData uri="http://schemas.openxmlformats.org/drawingml/2006/picture">
                      <pic:pic xmlns:pic="http://schemas.openxmlformats.org/drawingml/2006/picture">
                        <pic:nvPicPr>
                          <pic:cNvPr id="751" name="图片_23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180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52" name="图片_230"/>
                  <wp:cNvGraphicFramePr/>
                  <a:graphic xmlns:a="http://schemas.openxmlformats.org/drawingml/2006/main">
                    <a:graphicData uri="http://schemas.openxmlformats.org/drawingml/2006/picture">
                      <pic:pic xmlns:pic="http://schemas.openxmlformats.org/drawingml/2006/picture">
                        <pic:nvPicPr>
                          <pic:cNvPr id="752" name="图片_23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190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53" name="图片_229"/>
                  <wp:cNvGraphicFramePr/>
                  <a:graphic xmlns:a="http://schemas.openxmlformats.org/drawingml/2006/main">
                    <a:graphicData uri="http://schemas.openxmlformats.org/drawingml/2006/picture">
                      <pic:pic xmlns:pic="http://schemas.openxmlformats.org/drawingml/2006/picture">
                        <pic:nvPicPr>
                          <pic:cNvPr id="753" name="图片_22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200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54" name="图片_228"/>
                  <wp:cNvGraphicFramePr/>
                  <a:graphic xmlns:a="http://schemas.openxmlformats.org/drawingml/2006/main">
                    <a:graphicData uri="http://schemas.openxmlformats.org/drawingml/2006/picture">
                      <pic:pic xmlns:pic="http://schemas.openxmlformats.org/drawingml/2006/picture">
                        <pic:nvPicPr>
                          <pic:cNvPr id="754" name="图片_22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211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55" name="图片_910"/>
                  <wp:cNvGraphicFramePr/>
                  <a:graphic xmlns:a="http://schemas.openxmlformats.org/drawingml/2006/main">
                    <a:graphicData uri="http://schemas.openxmlformats.org/drawingml/2006/picture">
                      <pic:pic xmlns:pic="http://schemas.openxmlformats.org/drawingml/2006/picture">
                        <pic:nvPicPr>
                          <pic:cNvPr id="755" name="图片_91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221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56" name="图片_226"/>
                  <wp:cNvGraphicFramePr/>
                  <a:graphic xmlns:a="http://schemas.openxmlformats.org/drawingml/2006/main">
                    <a:graphicData uri="http://schemas.openxmlformats.org/drawingml/2006/picture">
                      <pic:pic xmlns:pic="http://schemas.openxmlformats.org/drawingml/2006/picture">
                        <pic:nvPicPr>
                          <pic:cNvPr id="756" name="图片_22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231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57" name="图片_225"/>
                  <wp:cNvGraphicFramePr/>
                  <a:graphic xmlns:a="http://schemas.openxmlformats.org/drawingml/2006/main">
                    <a:graphicData uri="http://schemas.openxmlformats.org/drawingml/2006/picture">
                      <pic:pic xmlns:pic="http://schemas.openxmlformats.org/drawingml/2006/picture">
                        <pic:nvPicPr>
                          <pic:cNvPr id="757" name="图片_22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241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58" name="图片_224"/>
                  <wp:cNvGraphicFramePr/>
                  <a:graphic xmlns:a="http://schemas.openxmlformats.org/drawingml/2006/main">
                    <a:graphicData uri="http://schemas.openxmlformats.org/drawingml/2006/picture">
                      <pic:pic xmlns:pic="http://schemas.openxmlformats.org/drawingml/2006/picture">
                        <pic:nvPicPr>
                          <pic:cNvPr id="758" name="图片_22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252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59" name="图片_427"/>
                  <wp:cNvGraphicFramePr/>
                  <a:graphic xmlns:a="http://schemas.openxmlformats.org/drawingml/2006/main">
                    <a:graphicData uri="http://schemas.openxmlformats.org/drawingml/2006/picture">
                      <pic:pic xmlns:pic="http://schemas.openxmlformats.org/drawingml/2006/picture">
                        <pic:nvPicPr>
                          <pic:cNvPr id="759" name="图片_42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262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60" name="图片_222"/>
                  <wp:cNvGraphicFramePr/>
                  <a:graphic xmlns:a="http://schemas.openxmlformats.org/drawingml/2006/main">
                    <a:graphicData uri="http://schemas.openxmlformats.org/drawingml/2006/picture">
                      <pic:pic xmlns:pic="http://schemas.openxmlformats.org/drawingml/2006/picture">
                        <pic:nvPicPr>
                          <pic:cNvPr id="760" name="图片_22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272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61" name="图片_221"/>
                  <wp:cNvGraphicFramePr/>
                  <a:graphic xmlns:a="http://schemas.openxmlformats.org/drawingml/2006/main">
                    <a:graphicData uri="http://schemas.openxmlformats.org/drawingml/2006/picture">
                      <pic:pic xmlns:pic="http://schemas.openxmlformats.org/drawingml/2006/picture">
                        <pic:nvPicPr>
                          <pic:cNvPr id="761" name="图片_22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282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62" name="图片_220"/>
                  <wp:cNvGraphicFramePr/>
                  <a:graphic xmlns:a="http://schemas.openxmlformats.org/drawingml/2006/main">
                    <a:graphicData uri="http://schemas.openxmlformats.org/drawingml/2006/picture">
                      <pic:pic xmlns:pic="http://schemas.openxmlformats.org/drawingml/2006/picture">
                        <pic:nvPicPr>
                          <pic:cNvPr id="762" name="图片_22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293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63" name="图片_819"/>
                  <wp:cNvGraphicFramePr/>
                  <a:graphic xmlns:a="http://schemas.openxmlformats.org/drawingml/2006/main">
                    <a:graphicData uri="http://schemas.openxmlformats.org/drawingml/2006/picture">
                      <pic:pic xmlns:pic="http://schemas.openxmlformats.org/drawingml/2006/picture">
                        <pic:nvPicPr>
                          <pic:cNvPr id="763" name="图片_81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303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64" name="图片_218"/>
                  <wp:cNvGraphicFramePr/>
                  <a:graphic xmlns:a="http://schemas.openxmlformats.org/drawingml/2006/main">
                    <a:graphicData uri="http://schemas.openxmlformats.org/drawingml/2006/picture">
                      <pic:pic xmlns:pic="http://schemas.openxmlformats.org/drawingml/2006/picture">
                        <pic:nvPicPr>
                          <pic:cNvPr id="764" name="图片_21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313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65" name="图片_217"/>
                  <wp:cNvGraphicFramePr/>
                  <a:graphic xmlns:a="http://schemas.openxmlformats.org/drawingml/2006/main">
                    <a:graphicData uri="http://schemas.openxmlformats.org/drawingml/2006/picture">
                      <pic:pic xmlns:pic="http://schemas.openxmlformats.org/drawingml/2006/picture">
                        <pic:nvPicPr>
                          <pic:cNvPr id="765" name="图片_21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323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66" name="图片_216"/>
                  <wp:cNvGraphicFramePr/>
                  <a:graphic xmlns:a="http://schemas.openxmlformats.org/drawingml/2006/main">
                    <a:graphicData uri="http://schemas.openxmlformats.org/drawingml/2006/picture">
                      <pic:pic xmlns:pic="http://schemas.openxmlformats.org/drawingml/2006/picture">
                        <pic:nvPicPr>
                          <pic:cNvPr id="766" name="图片_21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334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67" name="图片_411"/>
                  <wp:cNvGraphicFramePr/>
                  <a:graphic xmlns:a="http://schemas.openxmlformats.org/drawingml/2006/main">
                    <a:graphicData uri="http://schemas.openxmlformats.org/drawingml/2006/picture">
                      <pic:pic xmlns:pic="http://schemas.openxmlformats.org/drawingml/2006/picture">
                        <pic:nvPicPr>
                          <pic:cNvPr id="767" name="图片_41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344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68" name="图片_214"/>
                  <wp:cNvGraphicFramePr/>
                  <a:graphic xmlns:a="http://schemas.openxmlformats.org/drawingml/2006/main">
                    <a:graphicData uri="http://schemas.openxmlformats.org/drawingml/2006/picture">
                      <pic:pic xmlns:pic="http://schemas.openxmlformats.org/drawingml/2006/picture">
                        <pic:nvPicPr>
                          <pic:cNvPr id="768" name="图片_21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354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69" name="图片_213"/>
                  <wp:cNvGraphicFramePr/>
                  <a:graphic xmlns:a="http://schemas.openxmlformats.org/drawingml/2006/main">
                    <a:graphicData uri="http://schemas.openxmlformats.org/drawingml/2006/picture">
                      <pic:pic xmlns:pic="http://schemas.openxmlformats.org/drawingml/2006/picture">
                        <pic:nvPicPr>
                          <pic:cNvPr id="769" name="图片_21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364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70" name="图片_212"/>
                  <wp:cNvGraphicFramePr/>
                  <a:graphic xmlns:a="http://schemas.openxmlformats.org/drawingml/2006/main">
                    <a:graphicData uri="http://schemas.openxmlformats.org/drawingml/2006/picture">
                      <pic:pic xmlns:pic="http://schemas.openxmlformats.org/drawingml/2006/picture">
                        <pic:nvPicPr>
                          <pic:cNvPr id="770" name="图片_21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375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71" name="图片_909"/>
                  <wp:cNvGraphicFramePr/>
                  <a:graphic xmlns:a="http://schemas.openxmlformats.org/drawingml/2006/main">
                    <a:graphicData uri="http://schemas.openxmlformats.org/drawingml/2006/picture">
                      <pic:pic xmlns:pic="http://schemas.openxmlformats.org/drawingml/2006/picture">
                        <pic:nvPicPr>
                          <pic:cNvPr id="771" name="图片_90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385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72" name="图片_210"/>
                  <wp:cNvGraphicFramePr/>
                  <a:graphic xmlns:a="http://schemas.openxmlformats.org/drawingml/2006/main">
                    <a:graphicData uri="http://schemas.openxmlformats.org/drawingml/2006/picture">
                      <pic:pic xmlns:pic="http://schemas.openxmlformats.org/drawingml/2006/picture">
                        <pic:nvPicPr>
                          <pic:cNvPr id="772" name="图片_21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395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73" name="图片_209"/>
                  <wp:cNvGraphicFramePr/>
                  <a:graphic xmlns:a="http://schemas.openxmlformats.org/drawingml/2006/main">
                    <a:graphicData uri="http://schemas.openxmlformats.org/drawingml/2006/picture">
                      <pic:pic xmlns:pic="http://schemas.openxmlformats.org/drawingml/2006/picture">
                        <pic:nvPicPr>
                          <pic:cNvPr id="773" name="图片_20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405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74" name="图片_208"/>
                  <wp:cNvGraphicFramePr/>
                  <a:graphic xmlns:a="http://schemas.openxmlformats.org/drawingml/2006/main">
                    <a:graphicData uri="http://schemas.openxmlformats.org/drawingml/2006/picture">
                      <pic:pic xmlns:pic="http://schemas.openxmlformats.org/drawingml/2006/picture">
                        <pic:nvPicPr>
                          <pic:cNvPr id="774" name="图片_20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416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75" name="图片_395"/>
                  <wp:cNvGraphicFramePr/>
                  <a:graphic xmlns:a="http://schemas.openxmlformats.org/drawingml/2006/main">
                    <a:graphicData uri="http://schemas.openxmlformats.org/drawingml/2006/picture">
                      <pic:pic xmlns:pic="http://schemas.openxmlformats.org/drawingml/2006/picture">
                        <pic:nvPicPr>
                          <pic:cNvPr id="775" name="图片_39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426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76" name="图片_206"/>
                  <wp:cNvGraphicFramePr/>
                  <a:graphic xmlns:a="http://schemas.openxmlformats.org/drawingml/2006/main">
                    <a:graphicData uri="http://schemas.openxmlformats.org/drawingml/2006/picture">
                      <pic:pic xmlns:pic="http://schemas.openxmlformats.org/drawingml/2006/picture">
                        <pic:nvPicPr>
                          <pic:cNvPr id="776" name="图片_20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436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77" name="图片_205"/>
                  <wp:cNvGraphicFramePr/>
                  <a:graphic xmlns:a="http://schemas.openxmlformats.org/drawingml/2006/main">
                    <a:graphicData uri="http://schemas.openxmlformats.org/drawingml/2006/picture">
                      <pic:pic xmlns:pic="http://schemas.openxmlformats.org/drawingml/2006/picture">
                        <pic:nvPicPr>
                          <pic:cNvPr id="777" name="图片_20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446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78" name="图片_204"/>
                  <wp:cNvGraphicFramePr/>
                  <a:graphic xmlns:a="http://schemas.openxmlformats.org/drawingml/2006/main">
                    <a:graphicData uri="http://schemas.openxmlformats.org/drawingml/2006/picture">
                      <pic:pic xmlns:pic="http://schemas.openxmlformats.org/drawingml/2006/picture">
                        <pic:nvPicPr>
                          <pic:cNvPr id="778" name="图片_20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456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79" name="图片_755"/>
                  <wp:cNvGraphicFramePr/>
                  <a:graphic xmlns:a="http://schemas.openxmlformats.org/drawingml/2006/main">
                    <a:graphicData uri="http://schemas.openxmlformats.org/drawingml/2006/picture">
                      <pic:pic xmlns:pic="http://schemas.openxmlformats.org/drawingml/2006/picture">
                        <pic:nvPicPr>
                          <pic:cNvPr id="779" name="图片_75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467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80" name="图片_202"/>
                  <wp:cNvGraphicFramePr/>
                  <a:graphic xmlns:a="http://schemas.openxmlformats.org/drawingml/2006/main">
                    <a:graphicData uri="http://schemas.openxmlformats.org/drawingml/2006/picture">
                      <pic:pic xmlns:pic="http://schemas.openxmlformats.org/drawingml/2006/picture">
                        <pic:nvPicPr>
                          <pic:cNvPr id="780" name="图片_20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477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81" name="图片_201"/>
                  <wp:cNvGraphicFramePr/>
                  <a:graphic xmlns:a="http://schemas.openxmlformats.org/drawingml/2006/main">
                    <a:graphicData uri="http://schemas.openxmlformats.org/drawingml/2006/picture">
                      <pic:pic xmlns:pic="http://schemas.openxmlformats.org/drawingml/2006/picture">
                        <pic:nvPicPr>
                          <pic:cNvPr id="781" name="图片_20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487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82" name="图片_200"/>
                  <wp:cNvGraphicFramePr/>
                  <a:graphic xmlns:a="http://schemas.openxmlformats.org/drawingml/2006/main">
                    <a:graphicData uri="http://schemas.openxmlformats.org/drawingml/2006/picture">
                      <pic:pic xmlns:pic="http://schemas.openxmlformats.org/drawingml/2006/picture">
                        <pic:nvPicPr>
                          <pic:cNvPr id="782" name="图片_20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497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83" name="图片_379"/>
                  <wp:cNvGraphicFramePr/>
                  <a:graphic xmlns:a="http://schemas.openxmlformats.org/drawingml/2006/main">
                    <a:graphicData uri="http://schemas.openxmlformats.org/drawingml/2006/picture">
                      <pic:pic xmlns:pic="http://schemas.openxmlformats.org/drawingml/2006/picture">
                        <pic:nvPicPr>
                          <pic:cNvPr id="783" name="图片_37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508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84" name="图片_198"/>
                  <wp:cNvGraphicFramePr/>
                  <a:graphic xmlns:a="http://schemas.openxmlformats.org/drawingml/2006/main">
                    <a:graphicData uri="http://schemas.openxmlformats.org/drawingml/2006/picture">
                      <pic:pic xmlns:pic="http://schemas.openxmlformats.org/drawingml/2006/picture">
                        <pic:nvPicPr>
                          <pic:cNvPr id="784" name="图片_19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518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85" name="图片_197"/>
                  <wp:cNvGraphicFramePr/>
                  <a:graphic xmlns:a="http://schemas.openxmlformats.org/drawingml/2006/main">
                    <a:graphicData uri="http://schemas.openxmlformats.org/drawingml/2006/picture">
                      <pic:pic xmlns:pic="http://schemas.openxmlformats.org/drawingml/2006/picture">
                        <pic:nvPicPr>
                          <pic:cNvPr id="785" name="图片_19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528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86" name="图片_196"/>
                  <wp:cNvGraphicFramePr/>
                  <a:graphic xmlns:a="http://schemas.openxmlformats.org/drawingml/2006/main">
                    <a:graphicData uri="http://schemas.openxmlformats.org/drawingml/2006/picture">
                      <pic:pic xmlns:pic="http://schemas.openxmlformats.org/drawingml/2006/picture">
                        <pic:nvPicPr>
                          <pic:cNvPr id="786" name="图片_19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538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87" name="图片_722"/>
                  <wp:cNvGraphicFramePr/>
                  <a:graphic xmlns:a="http://schemas.openxmlformats.org/drawingml/2006/main">
                    <a:graphicData uri="http://schemas.openxmlformats.org/drawingml/2006/picture">
                      <pic:pic xmlns:pic="http://schemas.openxmlformats.org/drawingml/2006/picture">
                        <pic:nvPicPr>
                          <pic:cNvPr id="787" name="图片_72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549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88" name="图片_194"/>
                  <wp:cNvGraphicFramePr/>
                  <a:graphic xmlns:a="http://schemas.openxmlformats.org/drawingml/2006/main">
                    <a:graphicData uri="http://schemas.openxmlformats.org/drawingml/2006/picture">
                      <pic:pic xmlns:pic="http://schemas.openxmlformats.org/drawingml/2006/picture">
                        <pic:nvPicPr>
                          <pic:cNvPr id="788" name="图片_19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559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89" name="图片_193"/>
                  <wp:cNvGraphicFramePr/>
                  <a:graphic xmlns:a="http://schemas.openxmlformats.org/drawingml/2006/main">
                    <a:graphicData uri="http://schemas.openxmlformats.org/drawingml/2006/picture">
                      <pic:pic xmlns:pic="http://schemas.openxmlformats.org/drawingml/2006/picture">
                        <pic:nvPicPr>
                          <pic:cNvPr id="789" name="图片_19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569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90" name="图片_192"/>
                  <wp:cNvGraphicFramePr/>
                  <a:graphic xmlns:a="http://schemas.openxmlformats.org/drawingml/2006/main">
                    <a:graphicData uri="http://schemas.openxmlformats.org/drawingml/2006/picture">
                      <pic:pic xmlns:pic="http://schemas.openxmlformats.org/drawingml/2006/picture">
                        <pic:nvPicPr>
                          <pic:cNvPr id="790" name="图片_19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579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91" name="图片_363"/>
                  <wp:cNvGraphicFramePr/>
                  <a:graphic xmlns:a="http://schemas.openxmlformats.org/drawingml/2006/main">
                    <a:graphicData uri="http://schemas.openxmlformats.org/drawingml/2006/picture">
                      <pic:pic xmlns:pic="http://schemas.openxmlformats.org/drawingml/2006/picture">
                        <pic:nvPicPr>
                          <pic:cNvPr id="791" name="图片_36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590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92" name="图片_190"/>
                  <wp:cNvGraphicFramePr/>
                  <a:graphic xmlns:a="http://schemas.openxmlformats.org/drawingml/2006/main">
                    <a:graphicData uri="http://schemas.openxmlformats.org/drawingml/2006/picture">
                      <pic:pic xmlns:pic="http://schemas.openxmlformats.org/drawingml/2006/picture">
                        <pic:nvPicPr>
                          <pic:cNvPr id="792" name="图片_19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600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93" name="图片_189"/>
                  <wp:cNvGraphicFramePr/>
                  <a:graphic xmlns:a="http://schemas.openxmlformats.org/drawingml/2006/main">
                    <a:graphicData uri="http://schemas.openxmlformats.org/drawingml/2006/picture">
                      <pic:pic xmlns:pic="http://schemas.openxmlformats.org/drawingml/2006/picture">
                        <pic:nvPicPr>
                          <pic:cNvPr id="793" name="图片_18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610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94" name="图片_188"/>
                  <wp:cNvGraphicFramePr/>
                  <a:graphic xmlns:a="http://schemas.openxmlformats.org/drawingml/2006/main">
                    <a:graphicData uri="http://schemas.openxmlformats.org/drawingml/2006/picture">
                      <pic:pic xmlns:pic="http://schemas.openxmlformats.org/drawingml/2006/picture">
                        <pic:nvPicPr>
                          <pic:cNvPr id="794" name="图片_18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620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95" name="图片_691"/>
                  <wp:cNvGraphicFramePr/>
                  <a:graphic xmlns:a="http://schemas.openxmlformats.org/drawingml/2006/main">
                    <a:graphicData uri="http://schemas.openxmlformats.org/drawingml/2006/picture">
                      <pic:pic xmlns:pic="http://schemas.openxmlformats.org/drawingml/2006/picture">
                        <pic:nvPicPr>
                          <pic:cNvPr id="795" name="图片_69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631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96" name="图片_186"/>
                  <wp:cNvGraphicFramePr/>
                  <a:graphic xmlns:a="http://schemas.openxmlformats.org/drawingml/2006/main">
                    <a:graphicData uri="http://schemas.openxmlformats.org/drawingml/2006/picture">
                      <pic:pic xmlns:pic="http://schemas.openxmlformats.org/drawingml/2006/picture">
                        <pic:nvPicPr>
                          <pic:cNvPr id="796" name="图片_18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641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97" name="图片_185"/>
                  <wp:cNvGraphicFramePr/>
                  <a:graphic xmlns:a="http://schemas.openxmlformats.org/drawingml/2006/main">
                    <a:graphicData uri="http://schemas.openxmlformats.org/drawingml/2006/picture">
                      <pic:pic xmlns:pic="http://schemas.openxmlformats.org/drawingml/2006/picture">
                        <pic:nvPicPr>
                          <pic:cNvPr id="797" name="图片_18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651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98" name="图片_184"/>
                  <wp:cNvGraphicFramePr/>
                  <a:graphic xmlns:a="http://schemas.openxmlformats.org/drawingml/2006/main">
                    <a:graphicData uri="http://schemas.openxmlformats.org/drawingml/2006/picture">
                      <pic:pic xmlns:pic="http://schemas.openxmlformats.org/drawingml/2006/picture">
                        <pic:nvPicPr>
                          <pic:cNvPr id="798" name="图片_18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661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799" name="图片_347"/>
                  <wp:cNvGraphicFramePr/>
                  <a:graphic xmlns:a="http://schemas.openxmlformats.org/drawingml/2006/main">
                    <a:graphicData uri="http://schemas.openxmlformats.org/drawingml/2006/picture">
                      <pic:pic xmlns:pic="http://schemas.openxmlformats.org/drawingml/2006/picture">
                        <pic:nvPicPr>
                          <pic:cNvPr id="799" name="图片_34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672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00" name="图片_182"/>
                  <wp:cNvGraphicFramePr/>
                  <a:graphic xmlns:a="http://schemas.openxmlformats.org/drawingml/2006/main">
                    <a:graphicData uri="http://schemas.openxmlformats.org/drawingml/2006/picture">
                      <pic:pic xmlns:pic="http://schemas.openxmlformats.org/drawingml/2006/picture">
                        <pic:nvPicPr>
                          <pic:cNvPr id="800" name="图片_18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682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01" name="图片_181"/>
                  <wp:cNvGraphicFramePr/>
                  <a:graphic xmlns:a="http://schemas.openxmlformats.org/drawingml/2006/main">
                    <a:graphicData uri="http://schemas.openxmlformats.org/drawingml/2006/picture">
                      <pic:pic xmlns:pic="http://schemas.openxmlformats.org/drawingml/2006/picture">
                        <pic:nvPicPr>
                          <pic:cNvPr id="801" name="图片_18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692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02" name="图片_180"/>
                  <wp:cNvGraphicFramePr/>
                  <a:graphic xmlns:a="http://schemas.openxmlformats.org/drawingml/2006/main">
                    <a:graphicData uri="http://schemas.openxmlformats.org/drawingml/2006/picture">
                      <pic:pic xmlns:pic="http://schemas.openxmlformats.org/drawingml/2006/picture">
                        <pic:nvPicPr>
                          <pic:cNvPr id="802" name="图片_18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702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03" name="图片_338"/>
                  <wp:cNvGraphicFramePr/>
                  <a:graphic xmlns:a="http://schemas.openxmlformats.org/drawingml/2006/main">
                    <a:graphicData uri="http://schemas.openxmlformats.org/drawingml/2006/picture">
                      <pic:pic xmlns:pic="http://schemas.openxmlformats.org/drawingml/2006/picture">
                        <pic:nvPicPr>
                          <pic:cNvPr id="803" name="图片_33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712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04" name="图片_178"/>
                  <wp:cNvGraphicFramePr/>
                  <a:graphic xmlns:a="http://schemas.openxmlformats.org/drawingml/2006/main">
                    <a:graphicData uri="http://schemas.openxmlformats.org/drawingml/2006/picture">
                      <pic:pic xmlns:pic="http://schemas.openxmlformats.org/drawingml/2006/picture">
                        <pic:nvPicPr>
                          <pic:cNvPr id="804" name="图片_17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723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05" name="图片_177"/>
                  <wp:cNvGraphicFramePr/>
                  <a:graphic xmlns:a="http://schemas.openxmlformats.org/drawingml/2006/main">
                    <a:graphicData uri="http://schemas.openxmlformats.org/drawingml/2006/picture">
                      <pic:pic xmlns:pic="http://schemas.openxmlformats.org/drawingml/2006/picture">
                        <pic:nvPicPr>
                          <pic:cNvPr id="805" name="图片_17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733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06" name="图片_176"/>
                  <wp:cNvGraphicFramePr/>
                  <a:graphic xmlns:a="http://schemas.openxmlformats.org/drawingml/2006/main">
                    <a:graphicData uri="http://schemas.openxmlformats.org/drawingml/2006/picture">
                      <pic:pic xmlns:pic="http://schemas.openxmlformats.org/drawingml/2006/picture">
                        <pic:nvPicPr>
                          <pic:cNvPr id="806" name="图片_17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743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07" name="图片_331"/>
                  <wp:cNvGraphicFramePr/>
                  <a:graphic xmlns:a="http://schemas.openxmlformats.org/drawingml/2006/main">
                    <a:graphicData uri="http://schemas.openxmlformats.org/drawingml/2006/picture">
                      <pic:pic xmlns:pic="http://schemas.openxmlformats.org/drawingml/2006/picture">
                        <pic:nvPicPr>
                          <pic:cNvPr id="807" name="图片_33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753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08" name="图片_174"/>
                  <wp:cNvGraphicFramePr/>
                  <a:graphic xmlns:a="http://schemas.openxmlformats.org/drawingml/2006/main">
                    <a:graphicData uri="http://schemas.openxmlformats.org/drawingml/2006/picture">
                      <pic:pic xmlns:pic="http://schemas.openxmlformats.org/drawingml/2006/picture">
                        <pic:nvPicPr>
                          <pic:cNvPr id="808" name="图片_17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764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09" name="图片_173"/>
                  <wp:cNvGraphicFramePr/>
                  <a:graphic xmlns:a="http://schemas.openxmlformats.org/drawingml/2006/main">
                    <a:graphicData uri="http://schemas.openxmlformats.org/drawingml/2006/picture">
                      <pic:pic xmlns:pic="http://schemas.openxmlformats.org/drawingml/2006/picture">
                        <pic:nvPicPr>
                          <pic:cNvPr id="809" name="图片_17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774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10" name="图片_172"/>
                  <wp:cNvGraphicFramePr/>
                  <a:graphic xmlns:a="http://schemas.openxmlformats.org/drawingml/2006/main">
                    <a:graphicData uri="http://schemas.openxmlformats.org/drawingml/2006/picture">
                      <pic:pic xmlns:pic="http://schemas.openxmlformats.org/drawingml/2006/picture">
                        <pic:nvPicPr>
                          <pic:cNvPr id="810" name="图片_17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784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11" name="图片_627"/>
                  <wp:cNvGraphicFramePr/>
                  <a:graphic xmlns:a="http://schemas.openxmlformats.org/drawingml/2006/main">
                    <a:graphicData uri="http://schemas.openxmlformats.org/drawingml/2006/picture">
                      <pic:pic xmlns:pic="http://schemas.openxmlformats.org/drawingml/2006/picture">
                        <pic:nvPicPr>
                          <pic:cNvPr id="811" name="图片_62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794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12" name="图片_170"/>
                  <wp:cNvGraphicFramePr/>
                  <a:graphic xmlns:a="http://schemas.openxmlformats.org/drawingml/2006/main">
                    <a:graphicData uri="http://schemas.openxmlformats.org/drawingml/2006/picture">
                      <pic:pic xmlns:pic="http://schemas.openxmlformats.org/drawingml/2006/picture">
                        <pic:nvPicPr>
                          <pic:cNvPr id="812" name="图片_17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805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13" name="图片_169"/>
                  <wp:cNvGraphicFramePr/>
                  <a:graphic xmlns:a="http://schemas.openxmlformats.org/drawingml/2006/main">
                    <a:graphicData uri="http://schemas.openxmlformats.org/drawingml/2006/picture">
                      <pic:pic xmlns:pic="http://schemas.openxmlformats.org/drawingml/2006/picture">
                        <pic:nvPicPr>
                          <pic:cNvPr id="813" name="图片_16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815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14" name="图片_168"/>
                  <wp:cNvGraphicFramePr/>
                  <a:graphic xmlns:a="http://schemas.openxmlformats.org/drawingml/2006/main">
                    <a:graphicData uri="http://schemas.openxmlformats.org/drawingml/2006/picture">
                      <pic:pic xmlns:pic="http://schemas.openxmlformats.org/drawingml/2006/picture">
                        <pic:nvPicPr>
                          <pic:cNvPr id="814" name="图片_16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825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15" name="图片_315"/>
                  <wp:cNvGraphicFramePr/>
                  <a:graphic xmlns:a="http://schemas.openxmlformats.org/drawingml/2006/main">
                    <a:graphicData uri="http://schemas.openxmlformats.org/drawingml/2006/picture">
                      <pic:pic xmlns:pic="http://schemas.openxmlformats.org/drawingml/2006/picture">
                        <pic:nvPicPr>
                          <pic:cNvPr id="815" name="图片_31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835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16" name="图片_166"/>
                  <wp:cNvGraphicFramePr/>
                  <a:graphic xmlns:a="http://schemas.openxmlformats.org/drawingml/2006/main">
                    <a:graphicData uri="http://schemas.openxmlformats.org/drawingml/2006/picture">
                      <pic:pic xmlns:pic="http://schemas.openxmlformats.org/drawingml/2006/picture">
                        <pic:nvPicPr>
                          <pic:cNvPr id="816" name="图片_16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846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17" name="图片_165"/>
                  <wp:cNvGraphicFramePr/>
                  <a:graphic xmlns:a="http://schemas.openxmlformats.org/drawingml/2006/main">
                    <a:graphicData uri="http://schemas.openxmlformats.org/drawingml/2006/picture">
                      <pic:pic xmlns:pic="http://schemas.openxmlformats.org/drawingml/2006/picture">
                        <pic:nvPicPr>
                          <pic:cNvPr id="817" name="图片_16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856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18" name="图片_164"/>
                  <wp:cNvGraphicFramePr/>
                  <a:graphic xmlns:a="http://schemas.openxmlformats.org/drawingml/2006/main">
                    <a:graphicData uri="http://schemas.openxmlformats.org/drawingml/2006/picture">
                      <pic:pic xmlns:pic="http://schemas.openxmlformats.org/drawingml/2006/picture">
                        <pic:nvPicPr>
                          <pic:cNvPr id="818" name="图片_16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866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19" name="图片_594"/>
                  <wp:cNvGraphicFramePr/>
                  <a:graphic xmlns:a="http://schemas.openxmlformats.org/drawingml/2006/main">
                    <a:graphicData uri="http://schemas.openxmlformats.org/drawingml/2006/picture">
                      <pic:pic xmlns:pic="http://schemas.openxmlformats.org/drawingml/2006/picture">
                        <pic:nvPicPr>
                          <pic:cNvPr id="819" name="图片_59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876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20" name="图片_162"/>
                  <wp:cNvGraphicFramePr/>
                  <a:graphic xmlns:a="http://schemas.openxmlformats.org/drawingml/2006/main">
                    <a:graphicData uri="http://schemas.openxmlformats.org/drawingml/2006/picture">
                      <pic:pic xmlns:pic="http://schemas.openxmlformats.org/drawingml/2006/picture">
                        <pic:nvPicPr>
                          <pic:cNvPr id="820" name="图片_16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887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21" name="图片_161"/>
                  <wp:cNvGraphicFramePr/>
                  <a:graphic xmlns:a="http://schemas.openxmlformats.org/drawingml/2006/main">
                    <a:graphicData uri="http://schemas.openxmlformats.org/drawingml/2006/picture">
                      <pic:pic xmlns:pic="http://schemas.openxmlformats.org/drawingml/2006/picture">
                        <pic:nvPicPr>
                          <pic:cNvPr id="821" name="图片_16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897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22" name="图片_160"/>
                  <wp:cNvGraphicFramePr/>
                  <a:graphic xmlns:a="http://schemas.openxmlformats.org/drawingml/2006/main">
                    <a:graphicData uri="http://schemas.openxmlformats.org/drawingml/2006/picture">
                      <pic:pic xmlns:pic="http://schemas.openxmlformats.org/drawingml/2006/picture">
                        <pic:nvPicPr>
                          <pic:cNvPr id="822" name="图片_16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907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23" name="图片_299"/>
                  <wp:cNvGraphicFramePr/>
                  <a:graphic xmlns:a="http://schemas.openxmlformats.org/drawingml/2006/main">
                    <a:graphicData uri="http://schemas.openxmlformats.org/drawingml/2006/picture">
                      <pic:pic xmlns:pic="http://schemas.openxmlformats.org/drawingml/2006/picture">
                        <pic:nvPicPr>
                          <pic:cNvPr id="823" name="图片_29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917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24" name="图片_158"/>
                  <wp:cNvGraphicFramePr/>
                  <a:graphic xmlns:a="http://schemas.openxmlformats.org/drawingml/2006/main">
                    <a:graphicData uri="http://schemas.openxmlformats.org/drawingml/2006/picture">
                      <pic:pic xmlns:pic="http://schemas.openxmlformats.org/drawingml/2006/picture">
                        <pic:nvPicPr>
                          <pic:cNvPr id="824" name="图片_15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928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25" name="图片_157"/>
                  <wp:cNvGraphicFramePr/>
                  <a:graphic xmlns:a="http://schemas.openxmlformats.org/drawingml/2006/main">
                    <a:graphicData uri="http://schemas.openxmlformats.org/drawingml/2006/picture">
                      <pic:pic xmlns:pic="http://schemas.openxmlformats.org/drawingml/2006/picture">
                        <pic:nvPicPr>
                          <pic:cNvPr id="825" name="图片_15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938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26" name="图片_156"/>
                  <wp:cNvGraphicFramePr/>
                  <a:graphic xmlns:a="http://schemas.openxmlformats.org/drawingml/2006/main">
                    <a:graphicData uri="http://schemas.openxmlformats.org/drawingml/2006/picture">
                      <pic:pic xmlns:pic="http://schemas.openxmlformats.org/drawingml/2006/picture">
                        <pic:nvPicPr>
                          <pic:cNvPr id="826" name="图片_15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948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27" name="图片_563"/>
                  <wp:cNvGraphicFramePr/>
                  <a:graphic xmlns:a="http://schemas.openxmlformats.org/drawingml/2006/main">
                    <a:graphicData uri="http://schemas.openxmlformats.org/drawingml/2006/picture">
                      <pic:pic xmlns:pic="http://schemas.openxmlformats.org/drawingml/2006/picture">
                        <pic:nvPicPr>
                          <pic:cNvPr id="827" name="图片_56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958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28" name="图片_154"/>
                  <wp:cNvGraphicFramePr/>
                  <a:graphic xmlns:a="http://schemas.openxmlformats.org/drawingml/2006/main">
                    <a:graphicData uri="http://schemas.openxmlformats.org/drawingml/2006/picture">
                      <pic:pic xmlns:pic="http://schemas.openxmlformats.org/drawingml/2006/picture">
                        <pic:nvPicPr>
                          <pic:cNvPr id="828" name="图片_15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968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29" name="图片_153"/>
                  <wp:cNvGraphicFramePr/>
                  <a:graphic xmlns:a="http://schemas.openxmlformats.org/drawingml/2006/main">
                    <a:graphicData uri="http://schemas.openxmlformats.org/drawingml/2006/picture">
                      <pic:pic xmlns:pic="http://schemas.openxmlformats.org/drawingml/2006/picture">
                        <pic:nvPicPr>
                          <pic:cNvPr id="829" name="图片_15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979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30" name="图片_152"/>
                  <wp:cNvGraphicFramePr/>
                  <a:graphic xmlns:a="http://schemas.openxmlformats.org/drawingml/2006/main">
                    <a:graphicData uri="http://schemas.openxmlformats.org/drawingml/2006/picture">
                      <pic:pic xmlns:pic="http://schemas.openxmlformats.org/drawingml/2006/picture">
                        <pic:nvPicPr>
                          <pic:cNvPr id="830" name="图片_15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989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31" name="图片_283"/>
                  <wp:cNvGraphicFramePr/>
                  <a:graphic xmlns:a="http://schemas.openxmlformats.org/drawingml/2006/main">
                    <a:graphicData uri="http://schemas.openxmlformats.org/drawingml/2006/picture">
                      <pic:pic xmlns:pic="http://schemas.openxmlformats.org/drawingml/2006/picture">
                        <pic:nvPicPr>
                          <pic:cNvPr id="831" name="图片_28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4999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32" name="图片_150"/>
                  <wp:cNvGraphicFramePr/>
                  <a:graphic xmlns:a="http://schemas.openxmlformats.org/drawingml/2006/main">
                    <a:graphicData uri="http://schemas.openxmlformats.org/drawingml/2006/picture">
                      <pic:pic xmlns:pic="http://schemas.openxmlformats.org/drawingml/2006/picture">
                        <pic:nvPicPr>
                          <pic:cNvPr id="832" name="图片_15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009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33" name="图片_149"/>
                  <wp:cNvGraphicFramePr/>
                  <a:graphic xmlns:a="http://schemas.openxmlformats.org/drawingml/2006/main">
                    <a:graphicData uri="http://schemas.openxmlformats.org/drawingml/2006/picture">
                      <pic:pic xmlns:pic="http://schemas.openxmlformats.org/drawingml/2006/picture">
                        <pic:nvPicPr>
                          <pic:cNvPr id="833" name="图片_14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020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34" name="图片_148"/>
                  <wp:cNvGraphicFramePr/>
                  <a:graphic xmlns:a="http://schemas.openxmlformats.org/drawingml/2006/main">
                    <a:graphicData uri="http://schemas.openxmlformats.org/drawingml/2006/picture">
                      <pic:pic xmlns:pic="http://schemas.openxmlformats.org/drawingml/2006/picture">
                        <pic:nvPicPr>
                          <pic:cNvPr id="834" name="图片_14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030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35" name="图片_73"/>
                  <wp:cNvGraphicFramePr/>
                  <a:graphic xmlns:a="http://schemas.openxmlformats.org/drawingml/2006/main">
                    <a:graphicData uri="http://schemas.openxmlformats.org/drawingml/2006/picture">
                      <pic:pic xmlns:pic="http://schemas.openxmlformats.org/drawingml/2006/picture">
                        <pic:nvPicPr>
                          <pic:cNvPr id="835" name="图片_7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040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36" name="图片_127"/>
                  <wp:cNvGraphicFramePr/>
                  <a:graphic xmlns:a="http://schemas.openxmlformats.org/drawingml/2006/main">
                    <a:graphicData uri="http://schemas.openxmlformats.org/drawingml/2006/picture">
                      <pic:pic xmlns:pic="http://schemas.openxmlformats.org/drawingml/2006/picture">
                        <pic:nvPicPr>
                          <pic:cNvPr id="836" name="图片_12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050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37" name="图片_235"/>
                  <wp:cNvGraphicFramePr/>
                  <a:graphic xmlns:a="http://schemas.openxmlformats.org/drawingml/2006/main">
                    <a:graphicData uri="http://schemas.openxmlformats.org/drawingml/2006/picture">
                      <pic:pic xmlns:pic="http://schemas.openxmlformats.org/drawingml/2006/picture">
                        <pic:nvPicPr>
                          <pic:cNvPr id="837" name="图片_23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061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38" name="图片_126"/>
                  <wp:cNvGraphicFramePr/>
                  <a:graphic xmlns:a="http://schemas.openxmlformats.org/drawingml/2006/main">
                    <a:graphicData uri="http://schemas.openxmlformats.org/drawingml/2006/picture">
                      <pic:pic xmlns:pic="http://schemas.openxmlformats.org/drawingml/2006/picture">
                        <pic:nvPicPr>
                          <pic:cNvPr id="838" name="图片_12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071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39" name="图片_72"/>
                  <wp:cNvGraphicFramePr/>
                  <a:graphic xmlns:a="http://schemas.openxmlformats.org/drawingml/2006/main">
                    <a:graphicData uri="http://schemas.openxmlformats.org/drawingml/2006/picture">
                      <pic:pic xmlns:pic="http://schemas.openxmlformats.org/drawingml/2006/picture">
                        <pic:nvPicPr>
                          <pic:cNvPr id="839" name="图片_7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081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40" name="图片_125"/>
                  <wp:cNvGraphicFramePr/>
                  <a:graphic xmlns:a="http://schemas.openxmlformats.org/drawingml/2006/main">
                    <a:graphicData uri="http://schemas.openxmlformats.org/drawingml/2006/picture">
                      <pic:pic xmlns:pic="http://schemas.openxmlformats.org/drawingml/2006/picture">
                        <pic:nvPicPr>
                          <pic:cNvPr id="840" name="图片_12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091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41" name="图片_124"/>
                  <wp:cNvGraphicFramePr/>
                  <a:graphic xmlns:a="http://schemas.openxmlformats.org/drawingml/2006/main">
                    <a:graphicData uri="http://schemas.openxmlformats.org/drawingml/2006/picture">
                      <pic:pic xmlns:pic="http://schemas.openxmlformats.org/drawingml/2006/picture">
                        <pic:nvPicPr>
                          <pic:cNvPr id="841" name="图片_12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102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42" name="图片_123"/>
                  <wp:cNvGraphicFramePr/>
                  <a:graphic xmlns:a="http://schemas.openxmlformats.org/drawingml/2006/main">
                    <a:graphicData uri="http://schemas.openxmlformats.org/drawingml/2006/picture">
                      <pic:pic xmlns:pic="http://schemas.openxmlformats.org/drawingml/2006/picture">
                        <pic:nvPicPr>
                          <pic:cNvPr id="842" name="图片_12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112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43" name="图片_227"/>
                  <wp:cNvGraphicFramePr/>
                  <a:graphic xmlns:a="http://schemas.openxmlformats.org/drawingml/2006/main">
                    <a:graphicData uri="http://schemas.openxmlformats.org/drawingml/2006/picture">
                      <pic:pic xmlns:pic="http://schemas.openxmlformats.org/drawingml/2006/picture">
                        <pic:nvPicPr>
                          <pic:cNvPr id="843" name="图片_22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122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44" name="图片_435"/>
                  <wp:cNvGraphicFramePr/>
                  <a:graphic xmlns:a="http://schemas.openxmlformats.org/drawingml/2006/main">
                    <a:graphicData uri="http://schemas.openxmlformats.org/drawingml/2006/picture">
                      <pic:pic xmlns:pic="http://schemas.openxmlformats.org/drawingml/2006/picture">
                        <pic:nvPicPr>
                          <pic:cNvPr id="844" name="图片_43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132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45" name="图片_851"/>
                  <wp:cNvGraphicFramePr/>
                  <a:graphic xmlns:a="http://schemas.openxmlformats.org/drawingml/2006/main">
                    <a:graphicData uri="http://schemas.openxmlformats.org/drawingml/2006/picture">
                      <pic:pic xmlns:pic="http://schemas.openxmlformats.org/drawingml/2006/picture">
                        <pic:nvPicPr>
                          <pic:cNvPr id="845" name="图片_85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143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46" name="图片_122"/>
                  <wp:cNvGraphicFramePr/>
                  <a:graphic xmlns:a="http://schemas.openxmlformats.org/drawingml/2006/main">
                    <a:graphicData uri="http://schemas.openxmlformats.org/drawingml/2006/picture">
                      <pic:pic xmlns:pic="http://schemas.openxmlformats.org/drawingml/2006/picture">
                        <pic:nvPicPr>
                          <pic:cNvPr id="846" name="图片_12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153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47" name="图片_121"/>
                  <wp:cNvGraphicFramePr/>
                  <a:graphic xmlns:a="http://schemas.openxmlformats.org/drawingml/2006/main">
                    <a:graphicData uri="http://schemas.openxmlformats.org/drawingml/2006/picture">
                      <pic:pic xmlns:pic="http://schemas.openxmlformats.org/drawingml/2006/picture">
                        <pic:nvPicPr>
                          <pic:cNvPr id="847" name="图片_12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163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48" name="图片_223"/>
                  <wp:cNvGraphicFramePr/>
                  <a:graphic xmlns:a="http://schemas.openxmlformats.org/drawingml/2006/main">
                    <a:graphicData uri="http://schemas.openxmlformats.org/drawingml/2006/picture">
                      <pic:pic xmlns:pic="http://schemas.openxmlformats.org/drawingml/2006/picture">
                        <pic:nvPicPr>
                          <pic:cNvPr id="848" name="图片_22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173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49" name="图片_120"/>
                  <wp:cNvGraphicFramePr/>
                  <a:graphic xmlns:a="http://schemas.openxmlformats.org/drawingml/2006/main">
                    <a:graphicData uri="http://schemas.openxmlformats.org/drawingml/2006/picture">
                      <pic:pic xmlns:pic="http://schemas.openxmlformats.org/drawingml/2006/picture">
                        <pic:nvPicPr>
                          <pic:cNvPr id="849" name="图片_12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184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50" name="图片_119"/>
                  <wp:cNvGraphicFramePr/>
                  <a:graphic xmlns:a="http://schemas.openxmlformats.org/drawingml/2006/main">
                    <a:graphicData uri="http://schemas.openxmlformats.org/drawingml/2006/picture">
                      <pic:pic xmlns:pic="http://schemas.openxmlformats.org/drawingml/2006/picture">
                        <pic:nvPicPr>
                          <pic:cNvPr id="850" name="图片_11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194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51" name="图片_219"/>
                  <wp:cNvGraphicFramePr/>
                  <a:graphic xmlns:a="http://schemas.openxmlformats.org/drawingml/2006/main">
                    <a:graphicData uri="http://schemas.openxmlformats.org/drawingml/2006/picture">
                      <pic:pic xmlns:pic="http://schemas.openxmlformats.org/drawingml/2006/picture">
                        <pic:nvPicPr>
                          <pic:cNvPr id="851" name="图片_21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204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52" name="图片_419"/>
                  <wp:cNvGraphicFramePr/>
                  <a:graphic xmlns:a="http://schemas.openxmlformats.org/drawingml/2006/main">
                    <a:graphicData uri="http://schemas.openxmlformats.org/drawingml/2006/picture">
                      <pic:pic xmlns:pic="http://schemas.openxmlformats.org/drawingml/2006/picture">
                        <pic:nvPicPr>
                          <pic:cNvPr id="852" name="图片_41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214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53" name="图片_118"/>
                  <wp:cNvGraphicFramePr/>
                  <a:graphic xmlns:a="http://schemas.openxmlformats.org/drawingml/2006/main">
                    <a:graphicData uri="http://schemas.openxmlformats.org/drawingml/2006/picture">
                      <pic:pic xmlns:pic="http://schemas.openxmlformats.org/drawingml/2006/picture">
                        <pic:nvPicPr>
                          <pic:cNvPr id="853" name="图片_11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224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54" name="图片_117"/>
                  <wp:cNvGraphicFramePr/>
                  <a:graphic xmlns:a="http://schemas.openxmlformats.org/drawingml/2006/main">
                    <a:graphicData uri="http://schemas.openxmlformats.org/drawingml/2006/picture">
                      <pic:pic xmlns:pic="http://schemas.openxmlformats.org/drawingml/2006/picture">
                        <pic:nvPicPr>
                          <pic:cNvPr id="854" name="图片_11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235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55" name="图片_215"/>
                  <wp:cNvGraphicFramePr/>
                  <a:graphic xmlns:a="http://schemas.openxmlformats.org/drawingml/2006/main">
                    <a:graphicData uri="http://schemas.openxmlformats.org/drawingml/2006/picture">
                      <pic:pic xmlns:pic="http://schemas.openxmlformats.org/drawingml/2006/picture">
                        <pic:nvPicPr>
                          <pic:cNvPr id="855" name="图片_21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245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56" name="图片_116"/>
                  <wp:cNvGraphicFramePr/>
                  <a:graphic xmlns:a="http://schemas.openxmlformats.org/drawingml/2006/main">
                    <a:graphicData uri="http://schemas.openxmlformats.org/drawingml/2006/picture">
                      <pic:pic xmlns:pic="http://schemas.openxmlformats.org/drawingml/2006/picture">
                        <pic:nvPicPr>
                          <pic:cNvPr id="856" name="图片_11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255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57" name="图片_115"/>
                  <wp:cNvGraphicFramePr/>
                  <a:graphic xmlns:a="http://schemas.openxmlformats.org/drawingml/2006/main">
                    <a:graphicData uri="http://schemas.openxmlformats.org/drawingml/2006/picture">
                      <pic:pic xmlns:pic="http://schemas.openxmlformats.org/drawingml/2006/picture">
                        <pic:nvPicPr>
                          <pic:cNvPr id="857" name="图片_11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265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58" name="图片_211"/>
                  <wp:cNvGraphicFramePr/>
                  <a:graphic xmlns:a="http://schemas.openxmlformats.org/drawingml/2006/main">
                    <a:graphicData uri="http://schemas.openxmlformats.org/drawingml/2006/picture">
                      <pic:pic xmlns:pic="http://schemas.openxmlformats.org/drawingml/2006/picture">
                        <pic:nvPicPr>
                          <pic:cNvPr id="858" name="图片_21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276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59" name="图片_403"/>
                  <wp:cNvGraphicFramePr/>
                  <a:graphic xmlns:a="http://schemas.openxmlformats.org/drawingml/2006/main">
                    <a:graphicData uri="http://schemas.openxmlformats.org/drawingml/2006/picture">
                      <pic:pic xmlns:pic="http://schemas.openxmlformats.org/drawingml/2006/picture">
                        <pic:nvPicPr>
                          <pic:cNvPr id="859" name="图片_40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286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60" name="图片_787"/>
                  <wp:cNvGraphicFramePr/>
                  <a:graphic xmlns:a="http://schemas.openxmlformats.org/drawingml/2006/main">
                    <a:graphicData uri="http://schemas.openxmlformats.org/drawingml/2006/picture">
                      <pic:pic xmlns:pic="http://schemas.openxmlformats.org/drawingml/2006/picture">
                        <pic:nvPicPr>
                          <pic:cNvPr id="860" name="图片_78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296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61" name="图片_786"/>
                  <wp:cNvGraphicFramePr/>
                  <a:graphic xmlns:a="http://schemas.openxmlformats.org/drawingml/2006/main">
                    <a:graphicData uri="http://schemas.openxmlformats.org/drawingml/2006/picture">
                      <pic:pic xmlns:pic="http://schemas.openxmlformats.org/drawingml/2006/picture">
                        <pic:nvPicPr>
                          <pic:cNvPr id="861" name="图片_78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306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62" name="图片_912"/>
                  <wp:cNvGraphicFramePr/>
                  <a:graphic xmlns:a="http://schemas.openxmlformats.org/drawingml/2006/main">
                    <a:graphicData uri="http://schemas.openxmlformats.org/drawingml/2006/picture">
                      <pic:pic xmlns:pic="http://schemas.openxmlformats.org/drawingml/2006/picture">
                        <pic:nvPicPr>
                          <pic:cNvPr id="862" name="图片_91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317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63" name="图片_114"/>
                  <wp:cNvGraphicFramePr/>
                  <a:graphic xmlns:a="http://schemas.openxmlformats.org/drawingml/2006/main">
                    <a:graphicData uri="http://schemas.openxmlformats.org/drawingml/2006/picture">
                      <pic:pic xmlns:pic="http://schemas.openxmlformats.org/drawingml/2006/picture">
                        <pic:nvPicPr>
                          <pic:cNvPr id="863" name="图片_11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327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64" name="图片_113"/>
                  <wp:cNvGraphicFramePr/>
                  <a:graphic xmlns:a="http://schemas.openxmlformats.org/drawingml/2006/main">
                    <a:graphicData uri="http://schemas.openxmlformats.org/drawingml/2006/picture">
                      <pic:pic xmlns:pic="http://schemas.openxmlformats.org/drawingml/2006/picture">
                        <pic:nvPicPr>
                          <pic:cNvPr id="864" name="图片_11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337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65" name="图片_207"/>
                  <wp:cNvGraphicFramePr/>
                  <a:graphic xmlns:a="http://schemas.openxmlformats.org/drawingml/2006/main">
                    <a:graphicData uri="http://schemas.openxmlformats.org/drawingml/2006/picture">
                      <pic:pic xmlns:pic="http://schemas.openxmlformats.org/drawingml/2006/picture">
                        <pic:nvPicPr>
                          <pic:cNvPr id="865" name="图片_20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347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66" name="图片_112"/>
                  <wp:cNvGraphicFramePr/>
                  <a:graphic xmlns:a="http://schemas.openxmlformats.org/drawingml/2006/main">
                    <a:graphicData uri="http://schemas.openxmlformats.org/drawingml/2006/picture">
                      <pic:pic xmlns:pic="http://schemas.openxmlformats.org/drawingml/2006/picture">
                        <pic:nvPicPr>
                          <pic:cNvPr id="866" name="图片_11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358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67" name="图片_111"/>
                  <wp:cNvGraphicFramePr/>
                  <a:graphic xmlns:a="http://schemas.openxmlformats.org/drawingml/2006/main">
                    <a:graphicData uri="http://schemas.openxmlformats.org/drawingml/2006/picture">
                      <pic:pic xmlns:pic="http://schemas.openxmlformats.org/drawingml/2006/picture">
                        <pic:nvPicPr>
                          <pic:cNvPr id="867" name="图片_11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368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68" name="图片_203"/>
                  <wp:cNvGraphicFramePr/>
                  <a:graphic xmlns:a="http://schemas.openxmlformats.org/drawingml/2006/main">
                    <a:graphicData uri="http://schemas.openxmlformats.org/drawingml/2006/picture">
                      <pic:pic xmlns:pic="http://schemas.openxmlformats.org/drawingml/2006/picture">
                        <pic:nvPicPr>
                          <pic:cNvPr id="868" name="图片_20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378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69" name="图片_387"/>
                  <wp:cNvGraphicFramePr/>
                  <a:graphic xmlns:a="http://schemas.openxmlformats.org/drawingml/2006/main">
                    <a:graphicData uri="http://schemas.openxmlformats.org/drawingml/2006/picture">
                      <pic:pic xmlns:pic="http://schemas.openxmlformats.org/drawingml/2006/picture">
                        <pic:nvPicPr>
                          <pic:cNvPr id="869" name="图片_38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388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70" name="图片_110"/>
                  <wp:cNvGraphicFramePr/>
                  <a:graphic xmlns:a="http://schemas.openxmlformats.org/drawingml/2006/main">
                    <a:graphicData uri="http://schemas.openxmlformats.org/drawingml/2006/picture">
                      <pic:pic xmlns:pic="http://schemas.openxmlformats.org/drawingml/2006/picture">
                        <pic:nvPicPr>
                          <pic:cNvPr id="870" name="图片_11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399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71" name="图片_109"/>
                  <wp:cNvGraphicFramePr/>
                  <a:graphic xmlns:a="http://schemas.openxmlformats.org/drawingml/2006/main">
                    <a:graphicData uri="http://schemas.openxmlformats.org/drawingml/2006/picture">
                      <pic:pic xmlns:pic="http://schemas.openxmlformats.org/drawingml/2006/picture">
                        <pic:nvPicPr>
                          <pic:cNvPr id="871" name="图片_10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409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72" name="图片_108"/>
                  <wp:cNvGraphicFramePr/>
                  <a:graphic xmlns:a="http://schemas.openxmlformats.org/drawingml/2006/main">
                    <a:graphicData uri="http://schemas.openxmlformats.org/drawingml/2006/picture">
                      <pic:pic xmlns:pic="http://schemas.openxmlformats.org/drawingml/2006/picture">
                        <pic:nvPicPr>
                          <pic:cNvPr id="872" name="图片_10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419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73" name="图片_199"/>
                  <wp:cNvGraphicFramePr/>
                  <a:graphic xmlns:a="http://schemas.openxmlformats.org/drawingml/2006/main">
                    <a:graphicData uri="http://schemas.openxmlformats.org/drawingml/2006/picture">
                      <pic:pic xmlns:pic="http://schemas.openxmlformats.org/drawingml/2006/picture">
                        <pic:nvPicPr>
                          <pic:cNvPr id="873" name="图片_19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429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74" name="图片_723"/>
                  <wp:cNvGraphicFramePr/>
                  <a:graphic xmlns:a="http://schemas.openxmlformats.org/drawingml/2006/main">
                    <a:graphicData uri="http://schemas.openxmlformats.org/drawingml/2006/picture">
                      <pic:pic xmlns:pic="http://schemas.openxmlformats.org/drawingml/2006/picture">
                        <pic:nvPicPr>
                          <pic:cNvPr id="874" name="图片_72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440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75" name="图片_106"/>
                  <wp:cNvGraphicFramePr/>
                  <a:graphic xmlns:a="http://schemas.openxmlformats.org/drawingml/2006/main">
                    <a:graphicData uri="http://schemas.openxmlformats.org/drawingml/2006/picture">
                      <pic:pic xmlns:pic="http://schemas.openxmlformats.org/drawingml/2006/picture">
                        <pic:nvPicPr>
                          <pic:cNvPr id="875" name="图片_10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450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76" name="图片_191"/>
                  <wp:cNvGraphicFramePr/>
                  <a:graphic xmlns:a="http://schemas.openxmlformats.org/drawingml/2006/main">
                    <a:graphicData uri="http://schemas.openxmlformats.org/drawingml/2006/picture">
                      <pic:pic xmlns:pic="http://schemas.openxmlformats.org/drawingml/2006/picture">
                        <pic:nvPicPr>
                          <pic:cNvPr id="876" name="图片_19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460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77" name="图片_104"/>
                  <wp:cNvGraphicFramePr/>
                  <a:graphic xmlns:a="http://schemas.openxmlformats.org/drawingml/2006/main">
                    <a:graphicData uri="http://schemas.openxmlformats.org/drawingml/2006/picture">
                      <pic:pic xmlns:pic="http://schemas.openxmlformats.org/drawingml/2006/picture">
                        <pic:nvPicPr>
                          <pic:cNvPr id="877" name="图片_10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470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78" name="图片_355"/>
                  <wp:cNvGraphicFramePr/>
                  <a:graphic xmlns:a="http://schemas.openxmlformats.org/drawingml/2006/main">
                    <a:graphicData uri="http://schemas.openxmlformats.org/drawingml/2006/picture">
                      <pic:pic xmlns:pic="http://schemas.openxmlformats.org/drawingml/2006/picture">
                        <pic:nvPicPr>
                          <pic:cNvPr id="878" name="图片_35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480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79" name="图片_102"/>
                  <wp:cNvGraphicFramePr/>
                  <a:graphic xmlns:a="http://schemas.openxmlformats.org/drawingml/2006/main">
                    <a:graphicData uri="http://schemas.openxmlformats.org/drawingml/2006/picture">
                      <pic:pic xmlns:pic="http://schemas.openxmlformats.org/drawingml/2006/picture">
                        <pic:nvPicPr>
                          <pic:cNvPr id="879" name="图片_10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491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80" name="图片_183"/>
                  <wp:cNvGraphicFramePr/>
                  <a:graphic xmlns:a="http://schemas.openxmlformats.org/drawingml/2006/main">
                    <a:graphicData uri="http://schemas.openxmlformats.org/drawingml/2006/picture">
                      <pic:pic xmlns:pic="http://schemas.openxmlformats.org/drawingml/2006/picture">
                        <pic:nvPicPr>
                          <pic:cNvPr id="880" name="图片_18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501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81" name="图片_100"/>
                  <wp:cNvGraphicFramePr/>
                  <a:graphic xmlns:a="http://schemas.openxmlformats.org/drawingml/2006/main">
                    <a:graphicData uri="http://schemas.openxmlformats.org/drawingml/2006/picture">
                      <pic:pic xmlns:pic="http://schemas.openxmlformats.org/drawingml/2006/picture">
                        <pic:nvPicPr>
                          <pic:cNvPr id="881" name="图片_10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511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82" name="图片_658"/>
                  <wp:cNvGraphicFramePr/>
                  <a:graphic xmlns:a="http://schemas.openxmlformats.org/drawingml/2006/main">
                    <a:graphicData uri="http://schemas.openxmlformats.org/drawingml/2006/picture">
                      <pic:pic xmlns:pic="http://schemas.openxmlformats.org/drawingml/2006/picture">
                        <pic:nvPicPr>
                          <pic:cNvPr id="882" name="图片_65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521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83" name="图片_98"/>
                  <wp:cNvGraphicFramePr/>
                  <a:graphic xmlns:a="http://schemas.openxmlformats.org/drawingml/2006/main">
                    <a:graphicData uri="http://schemas.openxmlformats.org/drawingml/2006/picture">
                      <pic:pic xmlns:pic="http://schemas.openxmlformats.org/drawingml/2006/picture">
                        <pic:nvPicPr>
                          <pic:cNvPr id="883" name="图片_9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532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84" name="图片_175"/>
                  <wp:cNvGraphicFramePr/>
                  <a:graphic xmlns:a="http://schemas.openxmlformats.org/drawingml/2006/main">
                    <a:graphicData uri="http://schemas.openxmlformats.org/drawingml/2006/picture">
                      <pic:pic xmlns:pic="http://schemas.openxmlformats.org/drawingml/2006/picture">
                        <pic:nvPicPr>
                          <pic:cNvPr id="884" name="图片_17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542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85" name="图片_96"/>
                  <wp:cNvGraphicFramePr/>
                  <a:graphic xmlns:a="http://schemas.openxmlformats.org/drawingml/2006/main">
                    <a:graphicData uri="http://schemas.openxmlformats.org/drawingml/2006/picture">
                      <pic:pic xmlns:pic="http://schemas.openxmlformats.org/drawingml/2006/picture">
                        <pic:nvPicPr>
                          <pic:cNvPr id="885" name="图片_9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552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86" name="图片_323"/>
                  <wp:cNvGraphicFramePr/>
                  <a:graphic xmlns:a="http://schemas.openxmlformats.org/drawingml/2006/main">
                    <a:graphicData uri="http://schemas.openxmlformats.org/drawingml/2006/picture">
                      <pic:pic xmlns:pic="http://schemas.openxmlformats.org/drawingml/2006/picture">
                        <pic:nvPicPr>
                          <pic:cNvPr id="886" name="图片_32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562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87" name="图片_94"/>
                  <wp:cNvGraphicFramePr/>
                  <a:graphic xmlns:a="http://schemas.openxmlformats.org/drawingml/2006/main">
                    <a:graphicData uri="http://schemas.openxmlformats.org/drawingml/2006/picture">
                      <pic:pic xmlns:pic="http://schemas.openxmlformats.org/drawingml/2006/picture">
                        <pic:nvPicPr>
                          <pic:cNvPr id="887" name="图片_9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573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88" name="图片_167"/>
                  <wp:cNvGraphicFramePr/>
                  <a:graphic xmlns:a="http://schemas.openxmlformats.org/drawingml/2006/main">
                    <a:graphicData uri="http://schemas.openxmlformats.org/drawingml/2006/picture">
                      <pic:pic xmlns:pic="http://schemas.openxmlformats.org/drawingml/2006/picture">
                        <pic:nvPicPr>
                          <pic:cNvPr id="888" name="图片_16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583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89" name="图片_92"/>
                  <wp:cNvGraphicFramePr/>
                  <a:graphic xmlns:a="http://schemas.openxmlformats.org/drawingml/2006/main">
                    <a:graphicData uri="http://schemas.openxmlformats.org/drawingml/2006/picture">
                      <pic:pic xmlns:pic="http://schemas.openxmlformats.org/drawingml/2006/picture">
                        <pic:nvPicPr>
                          <pic:cNvPr id="889" name="图片_92"/>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593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90" name="图片_595"/>
                  <wp:cNvGraphicFramePr/>
                  <a:graphic xmlns:a="http://schemas.openxmlformats.org/drawingml/2006/main">
                    <a:graphicData uri="http://schemas.openxmlformats.org/drawingml/2006/picture">
                      <pic:pic xmlns:pic="http://schemas.openxmlformats.org/drawingml/2006/picture">
                        <pic:nvPicPr>
                          <pic:cNvPr id="890" name="图片_59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603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91" name="图片_90"/>
                  <wp:cNvGraphicFramePr/>
                  <a:graphic xmlns:a="http://schemas.openxmlformats.org/drawingml/2006/main">
                    <a:graphicData uri="http://schemas.openxmlformats.org/drawingml/2006/picture">
                      <pic:pic xmlns:pic="http://schemas.openxmlformats.org/drawingml/2006/picture">
                        <pic:nvPicPr>
                          <pic:cNvPr id="891" name="图片_90"/>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614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92" name="图片_159"/>
                  <wp:cNvGraphicFramePr/>
                  <a:graphic xmlns:a="http://schemas.openxmlformats.org/drawingml/2006/main">
                    <a:graphicData uri="http://schemas.openxmlformats.org/drawingml/2006/picture">
                      <pic:pic xmlns:pic="http://schemas.openxmlformats.org/drawingml/2006/picture">
                        <pic:nvPicPr>
                          <pic:cNvPr id="892" name="图片_15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624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93" name="图片_88"/>
                  <wp:cNvGraphicFramePr/>
                  <a:graphic xmlns:a="http://schemas.openxmlformats.org/drawingml/2006/main">
                    <a:graphicData uri="http://schemas.openxmlformats.org/drawingml/2006/picture">
                      <pic:pic xmlns:pic="http://schemas.openxmlformats.org/drawingml/2006/picture">
                        <pic:nvPicPr>
                          <pic:cNvPr id="893" name="图片_88"/>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634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94" name="图片_291"/>
                  <wp:cNvGraphicFramePr/>
                  <a:graphic xmlns:a="http://schemas.openxmlformats.org/drawingml/2006/main">
                    <a:graphicData uri="http://schemas.openxmlformats.org/drawingml/2006/picture">
                      <pic:pic xmlns:pic="http://schemas.openxmlformats.org/drawingml/2006/picture">
                        <pic:nvPicPr>
                          <pic:cNvPr id="894" name="图片_29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6448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95" name="图片_86"/>
                  <wp:cNvGraphicFramePr/>
                  <a:graphic xmlns:a="http://schemas.openxmlformats.org/drawingml/2006/main">
                    <a:graphicData uri="http://schemas.openxmlformats.org/drawingml/2006/picture">
                      <pic:pic xmlns:pic="http://schemas.openxmlformats.org/drawingml/2006/picture">
                        <pic:nvPicPr>
                          <pic:cNvPr id="895" name="图片_86"/>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6550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59" name="图片_151"/>
                  <wp:cNvGraphicFramePr/>
                  <a:graphic xmlns:a="http://schemas.openxmlformats.org/drawingml/2006/main">
                    <a:graphicData uri="http://schemas.openxmlformats.org/drawingml/2006/picture">
                      <pic:pic xmlns:pic="http://schemas.openxmlformats.org/drawingml/2006/picture">
                        <pic:nvPicPr>
                          <pic:cNvPr id="59" name="图片_15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6652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97" name="图片_84"/>
                  <wp:cNvGraphicFramePr/>
                  <a:graphic xmlns:a="http://schemas.openxmlformats.org/drawingml/2006/main">
                    <a:graphicData uri="http://schemas.openxmlformats.org/drawingml/2006/picture">
                      <pic:pic xmlns:pic="http://schemas.openxmlformats.org/drawingml/2006/picture">
                        <pic:nvPicPr>
                          <pic:cNvPr id="897" name="图片_84"/>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6755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98" name="图片_107"/>
                  <wp:cNvGraphicFramePr/>
                  <a:graphic xmlns:a="http://schemas.openxmlformats.org/drawingml/2006/main">
                    <a:graphicData uri="http://schemas.openxmlformats.org/drawingml/2006/picture">
                      <pic:pic xmlns:pic="http://schemas.openxmlformats.org/drawingml/2006/picture">
                        <pic:nvPicPr>
                          <pic:cNvPr id="898" name="图片_10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6857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899" name="图片_195"/>
                  <wp:cNvGraphicFramePr/>
                  <a:graphic xmlns:a="http://schemas.openxmlformats.org/drawingml/2006/main">
                    <a:graphicData uri="http://schemas.openxmlformats.org/drawingml/2006/picture">
                      <pic:pic xmlns:pic="http://schemas.openxmlformats.org/drawingml/2006/picture">
                        <pic:nvPicPr>
                          <pic:cNvPr id="899" name="图片_19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6960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00" name="图片_371"/>
                  <wp:cNvGraphicFramePr/>
                  <a:graphic xmlns:a="http://schemas.openxmlformats.org/drawingml/2006/main">
                    <a:graphicData uri="http://schemas.openxmlformats.org/drawingml/2006/picture">
                      <pic:pic xmlns:pic="http://schemas.openxmlformats.org/drawingml/2006/picture">
                        <pic:nvPicPr>
                          <pic:cNvPr id="900" name="图片_37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7062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01" name="图片_105"/>
                  <wp:cNvGraphicFramePr/>
                  <a:graphic xmlns:a="http://schemas.openxmlformats.org/drawingml/2006/main">
                    <a:graphicData uri="http://schemas.openxmlformats.org/drawingml/2006/picture">
                      <pic:pic xmlns:pic="http://schemas.openxmlformats.org/drawingml/2006/picture">
                        <pic:nvPicPr>
                          <pic:cNvPr id="901" name="图片_10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7164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02" name="图片_103"/>
                  <wp:cNvGraphicFramePr/>
                  <a:graphic xmlns:a="http://schemas.openxmlformats.org/drawingml/2006/main">
                    <a:graphicData uri="http://schemas.openxmlformats.org/drawingml/2006/picture">
                      <pic:pic xmlns:pic="http://schemas.openxmlformats.org/drawingml/2006/picture">
                        <pic:nvPicPr>
                          <pic:cNvPr id="902" name="图片_10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7267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03" name="图片_187"/>
                  <wp:cNvGraphicFramePr/>
                  <a:graphic xmlns:a="http://schemas.openxmlformats.org/drawingml/2006/main">
                    <a:graphicData uri="http://schemas.openxmlformats.org/drawingml/2006/picture">
                      <pic:pic xmlns:pic="http://schemas.openxmlformats.org/drawingml/2006/picture">
                        <pic:nvPicPr>
                          <pic:cNvPr id="903" name="图片_18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7369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04" name="图片_101"/>
                  <wp:cNvGraphicFramePr/>
                  <a:graphic xmlns:a="http://schemas.openxmlformats.org/drawingml/2006/main">
                    <a:graphicData uri="http://schemas.openxmlformats.org/drawingml/2006/picture">
                      <pic:pic xmlns:pic="http://schemas.openxmlformats.org/drawingml/2006/picture">
                        <pic:nvPicPr>
                          <pic:cNvPr id="904" name="图片_10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7472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05" name="图片_99"/>
                  <wp:cNvGraphicFramePr/>
                  <a:graphic xmlns:a="http://schemas.openxmlformats.org/drawingml/2006/main">
                    <a:graphicData uri="http://schemas.openxmlformats.org/drawingml/2006/picture">
                      <pic:pic xmlns:pic="http://schemas.openxmlformats.org/drawingml/2006/picture">
                        <pic:nvPicPr>
                          <pic:cNvPr id="905" name="图片_9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7574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06" name="图片_179"/>
                  <wp:cNvGraphicFramePr/>
                  <a:graphic xmlns:a="http://schemas.openxmlformats.org/drawingml/2006/main">
                    <a:graphicData uri="http://schemas.openxmlformats.org/drawingml/2006/picture">
                      <pic:pic xmlns:pic="http://schemas.openxmlformats.org/drawingml/2006/picture">
                        <pic:nvPicPr>
                          <pic:cNvPr id="906" name="图片_17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7676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07" name="图片_339"/>
                  <wp:cNvGraphicFramePr/>
                  <a:graphic xmlns:a="http://schemas.openxmlformats.org/drawingml/2006/main">
                    <a:graphicData uri="http://schemas.openxmlformats.org/drawingml/2006/picture">
                      <pic:pic xmlns:pic="http://schemas.openxmlformats.org/drawingml/2006/picture">
                        <pic:nvPicPr>
                          <pic:cNvPr id="907" name="图片_33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7779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08" name="图片_659"/>
                  <wp:cNvGraphicFramePr/>
                  <a:graphic xmlns:a="http://schemas.openxmlformats.org/drawingml/2006/main">
                    <a:graphicData uri="http://schemas.openxmlformats.org/drawingml/2006/picture">
                      <pic:pic xmlns:pic="http://schemas.openxmlformats.org/drawingml/2006/picture">
                        <pic:nvPicPr>
                          <pic:cNvPr id="908" name="图片_65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7881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09" name="图片_97"/>
                  <wp:cNvGraphicFramePr/>
                  <a:graphic xmlns:a="http://schemas.openxmlformats.org/drawingml/2006/main">
                    <a:graphicData uri="http://schemas.openxmlformats.org/drawingml/2006/picture">
                      <pic:pic xmlns:pic="http://schemas.openxmlformats.org/drawingml/2006/picture">
                        <pic:nvPicPr>
                          <pic:cNvPr id="909" name="图片_9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7984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10" name="图片_95"/>
                  <wp:cNvGraphicFramePr/>
                  <a:graphic xmlns:a="http://schemas.openxmlformats.org/drawingml/2006/main">
                    <a:graphicData uri="http://schemas.openxmlformats.org/drawingml/2006/picture">
                      <pic:pic xmlns:pic="http://schemas.openxmlformats.org/drawingml/2006/picture">
                        <pic:nvPicPr>
                          <pic:cNvPr id="910" name="图片_9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8086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11" name="图片_171"/>
                  <wp:cNvGraphicFramePr/>
                  <a:graphic xmlns:a="http://schemas.openxmlformats.org/drawingml/2006/main">
                    <a:graphicData uri="http://schemas.openxmlformats.org/drawingml/2006/picture">
                      <pic:pic xmlns:pic="http://schemas.openxmlformats.org/drawingml/2006/picture">
                        <pic:nvPicPr>
                          <pic:cNvPr id="911" name="图片_17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8188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12" name="图片_93"/>
                  <wp:cNvGraphicFramePr/>
                  <a:graphic xmlns:a="http://schemas.openxmlformats.org/drawingml/2006/main">
                    <a:graphicData uri="http://schemas.openxmlformats.org/drawingml/2006/picture">
                      <pic:pic xmlns:pic="http://schemas.openxmlformats.org/drawingml/2006/picture">
                        <pic:nvPicPr>
                          <pic:cNvPr id="912" name="图片_9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8291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13" name="图片_91"/>
                  <wp:cNvGraphicFramePr/>
                  <a:graphic xmlns:a="http://schemas.openxmlformats.org/drawingml/2006/main">
                    <a:graphicData uri="http://schemas.openxmlformats.org/drawingml/2006/picture">
                      <pic:pic xmlns:pic="http://schemas.openxmlformats.org/drawingml/2006/picture">
                        <pic:nvPicPr>
                          <pic:cNvPr id="913" name="图片_91"/>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8393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14" name="图片_163"/>
                  <wp:cNvGraphicFramePr/>
                  <a:graphic xmlns:a="http://schemas.openxmlformats.org/drawingml/2006/main">
                    <a:graphicData uri="http://schemas.openxmlformats.org/drawingml/2006/picture">
                      <pic:pic xmlns:pic="http://schemas.openxmlformats.org/drawingml/2006/picture">
                        <pic:nvPicPr>
                          <pic:cNvPr id="914" name="图片_163"/>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84960"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15" name="图片_307"/>
                  <wp:cNvGraphicFramePr/>
                  <a:graphic xmlns:a="http://schemas.openxmlformats.org/drawingml/2006/main">
                    <a:graphicData uri="http://schemas.openxmlformats.org/drawingml/2006/picture">
                      <pic:pic xmlns:pic="http://schemas.openxmlformats.org/drawingml/2006/picture">
                        <pic:nvPicPr>
                          <pic:cNvPr id="915" name="图片_30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85984"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16" name="图片_89"/>
                  <wp:cNvGraphicFramePr/>
                  <a:graphic xmlns:a="http://schemas.openxmlformats.org/drawingml/2006/main">
                    <a:graphicData uri="http://schemas.openxmlformats.org/drawingml/2006/picture">
                      <pic:pic xmlns:pic="http://schemas.openxmlformats.org/drawingml/2006/picture">
                        <pic:nvPicPr>
                          <pic:cNvPr id="916" name="图片_89"/>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87008"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17" name="图片_87"/>
                  <wp:cNvGraphicFramePr/>
                  <a:graphic xmlns:a="http://schemas.openxmlformats.org/drawingml/2006/main">
                    <a:graphicData uri="http://schemas.openxmlformats.org/drawingml/2006/picture">
                      <pic:pic xmlns:pic="http://schemas.openxmlformats.org/drawingml/2006/picture">
                        <pic:nvPicPr>
                          <pic:cNvPr id="917" name="图片_87"/>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88032"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18" name="图片_155"/>
                  <wp:cNvGraphicFramePr/>
                  <a:graphic xmlns:a="http://schemas.openxmlformats.org/drawingml/2006/main">
                    <a:graphicData uri="http://schemas.openxmlformats.org/drawingml/2006/picture">
                      <pic:pic xmlns:pic="http://schemas.openxmlformats.org/drawingml/2006/picture">
                        <pic:nvPicPr>
                          <pic:cNvPr id="918" name="图片_15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89056" behindDoc="0" locked="0" layoutInCell="1" allowOverlap="1">
                  <wp:simplePos x="0" y="0"/>
                  <wp:positionH relativeFrom="column">
                    <wp:posOffset>0</wp:posOffset>
                  </wp:positionH>
                  <wp:positionV relativeFrom="paragraph">
                    <wp:posOffset>0</wp:posOffset>
                  </wp:positionV>
                  <wp:extent cx="53340" cy="190500"/>
                  <wp:effectExtent l="19050" t="0" r="3810" b="0"/>
                  <wp:wrapNone/>
                  <wp:docPr id="919" name="图片_85"/>
                  <wp:cNvGraphicFramePr/>
                  <a:graphic xmlns:a="http://schemas.openxmlformats.org/drawingml/2006/main">
                    <a:graphicData uri="http://schemas.openxmlformats.org/drawingml/2006/picture">
                      <pic:pic xmlns:pic="http://schemas.openxmlformats.org/drawingml/2006/picture">
                        <pic:nvPicPr>
                          <pic:cNvPr id="919" name="图片_85"/>
                          <pic:cNvPicPr>
                            <a:picLocks noChangeArrowheads="1"/>
                          </pic:cNvPicPr>
                        </pic:nvPicPr>
                        <pic:blipFill>
                          <a:blip r:embed="rId91"/>
                          <a:srcRect/>
                          <a:stretch>
                            <a:fillRect/>
                          </a:stretch>
                        </pic:blipFill>
                        <pic:spPr>
                          <a:xfrm>
                            <a:off x="0" y="0"/>
                            <a:ext cx="53340" cy="19050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配置：笔架1个、毛笔6支、砚台1个（易水砚）、墨盒1个、墨条≥150mm、镇尺2条（白玉）、笔洗1个、画毡1个（教师用），常用字字贴楷、隶、行、草、篆五体书法毛笔字帖一套，四尺宣纸一刀，纸箱包装。</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6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中外名家互动体验资源</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定制中外教育名家互动体验数字资源，包含教育名家照片及文字介绍。</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1、约20位中国历史上最卓越的教育家（包含但不限于孔子、孟子、墨子、董仲舒、朱熹、陶行知、叶圣陶、胡适等）；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2、约20位世界著名教育家（包含但不限于苏格拉底、亚里士多德、凯洛夫巴班斯基、夸美纽斯、裴斯泰洛齐、卢梭、苏霍姆林斯基、杜威等）。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高清录播主机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1.设备高度≤1U，方便机架式安装。考虑设备稳定性，要求采用嵌入式ARM架构设计，Linux操作系统，高度集成多种功能应用，包括导播、录制、跟踪、直播、点播、互动等功能。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2.★视频接口：支持3G-SDI in≥2、HDMI in≥2、HDMI out≥3，采集和输出分辨率均支持1080P@30fps。SDI接口支持对接入摄像机的POC供电信号、视频信号、控制信号同步传输。为避免信号干扰，不接受多条不同接口线缆绞合成一条线缆铺设或者增加额外转换设备的方式。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3.★音频接口：支持 Digital MIC≥3、Line in≥2、Line out≥1、耳机监听Headset≥1，Digital MIC接口支持对数字麦克风进行同步供电。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4.网络接口：RJ-45≥1，支持1000/100Mbps自适应，支持IPv4、IPv6双协议栈，适应互联网通信发展需求。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5.其他接口：Console≥2、USB3.0≥2。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6.存储容量：1TB 机械硬盘。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7.电源管理：采用不高于DC36V安全电压供电，具有低功耗环保优势，采用无风扇散热设计，低噪音不影响正常授课。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8.视频录制：录制分辨率支持1080P@30fps、720P@30fps，视频编码协议支持标准H.264，支持MP4视频封装格式。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9.协议支持：支持HTTP、RTMP、RTSP视频传输协议，支持FTP文件传输协议，支持VISCA云台控制协议。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10.★互动功能：支持H.323、SIP等标准互动传输协议，便捷进行远程互动教学应用，支持H.239和BFCP双流互动协议。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11.应具备自主知识产权，提供视频信号处理相关知识产权证明文件复印件。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12.应具备实时采集800万以上像素的一线通双视频云镜能力。</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13.整机使用平均无故障运行时间(MTBF)应≥200000小时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9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录播软件系统</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与高清录播主机同一品牌。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1.软件架构：支持B/S架构设计，能够方便教师使用IE、360等主流浏览器通过网络直接访问录播主机进行导播和管理。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电子云镜：支持通过电子云镜应用技术，单镜头拍摄生成全景和特写两个1080P高清画面。支持EPTZ电子云台控制功能，实现对非云台摄像机拍摄的特写画面进行电子云台控制，包括画面上下左右移动、放大缩小变焦等操作。EPTZ电子云台控制功能应具有鼠标快速定位功能，通过鼠标点击快速居中画面区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3.录制控制：支持录制、暂停、停止等基本功能操作，实现全自动、手动两种录制模式，支持录制过程中实时切换录制模式。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录制管理：支持高低码流同步录制，支持电影模式和资源模式录制，实现复合画面、每个摄像机画面及电脑课件画面的独立封装和点播。支持自定义录制分辨率、帧率和码率，最高支持1080P@30fps，码率支持512kbps到40Mbps可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5.★分段录制：支持分段录制技术，当录制的课程时间较长时，可按照用户设定的文件时长自动分割录制成多个视频文件，提供不分段、30分钟分段、60分钟分段三种方式可选。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导播管理：支持对所有接入视频和录制效果画面的实时预览，手动导播模式下支持信号源实时切换录制。提供双分屏、三分屏、画中画等录制布局，支持自定义布局方式，支持多个视频图层自由叠加组合，自定义布局时可随意拖拉画面窗口。支持渐变、缩放、切换等转场特效。支持添加LOGO，可通过鼠标直接拖拽设置LOGO在画面的显示位置。支持添加字幕，字幕颜色、字幕描边、字幕背景可设。支持设置录制的片头片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7.摄像机控制：支持鼠标快速定位功能，通过鼠标点击快速居中画面区域，通过鼠标滚轮可以调节云台摄像机的焦距。每个云台摄像机应至少支持8个预置位设置与调用功能。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8.面板管控：支持接入控制面板，对录播设备进行唤醒、录制管理。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9.视频环出：2路HDMI信号同步输出，录课模式下实时环出录课画面，双流互动模式下双HDMI输出分别实时环出互动主、辅流画面。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10.★音频处理：内置音频处理功能，支持4路音频通道同步处理，包括EQ均衡、AEC回声抑制、AGC自动增益、ANC噪声抑制。提供软件功能界面截图并加盖厂家投标专用章或公章。</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跟踪功能：基于图像识别分析技术，无需辅助定位装置，摄像机同时完成画面拍摄和跟踪检测功能，实现课堂教师、学生行为的全自动跟踪功能。包括教师走动、授课特写、课件跟踪、学生起立等场景。课件电脑跟踪支持“鼠键触发检测”和“图像变化检测”两种自动跟踪方式，可自定义电脑信号呈现保留时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跟踪屏蔽：支持设置跟踪屏蔽区域，如主动屏蔽掉教师观摩区、窗户窗帘、教室门口、大屏液晶电视等易干扰跟踪效果的地方，所屏蔽的地方系统将不对其进行图像分析跟踪运算，以避免这些地方干扰整体的跟踪效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13.★互动通讯录管理：支持查询互动云系统的通讯录数据，查询内容包括所有已在互动云系统注册的录播账号、录播昵称。支持通过通讯录选择互动对象直接呼叫，或手动输入录播账号进行呼叫。</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互动创建：支持通过通讯录选择互动录播并“一键式”呼叫创建互动房间，支持通过会议号和会议密码直接加入已创建的互动房间。支持对每台录播设备自动分配纯数字短号，可以通过短号直接呼叫录播设备创建互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15.★互动方式：提供“授课”和“会议”两种互动模式，其中“授课”模式贴近实际同步课堂教学场景，听课端观看的互动画面有主讲端控制。支持将主讲老师和课件信号双分屏或画中画模式共享给听课端观看。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16.互动画质：录播主机双向互动过程中，在4Mbps带宽下可实现1080P@30FPS画质，支持网络自适应功能。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17.★互动网络管理：支持网络检测功能，测试录播设备与互动服务器之间的网络通讯情况，包括上下行丢包率数据、带宽数据。互动画面中可叠加显示各互动点的视频码流和丢包率。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18.★双流互动功能：互动时听课端设备支持将教学场景及教学课件画面以两路独立HDMI信号分别同时环出显示到两个显示设备中。</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19.★直播管理：支持自定义直播分辨率和码率，最高支持1080P@30fps，以适应不同网络环境下保持直播的流畅性。支持RTMP和RTSP视频传输协议，支持≥3路RTMP同步推流，可从接入的摄像机信号和电脑信号中选择自定义每路推流信号源，实现多流直播。</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20.录像管理：支持对录制视频按标题、主持人、时间、时长进行排序，便于快速检索所需视频。支持对录像文件进行回放和下载。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21.视频修复：支持硬盘格式化功能，支持对设备异常断电、宕机造成的损坏视频文件进行修复。</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22.视频上传：支持与资源平台无缝对接，录播设备通过FTP传输协议将录制视频文件自动上传至资源平台。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23.支持中英文双语版本切换，适合不同用户的应用需求。</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838"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高清摄像机教师用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与高清录播主机同一品牌具有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 传感器类型：CMOS、1/2.3英寸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★采用逐行扫描模式，有效像素不低于1600万。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3）★为充分保障视频采集、编辑后的高清效果，图像采集分辨率支持4608*3488；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4)采用了2D和基于运动估计的3D降噪算法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最大水平视场角49°，最大垂直视场角28.2°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网络接口：RJ45，10/100/1000M自适应</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7）视频接口：3G-SDI、网络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8）编码技术：视频H.264/H.265，音频AAC</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支持POC供电、电源适配器供电两种供电方式，根据环境实际情况可灵活选择。</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 ★内置跟踪分析功能，无需辅助跟踪摄像头即可完成对象跟踪捕捉，支持教师全景和特写切换跟踪模式。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11)★整机使用平均无故障运行时间(MTBF)应≥100000小时。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20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高清摄像机学生用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与高清录播主机同一品牌具有1) 传感器类型：CMOS、1/2.3英寸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★采用逐行扫描模式，有效像素不低于1600万。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3）★为充分保障视频采集、编辑后的高清效果，图像采集分辨率支持4608*3488；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4)采用了2D和基于运动估计的3D降噪算法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最大水平视场角82.9°，最大垂直视场角52.8°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网络接口：RJ45，10/100/1000M自适应</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7）视频接口：3G-SDI、网络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8）编码技术：视频H.264/H.265，音频AAC</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★支持POC供电、电源适配器供电两种供电方式，根据环境实际情况可灵活选择。</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 ★内置跟踪分析功能，无需辅助跟踪摄像头即可完成对象跟踪捕捉，支持学生全景和特写切换跟踪模式。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11)★整机使用平均无故障运行时间(MTBF)应≥100000小时。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5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高清摄像机管理软件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与高清录播主机同一品牌具有</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 摄像机管理软件采用B/S架构，支持通用浏览器直接访问进行管理。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支持网络参数设置与修改，支持一键恢复默认参数。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支持曝光模式设置功能，包括自动、手动。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支持抗闪烁频率、动态范围、光圈、快门参数设置。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支持自动白平衡设置功能，红、蓝增益可调范围0~200。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支持噪声抑制设置功能，支持2D、3D降噪。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支持摄像机图像质量调节功能，包括亮度、对比度、色调、饱和度。</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全向拾音话筒</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与高清录播主机同一品牌具有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1.指向性：超心型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2.频率响应：40Hz—16kHz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3.灵敏度：-29dB±3dB（1dB=1V/Pa at 1kHz）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4.最大声压级：130dB（T.H.D≤1% at 1kHz）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5.信噪比：70dB（1KHz at 1Pa）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6.动态范围：106dB（1kHz at Max SPL）</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7.使用电源：麦克风一线通供电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8.输出接口：RJ45，数字音频接口</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3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录制面板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与高清录播主机同一品牌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 在讲台上镶嵌式安装方式；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控制接口：RS232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信号指示灯：支持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支持一键式系统电源开关控制。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一键式录制、停止、锁定电脑信号；</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★支持本地录播全自动的开启、关闭控制。该功能同时支持录播模式和互动模式。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支持通过面板一键发起与远端设备互动连接；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★支持通过交互控制面板切换互动画面的信号源，并传输到听课室，包括本地摄像机信号、电脑信号、远端课室画面。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★支持对各画面的自由布局控制，包括单画面全屏、双分屏、三分屏、四分屏、画中画，并传输到听课室。</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10)★支持远程“一键静音”功能，主讲端可一键关闭远端互动教室发言，进入主讲授课模式。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4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机柜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22U机柜。</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个</w:t>
            </w:r>
          </w:p>
        </w:tc>
      </w:tr>
      <w:tr>
        <w:tblPrEx>
          <w:tblCellMar>
            <w:top w:w="0" w:type="dxa"/>
            <w:left w:w="108" w:type="dxa"/>
            <w:bottom w:w="0" w:type="dxa"/>
            <w:right w:w="108" w:type="dxa"/>
          </w:tblCellMar>
        </w:tblPrEx>
        <w:trPr>
          <w:trHeight w:val="418"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线材</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配套录播线材、五金等附件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41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电视</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70A9，70寸4K高清液晶电视机包含挂架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推拉式绿板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配置参数详见附件4</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仿宋" w:hAnsi="仿宋" w:eastAsia="仿宋" w:cs="仿宋"/>
                <w:color w:val="000000" w:themeColor="text1"/>
                <w:sz w:val="24"/>
              </w:rPr>
              <w:t>86吋智能交互平板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配置参数详见附件3</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蓝牙音箱无线咪</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配置参数详见附件5</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5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藏书柜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2590080" behindDoc="0" locked="0" layoutInCell="1" allowOverlap="1">
                  <wp:simplePos x="0" y="0"/>
                  <wp:positionH relativeFrom="column">
                    <wp:posOffset>1270</wp:posOffset>
                  </wp:positionH>
                  <wp:positionV relativeFrom="paragraph">
                    <wp:posOffset>39370</wp:posOffset>
                  </wp:positionV>
                  <wp:extent cx="990600" cy="733425"/>
                  <wp:effectExtent l="19050" t="0" r="0" b="0"/>
                  <wp:wrapNone/>
                  <wp:docPr id="896" name="图片_971"/>
                  <wp:cNvGraphicFramePr/>
                  <a:graphic xmlns:a="http://schemas.openxmlformats.org/drawingml/2006/main">
                    <a:graphicData uri="http://schemas.openxmlformats.org/drawingml/2006/picture">
                      <pic:pic xmlns:pic="http://schemas.openxmlformats.org/drawingml/2006/picture">
                        <pic:nvPicPr>
                          <pic:cNvPr id="896" name="图片_971"/>
                          <pic:cNvPicPr>
                            <a:picLocks noChangeArrowheads="1"/>
                          </pic:cNvPicPr>
                        </pic:nvPicPr>
                        <pic:blipFill>
                          <a:blip r:embed="rId81"/>
                          <a:srcRect/>
                          <a:stretch>
                            <a:fillRect/>
                          </a:stretch>
                        </pic:blipFill>
                        <pic:spPr>
                          <a:xfrm>
                            <a:off x="0" y="0"/>
                            <a:ext cx="990600" cy="73342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1.材质：楠榆木；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2.工艺：榫卯结构、雕花、镂空、古法油漆；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3.每个单独小柜，为底部双开门，上部为四层。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4.每组由三个小柜组合而成，具体见图片。尺寸：2700*300*1960mm                           </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271"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角柜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1.材质：实木多层板；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2.工艺：采用欧亚标准E1级板，基材采用优质实木多层板，面贴优质防火板，ABS直封边制作，整体美观大方。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3.尺寸：680*640*2000</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3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书法墙</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1、尺寸约为5790mm*3200mm；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2、底层材质：1.5木工板、泰山石膏板、软木板、辅料；</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3、外观：双面磁性背胶铁皮，毛毡，磁钉；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4、含墙面找平，装饰墙装修。</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面</w:t>
            </w:r>
          </w:p>
        </w:tc>
      </w:tr>
      <w:tr>
        <w:tblPrEx>
          <w:tblCellMar>
            <w:top w:w="0" w:type="dxa"/>
            <w:left w:w="108" w:type="dxa"/>
            <w:bottom w:w="0" w:type="dxa"/>
            <w:right w:w="108" w:type="dxa"/>
          </w:tblCellMar>
        </w:tblPrEx>
        <w:trPr>
          <w:trHeight w:val="699"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朗读亭</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（一）整体硬件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1.整机组成：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1)设备主体含朗读框体1个(包括静音排气扇，钢化玻璃、钣金框体、可旋转式升降座椅)；</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2)朗读机含触摸屏1个，动圈麦克风2个，专业耳机2个；主控机1个（含安卓主板、音频主板等）；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3)动圈麦克风：高灵敏度动圈咪芯，频率响应：60Hz-18kHz，阻抗： 600Ω±30%，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灵敏度：-50dB±3dB；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4)专业监听耳机：专业监听耳机，具备高度耐用性和佩戴性，灵敏度98dB/mW, 阻抗 32Ω；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5)定时器：可以设置自动开关机，无需人工干预；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6)全仓紫外线杀菌，提供一个健康安全的朗读空间；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2.规格尺寸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1）产品尺寸： 占地面积≥1.40㎡，不小于长（L）≥1.33 X宽（W）≥1.05 X 高（H）</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≥2.26 [m]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2）额定电源：AC220V  50HZ；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3）额定功率：整机≥150W，包含通风系统；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4）显示部分：触摸屏≥18.5寸，分辨率≥1366*768；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5）网络：支持无线 和有线；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（二）朗读亭APP软件功能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1.登陆方式：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支持3种登陆方式：①微信登陆 ②刷卡登陆 ③学号登陆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2.搜索功能：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①支持按素材名称（拼音首字母）、作者名称（拼音首字母）两种分类进行搜索。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②支持关键字首字母模糊搜索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③支持语音唤醒、语音搜索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3.作品格式：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支持2种形式的作品录制：①录制音频mp3 ②录制视频mp4(非标配)</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4.素材类型：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支持3种素材形式：①电影配音（双音轨） ②绘本配音 ③朗读文本</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5.快速朗读：</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支持2种快速朗读方式：①随机朗读，支持一键开始朗读 ②自由朗读，支持用户自行上传文本。</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6.作品打分：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读者朗读完成后系统会对作品生成评分，评分维度包含：①完整度 ②准确度 ③流利度 ④声调 ⑤发音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7.移动端作品管理：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支持读者对朗读完的作品进行以下操作：①保存草稿箱 ②发布作品 ③参加主题比赛④删除作品⑤开启/关闭留言功能 ⑥移动端可接收到作品的留声卡。⑦扫描作品的二维码，直接分享</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★8.个人中心：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个人中心需包括：①我的作品（草稿箱、已发布、参赛作品）②点赞记录 ③朗读档案④朗读报告 ⑤朗读任务 ⑥测评中心 ⑦背诵记录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该条参数需提供对应功能截图；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9.排行榜：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排行榜分为两个榜单：①全国榜 ②本地榜（本机构全部作品）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10.普通话考试模拟功能：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①严格参照普通话考试流程和标准设定 ②支持单音节词、多音节、篇章模式 ③测试完成生成报告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11.自助功能：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可在此功能下，进行如下操作：①音量调节，显示当前音量值 ②故障申报③FAQ（常见问题及解答）</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12.活动模块：①终端活动轮播展示 ②活动介绍 ③全国排行榜 ④本机构排行榜 ⑤支持活动作品后台导出 ⑥支持试听、投票功能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（三）朗读亭管理后台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1.可通过后台注册，生成管理员的账号密码，供用户方管理设备；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2.用户可根据需要，新增子级管理员，自定义分配子级管理员的功能权限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3.屏保设置：支持用户自定义修改以下内容：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（1）系统后台的logo</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（2）朗读亭app的logo</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（3）朗读亭上屏的宣传视频</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（4）朗读亭下屏的Banner图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（5）登录页的背景图和主页的背景图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4.登录管理：支持用户自定义设置单次登录时长限制、再次登录间隔、未操作退出时长；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5.留声卡logo替换：支持用户自定义设置机构专属的留声卡logo，所有的机构作品生成留声卡时，都显示机构专属的logo。</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6.设备管理：包括设备基本信息、在线状态、备注、故障上报、授权时间范围；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7.读者管理：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为了保证朗读亭的合理使用，避免被部分读者长期占用，要求后台支持最长朗读时间设置以及使用间隔设置，设置的时间参数包含30分钟，60分钟不等，可根据用户需求进行灵活设置；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8.朗读活动管理：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1）新增发布活动、查找活动、编辑活动、启用停用活动、查看作品、指定素材分类；</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2）机构用户设置好朗读活动之后可在后台查看活动报名情况的汇总情况，包括姓名、电话、班级、微信用户、参数类别等信息；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9.机构后台可实时统计显示机构内的设备、用户、作品、活动、排行榜各维度的具体数据指标：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1）设备数据：朗读亭设备数据（在用设备、在线设备、过期设备、近7天平均使用时长）；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2）用户分析（可筛选总量、昨天、近7天、近30天）：朗读亭访问量、总用户量、微信用户量、朗读卡用户量、绑卡微信用户量、朗读亭累计用户量；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3）作品分析（可筛选总量、昨天、近7天、近30天）：朗读作品数量、留声卡数量、作品播放量、作品点赞量、作品分享量；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4）活动分析：活动数量（即将开始、进行中、已结束）、累计举办活动场次、累计活动访问量、累计活动参与人数、累计活动作品数量、累计活动投票数量；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5）排行榜（可筛选总量、昨天、近7天、近30天）：热门素材top10、作品播放top10、作品点赞top10；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10.作品审核发布机制：机构可选择“先发布后审核”或者“先审核后发布”中任一模式；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11.支持机构自主上传背景音乐；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12.支持后台查看测评音频记录、背诵音频记录；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（四）朗读资源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朗读文章类资源总数70000+，需包含以下分类：诗词大汇、英语名篇、童话寓言、诗歌散文、经典文学选段、经典电影台词、中华诗文经典、红色经典、红色家书、党性教育、绕口令、习主席语录、歌颂祖国、毛泽东诗词、名家经典、读我原创、历史风貌、小语种专区、重温国学、节日素材、为你读诗绘本朗读、生态文化诗词、军事好书等；支持用户方在朗读亭上自定义展示素材分类；</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2．抗疫专区400+：需包含防疫手册、抗疫原创集、书香战疫等多个分类</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党建阵地1200+：需包含思想理论、时政热点、基层党建、党史人物、全面小康、三严三实、两学一做、党刊精选、有声智库（包含习近平总书记讲话原声209）、党课随身听（包含原声20）、优秀党员事迹实录、脱贫攻坚、两会原声、人民知心话、中国青年、最可爱的人（军事）、深化改革开放、从严治党、建军节选、四史教育等多个分类；</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4.视频配音200+：需包含华语经典影视、高分外语影视、名人故事、演讲训练营、高分国漫、优秀记录片等多个分类；</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朗读背景音乐储备2000+，前端展示200+，分类需包括安静、轻快、史诗、感人、进取、浪漫、悲伤等多种类型，主题包括歌颂祖国、励志人生、恋爱心事、青春校园、思乡亲情、童真童趣、友谊情深、自然诗意。读者可根据不同主题的朗读内容选择不同的背景配乐，更能打造一个引人入胜的朗读情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6.名家朗读示范音频1200+，需包括中华古诗文经典诵读、名家读老舍、等专业音频；</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9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无线AP</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配置参数详见附件6,包含布线调试</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4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空调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1、★3匹不少于3级能效冷暖立柜式空调。★整机10年厂家免费上门质保,具体参数规格详细见附件7.</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2、注：如果没有空调的冷凝水PVC排水管到地面，则需要安装空调冷凝水水管50PVCU到地面排水沟里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窗帘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双道窗帘，里道为优质加厚棉麻布料制作的全遮光帘（包括窗轨），外道为高级无纺布彩色喷绘定制，在窗帘上印制相关知识内容，集教学、观赏为一体的卷帘；含窗帘图文设计与安装，不含窗帘盒。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批</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二十三、政治学科专用教室</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设备名称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技术参数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12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高清录播主机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1.设备高度≤1U，方便机架式安装。考虑设备稳定性，要求采用嵌入式ARM架构设计，Linux操作系统，高度集成多种功能应用，包括导播、录制、跟踪、直播、点播、互动等功能。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2.★视频接口：支持3G-SDI in≥2、HDMI in≥2、HDMI out≥3，采集和输出分辨率均支持1080P@30fps。SDI接口支持对接入摄像机的POC供电信号、视频信号、控制信号同步传输。为避免信号干扰，不接受多条不同接口线缆绞合成一条线缆铺设或者增加额外转换设备的方式。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3.★音频接口：支持 Digital MIC≥3、Line in≥2、Line out≥1、耳机监听Headset≥1，Digital MIC接口支持对数字麦克风进行同步供电。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4.网络接口：RJ-45≥1，支持1000/100Mbps自适应，支持IPv4、IPv6双协议栈，适应互联网通信发展需求。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5.其他接口：Console≥2、USB3.0≥2。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6.存储容量：1TB 机械硬盘。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7.电源管理：采用不高于DC36V安全电压供电，具有低功耗环保优势，采用无风扇散热设计，低噪音不影响正常授课。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8.视频录制：录制分辨率支持1080P@30fps、720P@30fps，视频编码协议支持标准H.264，支持MP4视频封装格式。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9.协议支持：支持HTTP、RTMP、RTSP视频传输协议，支持FTP文件传输协议，支持VISCA云台控制协议。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10.★互动功能：支持H.323、SIP等标准互动传输协议，便捷进行远程互动教学应用，支持H.239和BFCP双流互动协议。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11.应具备自主知识产权，提供视频信号处理相关知识产权证明文件复印件。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12.应具备实时采集800万以上像素的一线通双视频云镜能力。</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13.整机使用平均无故障运行时间(MTBF)应≥200000小时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9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录播软件系统</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与高清录播主机同一品牌。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1.软件架构：支持B/S架构设计，能够方便教师使用IE、360等主流浏览器通过网络直接访问录播主机进行导播和管理。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电子云镜：支持通过电子云镜应用技术，单镜头拍摄生成全景和特写两个1080P高清画面。支持EPTZ电子云台控制功能，实现对非云台摄像机拍摄的特写画面进行电子云台控制，包括画面上下左右移动、放大缩小变焦等操作。EPTZ电子云台控制功能应具有鼠标快速定位功能，通过鼠标点击快速居中画面区域。</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3.录制控制：支持录制、暂停、停止等基本功能操作，实现全自动、手动两种录制模式，支持录制过程中实时切换录制模式。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录制管理：支持高低码流同步录制，支持电影模式和资源模式录制，实现复合画面、每个摄像机画面及电脑课件画面的独立封装和点播。支持自定义录制分辨率、帧率和码率，最高支持1080P@30fps，码率支持512kbps到40Mbps可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5.★分段录制：支持分段录制技术，当录制的课程时间较长时，可按照用户设定的文件时长自动分割录制成多个视频文件，提供不分段、30分钟分段、60分钟分段三种方式可选。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导播管理：支持对所有接入视频和录制效果画面的实时预览，手动导播模式下支持信号源实时切换录制。提供双分屏、三分屏、画中画等录制布局，支持自定义布局方式，支持多个视频图层自由叠加组合，自定义布局时可随意拖拉画面窗口。支持渐变、缩放、切换等转场特效。支持添加LOGO，可通过鼠标直接拖拽设置LOGO在画面的显示位置。支持添加字幕，字幕颜色、字幕描边、字幕背景可设。支持设置录制的片头片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7.摄像机控制：支持鼠标快速定位功能，通过鼠标点击快速居中画面区域，通过鼠标滚轮可以调节云台摄像机的焦距。每个云台摄像机应至少支持8个预置位设置与调用功能。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8.面板管控：支持接入控制面板，对录播设备进行唤醒、录制管理。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9.视频环出：2路HDMI信号同步输出，录课模式下实时环出录课画面，双流互动模式下双HDMI输出分别实时环出互动主、辅流画面。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10.★音频处理：内置音频处理功能，支持4路音频通道同步处理，包括EQ均衡、AEC回声抑制、AGC自动增益、ANC噪声抑制。提供软件功能界面截图并加盖厂家投标专用章或公章。</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跟踪功能：基于图像识别分析技术，无需辅助定位装置，摄像机同时完成画面拍摄和跟踪检测功能，实现课堂教师、学生行为的全自动跟踪功能。包括教师走动、授课特写、课件跟踪、学生起立等场景。课件电脑跟踪支持“鼠键触发检测”和“图像变化检测”两种自动跟踪方式，可自定义电脑信号呈现保留时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跟踪屏蔽：支持设置跟踪屏蔽区域，如主动屏蔽掉教师观摩区、窗户窗帘、教室门口、大屏液晶电视等易干扰跟踪效果的地方，所屏蔽的地方系统将不对其进行图像分析跟踪运算，以避免这些地方干扰整体的跟踪效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13.★互动通讯录管理：支持查询互动云系统的通讯录数据，查询内容包括所有已在互动云系统注册的录播账号、录播昵称。支持通过通讯录选择互动对象直接呼叫，或手动输入录播账号进行呼叫。</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14.互动创建：支持通过通讯录选择互动录播并“一键式”呼叫创建互动房间，支持通过会议号和会议密码直接加入已创建的互动房间。支持对每台录播设备自动分配纯数字短号，可以通过短号直接呼叫录播设备创建互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15.★互动方式：提供“授课”和“会议”两种互动模式，其中“授课”模式贴近实际同步课堂教学场景，听课端观看的互动画面有主讲端控制。支持将主讲老师和课件信号双分屏或画中画模式共享给听课端观看。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16.互动画质：录播主机双向互动过程中，在4Mbps带宽下可实现1080P@30FPS画质，支持网络自适应功能。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17.★互动网络管理：支持网络检测功能，测试录播设备与互动服务器之间的网络通讯情况，包括上下行丢包率数据、带宽数据。互动画面中可叠加显示各互动点的视频码流和丢包率。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18.★双流互动功能：互动时听课端设备支持将教学场景及教学课件画面以两路独立HDMI信号分别同时环出显示到两个显示设备中。</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19.★直播管理：支持自定义直播分辨率和码率，最高支持1080P@30fps，以适应不同网络环境下保持直播的流畅性。支持RTMP和RTSP视频传输协议，支持≥3路RTMP同步推流，可从接入的摄像机信号和电脑信号中选择自定义每路推流信号源，实现多流直播。</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20.录像管理：支持对录制视频按标题、主持人、时间、时长进行排序，便于快速检索所需视频。支持对录像文件进行回放和下载。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21.视频修复：支持硬盘格式化功能，支持对设备异常断电、宕机造成的损坏视频文件进行修复。</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22.视频上传：支持与资源平台无缝对接，录播设备通过FTP传输协议将录制视频文件自动上传至资源平台。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23.支持中英文双语版本切换，适合不同用户的应用需求。</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5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高清摄像机教师用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与高清录播主机同一品牌具有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 传感器类型：CMOS、1/2.3英寸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★采用逐行扫描模式，有效像素不低于1600万。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3）★为充分保障视频采集、编辑后的高清效果，图像采集分辨率支持4608*3488；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4)采用了2D和基于运动估计的3D降噪算法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最大水平视场角49°，最大垂直视场角28.2°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网络接口：RJ45，10/100/1000M自适应</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7）视频接口：3G-SDI、网络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8）编码技术：视频H.264/H.265，音频AAC</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支持POC供电、电源适配器供电两种供电方式，根据环境实际情况可灵活选择。</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 ★内置跟踪分析功能，无需辅助跟踪摄像头即可完成对象跟踪捕捉，支持教师全景和特写切换跟踪模式。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11)★整机使用平均无故障运行时间(MTBF)应≥100000小时。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20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高清摄像机学生用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与高清录播主机同一品牌具有1) 传感器类型：CMOS、1/2.3英寸</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★采用逐行扫描模式，有效像素不低于1600万。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3）★为充分保障视频采集、编辑后的高清效果，图像采集分辨率支持4608*3488；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4)采用了2D和基于运动估计的3D降噪算法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最大水平视场角82.9°，最大垂直视场角52.8°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网络接口：RJ45，10/100/1000M自适应</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7）视频接口：3G-SDI、网络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8）编码技术：视频H.264/H.265，音频AAC</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★支持POC供电、电源适配器供电两种供电方式，根据环境实际情况可灵活选择。</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 ★内置跟踪分析功能，无需辅助跟踪摄像头即可完成对象跟踪捕捉，支持学生全景和特写切换跟踪模式。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11)★整机使用平均无故障运行时间(MTBF)应≥100000小时。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5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高清摄像机管理软件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与高清录播主机同一品牌具有1) 摄像机管理软件采用B/S架构，支持通用浏览器直接访问进行管理。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支持网络参数设置与修改，支持一键恢复默认参数。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支持曝光模式设置功能，包括自动、手动。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支持抗闪烁频率、动态范围、光圈、快门参数设置。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支持自动白平衡设置功能，红、蓝增益可调范围0~200。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支持噪声抑制设置功能，支持2D、3D降噪。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支持摄像机图像质量调节功能，包括亮度、对比度、色调、饱和度。</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2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全向拾音话筒</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与高清录播主机同一品牌具有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1.指向性：超心型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2.频率响应：40Hz—16kHz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3.灵敏度：-29dB±3dB（1dB=1V/Pa at 1kHz）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4.最大声压级：130dB（T.H.D≤1% at 1kHz）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5.信噪比：70dB（1KHz at 1Pa）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6.动态范围：106dB（1kHz at Max SPL）</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7.使用电源：麦克风一线通供电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8.输出接口：RJ45，数字音频接口</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838"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录制面板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与高清录播主机同一品牌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 在讲台上镶嵌式安装方式；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 控制接口：RS232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 信号指示灯：支持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支持一键式系统电源开关控制。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一键式录制、停止、锁定电脑信号；</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★支持本地录播全自动的开启、关闭控制。该功能同时支持录播模式和互动模式。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支持通过面板一键发起与远端设备互动连接；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★支持通过交互控制面板切换互动画面的信号源，并传输到听课室，包括本地摄像机信号、电脑信号、远端课室画面。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 ★支持对各画面的自由布局控制，包括单画面全屏、双分屏、三分屏、四分屏、画中画，并传输到听课室。</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10)★支持远程“一键静音”功能，主讲端可一键关闭远端互动教室发言，进入主讲授课模式。</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在线交互系统</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与高清录播主机同一品牌具有1）支持RTSP、H.323视频传输协议。2）支持预设互动数据，包括互动对象的名称、IP、协议方式等。支持预设20个互动录播教室信息，支持互动课室数据的批量导入和导出功能。3）支持快速选择远程互动录播教室并“一键式”连接开启点对点互动。4）支持录播模式和互动模式两种工作模式。互动模式下，支持通过导播画面实时监视远端互动录播教室学生画面，支持实时预览传到远端互动录播教室的最终互动画面。互动画面支持实时进行本地教师信号、学生信号、电脑信号以及远端信号的自由组合布局。★5）支持网络检测功能，支持UDP测试和带宽扫描两种测试方式，实时检测与远端互动设备的的丢包数、网速情况。支持启动网络自适应功能。提供上述功能的软件界面截图。6）双向互动时，互动画面中可实时显示远端互动视频的码流和网络丢包率。7）录播主机双向互动过程中，在5Mbps带宽下可实现1080P@30FPS和1080P@60FPS画质。8）录播主机双向互动过程中，在系统总丢包率≤20%的网络环境下，视频清晰无破损，语音清晰连贯。</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互动显示屏</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尺寸不小于55寸；4K超高清，分辨率：3840*2160；屏幕比例：16：9；额定功率：105W；内置双频WIFI；内存和容量：RAM：2GB,ROM：8GB；包装清单：电视主机、底座、遥控器、电源线、说明书</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交换机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S5024PV3-EI为千兆以太网交换机传输速率1000Mbps；千兆电口（非复用）数量≥24口，千兆光口≥4个；交换容量：96Gbps；包转发率：42Mpps；具有三层路由特性；支持静态路由、RIP 、RIPng、OSPF等路由协议；支持堆叠技术、支持VLAN、支持CLI命令行，Web网管，TELNET等。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系统集成</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配套录播线材、网线、五金等附件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批</w:t>
            </w:r>
          </w:p>
        </w:tc>
      </w:tr>
      <w:tr>
        <w:tblPrEx>
          <w:tblCellMar>
            <w:top w:w="0" w:type="dxa"/>
            <w:left w:w="108" w:type="dxa"/>
            <w:bottom w:w="0" w:type="dxa"/>
            <w:right w:w="108" w:type="dxa"/>
          </w:tblCellMar>
        </w:tblPrEx>
        <w:trPr>
          <w:trHeight w:val="183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无线会议话筒一拖四</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无线会议话筒一拖四功能特点：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采用UHF超高频段，比传统的VHF频段干扰更少，传输更可靠；</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PLL数字锁相环多信道频率合成技术，在50MHz频率范围内，以250KHz信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道间隔，提供多达200个信道选择，多套机器同时使用，轻松避开各类干扰；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先进的自动对频技术，即使将发射机与接收机的频率调乱了， 只需轻轻一按，</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发射机就会自动追锁频率并调整一致，使用方便；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高档液晶显示屏，使接收机及发射器的工作状态一目了然；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无线会议发射系统，采用两节AA电池供电，采用高碱性电池可使用较长时间</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（高功率10小时，低功率14小时）。若使用充电电池，使用时间会有所下降。</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空阔最大使用范围100米以上，理想空阔使用范围60米。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会议发射带静音功能(静音后15分钟自动关机)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数字ID身份识别技术,确保通讯互不干扰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独有的数字加密技术,不再有场外被监听或窃听的困扰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内置反馈抑制器，一键式抑制啸叫</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可选供电方式，充电宝，USB口5V直插式，（5号(AA)碱性电池×2节）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接收机参数：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振荡方式： 锁相环频率合成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频率范围：UHF520MHz-950MHz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频率稳定性：±0.001%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调制方式：FM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信噪比：&gt;60dB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失真度：&lt;0.5%@1KHz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接收灵敏度：1.2/UV @S/N=12dB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电源供应：DC 12V-17V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音频输出：独立0-400mV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混合0-300mV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发射器参数：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电源供应：DC 4.5V(1.5V AA×3)</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话筒耗电量：100mA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载波频率：UHF 520MHz-950MHz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频率稳定度：±0.001%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最大频偏：±30KHz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信噪比：&gt;60dB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邻频干扰比：&gt;80dB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动态范围：≥100dB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类型：电容式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极性模式：单一指向性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频率响应：40Hz-20KHz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话筒灵敏度：-43±3dB@1KHz</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9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调音台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ACE安恒利行货</w:t>
            </w:r>
            <w:r>
              <w:rPr>
                <w:rFonts w:ascii="宋体" w:hAnsi="宋体" w:cs="宋体"/>
                <w:color w:val="000000" w:themeColor="text1"/>
                <w:kern w:val="0"/>
                <w:sz w:val="24"/>
              </w:rPr>
              <w:t>EPM8</w:t>
            </w:r>
            <w:r>
              <w:rPr>
                <w:rFonts w:hint="eastAsia" w:ascii="宋体" w:hAnsi="宋体" w:cs="宋体"/>
                <w:color w:val="000000" w:themeColor="text1"/>
                <w:kern w:val="0"/>
                <w:sz w:val="24"/>
              </w:rPr>
              <w:t>调音台. 1、8路单声道与2组立体声输入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2、高品质、低噪音的平衡式话筒输入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3、单声道及主输出配有的信号插入点，方便外接信号处理器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4、每路麦克风输入都配备优质+48V幻像电源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5、中频扫频的三段均衡,英国风格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6、两组AUX辅助输出，可以外接处理器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7、高精度三色精确电平柱，准确显示输出电平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8、60MM行程高分析度推子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9、内置式静噪电源器,使用方便灵活</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10、简单的可选项架子安装（选配件）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技术参数：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频率响应：话筒/线路输入到任何输出端：(20Hz-20KHz)+1dB  /-3dB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总谐波失真和噪声：&lt;0.007%  130dB输入到混音, 话筒增益30dB 话筒输入的等效输入噪声： 22Hz-22KHz不加权-128dB(信源内阻150Ω)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母线噪声： 20Hz-20KHz宽带线路输入, 终端负载为150Ω, RMS(有效值)测量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混音： 推子在下面, 最大混音电平：&lt;-85dB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通道之间串音： 通道哑音, &gt;96dB；推子位置(标记+0) &gt;96dB    辅助发送端口：&gt;86dB  输入和输出阻抗：话筒输入：2.4KΩ单声输入：11KΩ立体声输入：100KΩ输出：75Ω输入和输出电平：话筒/线路的最大输入电平：+17dBu 线路的最大输入电平：+30dBu 立体声输入最大电平：+30dBu 最大混音输出电平：+20dBu  耳机最大输出电平：300mw/200Ω  均衡器：HF(高频) 12KHz,±15dB,搁架式 MF(中频) 140Hz-3KHz,±15dB, Q=15LF(低频) 80Hz,±15dB,搁架式</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签合同前必须提供厂家或者总代的授权书及质保函并分别加盖鲜章</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21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12寸全频音箱</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2591104" behindDoc="0" locked="0" layoutInCell="1" allowOverlap="1">
                  <wp:simplePos x="0" y="0"/>
                  <wp:positionH relativeFrom="column">
                    <wp:posOffset>0</wp:posOffset>
                  </wp:positionH>
                  <wp:positionV relativeFrom="paragraph">
                    <wp:posOffset>0</wp:posOffset>
                  </wp:positionV>
                  <wp:extent cx="38100" cy="76200"/>
                  <wp:effectExtent l="0" t="0" r="0" b="0"/>
                  <wp:wrapNone/>
                  <wp:docPr id="62" name="图片_922"/>
                  <wp:cNvGraphicFramePr/>
                  <a:graphic xmlns:a="http://schemas.openxmlformats.org/drawingml/2006/main">
                    <a:graphicData uri="http://schemas.openxmlformats.org/drawingml/2006/picture">
                      <pic:pic xmlns:pic="http://schemas.openxmlformats.org/drawingml/2006/picture">
                        <pic:nvPicPr>
                          <pic:cNvPr id="62" name="图片_922"/>
                          <pic:cNvPicPr>
                            <a:picLocks noChangeArrowheads="1"/>
                          </pic:cNvPicPr>
                        </pic:nvPicPr>
                        <pic:blipFill>
                          <a:blip r:embed="rId92"/>
                          <a:srcRect/>
                          <a:stretch>
                            <a:fillRect/>
                          </a:stretch>
                        </pic:blipFill>
                        <pic:spPr>
                          <a:xfrm>
                            <a:off x="0" y="0"/>
                            <a:ext cx="38100" cy="762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92128" behindDoc="0" locked="0" layoutInCell="1" allowOverlap="1">
                  <wp:simplePos x="0" y="0"/>
                  <wp:positionH relativeFrom="column">
                    <wp:posOffset>0</wp:posOffset>
                  </wp:positionH>
                  <wp:positionV relativeFrom="paragraph">
                    <wp:posOffset>0</wp:posOffset>
                  </wp:positionV>
                  <wp:extent cx="38100" cy="76200"/>
                  <wp:effectExtent l="0" t="0" r="0" b="0"/>
                  <wp:wrapNone/>
                  <wp:docPr id="22" name="图片_923"/>
                  <wp:cNvGraphicFramePr/>
                  <a:graphic xmlns:a="http://schemas.openxmlformats.org/drawingml/2006/main">
                    <a:graphicData uri="http://schemas.openxmlformats.org/drawingml/2006/picture">
                      <pic:pic xmlns:pic="http://schemas.openxmlformats.org/drawingml/2006/picture">
                        <pic:nvPicPr>
                          <pic:cNvPr id="22" name="图片_923"/>
                          <pic:cNvPicPr>
                            <a:picLocks noChangeArrowheads="1"/>
                          </pic:cNvPicPr>
                        </pic:nvPicPr>
                        <pic:blipFill>
                          <a:blip r:embed="rId92"/>
                          <a:srcRect/>
                          <a:stretch>
                            <a:fillRect/>
                          </a:stretch>
                        </pic:blipFill>
                        <pic:spPr>
                          <a:xfrm>
                            <a:off x="0" y="0"/>
                            <a:ext cx="38100" cy="762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93152" behindDoc="0" locked="0" layoutInCell="1" allowOverlap="1">
                  <wp:simplePos x="0" y="0"/>
                  <wp:positionH relativeFrom="column">
                    <wp:posOffset>0</wp:posOffset>
                  </wp:positionH>
                  <wp:positionV relativeFrom="paragraph">
                    <wp:posOffset>0</wp:posOffset>
                  </wp:positionV>
                  <wp:extent cx="38100" cy="76200"/>
                  <wp:effectExtent l="0" t="0" r="0" b="0"/>
                  <wp:wrapNone/>
                  <wp:docPr id="920" name="图片_925"/>
                  <wp:cNvGraphicFramePr/>
                  <a:graphic xmlns:a="http://schemas.openxmlformats.org/drawingml/2006/main">
                    <a:graphicData uri="http://schemas.openxmlformats.org/drawingml/2006/picture">
                      <pic:pic xmlns:pic="http://schemas.openxmlformats.org/drawingml/2006/picture">
                        <pic:nvPicPr>
                          <pic:cNvPr id="920" name="图片_925"/>
                          <pic:cNvPicPr>
                            <a:picLocks noChangeArrowheads="1"/>
                          </pic:cNvPicPr>
                        </pic:nvPicPr>
                        <pic:blipFill>
                          <a:blip r:embed="rId92"/>
                          <a:srcRect/>
                          <a:stretch>
                            <a:fillRect/>
                          </a:stretch>
                        </pic:blipFill>
                        <pic:spPr>
                          <a:xfrm>
                            <a:off x="0" y="0"/>
                            <a:ext cx="38100" cy="762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94176" behindDoc="0" locked="0" layoutInCell="1" allowOverlap="1">
                  <wp:simplePos x="0" y="0"/>
                  <wp:positionH relativeFrom="column">
                    <wp:posOffset>0</wp:posOffset>
                  </wp:positionH>
                  <wp:positionV relativeFrom="paragraph">
                    <wp:posOffset>0</wp:posOffset>
                  </wp:positionV>
                  <wp:extent cx="38100" cy="76200"/>
                  <wp:effectExtent l="0" t="0" r="0" b="0"/>
                  <wp:wrapNone/>
                  <wp:docPr id="921" name="图片_927"/>
                  <wp:cNvGraphicFramePr/>
                  <a:graphic xmlns:a="http://schemas.openxmlformats.org/drawingml/2006/main">
                    <a:graphicData uri="http://schemas.openxmlformats.org/drawingml/2006/picture">
                      <pic:pic xmlns:pic="http://schemas.openxmlformats.org/drawingml/2006/picture">
                        <pic:nvPicPr>
                          <pic:cNvPr id="921" name="图片_927"/>
                          <pic:cNvPicPr>
                            <a:picLocks noChangeArrowheads="1"/>
                          </pic:cNvPicPr>
                        </pic:nvPicPr>
                        <pic:blipFill>
                          <a:blip r:embed="rId92"/>
                          <a:srcRect/>
                          <a:stretch>
                            <a:fillRect/>
                          </a:stretch>
                        </pic:blipFill>
                        <pic:spPr>
                          <a:xfrm>
                            <a:off x="0" y="0"/>
                            <a:ext cx="38100" cy="762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95200" behindDoc="0" locked="0" layoutInCell="1" allowOverlap="1">
                  <wp:simplePos x="0" y="0"/>
                  <wp:positionH relativeFrom="column">
                    <wp:posOffset>0</wp:posOffset>
                  </wp:positionH>
                  <wp:positionV relativeFrom="paragraph">
                    <wp:posOffset>0</wp:posOffset>
                  </wp:positionV>
                  <wp:extent cx="38100" cy="76200"/>
                  <wp:effectExtent l="0" t="0" r="0" b="0"/>
                  <wp:wrapNone/>
                  <wp:docPr id="922" name="图片_924"/>
                  <wp:cNvGraphicFramePr/>
                  <a:graphic xmlns:a="http://schemas.openxmlformats.org/drawingml/2006/main">
                    <a:graphicData uri="http://schemas.openxmlformats.org/drawingml/2006/picture">
                      <pic:pic xmlns:pic="http://schemas.openxmlformats.org/drawingml/2006/picture">
                        <pic:nvPicPr>
                          <pic:cNvPr id="922" name="图片_924"/>
                          <pic:cNvPicPr>
                            <a:picLocks noChangeArrowheads="1"/>
                          </pic:cNvPicPr>
                        </pic:nvPicPr>
                        <pic:blipFill>
                          <a:blip r:embed="rId92"/>
                          <a:srcRect/>
                          <a:stretch>
                            <a:fillRect/>
                          </a:stretch>
                        </pic:blipFill>
                        <pic:spPr>
                          <a:xfrm>
                            <a:off x="0" y="0"/>
                            <a:ext cx="38100" cy="762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96224" behindDoc="0" locked="0" layoutInCell="1" allowOverlap="1">
                  <wp:simplePos x="0" y="0"/>
                  <wp:positionH relativeFrom="column">
                    <wp:posOffset>0</wp:posOffset>
                  </wp:positionH>
                  <wp:positionV relativeFrom="paragraph">
                    <wp:posOffset>0</wp:posOffset>
                  </wp:positionV>
                  <wp:extent cx="38100" cy="76200"/>
                  <wp:effectExtent l="0" t="0" r="0" b="0"/>
                  <wp:wrapNone/>
                  <wp:docPr id="923" name="图片_928"/>
                  <wp:cNvGraphicFramePr/>
                  <a:graphic xmlns:a="http://schemas.openxmlformats.org/drawingml/2006/main">
                    <a:graphicData uri="http://schemas.openxmlformats.org/drawingml/2006/picture">
                      <pic:pic xmlns:pic="http://schemas.openxmlformats.org/drawingml/2006/picture">
                        <pic:nvPicPr>
                          <pic:cNvPr id="923" name="图片_928"/>
                          <pic:cNvPicPr>
                            <a:picLocks noChangeArrowheads="1"/>
                          </pic:cNvPicPr>
                        </pic:nvPicPr>
                        <pic:blipFill>
                          <a:blip r:embed="rId92"/>
                          <a:srcRect/>
                          <a:stretch>
                            <a:fillRect/>
                          </a:stretch>
                        </pic:blipFill>
                        <pic:spPr>
                          <a:xfrm>
                            <a:off x="0" y="0"/>
                            <a:ext cx="38100" cy="762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97248" behindDoc="0" locked="0" layoutInCell="1" allowOverlap="1">
                  <wp:simplePos x="0" y="0"/>
                  <wp:positionH relativeFrom="column">
                    <wp:posOffset>0</wp:posOffset>
                  </wp:positionH>
                  <wp:positionV relativeFrom="paragraph">
                    <wp:posOffset>0</wp:posOffset>
                  </wp:positionV>
                  <wp:extent cx="38100" cy="76200"/>
                  <wp:effectExtent l="0" t="0" r="0" b="0"/>
                  <wp:wrapNone/>
                  <wp:docPr id="924" name="图片_926"/>
                  <wp:cNvGraphicFramePr/>
                  <a:graphic xmlns:a="http://schemas.openxmlformats.org/drawingml/2006/main">
                    <a:graphicData uri="http://schemas.openxmlformats.org/drawingml/2006/picture">
                      <pic:pic xmlns:pic="http://schemas.openxmlformats.org/drawingml/2006/picture">
                        <pic:nvPicPr>
                          <pic:cNvPr id="924" name="图片_926"/>
                          <pic:cNvPicPr>
                            <a:picLocks noChangeArrowheads="1"/>
                          </pic:cNvPicPr>
                        </pic:nvPicPr>
                        <pic:blipFill>
                          <a:blip r:embed="rId92"/>
                          <a:srcRect/>
                          <a:stretch>
                            <a:fillRect/>
                          </a:stretch>
                        </pic:blipFill>
                        <pic:spPr>
                          <a:xfrm>
                            <a:off x="0" y="0"/>
                            <a:ext cx="38100" cy="762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98272" behindDoc="0" locked="0" layoutInCell="1" allowOverlap="1">
                  <wp:simplePos x="0" y="0"/>
                  <wp:positionH relativeFrom="column">
                    <wp:posOffset>0</wp:posOffset>
                  </wp:positionH>
                  <wp:positionV relativeFrom="paragraph">
                    <wp:posOffset>0</wp:posOffset>
                  </wp:positionV>
                  <wp:extent cx="38100" cy="76200"/>
                  <wp:effectExtent l="0" t="0" r="0" b="0"/>
                  <wp:wrapNone/>
                  <wp:docPr id="925" name="图片_921"/>
                  <wp:cNvGraphicFramePr/>
                  <a:graphic xmlns:a="http://schemas.openxmlformats.org/drawingml/2006/main">
                    <a:graphicData uri="http://schemas.openxmlformats.org/drawingml/2006/picture">
                      <pic:pic xmlns:pic="http://schemas.openxmlformats.org/drawingml/2006/picture">
                        <pic:nvPicPr>
                          <pic:cNvPr id="925" name="图片_921"/>
                          <pic:cNvPicPr>
                            <a:picLocks noChangeArrowheads="1"/>
                          </pic:cNvPicPr>
                        </pic:nvPicPr>
                        <pic:blipFill>
                          <a:blip r:embed="rId92"/>
                          <a:srcRect/>
                          <a:stretch>
                            <a:fillRect/>
                          </a:stretch>
                        </pic:blipFill>
                        <pic:spPr>
                          <a:xfrm>
                            <a:off x="0" y="0"/>
                            <a:ext cx="38100" cy="7620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599296" behindDoc="0" locked="0" layoutInCell="1" allowOverlap="1">
                  <wp:simplePos x="0" y="0"/>
                  <wp:positionH relativeFrom="column">
                    <wp:posOffset>185420</wp:posOffset>
                  </wp:positionH>
                  <wp:positionV relativeFrom="paragraph">
                    <wp:posOffset>149225</wp:posOffset>
                  </wp:positionV>
                  <wp:extent cx="481965" cy="642620"/>
                  <wp:effectExtent l="19050" t="0" r="0" b="0"/>
                  <wp:wrapNone/>
                  <wp:docPr id="926" name="图片_920"/>
                  <wp:cNvGraphicFramePr/>
                  <a:graphic xmlns:a="http://schemas.openxmlformats.org/drawingml/2006/main">
                    <a:graphicData uri="http://schemas.openxmlformats.org/drawingml/2006/picture">
                      <pic:pic xmlns:pic="http://schemas.openxmlformats.org/drawingml/2006/picture">
                        <pic:nvPicPr>
                          <pic:cNvPr id="926" name="图片_920"/>
                          <pic:cNvPicPr>
                            <a:picLocks noChangeArrowheads="1"/>
                          </pic:cNvPicPr>
                        </pic:nvPicPr>
                        <pic:blipFill>
                          <a:blip r:embed="rId93"/>
                          <a:srcRect/>
                          <a:stretch>
                            <a:fillRect/>
                          </a:stretch>
                        </pic:blipFill>
                        <pic:spPr>
                          <a:xfrm>
                            <a:off x="0" y="0"/>
                            <a:ext cx="481965" cy="64262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ACE安恒利行货KP6012★系统类型 12英寸，2分频，低频反射式 频率范围(-10 dB)1 71 Hz - 20 KHz 最大声压级输出 124 dB(峰值：130dB) 额定输入功率8Ω 350 W 外型尺寸(H x W x D) 600 mm x 350 mm x 382 mm 净重 14.7 Kg(32.5磅)低音单元为JBL261H-1；高音单元为JBL2408H-1。</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签合同前必须提供厂家或者总代的授权书及质保函并分别加盖鲜章</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20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15寸全频音箱</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2600320" behindDoc="0" locked="0" layoutInCell="1" allowOverlap="1">
                  <wp:simplePos x="0" y="0"/>
                  <wp:positionH relativeFrom="column">
                    <wp:posOffset>184785</wp:posOffset>
                  </wp:positionH>
                  <wp:positionV relativeFrom="paragraph">
                    <wp:posOffset>146685</wp:posOffset>
                  </wp:positionV>
                  <wp:extent cx="437515" cy="723900"/>
                  <wp:effectExtent l="19050" t="0" r="635" b="0"/>
                  <wp:wrapNone/>
                  <wp:docPr id="927" name="图片_929"/>
                  <wp:cNvGraphicFramePr/>
                  <a:graphic xmlns:a="http://schemas.openxmlformats.org/drawingml/2006/main">
                    <a:graphicData uri="http://schemas.openxmlformats.org/drawingml/2006/picture">
                      <pic:pic xmlns:pic="http://schemas.openxmlformats.org/drawingml/2006/picture">
                        <pic:nvPicPr>
                          <pic:cNvPr id="927" name="图片_929"/>
                          <pic:cNvPicPr>
                            <a:picLocks noChangeArrowheads="1"/>
                          </pic:cNvPicPr>
                        </pic:nvPicPr>
                        <pic:blipFill>
                          <a:blip r:embed="rId94"/>
                          <a:srcRect/>
                          <a:stretch>
                            <a:fillRect/>
                          </a:stretch>
                        </pic:blipFill>
                        <pic:spPr>
                          <a:xfrm>
                            <a:off x="0" y="0"/>
                            <a:ext cx="437515" cy="72390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ACE安恒利行货KP6015★系统类型 15英寸，2分频，低频反射式 频率范围(-10 dB)1 70 Hz - 20 KHz 最大声压级输出 127 dB(峰值：133dB) 额定输入功率 8Ω 350 W 外型尺寸(H x W x D) 680 mm x 430 mm x 430 mm 净重 19.9 Kg(43.9磅)低音单元为JBL265H-1；高音单元为JBL2408H-1。</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签合同前必须提供厂家或者总代的授权书及质保函并分别加盖鲜章</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359"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单18寸低频音箱</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drawing>
                <wp:anchor distT="0" distB="0" distL="114300" distR="114300" simplePos="0" relativeHeight="252601344" behindDoc="0" locked="0" layoutInCell="1" allowOverlap="1">
                  <wp:simplePos x="0" y="0"/>
                  <wp:positionH relativeFrom="column">
                    <wp:posOffset>97790</wp:posOffset>
                  </wp:positionH>
                  <wp:positionV relativeFrom="paragraph">
                    <wp:posOffset>159385</wp:posOffset>
                  </wp:positionV>
                  <wp:extent cx="558165" cy="588010"/>
                  <wp:effectExtent l="19050" t="0" r="0" b="0"/>
                  <wp:wrapNone/>
                  <wp:docPr id="928" name="图片_930"/>
                  <wp:cNvGraphicFramePr/>
                  <a:graphic xmlns:a="http://schemas.openxmlformats.org/drawingml/2006/main">
                    <a:graphicData uri="http://schemas.openxmlformats.org/drawingml/2006/picture">
                      <pic:pic xmlns:pic="http://schemas.openxmlformats.org/drawingml/2006/picture">
                        <pic:nvPicPr>
                          <pic:cNvPr id="928" name="图片_930"/>
                          <pic:cNvPicPr>
                            <a:picLocks noChangeArrowheads="1"/>
                          </pic:cNvPicPr>
                        </pic:nvPicPr>
                        <pic:blipFill>
                          <a:blip r:embed="rId95"/>
                          <a:srcRect/>
                          <a:stretch>
                            <a:fillRect/>
                          </a:stretch>
                        </pic:blipFill>
                        <pic:spPr>
                          <a:xfrm>
                            <a:off x="0" y="0"/>
                            <a:ext cx="558165" cy="58801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ACE安恒利行货VPX718S频率范围（-10 dB）</w:t>
            </w:r>
          </w:p>
          <w:p>
            <w:pPr>
              <w:widowControl/>
              <w:jc w:val="left"/>
              <w:textAlignment w:val="center"/>
              <w:rPr>
                <w:rFonts w:ascii="宋体" w:hAnsi="宋体" w:cs="宋体"/>
                <w:color w:val="000000" w:themeColor="text1"/>
                <w:kern w:val="0"/>
                <w:sz w:val="24"/>
              </w:rPr>
            </w:pPr>
            <w:r>
              <w:rPr>
                <w:rFonts w:ascii="宋体" w:hAnsi="宋体" w:cs="宋体"/>
                <w:color w:val="000000" w:themeColor="text1"/>
                <w:kern w:val="0"/>
                <w:sz w:val="24"/>
              </w:rPr>
              <w:t>40 Hz - 200 Hz</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频率响应（±3 dB）</w:t>
            </w:r>
          </w:p>
          <w:p>
            <w:pPr>
              <w:widowControl/>
              <w:jc w:val="left"/>
              <w:textAlignment w:val="center"/>
              <w:rPr>
                <w:rFonts w:ascii="宋体" w:hAnsi="宋体" w:cs="宋体"/>
                <w:color w:val="000000" w:themeColor="text1"/>
                <w:kern w:val="0"/>
                <w:sz w:val="24"/>
              </w:rPr>
            </w:pPr>
            <w:r>
              <w:rPr>
                <w:rFonts w:ascii="宋体" w:hAnsi="宋体" w:cs="宋体"/>
                <w:color w:val="000000" w:themeColor="text1"/>
                <w:kern w:val="0"/>
                <w:sz w:val="24"/>
              </w:rPr>
              <w:t>45 Hz - 200 Hz</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额定功率</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连续/程序/峰值） 500 W / 1000 W / 2000 W，2小时</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400 W / 800 W / 1600 W，100小时</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灵敏度（1w @ 1m）</w:t>
            </w:r>
          </w:p>
          <w:p>
            <w:pPr>
              <w:widowControl/>
              <w:jc w:val="left"/>
              <w:textAlignment w:val="center"/>
              <w:rPr>
                <w:rFonts w:ascii="宋体" w:hAnsi="宋体" w:cs="宋体"/>
                <w:color w:val="000000" w:themeColor="text1"/>
                <w:kern w:val="0"/>
                <w:sz w:val="24"/>
              </w:rPr>
            </w:pPr>
            <w:r>
              <w:rPr>
                <w:rFonts w:ascii="宋体" w:hAnsi="宋体" w:cs="宋体"/>
                <w:color w:val="000000" w:themeColor="text1"/>
                <w:kern w:val="0"/>
                <w:sz w:val="24"/>
              </w:rPr>
              <w:t>94 dB SPL; 100 dB SPL</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LF驱动程序</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1×18英寸（457毫米）JBL 2044G低音单元</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名义阻抗</w:t>
            </w:r>
          </w:p>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4Ω输入连接器</w:t>
            </w:r>
          </w:p>
          <w:p>
            <w:pPr>
              <w:widowControl/>
              <w:jc w:val="left"/>
              <w:textAlignment w:val="center"/>
              <w:rPr>
                <w:rFonts w:ascii="宋体" w:hAnsi="宋体" w:cs="宋体"/>
                <w:color w:val="000000" w:themeColor="text1"/>
                <w:kern w:val="0"/>
                <w:sz w:val="24"/>
              </w:rPr>
            </w:pPr>
            <w:r>
              <w:rPr>
                <w:rFonts w:ascii="宋体" w:hAnsi="宋体" w:cs="宋体"/>
                <w:color w:val="000000" w:themeColor="text1"/>
                <w:kern w:val="0"/>
                <w:sz w:val="24"/>
              </w:rPr>
              <w:t>2×Neutrik®Speakon®NL-4</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签合同前必须提供厂家或者总代的授权书及质保函并分别加盖鲜章</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699"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专业功率放大器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2602368" behindDoc="0" locked="0" layoutInCell="1" allowOverlap="1">
                  <wp:simplePos x="0" y="0"/>
                  <wp:positionH relativeFrom="column">
                    <wp:posOffset>53975</wp:posOffset>
                  </wp:positionH>
                  <wp:positionV relativeFrom="paragraph">
                    <wp:posOffset>181610</wp:posOffset>
                  </wp:positionV>
                  <wp:extent cx="725805" cy="157480"/>
                  <wp:effectExtent l="19050" t="0" r="0" b="0"/>
                  <wp:wrapNone/>
                  <wp:docPr id="929" name="图片_931"/>
                  <wp:cNvGraphicFramePr/>
                  <a:graphic xmlns:a="http://schemas.openxmlformats.org/drawingml/2006/main">
                    <a:graphicData uri="http://schemas.openxmlformats.org/drawingml/2006/picture">
                      <pic:pic xmlns:pic="http://schemas.openxmlformats.org/drawingml/2006/picture">
                        <pic:nvPicPr>
                          <pic:cNvPr id="929" name="图片_931"/>
                          <pic:cNvPicPr>
                            <a:picLocks noChangeArrowheads="1"/>
                          </pic:cNvPicPr>
                        </pic:nvPicPr>
                        <pic:blipFill>
                          <a:blip r:embed="rId96"/>
                          <a:srcRect/>
                          <a:stretch>
                            <a:fillRect/>
                          </a:stretch>
                        </pic:blipFill>
                        <pic:spPr>
                          <a:xfrm>
                            <a:off x="0" y="0"/>
                            <a:ext cx="725805" cy="15748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ACE安恒利行货PX3000★具有防止短路、空载、开/关机噪音、射频干扰保护电路。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主要特点：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#立体声/并联/单声道桥接模式；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#用户可选择的输入灵敏度：0.775V和1.4V；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RCA和XLR输入接口；Speakon和喇叭接线柱输出接口；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#2个增益控制旋钮，1个电源开关，1个电源LED灯，2组6个LED灯分别表示对应声道处于工作、削波和故障状态；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#防止短路、空载、开/关机噪音、射频干扰保护电路。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常规信息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声道：2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1kHz功率：每个声道立体声4Ω   750W,每个声道立体声8Ω   500W,桥接单声道8Ω   1500W,1kHz功率：确保THD为0.5%时的低输出功率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灵敏度(8Ω负载时额定输出功率)：0.775V或1.4V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信噪比(低于额定功率20Hz至20kHz，A计权) ：&gt;100dB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谐波失真 (THD)(20Hz ~ 20kHz) ： &lt;0.5%</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互调失真(60Hz和7kHz为4：1满载额定输出至-40dB) ： =/&lt; 0.35%</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频率响应(1W，20Hz~20kHz) ：0dB, -1dB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串音(低于额定功率) ：1kHz： –75dB   20kHz： –59dB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阻尼系数(10Hz至400Hz，8Ω负载) ：&gt; 200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AC电压频率设置(±10%)：120VAC 60Hz、220VAC 50/60Hz、230-240VAC 50/60Hz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签合同前必须提供厂家或者总代的授权书及质保函并分别加盖鲜章</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554"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专业功率放大器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2603392" behindDoc="0" locked="0" layoutInCell="1" allowOverlap="1">
                  <wp:simplePos x="0" y="0"/>
                  <wp:positionH relativeFrom="column">
                    <wp:posOffset>178435</wp:posOffset>
                  </wp:positionH>
                  <wp:positionV relativeFrom="paragraph">
                    <wp:posOffset>411480</wp:posOffset>
                  </wp:positionV>
                  <wp:extent cx="566420" cy="168275"/>
                  <wp:effectExtent l="19050" t="0" r="5080" b="0"/>
                  <wp:wrapNone/>
                  <wp:docPr id="930" name="图片_932"/>
                  <wp:cNvGraphicFramePr/>
                  <a:graphic xmlns:a="http://schemas.openxmlformats.org/drawingml/2006/main">
                    <a:graphicData uri="http://schemas.openxmlformats.org/drawingml/2006/picture">
                      <pic:pic xmlns:pic="http://schemas.openxmlformats.org/drawingml/2006/picture">
                        <pic:nvPicPr>
                          <pic:cNvPr id="930" name="图片_932"/>
                          <pic:cNvPicPr>
                            <a:picLocks noChangeArrowheads="1"/>
                          </pic:cNvPicPr>
                        </pic:nvPicPr>
                        <pic:blipFill>
                          <a:blip r:embed="rId97"/>
                          <a:srcRect/>
                          <a:stretch>
                            <a:fillRect/>
                          </a:stretch>
                        </pic:blipFill>
                        <pic:spPr>
                          <a:xfrm>
                            <a:off x="0" y="0"/>
                            <a:ext cx="566420" cy="16827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ACE安恒利行货PX4000★具有防止短路、空载、开/关机噪音、射频干扰保护电路。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主要特点：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#立体声/并联/单声道桥接模式；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#用户可选择的输入灵敏度：0.775V和1.4V；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RCA和XLR输入接口；Speakon和喇叭接线柱输出接口；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#2个增益控制旋钮，1个电源开关，1个电源LED灯，2组6个LED灯分别表示对应声道处于工作、削波和故障状态；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#防止短路、空载、开/关机噪音、射频干扰保护电路。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常规信息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声道：2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1kHz功率：每个声道立体声4Ω   1350W,每个声道立体声8Ω  1000W,桥接单声道8Ω  2700W,1kHz功率：确保THD为0.5%时的低输出功率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灵敏度(8Ω负载时额定输出功率)：0.775V或1.4V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信噪比(低于额定功率20Hz至20kHz，A计权) ：&gt;100dB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谐波失真 (THD)(20Hz ~ 20kHz) ： &lt;0.5%</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互调失真(60Hz和7kHz为4：1满载额定输出至-40dB) ： =/&lt; 0.35%</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频率响应(1W，20Hz~20kHz) ：0dB, -1dB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串音(低于额定功率) ：1kHz： –75dB   20kHz： –59dB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阻尼系数(10Hz至400Hz，8Ω负载) ：&gt; 200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AC电压频率设置(±10%)：120VAC 60Hz、220VAC 50/60Hz、230-240VAC 50/60Hz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签合同前必须提供厂家或者总代的授权书及质保函并分别加盖鲜章</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22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一拖二无线话筒</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2604416" behindDoc="0" locked="0" layoutInCell="1" allowOverlap="1">
                  <wp:simplePos x="0" y="0"/>
                  <wp:positionH relativeFrom="column">
                    <wp:posOffset>195580</wp:posOffset>
                  </wp:positionH>
                  <wp:positionV relativeFrom="paragraph">
                    <wp:posOffset>299720</wp:posOffset>
                  </wp:positionV>
                  <wp:extent cx="528320" cy="342900"/>
                  <wp:effectExtent l="19050" t="0" r="5080" b="0"/>
                  <wp:wrapNone/>
                  <wp:docPr id="931" name="图片_933"/>
                  <wp:cNvGraphicFramePr/>
                  <a:graphic xmlns:a="http://schemas.openxmlformats.org/drawingml/2006/main">
                    <a:graphicData uri="http://schemas.openxmlformats.org/drawingml/2006/picture">
                      <pic:pic xmlns:pic="http://schemas.openxmlformats.org/drawingml/2006/picture">
                        <pic:nvPicPr>
                          <pic:cNvPr id="931" name="图片_933"/>
                          <pic:cNvPicPr>
                            <a:picLocks noChangeArrowheads="1"/>
                          </pic:cNvPicPr>
                        </pic:nvPicPr>
                        <pic:blipFill>
                          <a:blip r:embed="rId98"/>
                          <a:srcRect/>
                          <a:stretch>
                            <a:fillRect/>
                          </a:stretch>
                        </pic:blipFill>
                        <pic:spPr>
                          <a:xfrm>
                            <a:off x="0" y="0"/>
                            <a:ext cx="528320" cy="34290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ascii="宋体" w:hAnsi="宋体" w:cs="宋体"/>
                <w:color w:val="000000" w:themeColor="text1"/>
                <w:kern w:val="0"/>
                <w:sz w:val="24"/>
              </w:rPr>
              <w:t>U-4500D</w:t>
            </w:r>
            <w:r>
              <w:rPr>
                <w:rFonts w:hint="eastAsia" w:ascii="宋体" w:hAnsi="宋体" w:cs="宋体"/>
                <w:color w:val="000000" w:themeColor="text1"/>
                <w:kern w:val="0"/>
                <w:sz w:val="24"/>
              </w:rPr>
              <w:t>真分集无线KTV专用一拖二话筒，具有200U频点，KTV音色调较，智能休眠、静音、唤醒，2只5号电池供电，静置3秒智能静音，静置8分钟智能关机，拿起智能唤醒等功能，摇一摇对频，智能搜频，真分集80米远距离接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技术参数：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接收机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频率：640-690MHz；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频率间隔：250KHz；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有效使用距离：约80米；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频率宽度：50MHz；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频率震荡模式：PLL相位锁定频率合成；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信噪比：不少于50dB；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频率定度：+-5KHz；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接收方式：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CPU控制选讯+导频识别接收；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静音方式：Mute&amp;Lock Loop Circuit；</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显示方式：LCD；</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电源供应：12VDC1.25A；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音频输出接口：2XLR Balanced Socket+Unbalance TRS 6.3mm Socket；</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手持发射机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频率震荡模式：PLL相位锁定频率合成；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发射方式：CPU控制载波生成+导频识别码生成；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显示方式：LCD+多色彩背光屏；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音头类型：动圈式；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2级功率：高、低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包装清单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BBS标准U-4500D接收机*1台；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BBS标准U-4500D手持麦克风*2个；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BBS6.3音频线*1根；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电源适配器*1个；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BBS主机接收机天线*2支；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手持话筒四角防滑圈*2个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使用说明书*1套；</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售后保修卡*1套；</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合格证*1；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试音电池*4节；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包装盒*1"。</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6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电脑点歌系统</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2605440" behindDoc="0" locked="0" layoutInCell="1" allowOverlap="1">
                  <wp:simplePos x="0" y="0"/>
                  <wp:positionH relativeFrom="column">
                    <wp:posOffset>0</wp:posOffset>
                  </wp:positionH>
                  <wp:positionV relativeFrom="paragraph">
                    <wp:posOffset>0</wp:posOffset>
                  </wp:positionV>
                  <wp:extent cx="396240" cy="5715"/>
                  <wp:effectExtent l="0" t="0" r="0" b="0"/>
                  <wp:wrapNone/>
                  <wp:docPr id="932" name="图片_935"/>
                  <wp:cNvGraphicFramePr/>
                  <a:graphic xmlns:a="http://schemas.openxmlformats.org/drawingml/2006/main">
                    <a:graphicData uri="http://schemas.openxmlformats.org/drawingml/2006/picture">
                      <pic:pic xmlns:pic="http://schemas.openxmlformats.org/drawingml/2006/picture">
                        <pic:nvPicPr>
                          <pic:cNvPr id="932" name="图片_935"/>
                          <pic:cNvPicPr>
                            <a:picLocks noChangeArrowheads="1"/>
                          </pic:cNvPicPr>
                        </pic:nvPicPr>
                        <pic:blipFill>
                          <a:blip r:embed="rId99"/>
                          <a:srcRect/>
                          <a:stretch>
                            <a:fillRect/>
                          </a:stretch>
                        </pic:blipFill>
                        <pic:spPr>
                          <a:xfrm>
                            <a:off x="0" y="0"/>
                            <a:ext cx="396240" cy="5715"/>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drawing>
                <wp:anchor distT="0" distB="0" distL="114300" distR="114300" simplePos="0" relativeHeight="252606464" behindDoc="0" locked="0" layoutInCell="1" allowOverlap="1">
                  <wp:simplePos x="0" y="0"/>
                  <wp:positionH relativeFrom="column">
                    <wp:posOffset>109220</wp:posOffset>
                  </wp:positionH>
                  <wp:positionV relativeFrom="paragraph">
                    <wp:posOffset>224155</wp:posOffset>
                  </wp:positionV>
                  <wp:extent cx="661035" cy="537210"/>
                  <wp:effectExtent l="19050" t="0" r="5715" b="0"/>
                  <wp:wrapNone/>
                  <wp:docPr id="933" name="图片_934"/>
                  <wp:cNvGraphicFramePr/>
                  <a:graphic xmlns:a="http://schemas.openxmlformats.org/drawingml/2006/main">
                    <a:graphicData uri="http://schemas.openxmlformats.org/drawingml/2006/picture">
                      <pic:pic xmlns:pic="http://schemas.openxmlformats.org/drawingml/2006/picture">
                        <pic:nvPicPr>
                          <pic:cNvPr id="933" name="图片_934"/>
                          <pic:cNvPicPr>
                            <a:picLocks noChangeArrowheads="1"/>
                          </pic:cNvPicPr>
                        </pic:nvPicPr>
                        <pic:blipFill>
                          <a:blip r:embed="rId100"/>
                          <a:srcRect/>
                          <a:stretch>
                            <a:fillRect/>
                          </a:stretch>
                        </pic:blipFill>
                        <pic:spPr>
                          <a:xfrm>
                            <a:off x="0" y="0"/>
                            <a:ext cx="661035" cy="53721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 xml:space="preserve">K73点歌系统（配置6T*2块硬盘，大约12万首歌曲，立式21.5全视角电容屏，电脑配置数据线等）                         </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操作系统和应用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多唱魔镜3</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支持K米评分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支持炫屏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支持双麦PK</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支持多唱霸屏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支持大眼拍拍</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支持歌神训练营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支持语音报台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支持自助KTV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支持多唱电影</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内置应用市场，支持android电视应用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点歌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触摸屏点歌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手机点歌（多唱）</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平板点歌（多唱 HD）</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支持无线屏幕点歌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支持语音点歌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支持微信点歌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曲库与存储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可配置2块3.5吋SATA硬盘；单硬盘最高支持6TB内容存储（视硬盘容量）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支持外接USB 3.0移动硬盘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视频输出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720P 触摸屏输出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720P/1080P/4K 高清电视输出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声音和音效</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SPDIF光纤/同轴无损数字音频输出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AV模拟音频输出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AV模拟录音输入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网络</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100M以太网（RJ45接口）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内置WIFI（IEEE 802.11b/g/n）+蓝牙4.0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处理器和内存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CPU： 采用28nm工艺芯片，主频1.8GHZ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内存： 2GB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闪存： 16GB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接口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硬盘：1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CPU：4核A53</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内存：2G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闪存：8G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DAC：专业数模转换芯片</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HDMI IN/HDMI OUT：各1个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VGA：1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AV输出L/R：1组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录音输出L/R：1组</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同轴：1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光纤：1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CVBS接口：1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串口：2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RJ45网口：1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MIC IN/MIC OUT：各2个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USB接口：3个（侧边2个USB2.0，后置1个USB3.0）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RS232：1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IR接口：1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内置WIFI：5G+2.4G+蓝牙</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电源：12V/5A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指示灯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网络灯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电源指示灯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硬盘指示灯2个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WIFI指示灯</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20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前级效果器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2607488" behindDoc="0" locked="0" layoutInCell="1" allowOverlap="1">
                  <wp:simplePos x="0" y="0"/>
                  <wp:positionH relativeFrom="column">
                    <wp:posOffset>54610</wp:posOffset>
                  </wp:positionH>
                  <wp:positionV relativeFrom="paragraph">
                    <wp:posOffset>332105</wp:posOffset>
                  </wp:positionV>
                  <wp:extent cx="649605" cy="381000"/>
                  <wp:effectExtent l="19050" t="0" r="0" b="0"/>
                  <wp:wrapNone/>
                  <wp:docPr id="934" name="图片_936"/>
                  <wp:cNvGraphicFramePr/>
                  <a:graphic xmlns:a="http://schemas.openxmlformats.org/drawingml/2006/main">
                    <a:graphicData uri="http://schemas.openxmlformats.org/drawingml/2006/picture">
                      <pic:pic xmlns:pic="http://schemas.openxmlformats.org/drawingml/2006/picture">
                        <pic:nvPicPr>
                          <pic:cNvPr id="934" name="图片_936"/>
                          <pic:cNvPicPr>
                            <a:picLocks noChangeArrowheads="1"/>
                          </pic:cNvPicPr>
                        </pic:nvPicPr>
                        <pic:blipFill>
                          <a:blip r:embed="rId101"/>
                          <a:srcRect/>
                          <a:stretch>
                            <a:fillRect/>
                          </a:stretch>
                        </pic:blipFill>
                        <pic:spPr>
                          <a:xfrm>
                            <a:off x="0" y="0"/>
                            <a:ext cx="649605" cy="38100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Fross- dsp9600X产品特色：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1、3.5寸彩屏操作显示，中英文操作界面自由切换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2、6声道平衡输出，4级反馈抑制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3、麦克风输入通道设有高、低通，音乐和麦克风16段独立参量均衡等功能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4、麦克风输入信号可触发低音衰减，有效防止低音啸叫</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5、主输出设5段均衡、分频、输入选择及混合比例、极性、延时、限幅、增益功能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6、中置、低音、环绕均设5段均衡、分频、输入选择及混合比例、极性、延时、限幅、增益功能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 采用255MHZ主频，96KHZ采样频率24-BIT A/D及D/A转换，32BIT浮点运算DSP处理器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8、支持USB-B接口控制连接电脑，配有专业PC中文设备管理控制软件操作及电脑配置线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9、支持光纤、同轴两种音频输入</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 10组音效数据模式记忆功能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11、2级设备锁定功能，可根据使用需要进行设定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12、录音输出功能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★13、支持无线蓝牙播放</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技术参数：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输出通道：5.1声道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麦克风信噪比：85DB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音乐信噪比：93DB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失真度：0.01%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麦克风最大输入电平：250MV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音乐最大输入电平：6V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麦克风最小输入电平：10VRMS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音乐最小输入电平：10VRMS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麦克风灵敏度：15MV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音乐灵敏度：300MV</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麦克风输入阻抗：10K</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音乐输入阻抗：47K</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麦克风输出阻抗：300平衡、1K不平衡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音乐输出阻抗：300平衡、1K不平衡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通道分离度：85DB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啸叫抑制：4级反馈抑制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处理器：96KHZ 32-BIT 255MHZ ADI系列数字音频处理器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音乐参数：16段PEQ、中心频点、Q值、增益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麦克风参数：16段PEQ、中心频点、Q值、增益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双混响5段参量均衡</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左右主声道参数：信号混合、极性、5段PEQ、低通、高通、压限、延时、增益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左右环绕声道参数：信号混合、极性、5段PEQ、低通、高通、压限、延时、增益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中置声道参数：信号混合、极性、5段PEQ、低通、高通、压限、延时、增益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低音声道参数：信号混合、极性、5段PEQ、低通、高通、压限、延时、增益</w:t>
            </w:r>
          </w:p>
          <w:p>
            <w:pPr>
              <w:widowControl/>
              <w:jc w:val="left"/>
              <w:textAlignment w:val="center"/>
              <w:rPr>
                <w:color w:val="000000" w:themeColor="text1"/>
              </w:rPr>
            </w:pPr>
            <w:r>
              <w:rPr>
                <w:rFonts w:hint="eastAsia" w:ascii="宋体" w:hAnsi="宋体" w:cs="宋体"/>
                <w:color w:val="000000" w:themeColor="text1"/>
                <w:kern w:val="0"/>
                <w:sz w:val="24"/>
              </w:rPr>
              <w:t>增加配置电脑调试软件一套及数据连接线一条</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418"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电源时序</w:t>
            </w:r>
            <w:r>
              <w:rPr>
                <w:rFonts w:hint="eastAsia" w:ascii="宋体" w:hAnsi="宋体" w:cs="宋体"/>
                <w:color w:val="000000" w:themeColor="text1"/>
                <w:kern w:val="0"/>
                <w:sz w:val="24"/>
              </w:rPr>
              <w:drawing>
                <wp:anchor distT="0" distB="0" distL="114300" distR="114300" simplePos="0" relativeHeight="252608512" behindDoc="0" locked="0" layoutInCell="1" allowOverlap="1">
                  <wp:simplePos x="0" y="0"/>
                  <wp:positionH relativeFrom="column">
                    <wp:posOffset>748030</wp:posOffset>
                  </wp:positionH>
                  <wp:positionV relativeFrom="paragraph">
                    <wp:posOffset>466725</wp:posOffset>
                  </wp:positionV>
                  <wp:extent cx="537210" cy="461010"/>
                  <wp:effectExtent l="19050" t="0" r="0" b="0"/>
                  <wp:wrapNone/>
                  <wp:docPr id="935" name="图片_937"/>
                  <wp:cNvGraphicFramePr/>
                  <a:graphic xmlns:a="http://schemas.openxmlformats.org/drawingml/2006/main">
                    <a:graphicData uri="http://schemas.openxmlformats.org/drawingml/2006/picture">
                      <pic:pic xmlns:pic="http://schemas.openxmlformats.org/drawingml/2006/picture">
                        <pic:nvPicPr>
                          <pic:cNvPr id="935" name="图片_937"/>
                          <pic:cNvPicPr>
                            <a:picLocks noChangeArrowheads="1"/>
                          </pic:cNvPicPr>
                        </pic:nvPicPr>
                        <pic:blipFill>
                          <a:blip r:embed="rId102"/>
                          <a:srcRect/>
                          <a:stretch>
                            <a:fillRect/>
                          </a:stretch>
                        </pic:blipFill>
                        <pic:spPr>
                          <a:xfrm>
                            <a:off x="0" y="0"/>
                            <a:ext cx="537210" cy="461010"/>
                          </a:xfrm>
                          <a:prstGeom prst="rect">
                            <a:avLst/>
                          </a:prstGeom>
                          <a:noFill/>
                          <a:ln w="9525" cmpd="sng">
                            <a:noFill/>
                            <a:miter lim="800000"/>
                            <a:headEnd/>
                            <a:tailEnd/>
                          </a:ln>
                        </pic:spPr>
                      </pic:pic>
                    </a:graphicData>
                  </a:graphic>
                </wp:anchor>
              </w:drawing>
            </w:r>
            <w:r>
              <w:rPr>
                <w:rFonts w:hint="eastAsia" w:ascii="宋体" w:hAnsi="宋体" w:cs="宋体"/>
                <w:color w:val="000000" w:themeColor="text1"/>
                <w:kern w:val="0"/>
                <w:sz w:val="24"/>
              </w:rPr>
              <w:t>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ascii="宋体" w:hAnsi="宋体" w:cs="宋体"/>
                <w:color w:val="000000" w:themeColor="text1"/>
                <w:kern w:val="0"/>
                <w:sz w:val="24"/>
              </w:rPr>
              <w:t>FROSS M20</w:t>
            </w:r>
            <w:r>
              <w:rPr>
                <w:rFonts w:hint="eastAsia" w:ascii="宋体" w:hAnsi="宋体" w:cs="宋体"/>
                <w:color w:val="000000" w:themeColor="text1"/>
                <w:kern w:val="0"/>
                <w:sz w:val="24"/>
              </w:rPr>
              <w:t>时序器产品特色：1、整机输出电流30A，满足大功率系统供电需求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2、恢复出厂设置功能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3、配置2.0英寸超大彩色显示屏，实时显示工作电压,及工作状态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8+2路供电输出，每路输出AC220V-13A，采用16万能插座，适用各种类型插座；采用30A欧姆龙继电器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 配备标准RS232串行数据接口,开放控制协议,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配备标准RS232输出接口，扩展更方便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★7、时序行为记忆功能，使开关时序突破传统，变得随心所欲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8、每路间隔时间在0-999秒间可设，可配置常开、互锁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9、按键开关指示一体化设计，更智能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10、键盘锁(LOCK)功能,防止误操作，便于用户管理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11、一体化扩展功能，确保关机时序正确，彻底解决关机冲设备问题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 每路独立净化专用EMI滤波功能，消除系统间特别是灯光系统的电磁干扰，保证系统工作稳定，对于音频系统提高音质也有明显作用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13、2U标准机箱，铝合金面板</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技术参数：</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额定输出电压：交流220V.50Hz</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可控制电源：8路+2路辅助通道</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魅蓝工作延时时间：0-999S</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供电电源：AC 220V 50/60Hz 30A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状态显示：2寸液晶彩色屏幕；当前电压、日期、时间、每路状态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单路总输出电流：13A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额定总输出电流：30A</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定时器功能：支持</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17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机柜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尺寸：600mm宽*1610高*800mm深,容积（U）：32,</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配置：带透气孔的前门（专利）门条和六角网孔后门，8位国标排插组件2套，固定板5块，风扇组件1套（除600深机柜配2只风扇外，其余配4只），重型脚轮4只，方螺母螺钉40套，支脚4只，内六扳手1只</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标准：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   符合ANSI/EIA RS-310-D、IEC297-2、DIN41491； PART1、DIN41494； PART7、 GB/T3047.2- 92标准；兼容ETSI标准.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特点：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外观设计高贵典雅，工艺精湛、尺寸精密，极富时代气息，为您的工程增添价值；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可方便地安装图腾机柜集中配电单元（专利）；</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国际流行的无色透明钢化玻璃前门，玻璃四周丝印黑色网纹；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带透气孔的前门（专利）门条和六角网孔后门，方便通风散热，提高内置设备运行可靠性；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前后为圆形通风孔的上下框；</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可同时安装脚轮和支脚；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结构坚固，最大静载达800KG（带支脚）；</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可关闭的上部、下部多处走线通道，底部大走线孔尺寸可按需调整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可选配安装底座，达到固定机柜、底部过线、底部送冷风、防鼠的要求；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前门配高级弹力锁；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高效坚固的并柜连接（专利）。</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承载：静载800KG(带支架)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防护等级：IP20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主要材料：SPCC优质冷扎钢板制作；厚度：方孔条2.0mm，安装梁1.5mm，其它1.2mm。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表面处理：方孔条镀红锌；其余：脱脂、磷化、静电喷塑</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安装配件及调试</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进口或秋叶原接插件、线材；音箱支架、标签等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仿宋" w:hAnsi="仿宋" w:eastAsia="仿宋" w:cs="仿宋"/>
                <w:color w:val="000000" w:themeColor="text1"/>
                <w:sz w:val="24"/>
              </w:rPr>
              <w:t>86吋智能交互平板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配置参数详见附件3</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推拉绿板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配置参数详见附件4</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组</w:t>
            </w:r>
          </w:p>
        </w:tc>
      </w:tr>
      <w:tr>
        <w:tblPrEx>
          <w:tblCellMar>
            <w:top w:w="0" w:type="dxa"/>
            <w:left w:w="108" w:type="dxa"/>
            <w:bottom w:w="0" w:type="dxa"/>
            <w:right w:w="108" w:type="dxa"/>
          </w:tblCellMar>
        </w:tblPrEx>
        <w:trPr>
          <w:trHeight w:val="1976"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学生六角桌</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2609536" behindDoc="0" locked="0" layoutInCell="1" allowOverlap="1">
                  <wp:simplePos x="0" y="0"/>
                  <wp:positionH relativeFrom="column">
                    <wp:posOffset>116205</wp:posOffset>
                  </wp:positionH>
                  <wp:positionV relativeFrom="paragraph">
                    <wp:posOffset>342265</wp:posOffset>
                  </wp:positionV>
                  <wp:extent cx="591820" cy="541655"/>
                  <wp:effectExtent l="19050" t="0" r="0" b="0"/>
                  <wp:wrapNone/>
                  <wp:docPr id="65" name="图片_938"/>
                  <wp:cNvGraphicFramePr/>
                  <a:graphic xmlns:a="http://schemas.openxmlformats.org/drawingml/2006/main">
                    <a:graphicData uri="http://schemas.openxmlformats.org/drawingml/2006/picture">
                      <pic:pic xmlns:pic="http://schemas.openxmlformats.org/drawingml/2006/picture">
                        <pic:nvPicPr>
                          <pic:cNvPr id="65" name="图片_938"/>
                          <pic:cNvPicPr>
                            <a:picLocks noChangeArrowheads="1"/>
                          </pic:cNvPicPr>
                        </pic:nvPicPr>
                        <pic:blipFill>
                          <a:blip r:embed="rId103"/>
                          <a:srcRect/>
                          <a:stretch>
                            <a:fillRect/>
                          </a:stretch>
                        </pic:blipFill>
                        <pic:spPr>
                          <a:xfrm>
                            <a:off x="0" y="0"/>
                            <a:ext cx="591820" cy="54165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学生六角桌</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铝木结构，一体化台面。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详细参数如下：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1、规格：800mm(边)×1600mm（直径）×760mm（高）。</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★2、台面：采用国内知名品牌12.7mm厚实芯（双面）理化板台面，台面边缘用同质材料板双层加厚至25.4mm，由专业生产厂家用CNC机械加工而成。具体性能如下：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A、 通过盐酸、硫酸、硝酸、氢氧化钠等不少于30种酸、碱、其它化学试剂的检验结果为无明显变化，提供国家级检测报告。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B、通过检测：重金属铅、镉、铬、汞均低于检出限量值（≤20mg/kg ）， 符合GB18585-2001或GB18586-2001等国家标准，提供国家级检测报告。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C、通过国家化学建筑材料测试中心或SGS等权威机构参照最新标准（GB/T18580-2017）检测，结果为：甲醛释放量：≤0.02mg/M3，满足E1≤0.124mgM3的限量技术要求，提供国家级检测报告。</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D、通过国家化学建筑材料测试中心等机构检测依据GB/T17657-2013等标准及方法检验，物理性能结果为：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（1）表面耐磨性能检验结果磨350r无明显露底。</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（2）表面耐干热性能：5级无明显变化；</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（3）表面耐香烟灼烧性能：5级无明显变化；</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（4）24h吸水率≤0.1%；</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（5）漆膜附着力：0级，切割边缘完全平滑无一个格脱落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（6）表面耐龟裂：5级，用6倍放大镜观察表面无裂纹</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E、平压强度＞30KN；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F、负荷变形温度大于280℃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3）台体框架：采用模具成型的专用铝合金型材制作，铝合金型材的壁厚1.0mm。框架的立柱为圆管，圆管外径50mm，框架的横梁为方管，截面尺寸30mm×22mm；通过ABS专用连接件组装而成，组装接缝严密，连接牢固，无松动现象。铝合金型材带凹槽，槽的宽度、深度均与所采用的柜体板材相匹配，接缝严密，无晃动现象。铝合金型材表面经静电粉沫喷涂处理，整体耐腐蚀、防火、防潮、稳固耐用。</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（4）台体衬板：用厚度为16mm双面三聚氰胺板（即双饰面板）作为台体衬板，其内芯的基材为聚木屑纤维板，外漏截面采用1.5mm厚塑制优质封边条机械封边。</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19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椅子</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ascii="宋体" w:hAnsi="宋体" w:cs="宋体"/>
                <w:color w:val="000000" w:themeColor="text1"/>
                <w:sz w:val="24"/>
              </w:rPr>
              <w:drawing>
                <wp:inline distT="0" distB="0" distL="0" distR="0">
                  <wp:extent cx="874395" cy="699770"/>
                  <wp:effectExtent l="19050" t="0" r="1905" b="0"/>
                  <wp:docPr id="3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4"/>
                          <pic:cNvPicPr>
                            <a:picLocks noChangeAspect="1" noChangeArrowheads="1"/>
                          </pic:cNvPicPr>
                        </pic:nvPicPr>
                        <pic:blipFill>
                          <a:blip r:embed="rId67"/>
                          <a:srcRect/>
                          <a:stretch>
                            <a:fillRect/>
                          </a:stretch>
                        </pic:blipFill>
                        <pic:spPr>
                          <a:xfrm>
                            <a:off x="0" y="0"/>
                            <a:ext cx="874395" cy="699770"/>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1、采用知名品牌的网布和布料，经久耐用，抗撕裂性强，透气性好，轻轻擦拭即可除污；                            2、坐垫采用加厚的一体成型的高回弹定型棉作为坐垫，并且坐垫前沿有弧形设计，对腿部支撑更好，更贴合，环保健康更加舒适；    3、全身椅子架都是采用高硬度1.5mm的钢材，设计承重达到500斤；</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48</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sz w:val="24"/>
              </w:rPr>
              <w:t>29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讲台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配置参数详见附件2</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知识窗帘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双道窗帘，里道为优质加厚棉麻布料制作的全遮光帘（包括窗轨），外道为高级无纺布彩色喷绘定制，在窗帘上印制相关知识内容，集教学、观赏为一体的卷帘；含窗帘图文设计与安装，不含窗帘盒。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室</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各国国旗</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包含国旗、党旗及其他8个国家的国旗。配2米落地旗杆，含底座、旗杆。</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面</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高密无线AP</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详细参数规格见附件6</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7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空调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1、★3匹不少于3级能效冷暖立柜式空调。★整机10年厂家免费上门质保,具体参数规格详细见附件7.</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2、注：如果没有空调的冷凝水PVC排水管到地面，则需要安装空调冷凝水水管50PVCU到地面排水沟里</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二十四、学科专用教室监控系统清单</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安装地点</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规格参数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1704"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NVR</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传达室机房</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DS-8664N-K8硬件规格：</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2U标准机架式</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2个HDMI，2个VGA,HDMI+VGA组内同源</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8盘位，可满配8T硬盘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2个千兆网口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2个USB2.0接口、1个USB3.0接口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1个eSATA接口报警IO：16进4路（可选配8出）软件性能：输入带宽：320M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64路H.264、H.265混合接入最大支持8×1080P解码支持H.265、H.264解码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Smart 2.0/整机热备/ANR/智能检索/智能回放/车牌检索/人脸检索/热度图/客流量统计/分时段回放/超高倍速回放/双系统备份</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显示器</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传达室机房</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戴尔19.5英寸E2020H，1600*900,60HZ，DP，VGA，178度/178度视角，亮度：250CD/m²</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鼠标键盘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传达室机房</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戴尔有线鼠标键盘套装</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汇聚交换机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传达室机房</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LS-S5130S-28S-HI H3C华三24口全千兆供电交换机.安装在传达室机房机房。24个10/100/1000Base-T自适应以太网端口，4个万兆SFP+口，背板带宽 336Gbps/3.36Tbps，包转发率 126Mpps，包含上下联千兆光模块</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硬盘</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传达室机房</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★企业级硬盘，希捷HDDST8000NM000A，8T,256M，7200,3.5,★5年质保。</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网络机柜</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传达室机房</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国标网络机柜，规格600*800*2000mm，配置档板3块。需要把监控NVR、显示器等系统安装在此机柜内部，含国标8位PDU2套，电光跳线等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配线架、理线架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传达室机房</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含监控的光纤、6类网线配线架、理线架，包含跳线、千兆光模块</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POE带咪红外半球</w:t>
            </w:r>
          </w:p>
        </w:tc>
        <w:tc>
          <w:tcPr>
            <w:tcW w:w="1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科技楼104、401、402、408、416、418、420、301、212、214、105、114、115</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200万 1/2.7" CMOS ICR日夜型半球型网络摄像机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智能侦测：越界侦测，区域入侵侦测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最低照度： 彩色：0.01 Lux @（F1.2，AGC ON），黑白：0 Lux with IR</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宽动态： 120 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调节角度： 水平：0°~360°，垂直：0°~75°，旋转：0°~360°焦距&amp;视场角：  2.8 mm，水平视场角：107.1°，垂直视场角：57°，对角线视场角：127.6°4 mm，水平视场角：87.6°，垂直视场角：44.4°，对角线视场角：104.9°6 mm，水平视场角：53.9°，垂直视场角：28.8°，对角线视场角：62.8°8 mm，水平视场角：40.9°，垂直视场角：22.5°，对角线视场角：47.4°补光灯类型： 红外灯补光距离： 最远可达30 m波长范围： 850 nm防补光过曝： 支持最大图像尺寸： 1920 × 1080视频压缩标准： 主码流：H.265/H.264网络存储： 支持NAS（NFS，SMB/CIFS均支持）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音频： 1个内置麦克风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网络： 1个RJ45 10 M/100 M自适应以太网口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存储温湿度： -30 ℃~60 ℃，湿度小于95%（无凝结）</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启动和工作温湿度： -30 ℃~60 ℃，湿度小于95%（无凝结）</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供电方式： DC：12 V ± 25%，支持防反接保护；PoE：802.3af，Class 3</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电流及功耗： DC：12 V，0.41 A，最大功耗：5 W；PoE：（802.3af，36 V~57 V），0.18 A ~0.11 A，最大功耗：6.5 W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电源接口类型： Ø5.5 mm圆口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产品尺寸：不大于 Ø127.3 × 96.8 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防护： IP66。</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本次配置4mm镜头的摄像头包括监控专用接线盒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28</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416"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POE交换机</w:t>
            </w:r>
          </w:p>
        </w:tc>
        <w:tc>
          <w:tcPr>
            <w:tcW w:w="1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科技楼4楼机房</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S5130S-52S-PWR-HI H3C华三52口全千兆POE+供电交换机.安装在交换机房。48个10/100/1000Base-T自适应以太网端口（PoE+），4个万兆SFP+口，背板带宽432Gbps/4.32Tbps，包转发率 166Mpps，配双560W：900W（PoE为600W）包含上下联千兆光模块</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271"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网络机柜</w:t>
            </w:r>
          </w:p>
        </w:tc>
        <w:tc>
          <w:tcPr>
            <w:tcW w:w="1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科技楼4楼机房</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国标网络机柜，规格600*800*2000mm，配置档板3块。需要把监控、无线AP等交换机系统安装在此机柜内部，含国标8位PDU2套，电光跳线等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配线架、理线架</w:t>
            </w:r>
          </w:p>
        </w:tc>
        <w:tc>
          <w:tcPr>
            <w:tcW w:w="1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科技楼4楼机房</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含监控及AP的光纤、6类网线配线架、理线架，包含跳线千兆光模块</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网线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科技楼</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六类非屏蔽网线D165-E</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箱</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水晶头</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科技楼</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六类非屏蔽水晶头</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POE带咪红外半球</w:t>
            </w:r>
          </w:p>
        </w:tc>
        <w:tc>
          <w:tcPr>
            <w:tcW w:w="1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艺术楼102、104、106、108、202、204、206、208、电窑间</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其中电窑间的摄像头为广角，DS-2CD2325V3-I为200万 1/2.7" CMOS ICR日夜型半球型网络摄像机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智能侦测：越界侦测，区域入侵侦测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最低照度： 彩色：0.01 Lux @（F1.2，AGC ON），黑白：0 Lux with IR</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宽动态： 120 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调节角度： 水平：0°~360°，垂直：0°~75°，旋转：0°~360°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焦距&amp;视场角：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2.8 mm，水平视场角：107.1°，垂直视场角：57°，对角线视场角：127.6°</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mm，水平视场角：87.6°，垂直视场角：44.4°，对角线视场角：104.9°</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mm，水平视场角：53.9°，垂直视场角：28.8°，对角线视场角：62.8°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mm，水平视场角：40.9°，垂直视场角：22.5°，对角线视场角：47.4°</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补光灯类型： 红外灯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补光距离： 最远可达30 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波长范围： 850 nm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防补光过曝： 支持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最大图像尺寸： 1920 × 1080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视频压缩标准： 主码流：H.265/H.264</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网络存储： 支持NAS（NFS，SMB/CIFS均支持）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音频： 1个内置麦克风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网络： 1个RJ45 10 M/100 M自适应以太网口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存储温湿度： -30 ℃~60 ℃，湿度小于95%（无凝结）</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启动和工作温湿度： -30 ℃~60 ℃，湿度小于95%（无凝结）</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供电方式： DC：12 V ± 25%，支持防反接保护；PoE：802.3af，Class 3</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电流及功耗： DC：12 V，0.41 A，最大功耗：5 W；PoE：（802.3af，36 V~57 V），0.18 A ~0.11 A，最大功耗：6.5 W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电源接口类型： Ø5.5 mm圆口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产品尺寸：不大于 Ø127.3 × 96.8 mm防护： IP66。</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本次配置4mm镜头的摄像头包括监控专用接线盒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POE交换机</w:t>
            </w:r>
          </w:p>
        </w:tc>
        <w:tc>
          <w:tcPr>
            <w:tcW w:w="1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艺术楼1楼机房</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LS-S5130S-28S-PWR-HI H3C华三24口全千兆POE+供电交换机.安装在交换机房。24个10/100/1000Base-T自适应以太网端口（PoE+），4个万兆SFP+口，背板带宽 336Gbps/3.36Tbps，包转发率 126Mpps，配双360W：678W（PoE为600W）包含上下联千兆光模块</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网络机柜</w:t>
            </w:r>
          </w:p>
        </w:tc>
        <w:tc>
          <w:tcPr>
            <w:tcW w:w="1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艺术楼1楼机房</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国标网络机柜，规格600*600*2000mm。需要把监控、无线AP等系统安装在此机柜内部，含国标8位PDU 2套，电、光跳线等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294"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配线架、理线架</w:t>
            </w:r>
          </w:p>
        </w:tc>
        <w:tc>
          <w:tcPr>
            <w:tcW w:w="1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艺术楼1楼机房</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监控的光纤、6类网线配线架、理线架，包含跳线千兆光模块</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网线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艺术楼</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六类非屏蔽网线D165-E</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箱</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水晶头</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艺术楼</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六类非屏蔽网线水晶头</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批</w:t>
            </w:r>
          </w:p>
        </w:tc>
      </w:tr>
      <w:tr>
        <w:tblPrEx>
          <w:tblCellMar>
            <w:top w:w="0" w:type="dxa"/>
            <w:left w:w="108" w:type="dxa"/>
            <w:bottom w:w="0" w:type="dxa"/>
            <w:right w:w="108" w:type="dxa"/>
          </w:tblCellMar>
        </w:tblPrEx>
        <w:trPr>
          <w:trHeight w:val="39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POE带咪红外半球</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人文楼</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kern w:val="0"/>
                <w:sz w:val="24"/>
              </w:rPr>
            </w:pPr>
            <w:r>
              <w:rPr>
                <w:rFonts w:hint="eastAsia" w:ascii="宋体" w:hAnsi="宋体" w:cs="宋体"/>
                <w:color w:val="000000" w:themeColor="text1"/>
                <w:kern w:val="0"/>
                <w:sz w:val="24"/>
              </w:rPr>
              <w:t>200万 1/2.7" CMOS ICR日夜型半球型网络摄像机</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智能侦测：越界侦测，区域入侵侦测</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最低照度： 彩色：0.01 Lux @（F1.2，AGC ON），黑白：0 Lux with IR</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宽动态： 120 dB</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调节角度： 水平：0°~360°，垂直：0°~75°，旋转：0°~360°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焦距&amp;视场角：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2.8 mm，水平视场角：107.1°，垂直视场角：57°，对角线视场角：127.6°</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 mm，水平视场角：87.6°，垂直视场角：44.4°，对角线视场角：104.9°</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6 mm，水平视场角：53.9°，垂直视场角：28.8°，对角线视场角：62.8°</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8 mm，水平视场角：40.9°，垂直视场角：22.5°，对角线视场角：47.4°</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补光灯类型： 红外灯</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补光距离： 最远可达30 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波长范围： 850 nm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防补光过曝： 支持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最大图像尺寸： 1920 × 1080</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视频压缩标准： 主码流：H.265/H.264</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网络存储： 支持NAS（NFS，SMB/CIFS均支持）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音频： 1个内置麦克风</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网络： 1个RJ45 10 M/100 M自适应以太网口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存储温湿度： -30 ℃~60 ℃，湿度小于95%（无凝结）</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启动和工作温湿度： -30 ℃~60 ℃，湿度小于95%（无凝结）</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供电方式： DC：12 V ± 25%，支持防反接保护；PoE：802.3af，Class 3</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电流及功耗： DC：12 V，0.41 A，最大功耗：5 W；PoE：（802.3af，36 V~57 V），0.18 A ~0.11 A，最大功耗：6.5 W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电源接口类型： Ø5.5 mm圆口</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产品尺寸： 不大于Ø127.3 × 96.8 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防护： IP66。</w:t>
            </w:r>
          </w:p>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本次配置4mm镜头的摄像头包括监控专用接线盒</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POE交换机</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人文楼机房</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LS-S5130S-28S-PWR-HI H3C华三24口全千兆POE+供电交换机.安装在交换机房。24个10/100/1000Base-T自适应以太网端口（PoE+），4个万兆SFP+口，背板带宽 336Gbps/3.36Tbps，包转发率 126Mpps，配双360W：678W（PoE为600W）包含上下联千兆光模块</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国标8位PDU</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人文楼机房</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利用原有服务器机柜，需要把监控、无线AP等系统安装在此机柜内部</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配线架、理线架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人文楼机房</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监控的光纤、6类网线配线架、理线架，包含跳线、千兆光模块</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网线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人文楼</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选择原有各个教室的网络点，抽取原有网线，在走廊吊顶上做可靠的接头（焊接）通过加厚PVC线槽延长至AP、监控摄像头位置</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批</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水晶头</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人文楼</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六类非屏蔽网线水晶头</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批</w:t>
            </w:r>
          </w:p>
        </w:tc>
      </w:tr>
      <w:tr>
        <w:tblPrEx>
          <w:tblCellMar>
            <w:top w:w="0" w:type="dxa"/>
            <w:left w:w="108" w:type="dxa"/>
            <w:bottom w:w="0" w:type="dxa"/>
            <w:right w:w="108" w:type="dxa"/>
          </w:tblCellMar>
        </w:tblPrEx>
        <w:trPr>
          <w:trHeight w:val="416"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系统安装调试</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所有监控系统必须接入学校监控网，通过光纤汇聚到南门传达室监控机房</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批</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二十五、体育学科部分器材清单</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参数规格</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18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全蹲斯密斯龙门架</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ascii="宋体" w:hAnsi="宋体" w:cs="宋体"/>
                <w:color w:val="000000" w:themeColor="text1"/>
                <w:sz w:val="24"/>
              </w:rPr>
              <w:drawing>
                <wp:inline distT="0" distB="0" distL="0" distR="0">
                  <wp:extent cx="1009650" cy="1073150"/>
                  <wp:effectExtent l="19050" t="0" r="0" b="0"/>
                  <wp:docPr id="3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5"/>
                          <pic:cNvPicPr>
                            <a:picLocks noChangeAspect="1" noChangeArrowheads="1"/>
                          </pic:cNvPicPr>
                        </pic:nvPicPr>
                        <pic:blipFill>
                          <a:blip r:embed="rId104"/>
                          <a:srcRect/>
                          <a:stretch>
                            <a:fillRect/>
                          </a:stretch>
                        </pic:blipFill>
                        <pic:spPr>
                          <a:xfrm>
                            <a:off x="0" y="0"/>
                            <a:ext cx="1009650" cy="1073150"/>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多功能史密斯机深蹲架龙门架商用出口款综合训练健身器材,180公斤配重,后置配重，移动飞鸟史密斯，具有史密斯、自由深蹲、移动飞鸟，可搭配标准奥杆，有后置立柱配重块链接史密斯杠铃杆，一组动滑轮组.配置3028多功能训练器，80kg全胶奥杆哑铃片，1.2米曲杆，2.2米杠杠杆；附件有可调飞鸟拉手、短保护架、卡扣、双杠、长保护架、三头肌绳、炮筒、长拉力杆、拉力横杆、卡腿部件、T型拉力器等</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台</w:t>
            </w:r>
          </w:p>
        </w:tc>
      </w:tr>
      <w:tr>
        <w:tblPrEx>
          <w:tblCellMar>
            <w:top w:w="0" w:type="dxa"/>
            <w:left w:w="108" w:type="dxa"/>
            <w:bottom w:w="0" w:type="dxa"/>
            <w:right w:w="108" w:type="dxa"/>
          </w:tblCellMar>
        </w:tblPrEx>
        <w:trPr>
          <w:trHeight w:val="699"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四面组合移动单杠</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ascii="宋体" w:hAnsi="宋体" w:cs="宋体"/>
                <w:color w:val="000000" w:themeColor="text1"/>
                <w:kern w:val="0"/>
                <w:sz w:val="24"/>
                <w:bdr w:val="single" w:color="000000" w:sz="4" w:space="0"/>
              </w:rPr>
              <w:drawing>
                <wp:inline distT="0" distB="0" distL="0" distR="0">
                  <wp:extent cx="1002030" cy="890270"/>
                  <wp:effectExtent l="19050" t="0" r="7620" b="0"/>
                  <wp:docPr id="3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6"/>
                          <pic:cNvPicPr>
                            <a:picLocks noChangeAspect="1" noChangeArrowheads="1"/>
                          </pic:cNvPicPr>
                        </pic:nvPicPr>
                        <pic:blipFill>
                          <a:blip r:embed="rId105"/>
                          <a:srcRect/>
                          <a:stretch>
                            <a:fillRect/>
                          </a:stretch>
                        </pic:blipFill>
                        <pic:spPr>
                          <a:xfrm>
                            <a:off x="0" y="0"/>
                            <a:ext cx="1002030" cy="890270"/>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四面组合移动单杠</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占地尺寸：不小于2.45m*2.45m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使用高度：2.06m-2.36m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使用宽度：1200mm±10mm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脚管尺寸：Φ50mm*2.5mm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横杆尺寸：Φ28mm*2.5mm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单边承重：不小于2200N（1min）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总承重：不小于8800N（1min）</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产品特色</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可移动性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四面组合移动单杠，通过四根支撑管直接放置于场地地面，不采取固定式安装，可以根据日常训练的实际需要，搬运至指定场地使用，遇天气不佳时，还可搬运至室内场地，免受天气影响。</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可调节性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四面组合移动单杠，共具有七种使用高度，高度含括2.06~2.36m，每档高度间隔46mm，安装可根据使用者实际身高需求，在七种高度中任选四种进行安装。</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四面同步训练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四面组合移动单杠，四个方向各具有不同使用高度，使用者可以根据自身需求，选择合适高度，并可同时进行训练。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稳定性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四面组合移动单杠，顶部装有四根稳定横杆，加强单杠稳定性，底座加大并装有橡胶垫，增大受力面积及摩擦力，同时适合室内地板使用。底座预留有地脚螺栓安装孔，可根据实际需要进行安装。</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副</w:t>
            </w:r>
          </w:p>
        </w:tc>
      </w:tr>
      <w:tr>
        <w:tblPrEx>
          <w:tblCellMar>
            <w:top w:w="0" w:type="dxa"/>
            <w:left w:w="108" w:type="dxa"/>
            <w:bottom w:w="0" w:type="dxa"/>
            <w:right w:w="108" w:type="dxa"/>
          </w:tblCellMar>
        </w:tblPrEx>
        <w:trPr>
          <w:trHeight w:val="271"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单杠</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ascii="宋体" w:hAnsi="宋体" w:cs="宋体"/>
                <w:color w:val="000000" w:themeColor="text1"/>
                <w:sz w:val="24"/>
              </w:rPr>
              <w:drawing>
                <wp:inline distT="0" distB="0" distL="0" distR="0">
                  <wp:extent cx="993775" cy="691515"/>
                  <wp:effectExtent l="19050" t="0" r="0" b="0"/>
                  <wp:docPr id="3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7"/>
                          <pic:cNvPicPr>
                            <a:picLocks noChangeAspect="1" noChangeArrowheads="1"/>
                          </pic:cNvPicPr>
                        </pic:nvPicPr>
                        <pic:blipFill>
                          <a:blip r:embed="rId106"/>
                          <a:srcRect/>
                          <a:stretch>
                            <a:fillRect/>
                          </a:stretch>
                        </pic:blipFill>
                        <pic:spPr>
                          <a:xfrm>
                            <a:off x="0" y="0"/>
                            <a:ext cx="993775" cy="691515"/>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国标室外大底盘固定单杠，重量不少于54kg，杠面2200mm,高度2000-2500mm,带4根不锈钢拉索与地钉，杠杆为实心弹簧钢，底盘为实心铸铁，直径不少于174mm，杠头为实心铸钢，双顶丝与直杆链接，直杆为热镀锌钢管与钢管烤漆</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12</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副</w:t>
            </w:r>
          </w:p>
        </w:tc>
      </w:tr>
      <w:tr>
        <w:tblPrEx>
          <w:tblCellMar>
            <w:top w:w="0" w:type="dxa"/>
            <w:left w:w="108" w:type="dxa"/>
            <w:bottom w:w="0" w:type="dxa"/>
            <w:right w:w="108" w:type="dxa"/>
          </w:tblCellMar>
        </w:tblPrEx>
        <w:trPr>
          <w:trHeight w:val="17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固定单杠</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ascii="宋体" w:hAnsi="宋体" w:cs="宋体"/>
                <w:color w:val="000000" w:themeColor="text1"/>
                <w:sz w:val="24"/>
              </w:rPr>
              <w:drawing>
                <wp:inline distT="0" distB="0" distL="0" distR="0">
                  <wp:extent cx="620395" cy="683895"/>
                  <wp:effectExtent l="19050" t="0" r="8255" b="0"/>
                  <wp:docPr id="3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8"/>
                          <pic:cNvPicPr>
                            <a:picLocks noChangeAspect="1" noChangeArrowheads="1"/>
                          </pic:cNvPicPr>
                        </pic:nvPicPr>
                        <pic:blipFill>
                          <a:blip r:embed="rId107"/>
                          <a:srcRect/>
                          <a:stretch>
                            <a:fillRect/>
                          </a:stretch>
                        </pic:blipFill>
                        <pic:spPr>
                          <a:xfrm>
                            <a:off x="0" y="0"/>
                            <a:ext cx="620395" cy="683895"/>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标准4寸单杠（立柱直径114mm）,杠杆直径为28mm的实心弹簧钢，长度1500mm,安装前立柱高度2700mm，杠杆高度2600mm,安装后杠杆离地面2200mm及以下，安装方式：混凝土直埋400mm以上</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副</w:t>
            </w:r>
          </w:p>
        </w:tc>
      </w:tr>
      <w:tr>
        <w:tblPrEx>
          <w:tblCellMar>
            <w:top w:w="0" w:type="dxa"/>
            <w:left w:w="108" w:type="dxa"/>
            <w:bottom w:w="0" w:type="dxa"/>
            <w:right w:w="108" w:type="dxa"/>
          </w:tblCellMar>
        </w:tblPrEx>
        <w:trPr>
          <w:trHeight w:val="2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M-712大功率三分频教学户外移动拉杆音箱</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ascii="宋体" w:hAnsi="宋体" w:cs="宋体"/>
                <w:color w:val="000000" w:themeColor="text1"/>
                <w:sz w:val="24"/>
              </w:rPr>
              <w:drawing>
                <wp:inline distT="0" distB="0" distL="0" distR="0">
                  <wp:extent cx="914400" cy="1311910"/>
                  <wp:effectExtent l="19050" t="0" r="0" b="0"/>
                  <wp:docPr id="3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9"/>
                          <pic:cNvPicPr>
                            <a:picLocks noChangeAspect="1" noChangeArrowheads="1"/>
                          </pic:cNvPicPr>
                        </pic:nvPicPr>
                        <pic:blipFill>
                          <a:blip r:embed="rId108"/>
                          <a:srcRect/>
                          <a:stretch>
                            <a:fillRect/>
                          </a:stretch>
                        </pic:blipFill>
                        <pic:spPr>
                          <a:xfrm>
                            <a:off x="0" y="0"/>
                            <a:ext cx="914400" cy="1311910"/>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大功率三分频教学直播唱歌音响广场舞户外移动拉杆音箱</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尺寸：355*355*680mm；</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重量：23.5kg；</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低音单元：12寸100磁；</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高音单元：80磁高音</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峰值功率：350W；</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灵敏度：98dB阻抗4欧</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内置电池：12AH天能牌电池</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无线蓝牙、话筒优先、U盘、SD卡播放、一键录音、外接12V、LED显示屏、话筒调节</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配置：1话筒1耳麦，遥控器，电源线，话筒包，音频线，防摔圈，防喷罩，曼龙U盘，8只5号充电电池及配套的充电器，音箱支架，话筒手机支架</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11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杠铃片</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ascii="宋体" w:hAnsi="宋体" w:cs="宋体"/>
                <w:color w:val="000000" w:themeColor="text1"/>
                <w:sz w:val="24"/>
              </w:rPr>
              <w:drawing>
                <wp:inline distT="0" distB="0" distL="0" distR="0">
                  <wp:extent cx="524510" cy="548640"/>
                  <wp:effectExtent l="19050" t="0" r="8890" b="0"/>
                  <wp:docPr id="3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0"/>
                          <pic:cNvPicPr>
                            <a:picLocks noChangeAspect="1" noChangeArrowheads="1"/>
                          </pic:cNvPicPr>
                        </pic:nvPicPr>
                        <pic:blipFill>
                          <a:blip r:embed="rId109"/>
                          <a:srcRect/>
                          <a:stretch>
                            <a:fillRect/>
                          </a:stretch>
                        </pic:blipFill>
                        <pic:spPr>
                          <a:xfrm>
                            <a:off x="0" y="0"/>
                            <a:ext cx="524510" cy="548640"/>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25公斤.AVEC杠铃片全胶奥杆哑铃片，高弹性 耐摔打</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片</w:t>
            </w:r>
          </w:p>
        </w:tc>
      </w:tr>
      <w:tr>
        <w:tblPrEx>
          <w:tblCellMar>
            <w:top w:w="0" w:type="dxa"/>
            <w:left w:w="108" w:type="dxa"/>
            <w:bottom w:w="0" w:type="dxa"/>
            <w:right w:w="108" w:type="dxa"/>
          </w:tblCellMar>
        </w:tblPrEx>
        <w:trPr>
          <w:trHeight w:val="122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杠铃片</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2610560" behindDoc="0" locked="0" layoutInCell="1" allowOverlap="1">
                  <wp:simplePos x="0" y="0"/>
                  <wp:positionH relativeFrom="column">
                    <wp:posOffset>170815</wp:posOffset>
                  </wp:positionH>
                  <wp:positionV relativeFrom="paragraph">
                    <wp:posOffset>151765</wp:posOffset>
                  </wp:positionV>
                  <wp:extent cx="556260" cy="485775"/>
                  <wp:effectExtent l="19050" t="0" r="0" b="0"/>
                  <wp:wrapNone/>
                  <wp:docPr id="936" name="图片_946"/>
                  <wp:cNvGraphicFramePr/>
                  <a:graphic xmlns:a="http://schemas.openxmlformats.org/drawingml/2006/main">
                    <a:graphicData uri="http://schemas.openxmlformats.org/drawingml/2006/picture">
                      <pic:pic xmlns:pic="http://schemas.openxmlformats.org/drawingml/2006/picture">
                        <pic:nvPicPr>
                          <pic:cNvPr id="936" name="图片_946"/>
                          <pic:cNvPicPr>
                            <a:picLocks noChangeArrowheads="1"/>
                          </pic:cNvPicPr>
                        </pic:nvPicPr>
                        <pic:blipFill>
                          <a:blip r:embed="rId110"/>
                          <a:srcRect/>
                          <a:stretch>
                            <a:fillRect/>
                          </a:stretch>
                        </pic:blipFill>
                        <pic:spPr>
                          <a:xfrm>
                            <a:off x="0" y="0"/>
                            <a:ext cx="556260" cy="48577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蓝色20公斤.AVEC杠铃片全胶奥杆哑铃片，高弹性 耐摔打</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片</w:t>
            </w:r>
          </w:p>
        </w:tc>
      </w:tr>
      <w:tr>
        <w:tblPrEx>
          <w:tblCellMar>
            <w:top w:w="0" w:type="dxa"/>
            <w:left w:w="108" w:type="dxa"/>
            <w:bottom w:w="0" w:type="dxa"/>
            <w:right w:w="108" w:type="dxa"/>
          </w:tblCellMar>
        </w:tblPrEx>
        <w:trPr>
          <w:trHeight w:val="116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杠铃片</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ascii="宋体" w:hAnsi="宋体" w:cs="宋体"/>
                <w:color w:val="000000" w:themeColor="text1"/>
                <w:kern w:val="0"/>
                <w:sz w:val="24"/>
                <w:bdr w:val="single" w:color="000000" w:sz="4" w:space="0"/>
              </w:rPr>
              <w:drawing>
                <wp:inline distT="0" distB="0" distL="0" distR="0">
                  <wp:extent cx="421640" cy="469265"/>
                  <wp:effectExtent l="19050" t="0" r="0" b="0"/>
                  <wp:docPr id="3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2"/>
                          <pic:cNvPicPr>
                            <a:picLocks noChangeAspect="1" noChangeArrowheads="1"/>
                          </pic:cNvPicPr>
                        </pic:nvPicPr>
                        <pic:blipFill>
                          <a:blip r:embed="rId111"/>
                          <a:srcRect/>
                          <a:stretch>
                            <a:fillRect/>
                          </a:stretch>
                        </pic:blipFill>
                        <pic:spPr>
                          <a:xfrm>
                            <a:off x="0" y="0"/>
                            <a:ext cx="421640" cy="469265"/>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绿色10公斤.AVEC杠铃片全胶奥杆哑铃片，高弹性 耐摔打</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片</w:t>
            </w:r>
          </w:p>
        </w:tc>
      </w:tr>
      <w:tr>
        <w:tblPrEx>
          <w:tblCellMar>
            <w:top w:w="0" w:type="dxa"/>
            <w:left w:w="108" w:type="dxa"/>
            <w:bottom w:w="0" w:type="dxa"/>
            <w:right w:w="108" w:type="dxa"/>
          </w:tblCellMar>
        </w:tblPrEx>
        <w:trPr>
          <w:trHeight w:val="11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9</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杠铃片</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ascii="宋体" w:hAnsi="宋体" w:cs="宋体"/>
                <w:color w:val="000000" w:themeColor="text1"/>
                <w:sz w:val="24"/>
              </w:rPr>
              <w:drawing>
                <wp:inline distT="0" distB="0" distL="0" distR="0">
                  <wp:extent cx="341630" cy="349885"/>
                  <wp:effectExtent l="19050" t="0" r="1270" b="0"/>
                  <wp:docPr id="3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3"/>
                          <pic:cNvPicPr>
                            <a:picLocks noChangeAspect="1" noChangeArrowheads="1"/>
                          </pic:cNvPicPr>
                        </pic:nvPicPr>
                        <pic:blipFill>
                          <a:blip r:embed="rId112" cstate="print"/>
                          <a:srcRect/>
                          <a:stretch>
                            <a:fillRect/>
                          </a:stretch>
                        </pic:blipFill>
                        <pic:spPr>
                          <a:xfrm>
                            <a:off x="0" y="0"/>
                            <a:ext cx="341630" cy="349885"/>
                          </a:xfrm>
                          <a:prstGeom prst="rect">
                            <a:avLst/>
                          </a:prstGeom>
                          <a:noFill/>
                          <a:ln w="9525" cmpd="sng">
                            <a:noFill/>
                            <a:miter lim="800000"/>
                            <a:headEnd/>
                            <a:tailEnd/>
                          </a:ln>
                        </pic:spPr>
                      </pic:pic>
                    </a:graphicData>
                  </a:graphic>
                </wp:inline>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灰色5公斤.AVEC杠铃片全胶奥杆哑铃片，高弹性 耐摔打</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片</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二十六、人文楼四楼会议桌椅清单</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产品参数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214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L型培训桌</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2611584" behindDoc="0" locked="0" layoutInCell="1" allowOverlap="1">
                  <wp:simplePos x="0" y="0"/>
                  <wp:positionH relativeFrom="column">
                    <wp:posOffset>43815</wp:posOffset>
                  </wp:positionH>
                  <wp:positionV relativeFrom="paragraph">
                    <wp:posOffset>276860</wp:posOffset>
                  </wp:positionV>
                  <wp:extent cx="628650" cy="625475"/>
                  <wp:effectExtent l="19050" t="0" r="0" b="0"/>
                  <wp:wrapNone/>
                  <wp:docPr id="937" name="图片_949"/>
                  <wp:cNvGraphicFramePr/>
                  <a:graphic xmlns:a="http://schemas.openxmlformats.org/drawingml/2006/main">
                    <a:graphicData uri="http://schemas.openxmlformats.org/drawingml/2006/picture">
                      <pic:pic xmlns:pic="http://schemas.openxmlformats.org/drawingml/2006/picture">
                        <pic:nvPicPr>
                          <pic:cNvPr id="937" name="图片_949"/>
                          <pic:cNvPicPr>
                            <a:picLocks noChangeArrowheads="1"/>
                          </pic:cNvPicPr>
                        </pic:nvPicPr>
                        <pic:blipFill>
                          <a:blip r:embed="rId113"/>
                          <a:srcRect/>
                          <a:stretch>
                            <a:fillRect/>
                          </a:stretch>
                        </pic:blipFill>
                        <pic:spPr>
                          <a:xfrm>
                            <a:off x="0" y="0"/>
                            <a:ext cx="628650" cy="625475"/>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 xml:space="preserve">★面 板：优质多层板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基 材：E1级达欧洲环保标准基材甲醛含量≤1.4MG/L，此基材用原木压缩成型,抗弯性能强,不易变形。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PVC封边：采用全自动直线封边机，不会脱落；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台面的厚度是25mm，挡板厚度1.0mm的钢板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钢架：优质宝钢一级冷轧钢精制而成，静电粉沫喷涂工艺。钢架采用高温磷化，防锈防掉漆处理，支撑脚钢管壁厚1.5mm ，底脚钢管壁厚2.0mm，带可刹车的静音万向轮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尺寸：1400*400*750mm       </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80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张</w:t>
            </w:r>
          </w:p>
        </w:tc>
      </w:tr>
      <w:tr>
        <w:tblPrEx>
          <w:tblCellMar>
            <w:top w:w="0" w:type="dxa"/>
            <w:left w:w="108" w:type="dxa"/>
            <w:bottom w:w="0" w:type="dxa"/>
            <w:right w:w="108" w:type="dxa"/>
          </w:tblCellMar>
        </w:tblPrEx>
        <w:trPr>
          <w:trHeight w:val="1647"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升级款折叠椅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2612608" behindDoc="0" locked="0" layoutInCell="1" allowOverlap="1">
                  <wp:simplePos x="0" y="0"/>
                  <wp:positionH relativeFrom="column">
                    <wp:posOffset>177165</wp:posOffset>
                  </wp:positionH>
                  <wp:positionV relativeFrom="paragraph">
                    <wp:posOffset>234950</wp:posOffset>
                  </wp:positionV>
                  <wp:extent cx="492125" cy="651510"/>
                  <wp:effectExtent l="19050" t="0" r="3175" b="0"/>
                  <wp:wrapNone/>
                  <wp:docPr id="938" name="图片_950"/>
                  <wp:cNvGraphicFramePr/>
                  <a:graphic xmlns:a="http://schemas.openxmlformats.org/drawingml/2006/main">
                    <a:graphicData uri="http://schemas.openxmlformats.org/drawingml/2006/picture">
                      <pic:pic xmlns:pic="http://schemas.openxmlformats.org/drawingml/2006/picture">
                        <pic:nvPicPr>
                          <pic:cNvPr id="938" name="图片_950"/>
                          <pic:cNvPicPr>
                            <a:picLocks noChangeArrowheads="1"/>
                          </pic:cNvPicPr>
                        </pic:nvPicPr>
                        <pic:blipFill>
                          <a:blip r:embed="rId114"/>
                          <a:srcRect/>
                          <a:stretch>
                            <a:fillRect/>
                          </a:stretch>
                        </pic:blipFill>
                        <pic:spPr>
                          <a:xfrm>
                            <a:off x="0" y="0"/>
                            <a:ext cx="492125" cy="65151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·尼龙靠背（带透气网布）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·40密度高弹力海绵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·1.2厚电镀或喷粉管四脚架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·尺寸：570*520*860mm可折叠</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160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条</w:t>
            </w:r>
          </w:p>
        </w:tc>
      </w:tr>
      <w:tr>
        <w:tblPrEx>
          <w:tblCellMar>
            <w:top w:w="0" w:type="dxa"/>
            <w:left w:w="108" w:type="dxa"/>
            <w:bottom w:w="0" w:type="dxa"/>
            <w:right w:w="108" w:type="dxa"/>
          </w:tblCellMar>
        </w:tblPrEx>
        <w:trPr>
          <w:trHeight w:val="248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主席台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2613632" behindDoc="0" locked="0" layoutInCell="1" allowOverlap="1">
                  <wp:simplePos x="0" y="0"/>
                  <wp:positionH relativeFrom="column">
                    <wp:posOffset>153670</wp:posOffset>
                  </wp:positionH>
                  <wp:positionV relativeFrom="paragraph">
                    <wp:posOffset>468630</wp:posOffset>
                  </wp:positionV>
                  <wp:extent cx="486410" cy="459740"/>
                  <wp:effectExtent l="19050" t="0" r="8890" b="0"/>
                  <wp:wrapNone/>
                  <wp:docPr id="939" name="图片_951"/>
                  <wp:cNvGraphicFramePr/>
                  <a:graphic xmlns:a="http://schemas.openxmlformats.org/drawingml/2006/main">
                    <a:graphicData uri="http://schemas.openxmlformats.org/drawingml/2006/picture">
                      <pic:pic xmlns:pic="http://schemas.openxmlformats.org/drawingml/2006/picture">
                        <pic:nvPicPr>
                          <pic:cNvPr id="939" name="图片_951"/>
                          <pic:cNvPicPr>
                            <a:picLocks noChangeArrowheads="1"/>
                          </pic:cNvPicPr>
                        </pic:nvPicPr>
                        <pic:blipFill>
                          <a:blip r:embed="rId115"/>
                          <a:srcRect/>
                          <a:stretch>
                            <a:fillRect/>
                          </a:stretch>
                        </pic:blipFill>
                        <pic:spPr>
                          <a:xfrm>
                            <a:off x="0" y="0"/>
                            <a:ext cx="486410" cy="45974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 xml:space="preserve">★面 板：优质多层板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基 材：E1级达欧洲环保标准基材甲醛含量≤1.4MG/L，此基材用原木压缩成型,抗弯性能强,不易变形。</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PVC封边：采用全自动直线封边机，不会脱落；</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台面的厚度是25mm，挡板厚度1.0mm的钢板           </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钢架：优质宝钢一级冷轧钢精制而成，静电粉沫喷涂工艺。钢架采用高温磷化，防锈防掉漆处理， 带铝合金镂空置物架，支撑脚钢管壁厚1.5mm ，底脚钢管壁厚2.0mm，带可刹车的静音万向轮</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 xml:space="preserve">尺寸：1400*400*750mm          </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7</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1361"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主席台椅</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2614656" behindDoc="0" locked="0" layoutInCell="1" allowOverlap="1">
                  <wp:simplePos x="0" y="0"/>
                  <wp:positionH relativeFrom="column">
                    <wp:posOffset>111125</wp:posOffset>
                  </wp:positionH>
                  <wp:positionV relativeFrom="paragraph">
                    <wp:posOffset>-92075</wp:posOffset>
                  </wp:positionV>
                  <wp:extent cx="616585" cy="612140"/>
                  <wp:effectExtent l="19050" t="0" r="0" b="0"/>
                  <wp:wrapNone/>
                  <wp:docPr id="67" name="图片_952"/>
                  <wp:cNvGraphicFramePr/>
                  <a:graphic xmlns:a="http://schemas.openxmlformats.org/drawingml/2006/main">
                    <a:graphicData uri="http://schemas.openxmlformats.org/drawingml/2006/picture">
                      <pic:pic xmlns:pic="http://schemas.openxmlformats.org/drawingml/2006/picture">
                        <pic:nvPicPr>
                          <pic:cNvPr id="67" name="图片_952"/>
                          <pic:cNvPicPr>
                            <a:picLocks noChangeArrowheads="1"/>
                          </pic:cNvPicPr>
                        </pic:nvPicPr>
                        <pic:blipFill>
                          <a:blip r:embed="rId116"/>
                          <a:srcRect/>
                          <a:stretch>
                            <a:fillRect/>
                          </a:stretch>
                        </pic:blipFill>
                        <pic:spPr>
                          <a:xfrm>
                            <a:off x="0" y="0"/>
                            <a:ext cx="616585" cy="61214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·尼龙靠背（带透气网布）</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·40密度高弹力海绵</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·1.2厚电镀或喷粉管四脚架</w:t>
            </w:r>
            <w:r>
              <w:rPr>
                <w:rFonts w:hint="eastAsia" w:ascii="宋体" w:hAnsi="宋体" w:cs="宋体"/>
                <w:color w:val="000000" w:themeColor="text1"/>
                <w:kern w:val="0"/>
                <w:sz w:val="24"/>
              </w:rPr>
              <w:br w:type="textWrapping"/>
            </w:r>
            <w:r>
              <w:rPr>
                <w:rFonts w:hint="eastAsia" w:ascii="宋体" w:hAnsi="宋体" w:cs="宋体"/>
                <w:color w:val="000000" w:themeColor="text1"/>
                <w:kern w:val="0"/>
                <w:sz w:val="24"/>
              </w:rPr>
              <w:t>·尺寸：570*520*860mm可折叠</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14</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条</w:t>
            </w:r>
          </w:p>
        </w:tc>
      </w:tr>
      <w:tr>
        <w:tblPrEx>
          <w:tblCellMar>
            <w:top w:w="0" w:type="dxa"/>
            <w:left w:w="108" w:type="dxa"/>
            <w:bottom w:w="0" w:type="dxa"/>
            <w:right w:w="108" w:type="dxa"/>
          </w:tblCellMar>
        </w:tblPrEx>
        <w:trPr>
          <w:trHeight w:val="1266"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演讲台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drawing>
                <wp:anchor distT="0" distB="0" distL="114300" distR="114300" simplePos="0" relativeHeight="252615680" behindDoc="0" locked="0" layoutInCell="1" allowOverlap="1">
                  <wp:simplePos x="0" y="0"/>
                  <wp:positionH relativeFrom="column">
                    <wp:posOffset>46990</wp:posOffset>
                  </wp:positionH>
                  <wp:positionV relativeFrom="paragraph">
                    <wp:posOffset>-48895</wp:posOffset>
                  </wp:positionV>
                  <wp:extent cx="720090" cy="643890"/>
                  <wp:effectExtent l="19050" t="0" r="3810" b="0"/>
                  <wp:wrapNone/>
                  <wp:docPr id="940" name="图片_953"/>
                  <wp:cNvGraphicFramePr/>
                  <a:graphic xmlns:a="http://schemas.openxmlformats.org/drawingml/2006/main">
                    <a:graphicData uri="http://schemas.openxmlformats.org/drawingml/2006/picture">
                      <pic:pic xmlns:pic="http://schemas.openxmlformats.org/drawingml/2006/picture">
                        <pic:nvPicPr>
                          <pic:cNvPr id="940" name="图片_953"/>
                          <pic:cNvPicPr>
                            <a:picLocks noChangeArrowheads="1"/>
                          </pic:cNvPicPr>
                        </pic:nvPicPr>
                        <pic:blipFill>
                          <a:blip r:embed="rId117"/>
                          <a:srcRect/>
                          <a:stretch>
                            <a:fillRect/>
                          </a:stretch>
                        </pic:blipFill>
                        <pic:spPr>
                          <a:xfrm>
                            <a:off x="0" y="0"/>
                            <a:ext cx="720090" cy="643890"/>
                          </a:xfrm>
                          <a:prstGeom prst="rect">
                            <a:avLst/>
                          </a:prstGeom>
                          <a:noFill/>
                          <a:ln w="9525" cmpd="sng">
                            <a:noFill/>
                            <a:miter lim="800000"/>
                            <a:headEnd/>
                            <a:tailEnd/>
                          </a:ln>
                        </pic:spPr>
                      </pic:pic>
                    </a:graphicData>
                  </a:graphic>
                </wp:anchor>
              </w:drawing>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尺寸：650*500*1000mm。钢木结构带具有刹车功能的脚轮</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只</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二十七、人文楼四楼窗帘清单</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themeColor="text1"/>
                <w:sz w:val="24"/>
              </w:rPr>
            </w:pPr>
            <w:r>
              <w:rPr>
                <w:rFonts w:hint="eastAsia" w:ascii="宋体" w:hAnsi="宋体" w:cs="宋体"/>
                <w:b/>
                <w:bCs/>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themeColor="text1"/>
                <w:sz w:val="24"/>
              </w:rPr>
            </w:pPr>
            <w:r>
              <w:rPr>
                <w:rFonts w:hint="eastAsia" w:ascii="宋体" w:hAnsi="宋体" w:cs="宋体"/>
                <w:b/>
                <w:bCs/>
                <w:color w:val="000000" w:themeColor="text1"/>
                <w:kern w:val="0"/>
                <w:sz w:val="24"/>
              </w:rPr>
              <w:t>位置</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themeColor="text1"/>
                <w:sz w:val="24"/>
              </w:rPr>
            </w:pPr>
            <w:r>
              <w:rPr>
                <w:rFonts w:hint="eastAsia" w:ascii="宋体" w:hAnsi="宋体" w:cs="宋体"/>
                <w:b/>
                <w:bCs/>
                <w:color w:val="000000" w:themeColor="text1"/>
                <w:kern w:val="0"/>
                <w:sz w:val="24"/>
              </w:rPr>
              <w:t>窗帘类型</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themeColor="text1"/>
                <w:sz w:val="24"/>
              </w:rPr>
            </w:pPr>
            <w:r>
              <w:rPr>
                <w:rFonts w:hint="eastAsia" w:ascii="宋体" w:hAnsi="宋体" w:cs="宋体"/>
                <w:b/>
                <w:bCs/>
                <w:color w:val="000000" w:themeColor="text1"/>
                <w:kern w:val="0"/>
                <w:sz w:val="24"/>
              </w:rPr>
              <w:t>技术参数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themeColor="text1"/>
                <w:sz w:val="24"/>
              </w:rPr>
            </w:pPr>
            <w:r>
              <w:rPr>
                <w:rFonts w:hint="eastAsia" w:ascii="宋体" w:hAnsi="宋体" w:cs="宋体"/>
                <w:b/>
                <w:bCs/>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color w:val="000000" w:themeColor="text1"/>
                <w:sz w:val="24"/>
              </w:rPr>
            </w:pPr>
            <w:r>
              <w:rPr>
                <w:rFonts w:hint="eastAsia" w:ascii="宋体" w:hAnsi="宋体" w:cs="宋体"/>
                <w:b/>
                <w:bCs/>
                <w:color w:val="000000" w:themeColor="text1"/>
                <w:kern w:val="0"/>
                <w:sz w:val="24"/>
              </w:rPr>
              <w:t>单位</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控制室</w:t>
            </w:r>
          </w:p>
        </w:tc>
        <w:tc>
          <w:tcPr>
            <w:tcW w:w="1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加厚全遮光棉麻布质</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窗高*宽：2.1*1.8米。加厚全遮光棉麻布质，含窗帘高质量轨道</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储藏室</w:t>
            </w:r>
          </w:p>
        </w:tc>
        <w:tc>
          <w:tcPr>
            <w:tcW w:w="1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加厚全遮光棉麻布质</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窗高*宽：2.1*1.8米。加厚全遮光棉麻布质含窗帘高质量轨道</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化妆室</w:t>
            </w:r>
          </w:p>
        </w:tc>
        <w:tc>
          <w:tcPr>
            <w:tcW w:w="1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加厚全遮光棉麻布质</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窗高*宽：2.1*2.9米。加厚全遮光棉麻布质含窗帘高质量轨道</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4</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报告厅北面</w:t>
            </w:r>
          </w:p>
        </w:tc>
        <w:tc>
          <w:tcPr>
            <w:tcW w:w="1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加厚全遮光棉麻布质</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窗高*宽：2.1*2.9米。加厚全遮光棉麻布质含窗帘高质量轨道</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3</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5</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报告厅南面</w:t>
            </w:r>
          </w:p>
        </w:tc>
        <w:tc>
          <w:tcPr>
            <w:tcW w:w="1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加厚全遮光高端亚麻布布质卷帘窗帘</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窗高*宽：2.1*1.7米。加厚全遮光高端亚麻布布质卷帘窗帘</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报告厅南面</w:t>
            </w:r>
          </w:p>
        </w:tc>
        <w:tc>
          <w:tcPr>
            <w:tcW w:w="18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加厚全遮光高端亚麻布布质卷帘窗帘</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窗高*宽：2.6*1.0米。加厚全遮光高端亚麻布布质卷帘窗帘</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6</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套</w:t>
            </w:r>
          </w:p>
        </w:tc>
      </w:tr>
      <w:tr>
        <w:tblPrEx>
          <w:tblCellMar>
            <w:top w:w="0" w:type="dxa"/>
            <w:left w:w="108" w:type="dxa"/>
            <w:bottom w:w="0" w:type="dxa"/>
            <w:right w:w="108" w:type="dxa"/>
          </w:tblCellMar>
        </w:tblPrEx>
        <w:trPr>
          <w:trHeight w:val="700" w:hRule="atLeast"/>
          <w:jc w:val="center"/>
        </w:trPr>
        <w:tc>
          <w:tcPr>
            <w:tcW w:w="9587" w:type="dxa"/>
            <w:gridSpan w:val="6"/>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二十八、部分学科教室地台多媒体布线</w:t>
            </w:r>
          </w:p>
        </w:tc>
      </w:tr>
      <w:tr>
        <w:tblPrEx>
          <w:tblCellMar>
            <w:top w:w="0" w:type="dxa"/>
            <w:left w:w="108" w:type="dxa"/>
            <w:bottom w:w="0" w:type="dxa"/>
            <w:right w:w="108" w:type="dxa"/>
          </w:tblCellMar>
        </w:tblPrEx>
        <w:trPr>
          <w:trHeight w:val="700"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序号</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名称</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参考图片</w:t>
            </w: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技术参数</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数量</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单位</w:t>
            </w:r>
          </w:p>
        </w:tc>
      </w:tr>
      <w:tr>
        <w:tblPrEx>
          <w:tblCellMar>
            <w:top w:w="0" w:type="dxa"/>
            <w:left w:w="108" w:type="dxa"/>
            <w:bottom w:w="0" w:type="dxa"/>
            <w:right w:w="108" w:type="dxa"/>
          </w:tblCellMar>
        </w:tblPrEx>
        <w:trPr>
          <w:trHeight w:val="699" w:hRule="atLeast"/>
          <w:jc w:val="center"/>
        </w:trPr>
        <w:tc>
          <w:tcPr>
            <w:tcW w:w="68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1</w:t>
            </w:r>
          </w:p>
        </w:tc>
        <w:tc>
          <w:tcPr>
            <w:tcW w:w="9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多媒体布线</w:t>
            </w:r>
          </w:p>
        </w:tc>
        <w:tc>
          <w:tcPr>
            <w:tcW w:w="1862"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rPr>
            </w:pPr>
          </w:p>
        </w:tc>
        <w:tc>
          <w:tcPr>
            <w:tcW w:w="49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000000" w:themeColor="text1"/>
                <w:sz w:val="24"/>
              </w:rPr>
            </w:pPr>
            <w:r>
              <w:rPr>
                <w:rFonts w:hint="eastAsia" w:ascii="宋体" w:hAnsi="宋体" w:cs="宋体"/>
                <w:color w:val="000000" w:themeColor="text1"/>
                <w:kern w:val="0"/>
                <w:sz w:val="24"/>
              </w:rPr>
              <w:t>秋叶原等交互大屏到讲台的多媒体布线。含讲台至交互大屏高清线5米1根、高清延长线2米1根、3.5音频线5米1根、3.5音频延长线2米1根、触控线5米1根、USB延长线5米1根、USB延长线2米的2根；交互大屏至蓝牙音箱音频线5米1根；蓝牙音箱主副音箱连接线；讲台主电源管线改造；讲台至交互大屏布放1根RVV3*1.0电源线并配备1个公牛412K插座；蓝牙主音箱布放1根1根RVV3*1.0电源线并配备1个公牛5孔插座及86型明盒；讲台原有侧面的有线电视及网络线路移至黑板中间靠下位置并重新安装面板及86型明盒；黑板中间至讲台布放2根六类网线并做好水晶头及标签；以上相关音视频连接线必须采用秋叶原或绿联品牌的线材。</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20</w:t>
            </w:r>
          </w:p>
        </w:tc>
        <w:tc>
          <w:tcPr>
            <w:tcW w:w="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themeColor="text1"/>
                <w:sz w:val="24"/>
              </w:rPr>
            </w:pPr>
            <w:r>
              <w:rPr>
                <w:rFonts w:hint="eastAsia" w:ascii="宋体" w:hAnsi="宋体" w:cs="宋体"/>
                <w:color w:val="000000" w:themeColor="text1"/>
                <w:kern w:val="0"/>
                <w:sz w:val="24"/>
              </w:rPr>
              <w:t>批</w:t>
            </w:r>
          </w:p>
        </w:tc>
      </w:tr>
    </w:tbl>
    <w:p>
      <w:pPr>
        <w:rPr>
          <w:color w:val="000000" w:themeColor="text1"/>
          <w:sz w:val="36"/>
        </w:rPr>
      </w:pPr>
      <w:r>
        <w:rPr>
          <w:rFonts w:hint="eastAsia"/>
          <w:color w:val="000000" w:themeColor="text1"/>
          <w:sz w:val="36"/>
        </w:rPr>
        <w:t>有关附件</w:t>
      </w:r>
    </w:p>
    <w:p>
      <w:pPr>
        <w:rPr>
          <w:b/>
          <w:color w:val="000000" w:themeColor="text1"/>
          <w:szCs w:val="21"/>
        </w:rPr>
      </w:pPr>
      <w:r>
        <w:rPr>
          <w:rFonts w:hint="eastAsia"/>
          <w:b/>
          <w:color w:val="000000" w:themeColor="text1"/>
          <w:sz w:val="28"/>
        </w:rPr>
        <w:t>附件1-学生课桌椅参数</w:t>
      </w:r>
    </w:p>
    <w:p>
      <w:pPr>
        <w:rPr>
          <w:b/>
          <w:color w:val="000000" w:themeColor="text1"/>
          <w:sz w:val="24"/>
          <w:szCs w:val="21"/>
        </w:rPr>
      </w:pPr>
      <w:r>
        <w:rPr>
          <w:rFonts w:hint="eastAsia"/>
          <w:b/>
          <w:color w:val="000000" w:themeColor="text1"/>
          <w:sz w:val="24"/>
          <w:szCs w:val="21"/>
        </w:rPr>
        <w:t>1、学生课桌</w:t>
      </w:r>
    </w:p>
    <w:tbl>
      <w:tblPr>
        <w:tblStyle w:val="36"/>
        <w:tblW w:w="9300" w:type="dxa"/>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2"/>
        <w:gridCol w:w="559"/>
        <w:gridCol w:w="4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2" w:type="dxa"/>
            <w:vAlign w:val="center"/>
          </w:tcPr>
          <w:p>
            <w:pPr>
              <w:widowControl/>
              <w:jc w:val="center"/>
              <w:rPr>
                <w:color w:val="000000" w:themeColor="text1"/>
                <w:sz w:val="24"/>
              </w:rPr>
            </w:pPr>
            <w:r>
              <w:rPr>
                <w:rFonts w:hint="eastAsia"/>
                <w:color w:val="000000" w:themeColor="text1"/>
                <w:lang w:eastAsia="zh-TW"/>
              </w:rPr>
              <w:t>产品整体效果图</w:t>
            </w:r>
          </w:p>
        </w:tc>
        <w:tc>
          <w:tcPr>
            <w:tcW w:w="559" w:type="dxa"/>
            <w:vAlign w:val="center"/>
          </w:tcPr>
          <w:p>
            <w:pPr>
              <w:widowControl/>
              <w:jc w:val="center"/>
              <w:rPr>
                <w:color w:val="000000" w:themeColor="text1"/>
                <w:sz w:val="24"/>
              </w:rPr>
            </w:pPr>
            <w:r>
              <w:rPr>
                <w:rFonts w:hint="eastAsia"/>
                <w:color w:val="000000" w:themeColor="text1"/>
              </w:rPr>
              <w:t>部位名称</w:t>
            </w:r>
          </w:p>
        </w:tc>
        <w:tc>
          <w:tcPr>
            <w:tcW w:w="4869" w:type="dxa"/>
            <w:vAlign w:val="center"/>
          </w:tcPr>
          <w:p>
            <w:pPr>
              <w:jc w:val="center"/>
              <w:rPr>
                <w:color w:val="000000" w:themeColor="text1"/>
                <w:sz w:val="24"/>
              </w:rPr>
            </w:pPr>
            <w:r>
              <w:rPr>
                <w:rFonts w:hint="eastAsia"/>
                <w:color w:val="000000" w:themeColor="text1"/>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0" w:hRule="atLeast"/>
        </w:trPr>
        <w:tc>
          <w:tcPr>
            <w:tcW w:w="3872" w:type="dxa"/>
            <w:vMerge w:val="restart"/>
          </w:tcPr>
          <w:p>
            <w:pPr>
              <w:widowControl/>
              <w:jc w:val="left"/>
              <w:rPr>
                <w:color w:val="000000" w:themeColor="text1"/>
              </w:rPr>
            </w:pPr>
            <w:r>
              <w:rPr>
                <w:rFonts w:hint="eastAsia"/>
                <w:color w:val="000000" w:themeColor="text1"/>
              </w:rPr>
              <w:t>《整体展示图》</w:t>
            </w:r>
          </w:p>
          <w:p>
            <w:pPr>
              <w:rPr>
                <w:color w:val="000000" w:themeColor="text1"/>
              </w:rPr>
            </w:pPr>
            <w:r>
              <w:rPr>
                <w:color w:val="000000" w:themeColor="text1"/>
              </w:rPr>
              <w:drawing>
                <wp:inline distT="0" distB="0" distL="0" distR="0">
                  <wp:extent cx="2361565" cy="1860550"/>
                  <wp:effectExtent l="19050" t="0" r="635"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noChangeArrowheads="1"/>
                          </pic:cNvPicPr>
                        </pic:nvPicPr>
                        <pic:blipFill>
                          <a:blip r:embed="rId118"/>
                          <a:srcRect/>
                          <a:stretch>
                            <a:fillRect/>
                          </a:stretch>
                        </pic:blipFill>
                        <pic:spPr>
                          <a:xfrm>
                            <a:off x="0" y="0"/>
                            <a:ext cx="2361565" cy="1860550"/>
                          </a:xfrm>
                          <a:prstGeom prst="rect">
                            <a:avLst/>
                          </a:prstGeom>
                          <a:noFill/>
                          <a:ln w="9525" cmpd="sng">
                            <a:noFill/>
                            <a:miter lim="800000"/>
                            <a:headEnd/>
                            <a:tailEnd/>
                          </a:ln>
                        </pic:spPr>
                      </pic:pic>
                    </a:graphicData>
                  </a:graphic>
                </wp:inline>
              </w:drawing>
            </w:r>
          </w:p>
          <w:p>
            <w:pPr>
              <w:widowControl/>
              <w:jc w:val="left"/>
              <w:rPr>
                <w:color w:val="000000" w:themeColor="text1"/>
              </w:rPr>
            </w:pPr>
            <w:r>
              <w:rPr>
                <w:rFonts w:hint="eastAsia"/>
                <w:color w:val="000000" w:themeColor="text1"/>
              </w:rPr>
              <w:t>《尺寸图》</w:t>
            </w:r>
          </w:p>
          <w:p>
            <w:pPr>
              <w:rPr>
                <w:color w:val="000000" w:themeColor="text1"/>
              </w:rPr>
            </w:pPr>
          </w:p>
          <w:p>
            <w:pPr>
              <w:rPr>
                <w:color w:val="000000" w:themeColor="text1"/>
              </w:rPr>
            </w:pPr>
            <w:r>
              <w:rPr>
                <w:color w:val="000000" w:themeColor="text1"/>
              </w:rPr>
              <w:drawing>
                <wp:inline distT="0" distB="0" distL="0" distR="0">
                  <wp:extent cx="1518920" cy="2138680"/>
                  <wp:effectExtent l="323850" t="0" r="309880" b="0"/>
                  <wp:docPr id="40" name="图片 2" descr="e4d25e363ebdec9d46fc474864bbb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e4d25e363ebdec9d46fc474864bbb97"/>
                          <pic:cNvPicPr>
                            <a:picLocks noChangeAspect="1" noChangeArrowheads="1"/>
                          </pic:cNvPicPr>
                        </pic:nvPicPr>
                        <pic:blipFill>
                          <a:blip r:embed="rId119"/>
                          <a:srcRect/>
                          <a:stretch>
                            <a:fillRect/>
                          </a:stretch>
                        </pic:blipFill>
                        <pic:spPr>
                          <a:xfrm rot="-5400000">
                            <a:off x="0" y="0"/>
                            <a:ext cx="1518920" cy="2138680"/>
                          </a:xfrm>
                          <a:prstGeom prst="rect">
                            <a:avLst/>
                          </a:prstGeom>
                          <a:noFill/>
                          <a:ln w="9525" cmpd="sng">
                            <a:noFill/>
                            <a:miter lim="800000"/>
                            <a:headEnd/>
                            <a:tailEnd/>
                          </a:ln>
                        </pic:spPr>
                      </pic:pic>
                    </a:graphicData>
                  </a:graphic>
                </wp:inline>
              </w:drawing>
            </w:r>
          </w:p>
          <w:p>
            <w:pPr>
              <w:widowControl/>
              <w:tabs>
                <w:tab w:val="left" w:pos="1593"/>
              </w:tabs>
              <w:jc w:val="left"/>
              <w:rPr>
                <w:color w:val="000000" w:themeColor="text1"/>
              </w:rPr>
            </w:pPr>
            <w:r>
              <w:rPr>
                <w:rFonts w:hint="eastAsia"/>
                <w:color w:val="000000" w:themeColor="text1"/>
              </w:rPr>
              <w:t>《桌斗说明》</w:t>
            </w:r>
          </w:p>
          <w:p>
            <w:pPr>
              <w:rPr>
                <w:color w:val="000000" w:themeColor="text1"/>
              </w:rPr>
            </w:pPr>
            <w:r>
              <w:rPr>
                <w:color w:val="000000" w:themeColor="text1"/>
              </w:rPr>
              <w:drawing>
                <wp:anchor distT="0" distB="0" distL="114935" distR="114935" simplePos="0" relativeHeight="252616704" behindDoc="0" locked="0" layoutInCell="1" allowOverlap="1">
                  <wp:simplePos x="0" y="0"/>
                  <wp:positionH relativeFrom="column">
                    <wp:posOffset>170180</wp:posOffset>
                  </wp:positionH>
                  <wp:positionV relativeFrom="paragraph">
                    <wp:posOffset>73660</wp:posOffset>
                  </wp:positionV>
                  <wp:extent cx="1333500" cy="1096645"/>
                  <wp:effectExtent l="19050" t="0" r="0" b="0"/>
                  <wp:wrapNone/>
                  <wp:docPr id="66" name="图片 3" descr="抽屉尺寸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descr="抽屉尺寸_00"/>
                          <pic:cNvPicPr>
                            <a:picLocks noChangeAspect="1" noChangeArrowheads="1"/>
                          </pic:cNvPicPr>
                        </pic:nvPicPr>
                        <pic:blipFill>
                          <a:blip r:embed="rId120"/>
                          <a:srcRect t="41835" r="232"/>
                          <a:stretch>
                            <a:fillRect/>
                          </a:stretch>
                        </pic:blipFill>
                        <pic:spPr>
                          <a:xfrm>
                            <a:off x="0" y="0"/>
                            <a:ext cx="1333500" cy="1096645"/>
                          </a:xfrm>
                          <a:prstGeom prst="rect">
                            <a:avLst/>
                          </a:prstGeom>
                          <a:noFill/>
                          <a:ln w="9525" cmpd="sng">
                            <a:noFill/>
                            <a:miter lim="800000"/>
                            <a:headEnd/>
                            <a:tailEnd/>
                          </a:ln>
                        </pic:spPr>
                      </pic:pic>
                    </a:graphicData>
                  </a:graphic>
                </wp:anchor>
              </w:drawing>
            </w: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widowControl/>
              <w:jc w:val="left"/>
              <w:rPr>
                <w:color w:val="000000" w:themeColor="text1"/>
                <w:lang w:eastAsia="zh-TW"/>
              </w:rPr>
            </w:pPr>
            <w:r>
              <w:rPr>
                <w:rFonts w:hint="eastAsia"/>
                <w:color w:val="000000" w:themeColor="text1"/>
                <w:lang w:eastAsia="zh-TW"/>
              </w:rPr>
              <w:t>《</w:t>
            </w:r>
            <w:r>
              <w:rPr>
                <w:rFonts w:hint="eastAsia"/>
                <w:color w:val="000000" w:themeColor="text1"/>
              </w:rPr>
              <w:t>挂钩</w:t>
            </w:r>
            <w:r>
              <w:rPr>
                <w:rFonts w:hint="eastAsia"/>
                <w:color w:val="000000" w:themeColor="text1"/>
                <w:lang w:eastAsia="zh-TW"/>
              </w:rPr>
              <w:t>说明》</w:t>
            </w:r>
          </w:p>
          <w:p>
            <w:pPr>
              <w:widowControl/>
              <w:jc w:val="left"/>
              <w:rPr>
                <w:color w:val="000000" w:themeColor="text1"/>
                <w:lang w:eastAsia="zh-TW"/>
              </w:rPr>
            </w:pPr>
            <w:r>
              <w:rPr>
                <w:color w:val="000000" w:themeColor="text1"/>
              </w:rPr>
              <w:drawing>
                <wp:inline distT="0" distB="0" distL="0" distR="0">
                  <wp:extent cx="2027555" cy="977900"/>
                  <wp:effectExtent l="19050" t="0" r="0" b="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noChangeArrowheads="1"/>
                          </pic:cNvPicPr>
                        </pic:nvPicPr>
                        <pic:blipFill>
                          <a:blip r:embed="rId121"/>
                          <a:srcRect/>
                          <a:stretch>
                            <a:fillRect/>
                          </a:stretch>
                        </pic:blipFill>
                        <pic:spPr>
                          <a:xfrm>
                            <a:off x="0" y="0"/>
                            <a:ext cx="2027555" cy="977900"/>
                          </a:xfrm>
                          <a:prstGeom prst="rect">
                            <a:avLst/>
                          </a:prstGeom>
                          <a:noFill/>
                          <a:ln w="9525" cmpd="sng">
                            <a:noFill/>
                            <a:miter lim="800000"/>
                            <a:headEnd/>
                            <a:tailEnd/>
                          </a:ln>
                        </pic:spPr>
                      </pic:pic>
                    </a:graphicData>
                  </a:graphic>
                </wp:inline>
              </w:drawing>
            </w:r>
          </w:p>
          <w:p>
            <w:pPr>
              <w:rPr>
                <w:color w:val="000000" w:themeColor="text1"/>
              </w:rPr>
            </w:pPr>
          </w:p>
          <w:p>
            <w:pPr>
              <w:jc w:val="left"/>
              <w:rPr>
                <w:color w:val="000000" w:themeColor="text1"/>
                <w:lang w:eastAsia="zh-TW"/>
              </w:rPr>
            </w:pPr>
            <w:r>
              <w:rPr>
                <w:rFonts w:hint="eastAsia"/>
                <w:color w:val="000000" w:themeColor="text1"/>
                <w:lang w:eastAsia="zh-TW"/>
              </w:rPr>
              <w:t>《</w:t>
            </w:r>
            <w:r>
              <w:rPr>
                <w:rFonts w:hint="eastAsia"/>
                <w:color w:val="000000" w:themeColor="text1"/>
              </w:rPr>
              <w:t>脚套</w:t>
            </w:r>
            <w:r>
              <w:rPr>
                <w:rFonts w:hint="eastAsia"/>
                <w:color w:val="000000" w:themeColor="text1"/>
                <w:lang w:eastAsia="zh-TW"/>
              </w:rPr>
              <w:t>说明》</w:t>
            </w: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r>
              <w:rPr>
                <w:color w:val="000000" w:themeColor="text1"/>
              </w:rPr>
              <w:drawing>
                <wp:inline distT="0" distB="0" distL="0" distR="0">
                  <wp:extent cx="2258060" cy="1781175"/>
                  <wp:effectExtent l="19050" t="0" r="8890" b="0"/>
                  <wp:docPr id="42" name="图片 16" descr="c1b798b90e3f720dead5d44511d10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descr="c1b798b90e3f720dead5d44511d102c"/>
                          <pic:cNvPicPr>
                            <a:picLocks noChangeAspect="1" noChangeArrowheads="1"/>
                          </pic:cNvPicPr>
                        </pic:nvPicPr>
                        <pic:blipFill>
                          <a:blip r:embed="rId122"/>
                          <a:srcRect/>
                          <a:stretch>
                            <a:fillRect/>
                          </a:stretch>
                        </pic:blipFill>
                        <pic:spPr>
                          <a:xfrm>
                            <a:off x="0" y="0"/>
                            <a:ext cx="2258060" cy="1781175"/>
                          </a:xfrm>
                          <a:prstGeom prst="rect">
                            <a:avLst/>
                          </a:prstGeom>
                          <a:noFill/>
                          <a:ln w="9525" cmpd="sng">
                            <a:noFill/>
                            <a:miter lim="800000"/>
                            <a:headEnd/>
                            <a:tailEnd/>
                          </a:ln>
                        </pic:spPr>
                      </pic:pic>
                    </a:graphicData>
                  </a:graphic>
                </wp:inline>
              </w:drawing>
            </w: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r>
              <w:rPr>
                <w:color w:val="000000" w:themeColor="text1"/>
              </w:rPr>
              <w:drawing>
                <wp:inline distT="0" distB="0" distL="0" distR="0">
                  <wp:extent cx="866775" cy="1463040"/>
                  <wp:effectExtent l="19050" t="0" r="9525" b="0"/>
                  <wp:docPr id="9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图片 4"/>
                          <pic:cNvPicPr>
                            <a:picLocks noChangeAspect="1" noChangeArrowheads="1"/>
                          </pic:cNvPicPr>
                        </pic:nvPicPr>
                        <pic:blipFill>
                          <a:blip r:embed="rId123"/>
                          <a:srcRect/>
                          <a:stretch>
                            <a:fillRect/>
                          </a:stretch>
                        </pic:blipFill>
                        <pic:spPr>
                          <a:xfrm>
                            <a:off x="0" y="0"/>
                            <a:ext cx="866775" cy="1463040"/>
                          </a:xfrm>
                          <a:prstGeom prst="rect">
                            <a:avLst/>
                          </a:prstGeom>
                          <a:noFill/>
                          <a:ln w="9525" cmpd="sng">
                            <a:noFill/>
                            <a:miter lim="800000"/>
                            <a:headEnd/>
                            <a:tailEnd/>
                          </a:ln>
                        </pic:spPr>
                      </pic:pic>
                    </a:graphicData>
                  </a:graphic>
                </wp:inline>
              </w:drawing>
            </w:r>
          </w:p>
          <w:p>
            <w:pPr>
              <w:rPr>
                <w:color w:val="000000" w:themeColor="text1"/>
              </w:rPr>
            </w:pPr>
          </w:p>
          <w:p>
            <w:pPr>
              <w:rPr>
                <w:color w:val="000000" w:themeColor="text1"/>
              </w:rPr>
            </w:pPr>
          </w:p>
        </w:tc>
        <w:tc>
          <w:tcPr>
            <w:tcW w:w="559" w:type="dxa"/>
            <w:vAlign w:val="center"/>
          </w:tcPr>
          <w:p>
            <w:pPr>
              <w:widowControl/>
              <w:jc w:val="center"/>
              <w:rPr>
                <w:color w:val="000000" w:themeColor="text1"/>
                <w:szCs w:val="21"/>
              </w:rPr>
            </w:pPr>
            <w:r>
              <w:rPr>
                <w:rFonts w:hint="eastAsia"/>
                <w:color w:val="000000" w:themeColor="text1"/>
                <w:szCs w:val="21"/>
              </w:rPr>
              <w:t xml:space="preserve">A.面板要求  </w:t>
            </w:r>
          </w:p>
        </w:tc>
        <w:tc>
          <w:tcPr>
            <w:tcW w:w="4869" w:type="dxa"/>
            <w:vAlign w:val="center"/>
          </w:tcPr>
          <w:p>
            <w:pPr>
              <w:jc w:val="left"/>
              <w:rPr>
                <w:color w:val="000000" w:themeColor="text1"/>
                <w:szCs w:val="21"/>
              </w:rPr>
            </w:pPr>
            <w:r>
              <w:rPr>
                <w:rFonts w:hint="eastAsia"/>
                <w:color w:val="000000" w:themeColor="text1"/>
                <w:szCs w:val="21"/>
              </w:rPr>
              <w:t>1.材质：</w:t>
            </w:r>
            <w:r>
              <w:rPr>
                <w:rFonts w:hint="eastAsia"/>
                <w:b/>
                <w:bCs/>
                <w:color w:val="000000" w:themeColor="text1"/>
                <w:szCs w:val="21"/>
              </w:rPr>
              <w:t>饰面的多层原木板</w:t>
            </w:r>
            <w:r>
              <w:rPr>
                <w:rFonts w:hint="eastAsia"/>
                <w:color w:val="000000" w:themeColor="text1"/>
                <w:szCs w:val="21"/>
              </w:rPr>
              <w:t>，饰面多层原木板采用E0或者</w:t>
            </w:r>
            <w:r>
              <w:rPr>
                <w:color w:val="000000" w:themeColor="text1"/>
                <w:szCs w:val="21"/>
              </w:rPr>
              <w:t>ENF</w:t>
            </w:r>
            <w:r>
              <w:rPr>
                <w:rFonts w:hint="eastAsia"/>
                <w:color w:val="000000" w:themeColor="text1"/>
                <w:szCs w:val="21"/>
              </w:rPr>
              <w:t>级环保复合三聚</w:t>
            </w:r>
            <w:r>
              <w:rPr>
                <w:color w:val="000000" w:themeColor="text1"/>
                <w:szCs w:val="21"/>
              </w:rPr>
              <w:t>氰</w:t>
            </w:r>
            <w:r>
              <w:rPr>
                <w:rFonts w:hint="eastAsia"/>
                <w:color w:val="000000" w:themeColor="text1"/>
                <w:szCs w:val="21"/>
              </w:rPr>
              <w:t>胺贴面，厚度为18mm，桌面四边采用抗老化PP塑料无缝注塑包边，具备良好的抗冲击、抗吸湿性能，完美地长期保护桌面，肘部与桌沿具有良好的交互性，按照人体工程学原理进行弧度（鸭嘴边）和桌面四个角为R角设计,兼顾美观与牢固，学生读写更舒适。面板上面带有笔槽，文具槽与包边必须一体注塑成型，永不脱落。甲醛释放量符合国家标准要求，达到E0级。</w:t>
            </w:r>
          </w:p>
          <w:p>
            <w:pPr>
              <w:rPr>
                <w:color w:val="000000" w:themeColor="text1"/>
                <w:szCs w:val="21"/>
              </w:rPr>
            </w:pPr>
            <w:r>
              <w:rPr>
                <w:rFonts w:hint="eastAsia"/>
                <w:color w:val="000000" w:themeColor="text1"/>
                <w:szCs w:val="21"/>
              </w:rPr>
              <w:t>2.规格：700mm*500mm*18mm，课桌整高730mm-820mm（可调节）</w:t>
            </w:r>
          </w:p>
          <w:p>
            <w:pPr>
              <w:rPr>
                <w:color w:val="000000" w:themeColor="text1"/>
                <w:szCs w:val="21"/>
              </w:rPr>
            </w:pPr>
            <w:r>
              <w:rPr>
                <w:rFonts w:hint="eastAsia"/>
                <w:color w:val="000000" w:themeColor="text1"/>
                <w:szCs w:val="21"/>
              </w:rPr>
              <w:t>3.其他详如左图所示。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5" w:hRule="atLeast"/>
        </w:trPr>
        <w:tc>
          <w:tcPr>
            <w:tcW w:w="3872" w:type="dxa"/>
            <w:vMerge w:val="continue"/>
          </w:tcPr>
          <w:p>
            <w:pPr>
              <w:rPr>
                <w:color w:val="000000" w:themeColor="text1"/>
                <w:sz w:val="24"/>
              </w:rPr>
            </w:pPr>
          </w:p>
        </w:tc>
        <w:tc>
          <w:tcPr>
            <w:tcW w:w="559" w:type="dxa"/>
            <w:vAlign w:val="center"/>
          </w:tcPr>
          <w:p>
            <w:pPr>
              <w:widowControl/>
              <w:jc w:val="center"/>
              <w:rPr>
                <w:color w:val="000000" w:themeColor="text1"/>
                <w:szCs w:val="21"/>
              </w:rPr>
            </w:pPr>
            <w:r>
              <w:rPr>
                <w:rFonts w:hint="eastAsia"/>
                <w:color w:val="000000" w:themeColor="text1"/>
                <w:szCs w:val="21"/>
              </w:rPr>
              <w:t>B.桌兜/挂钩要求</w:t>
            </w:r>
          </w:p>
        </w:tc>
        <w:tc>
          <w:tcPr>
            <w:tcW w:w="4869" w:type="dxa"/>
          </w:tcPr>
          <w:p>
            <w:pPr>
              <w:rPr>
                <w:color w:val="000000" w:themeColor="text1"/>
                <w:szCs w:val="21"/>
              </w:rPr>
            </w:pPr>
            <w:r>
              <w:rPr>
                <w:rFonts w:hint="eastAsia"/>
                <w:color w:val="000000" w:themeColor="text1"/>
                <w:szCs w:val="21"/>
              </w:rPr>
              <w:t>1.材质：采用PP塑料一级新料一体射出成型。</w:t>
            </w:r>
          </w:p>
          <w:p>
            <w:pPr>
              <w:rPr>
                <w:color w:val="000000" w:themeColor="text1"/>
                <w:szCs w:val="21"/>
              </w:rPr>
            </w:pPr>
            <w:r>
              <w:rPr>
                <w:rFonts w:hint="eastAsia"/>
                <w:color w:val="000000" w:themeColor="text1"/>
                <w:szCs w:val="21"/>
              </w:rPr>
              <w:t>不得采用回收料生产。卸载后屉箱底板不得有鼓凸现象，结合部位不得有开裂、变形或松弛。屉箱和桌腿采用套入式隐性安装。</w:t>
            </w:r>
          </w:p>
          <w:p>
            <w:pPr>
              <w:tabs>
                <w:tab w:val="left" w:pos="312"/>
              </w:tabs>
              <w:rPr>
                <w:color w:val="000000" w:themeColor="text1"/>
                <w:szCs w:val="21"/>
              </w:rPr>
            </w:pPr>
            <w:r>
              <w:rPr>
                <w:rFonts w:hint="eastAsia"/>
                <w:color w:val="000000" w:themeColor="text1"/>
                <w:szCs w:val="21"/>
              </w:rPr>
              <w:t>2.桌兜（内直径）规格：446mm*186mm*深360mm（如图）</w:t>
            </w:r>
          </w:p>
          <w:p>
            <w:pPr>
              <w:rPr>
                <w:color w:val="000000" w:themeColor="text1"/>
                <w:szCs w:val="21"/>
              </w:rPr>
            </w:pPr>
            <w:r>
              <w:rPr>
                <w:rFonts w:hint="eastAsia"/>
                <w:color w:val="000000" w:themeColor="text1"/>
                <w:szCs w:val="21"/>
              </w:rPr>
              <w:t>桌兜（外直径）规格：540mm*200mm*420mm</w:t>
            </w:r>
          </w:p>
          <w:p>
            <w:pPr>
              <w:rPr>
                <w:color w:val="000000" w:themeColor="text1"/>
                <w:szCs w:val="21"/>
              </w:rPr>
            </w:pPr>
            <w:r>
              <w:rPr>
                <w:rFonts w:hint="eastAsia"/>
                <w:color w:val="000000" w:themeColor="text1"/>
                <w:szCs w:val="21"/>
              </w:rPr>
              <w:t>挂钩规格：60mm*33mm*4mm（如图）</w:t>
            </w:r>
          </w:p>
          <w:p>
            <w:pPr>
              <w:rPr>
                <w:color w:val="000000" w:themeColor="text1"/>
                <w:szCs w:val="21"/>
              </w:rPr>
            </w:pPr>
            <w:r>
              <w:rPr>
                <w:rFonts w:hint="eastAsia"/>
                <w:color w:val="000000" w:themeColor="text1"/>
                <w:szCs w:val="21"/>
              </w:rPr>
              <w:t>3.其他详如左图所示。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2" w:type="dxa"/>
            <w:vMerge w:val="continue"/>
          </w:tcPr>
          <w:p>
            <w:pPr>
              <w:rPr>
                <w:color w:val="000000" w:themeColor="text1"/>
                <w:sz w:val="24"/>
              </w:rPr>
            </w:pPr>
          </w:p>
        </w:tc>
        <w:tc>
          <w:tcPr>
            <w:tcW w:w="559" w:type="dxa"/>
            <w:vAlign w:val="center"/>
          </w:tcPr>
          <w:p>
            <w:pPr>
              <w:widowControl/>
              <w:jc w:val="center"/>
              <w:rPr>
                <w:color w:val="000000" w:themeColor="text1"/>
                <w:szCs w:val="21"/>
              </w:rPr>
            </w:pPr>
            <w:r>
              <w:rPr>
                <w:rFonts w:hint="eastAsia"/>
                <w:color w:val="000000" w:themeColor="text1"/>
                <w:szCs w:val="21"/>
              </w:rPr>
              <w:t>C.横梁要求</w:t>
            </w:r>
          </w:p>
        </w:tc>
        <w:tc>
          <w:tcPr>
            <w:tcW w:w="4869" w:type="dxa"/>
          </w:tcPr>
          <w:p>
            <w:pPr>
              <w:rPr>
                <w:color w:val="000000" w:themeColor="text1"/>
                <w:szCs w:val="21"/>
              </w:rPr>
            </w:pPr>
            <w:r>
              <w:rPr>
                <w:rFonts w:hint="eastAsia"/>
                <w:color w:val="000000" w:themeColor="text1"/>
                <w:szCs w:val="21"/>
              </w:rPr>
              <w:t>1.材质及形状：采用椭圆形镀锌钢管静电喷塑工艺，结构必需牢固，长时间使用不得产生摇晃、松散的现象。焊接完成之钢管架，焊接部位必需牢固，需无脱焊、虚焊、焊穿。</w:t>
            </w:r>
          </w:p>
          <w:p>
            <w:pPr>
              <w:rPr>
                <w:color w:val="000000" w:themeColor="text1"/>
                <w:szCs w:val="21"/>
              </w:rPr>
            </w:pPr>
            <w:r>
              <w:rPr>
                <w:rFonts w:hint="eastAsia"/>
                <w:color w:val="000000" w:themeColor="text1"/>
                <w:szCs w:val="21"/>
              </w:rPr>
              <w:t>2.规格：横梁截面是40*20mm，中心距是490mm，厚度1.2mm。</w:t>
            </w:r>
          </w:p>
          <w:p>
            <w:pPr>
              <w:rPr>
                <w:color w:val="000000" w:themeColor="text1"/>
                <w:szCs w:val="21"/>
              </w:rPr>
            </w:pPr>
            <w:r>
              <w:rPr>
                <w:rFonts w:hint="eastAsia"/>
                <w:color w:val="000000" w:themeColor="text1"/>
                <w:szCs w:val="21"/>
              </w:rPr>
              <w:t xml:space="preserve">3.表面涂装：所有金属部件经过流水线抛丸工艺除锈和高温除油处理，采用静电喷塑高温固化，使涂层与金属表面的附着力更强，耐腐蚀，不易脱落。涂层需光滑均匀，色泽一致，需无流挂、疙瘩、皱皮、飞漆。涂层需平整光滑、清晰，需无明显粒子、涨边现象；应无明显加工痕迹、划痕、雾光、白棱、白点、鼓泡、油白、流挂、缩孔、刷毛、积粉和杂渣。横梁呈“U”字型，便于学生放脚，增加了桌下净空高，符合国家标准要求。横梁两头设有孔位，用于与桌腿的连接。 </w:t>
            </w:r>
          </w:p>
          <w:p>
            <w:pPr>
              <w:widowControl/>
              <w:jc w:val="left"/>
              <w:rPr>
                <w:color w:val="000000" w:themeColor="text1"/>
                <w:szCs w:val="21"/>
              </w:rPr>
            </w:pPr>
            <w:r>
              <w:rPr>
                <w:rFonts w:hint="eastAsia"/>
                <w:color w:val="000000" w:themeColor="text1"/>
                <w:szCs w:val="21"/>
              </w:rPr>
              <w:t>4.其他详如左图所示。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2" w:type="dxa"/>
            <w:vMerge w:val="continue"/>
          </w:tcPr>
          <w:p>
            <w:pPr>
              <w:rPr>
                <w:color w:val="000000" w:themeColor="text1"/>
                <w:sz w:val="24"/>
              </w:rPr>
            </w:pPr>
          </w:p>
        </w:tc>
        <w:tc>
          <w:tcPr>
            <w:tcW w:w="559" w:type="dxa"/>
            <w:vAlign w:val="center"/>
          </w:tcPr>
          <w:p>
            <w:pPr>
              <w:widowControl/>
              <w:jc w:val="center"/>
              <w:rPr>
                <w:color w:val="000000" w:themeColor="text1"/>
                <w:sz w:val="24"/>
              </w:rPr>
            </w:pPr>
            <w:r>
              <w:rPr>
                <w:rFonts w:hint="eastAsia"/>
                <w:color w:val="000000" w:themeColor="text1"/>
              </w:rPr>
              <w:t>D.脚垫要求</w:t>
            </w:r>
          </w:p>
        </w:tc>
        <w:tc>
          <w:tcPr>
            <w:tcW w:w="4869" w:type="dxa"/>
            <w:vAlign w:val="center"/>
          </w:tcPr>
          <w:p>
            <w:pPr>
              <w:widowControl/>
              <w:jc w:val="left"/>
              <w:rPr>
                <w:color w:val="000000" w:themeColor="text1"/>
                <w:szCs w:val="21"/>
              </w:rPr>
            </w:pPr>
            <w:r>
              <w:rPr>
                <w:rFonts w:hint="eastAsia"/>
                <w:color w:val="000000" w:themeColor="text1"/>
                <w:szCs w:val="21"/>
              </w:rPr>
              <w:t>1.材质及形状：脚套采用PP塑料一级新料一体射出成型（如图），不得采用回收料生产。</w:t>
            </w:r>
          </w:p>
          <w:p>
            <w:pPr>
              <w:widowControl/>
              <w:rPr>
                <w:color w:val="000000" w:themeColor="text1"/>
                <w:szCs w:val="21"/>
              </w:rPr>
            </w:pPr>
            <w:r>
              <w:rPr>
                <w:rFonts w:hint="eastAsia"/>
                <w:color w:val="000000" w:themeColor="text1"/>
                <w:szCs w:val="21"/>
              </w:rPr>
              <w:t>2.规格（脚套）：37mm*150mm*55mm（如图）。规格（调节轮）：中心直径8mm，外直径30mm，高250mm（如图）。</w:t>
            </w:r>
          </w:p>
          <w:p>
            <w:pPr>
              <w:rPr>
                <w:color w:val="000000" w:themeColor="text1"/>
                <w:szCs w:val="21"/>
              </w:rPr>
            </w:pPr>
            <w:r>
              <w:rPr>
                <w:rFonts w:hint="eastAsia"/>
                <w:color w:val="000000" w:themeColor="text1"/>
                <w:szCs w:val="21"/>
              </w:rPr>
              <w:t>3.功能（脚套）：防滑且减少移动产生噪音，完美解决教室噪音。</w:t>
            </w:r>
          </w:p>
          <w:p>
            <w:pPr>
              <w:rPr>
                <w:color w:val="000000" w:themeColor="text1"/>
                <w:szCs w:val="21"/>
              </w:rPr>
            </w:pPr>
            <w:r>
              <w:rPr>
                <w:rFonts w:hint="eastAsia"/>
                <w:color w:val="000000" w:themeColor="text1"/>
                <w:szCs w:val="21"/>
              </w:rPr>
              <w:t>功能（调节轮）：塑料套内置一个可调节高度为250mm的PP塑料手转轮，具备防滑、防移动从而避免产生噪音或刮伤地板板面的功能。特别是遇不平整地面时，可通过桌脚自由调节器（手转轮）进行椅脚水平调节，确保椅面实际平衡。</w:t>
            </w:r>
          </w:p>
          <w:p>
            <w:pPr>
              <w:widowControl/>
              <w:rPr>
                <w:color w:val="000000" w:themeColor="text1"/>
                <w:szCs w:val="21"/>
              </w:rPr>
            </w:pPr>
            <w:r>
              <w:rPr>
                <w:rFonts w:hint="eastAsia"/>
                <w:color w:val="000000" w:themeColor="text1"/>
                <w:szCs w:val="21"/>
              </w:rPr>
              <w:t>4.其他详如左图所示。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2" w:type="dxa"/>
            <w:vMerge w:val="continue"/>
          </w:tcPr>
          <w:p>
            <w:pPr>
              <w:rPr>
                <w:color w:val="000000" w:themeColor="text1"/>
                <w:sz w:val="24"/>
              </w:rPr>
            </w:pPr>
          </w:p>
        </w:tc>
        <w:tc>
          <w:tcPr>
            <w:tcW w:w="559" w:type="dxa"/>
            <w:vAlign w:val="center"/>
          </w:tcPr>
          <w:p>
            <w:pPr>
              <w:widowControl/>
              <w:jc w:val="center"/>
              <w:rPr>
                <w:color w:val="000000" w:themeColor="text1"/>
              </w:rPr>
            </w:pPr>
            <w:r>
              <w:rPr>
                <w:rFonts w:hint="eastAsia"/>
                <w:color w:val="000000" w:themeColor="text1"/>
              </w:rPr>
              <w:t>E桌腿要求</w:t>
            </w:r>
          </w:p>
        </w:tc>
        <w:tc>
          <w:tcPr>
            <w:tcW w:w="4869" w:type="dxa"/>
            <w:vAlign w:val="center"/>
          </w:tcPr>
          <w:p>
            <w:pPr>
              <w:rPr>
                <w:color w:val="000000" w:themeColor="text1"/>
                <w:szCs w:val="21"/>
              </w:rPr>
            </w:pPr>
            <w:r>
              <w:rPr>
                <w:rFonts w:hint="eastAsia"/>
                <w:color w:val="000000" w:themeColor="text1"/>
                <w:szCs w:val="21"/>
              </w:rPr>
              <w:t>1.材质及形状：桌腿与桌脚呈直角焊接，采用椭圆形镀锌钢管静电喷塑工艺，结构必需牢固，长时间使用不得产生摇晃、松散的现象。焊接完成之钢管架，焊接部位必需牢固，需无脱焊、虚焊、焊穿。</w:t>
            </w:r>
          </w:p>
          <w:p>
            <w:pPr>
              <w:rPr>
                <w:color w:val="000000" w:themeColor="text1"/>
                <w:szCs w:val="21"/>
              </w:rPr>
            </w:pPr>
            <w:r>
              <w:rPr>
                <w:rFonts w:hint="eastAsia"/>
                <w:color w:val="000000" w:themeColor="text1"/>
                <w:szCs w:val="21"/>
              </w:rPr>
              <w:t>2.桌腿规格：460mm*h405mm（如图，桌腿高405mm,桌腿到地面420mm）。</w:t>
            </w:r>
          </w:p>
          <w:p>
            <w:pPr>
              <w:widowControl/>
              <w:rPr>
                <w:color w:val="000000" w:themeColor="text1"/>
                <w:szCs w:val="21"/>
              </w:rPr>
            </w:pPr>
            <w:r>
              <w:rPr>
                <w:rFonts w:hint="eastAsia"/>
                <w:color w:val="000000" w:themeColor="text1"/>
                <w:szCs w:val="21"/>
              </w:rPr>
              <w:t>上支架外径规格</w:t>
            </w:r>
            <w:r>
              <w:rPr>
                <w:color w:val="000000" w:themeColor="text1"/>
                <w:szCs w:val="21"/>
              </w:rPr>
              <w:t>20mm*4</w:t>
            </w:r>
            <w:r>
              <w:rPr>
                <w:rFonts w:hint="eastAsia"/>
                <w:color w:val="000000" w:themeColor="text1"/>
                <w:szCs w:val="21"/>
              </w:rPr>
              <w:t>0</w:t>
            </w:r>
            <w:r>
              <w:rPr>
                <w:color w:val="000000" w:themeColor="text1"/>
                <w:szCs w:val="21"/>
              </w:rPr>
              <w:t>mm</w:t>
            </w:r>
            <w:r>
              <w:rPr>
                <w:rFonts w:hint="eastAsia"/>
                <w:color w:val="000000" w:themeColor="text1"/>
                <w:szCs w:val="21"/>
              </w:rPr>
              <w:t>,壁厚为1.2mm,升降部分钢管规格为20mm*49mm，壁厚为1.4mm。</w:t>
            </w:r>
            <w:bookmarkStart w:id="22" w:name="OLE_LINK1"/>
            <w:r>
              <w:rPr>
                <w:rFonts w:hint="eastAsia"/>
                <w:color w:val="000000" w:themeColor="text1"/>
                <w:szCs w:val="21"/>
              </w:rPr>
              <w:t>共有六个孔位，分四档，每档可调节30mm</w:t>
            </w:r>
            <w:bookmarkEnd w:id="22"/>
            <w:r>
              <w:rPr>
                <w:rFonts w:hint="eastAsia"/>
                <w:color w:val="000000" w:themeColor="text1"/>
                <w:szCs w:val="21"/>
              </w:rPr>
              <w:t>，升降幅度范围90mm。桌腿钢管规格为30mm*60mm,壁厚为1.4mm。桌脚钢管规格为37.5mm*460mm*厚2mm。</w:t>
            </w:r>
          </w:p>
          <w:p>
            <w:pPr>
              <w:widowControl/>
              <w:rPr>
                <w:color w:val="000000" w:themeColor="text1"/>
                <w:szCs w:val="21"/>
              </w:rPr>
            </w:pPr>
            <w:r>
              <w:rPr>
                <w:rFonts w:hint="eastAsia"/>
                <w:color w:val="000000" w:themeColor="text1"/>
                <w:szCs w:val="21"/>
              </w:rPr>
              <w:t>3.表面涂装：所有金属部件经过流水线抛丸工艺除锈和高温除油处理，采用静电喷塑高温固化，使涂层与金属表面的附着力更强，耐腐蚀，不易脱落。涂层需光滑均匀，色泽一致，需无流挂、疙瘩、皱皮、飞漆。涂层需平整光滑、清晰，需无明显粒子、涨边现象；应无明显加工痕迹、划痕、雾光、白棱、白点、鼓泡、油白、流挂、缩孔、刷毛、积粉和杂渣。</w:t>
            </w:r>
          </w:p>
          <w:p>
            <w:pPr>
              <w:widowControl/>
              <w:rPr>
                <w:color w:val="000000" w:themeColor="text1"/>
                <w:szCs w:val="21"/>
              </w:rPr>
            </w:pPr>
            <w:r>
              <w:rPr>
                <w:rFonts w:hint="eastAsia"/>
                <w:color w:val="000000" w:themeColor="text1"/>
                <w:szCs w:val="21"/>
              </w:rPr>
              <w:t>4.其他详如左图所示。</w:t>
            </w:r>
          </w:p>
        </w:tc>
      </w:tr>
    </w:tbl>
    <w:p>
      <w:pPr>
        <w:jc w:val="left"/>
        <w:rPr>
          <w:color w:val="000000" w:themeColor="text1"/>
          <w:sz w:val="30"/>
          <w:szCs w:val="30"/>
        </w:rPr>
      </w:pPr>
      <w:r>
        <w:rPr>
          <w:rFonts w:hint="eastAsia"/>
          <w:b/>
          <w:color w:val="000000" w:themeColor="text1"/>
          <w:sz w:val="24"/>
        </w:rPr>
        <w:t>2、课椅——技术参数</w:t>
      </w:r>
    </w:p>
    <w:tbl>
      <w:tblPr>
        <w:tblStyle w:val="36"/>
        <w:tblW w:w="9259"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5"/>
        <w:gridCol w:w="546"/>
        <w:gridCol w:w="4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4" w:hRule="atLeast"/>
        </w:trPr>
        <w:tc>
          <w:tcPr>
            <w:tcW w:w="3845" w:type="dxa"/>
            <w:vMerge w:val="restart"/>
          </w:tcPr>
          <w:p>
            <w:pPr>
              <w:widowControl/>
              <w:jc w:val="left"/>
              <w:rPr>
                <w:color w:val="000000" w:themeColor="text1"/>
                <w:szCs w:val="21"/>
              </w:rPr>
            </w:pPr>
            <w:r>
              <w:rPr>
                <w:rFonts w:hint="eastAsia"/>
                <w:color w:val="000000" w:themeColor="text1"/>
                <w:szCs w:val="21"/>
              </w:rPr>
              <w:t>《整体展示图》</w:t>
            </w:r>
          </w:p>
          <w:p>
            <w:pPr>
              <w:widowControl/>
              <w:jc w:val="left"/>
              <w:rPr>
                <w:color w:val="000000" w:themeColor="text1"/>
                <w:szCs w:val="21"/>
              </w:rPr>
            </w:pPr>
            <w:r>
              <w:rPr>
                <w:color w:val="000000" w:themeColor="text1"/>
              </w:rPr>
              <w:drawing>
                <wp:inline distT="0" distB="0" distL="0" distR="0">
                  <wp:extent cx="1518920" cy="1630045"/>
                  <wp:effectExtent l="19050" t="0" r="5080" b="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noChangeArrowheads="1"/>
                          </pic:cNvPicPr>
                        </pic:nvPicPr>
                        <pic:blipFill>
                          <a:blip r:embed="rId124"/>
                          <a:srcRect/>
                          <a:stretch>
                            <a:fillRect/>
                          </a:stretch>
                        </pic:blipFill>
                        <pic:spPr>
                          <a:xfrm>
                            <a:off x="0" y="0"/>
                            <a:ext cx="1518920" cy="1630045"/>
                          </a:xfrm>
                          <a:prstGeom prst="rect">
                            <a:avLst/>
                          </a:prstGeom>
                          <a:noFill/>
                          <a:ln w="9525" cmpd="sng">
                            <a:noFill/>
                            <a:miter lim="800000"/>
                            <a:headEnd/>
                            <a:tailEnd/>
                          </a:ln>
                        </pic:spPr>
                      </pic:pic>
                    </a:graphicData>
                  </a:graphic>
                </wp:inline>
              </w:drawing>
            </w:r>
          </w:p>
          <w:p>
            <w:pPr>
              <w:rPr>
                <w:color w:val="000000" w:themeColor="text1"/>
                <w:szCs w:val="21"/>
              </w:rPr>
            </w:pPr>
          </w:p>
          <w:p>
            <w:pPr>
              <w:rPr>
                <w:color w:val="000000" w:themeColor="text1"/>
                <w:szCs w:val="21"/>
              </w:rPr>
            </w:pPr>
            <w:r>
              <w:rPr>
                <w:rFonts w:hint="eastAsia"/>
                <w:color w:val="000000" w:themeColor="text1"/>
                <w:szCs w:val="21"/>
              </w:rPr>
              <w:t>《靠背说明》</w:t>
            </w:r>
          </w:p>
          <w:p>
            <w:pPr>
              <w:rPr>
                <w:color w:val="000000" w:themeColor="text1"/>
              </w:rPr>
            </w:pPr>
            <w:r>
              <w:rPr>
                <w:color w:val="000000" w:themeColor="text1"/>
              </w:rPr>
              <w:drawing>
                <wp:inline distT="0" distB="0" distL="0" distR="0">
                  <wp:extent cx="1797050" cy="1757045"/>
                  <wp:effectExtent l="19050" t="0" r="0" b="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noChangeArrowheads="1"/>
                          </pic:cNvPicPr>
                        </pic:nvPicPr>
                        <pic:blipFill>
                          <a:blip r:embed="rId125"/>
                          <a:srcRect/>
                          <a:stretch>
                            <a:fillRect/>
                          </a:stretch>
                        </pic:blipFill>
                        <pic:spPr>
                          <a:xfrm>
                            <a:off x="0" y="0"/>
                            <a:ext cx="1797050" cy="1757045"/>
                          </a:xfrm>
                          <a:prstGeom prst="rect">
                            <a:avLst/>
                          </a:prstGeom>
                          <a:noFill/>
                          <a:ln w="9525" cmpd="sng">
                            <a:noFill/>
                            <a:miter lim="800000"/>
                            <a:headEnd/>
                            <a:tailEnd/>
                          </a:ln>
                        </pic:spPr>
                      </pic:pic>
                    </a:graphicData>
                  </a:graphic>
                </wp:inline>
              </w:drawing>
            </w:r>
          </w:p>
          <w:p>
            <w:pPr>
              <w:rPr>
                <w:color w:val="000000" w:themeColor="text1"/>
                <w:szCs w:val="21"/>
              </w:rPr>
            </w:pPr>
            <w:r>
              <w:rPr>
                <w:rFonts w:hint="eastAsia"/>
                <w:color w:val="000000" w:themeColor="text1"/>
                <w:szCs w:val="21"/>
              </w:rPr>
              <w:t>《座板说明》</w:t>
            </w:r>
          </w:p>
          <w:p>
            <w:pPr>
              <w:rPr>
                <w:color w:val="000000" w:themeColor="text1"/>
              </w:rPr>
            </w:pPr>
          </w:p>
          <w:p>
            <w:pPr>
              <w:jc w:val="left"/>
              <w:rPr>
                <w:color w:val="000000" w:themeColor="text1"/>
                <w:szCs w:val="21"/>
              </w:rPr>
            </w:pPr>
          </w:p>
          <w:p>
            <w:pPr>
              <w:jc w:val="center"/>
              <w:rPr>
                <w:color w:val="000000" w:themeColor="text1"/>
              </w:rPr>
            </w:pPr>
            <w:r>
              <w:rPr>
                <w:color w:val="000000" w:themeColor="text1"/>
              </w:rPr>
              <w:drawing>
                <wp:inline distT="0" distB="0" distL="0" distR="0">
                  <wp:extent cx="2091055" cy="1566545"/>
                  <wp:effectExtent l="19050" t="0" r="4445" b="0"/>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noChangeArrowheads="1"/>
                          </pic:cNvPicPr>
                        </pic:nvPicPr>
                        <pic:blipFill>
                          <a:blip r:embed="rId126"/>
                          <a:srcRect/>
                          <a:stretch>
                            <a:fillRect/>
                          </a:stretch>
                        </pic:blipFill>
                        <pic:spPr>
                          <a:xfrm>
                            <a:off x="0" y="0"/>
                            <a:ext cx="2091055" cy="1566545"/>
                          </a:xfrm>
                          <a:prstGeom prst="rect">
                            <a:avLst/>
                          </a:prstGeom>
                          <a:noFill/>
                          <a:ln w="9525" cmpd="sng">
                            <a:noFill/>
                            <a:miter lim="800000"/>
                            <a:headEnd/>
                            <a:tailEnd/>
                          </a:ln>
                        </pic:spPr>
                      </pic:pic>
                    </a:graphicData>
                  </a:graphic>
                </wp:inline>
              </w:drawing>
            </w:r>
          </w:p>
          <w:p>
            <w:pPr>
              <w:jc w:val="center"/>
              <w:rPr>
                <w:color w:val="000000" w:themeColor="text1"/>
              </w:rPr>
            </w:pPr>
          </w:p>
          <w:p>
            <w:pPr>
              <w:rPr>
                <w:color w:val="000000" w:themeColor="text1"/>
                <w:szCs w:val="21"/>
              </w:rPr>
            </w:pPr>
          </w:p>
          <w:p>
            <w:pPr>
              <w:rPr>
                <w:color w:val="000000" w:themeColor="text1"/>
                <w:szCs w:val="21"/>
              </w:rPr>
            </w:pPr>
            <w:r>
              <w:rPr>
                <w:rFonts w:hint="eastAsia"/>
                <w:color w:val="000000" w:themeColor="text1"/>
                <w:szCs w:val="21"/>
              </w:rPr>
              <w:t>《靠背铁件说明》</w:t>
            </w:r>
          </w:p>
          <w:p>
            <w:pPr>
              <w:jc w:val="center"/>
              <w:rPr>
                <w:color w:val="000000" w:themeColor="text1"/>
              </w:rPr>
            </w:pPr>
          </w:p>
          <w:p>
            <w:pPr>
              <w:jc w:val="center"/>
              <w:rPr>
                <w:color w:val="000000" w:themeColor="text1"/>
              </w:rPr>
            </w:pPr>
            <w:r>
              <w:rPr>
                <w:color w:val="000000" w:themeColor="text1"/>
              </w:rPr>
              <w:drawing>
                <wp:inline distT="0" distB="0" distL="0" distR="0">
                  <wp:extent cx="1955800" cy="1939925"/>
                  <wp:effectExtent l="19050" t="0" r="6350" b="0"/>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noChangeArrowheads="1"/>
                          </pic:cNvPicPr>
                        </pic:nvPicPr>
                        <pic:blipFill>
                          <a:blip r:embed="rId127"/>
                          <a:srcRect/>
                          <a:stretch>
                            <a:fillRect/>
                          </a:stretch>
                        </pic:blipFill>
                        <pic:spPr>
                          <a:xfrm>
                            <a:off x="0" y="0"/>
                            <a:ext cx="1955800" cy="1939925"/>
                          </a:xfrm>
                          <a:prstGeom prst="rect">
                            <a:avLst/>
                          </a:prstGeom>
                          <a:noFill/>
                          <a:ln w="9525" cmpd="sng">
                            <a:noFill/>
                            <a:miter lim="800000"/>
                            <a:headEnd/>
                            <a:tailEnd/>
                          </a:ln>
                        </pic:spPr>
                      </pic:pic>
                    </a:graphicData>
                  </a:graphic>
                </wp:inline>
              </w:drawing>
            </w:r>
          </w:p>
          <w:p>
            <w:pPr>
              <w:rPr>
                <w:color w:val="000000" w:themeColor="text1"/>
                <w:szCs w:val="21"/>
              </w:rPr>
            </w:pPr>
          </w:p>
          <w:p>
            <w:pPr>
              <w:rPr>
                <w:color w:val="000000" w:themeColor="text1"/>
                <w:szCs w:val="21"/>
              </w:rPr>
            </w:pPr>
            <w:r>
              <w:rPr>
                <w:rFonts w:hint="eastAsia"/>
                <w:color w:val="000000" w:themeColor="text1"/>
                <w:szCs w:val="21"/>
              </w:rPr>
              <w:t>《椅腿铁件说明》</w:t>
            </w:r>
          </w:p>
          <w:p>
            <w:pPr>
              <w:jc w:val="center"/>
              <w:rPr>
                <w:color w:val="000000" w:themeColor="text1"/>
              </w:rPr>
            </w:pPr>
            <w:r>
              <w:rPr>
                <w:color w:val="000000" w:themeColor="text1"/>
              </w:rPr>
              <w:drawing>
                <wp:inline distT="0" distB="0" distL="0" distR="0">
                  <wp:extent cx="2305685" cy="2353310"/>
                  <wp:effectExtent l="19050" t="0" r="0" b="0"/>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noChangeArrowheads="1"/>
                          </pic:cNvPicPr>
                        </pic:nvPicPr>
                        <pic:blipFill>
                          <a:blip r:embed="rId128"/>
                          <a:srcRect/>
                          <a:stretch>
                            <a:fillRect/>
                          </a:stretch>
                        </pic:blipFill>
                        <pic:spPr>
                          <a:xfrm>
                            <a:off x="0" y="0"/>
                            <a:ext cx="2305685" cy="2353310"/>
                          </a:xfrm>
                          <a:prstGeom prst="rect">
                            <a:avLst/>
                          </a:prstGeom>
                          <a:noFill/>
                          <a:ln w="9525" cmpd="sng">
                            <a:noFill/>
                            <a:miter lim="800000"/>
                            <a:headEnd/>
                            <a:tailEnd/>
                          </a:ln>
                        </pic:spPr>
                      </pic:pic>
                    </a:graphicData>
                  </a:graphic>
                </wp:inline>
              </w:drawing>
            </w:r>
          </w:p>
          <w:p>
            <w:pPr>
              <w:rPr>
                <w:color w:val="000000" w:themeColor="text1"/>
                <w:szCs w:val="21"/>
              </w:rPr>
            </w:pPr>
            <w:r>
              <w:rPr>
                <w:rFonts w:hint="eastAsia"/>
                <w:color w:val="000000" w:themeColor="text1"/>
                <w:szCs w:val="21"/>
              </w:rPr>
              <w:t>《横梁说明》</w:t>
            </w:r>
          </w:p>
          <w:p>
            <w:pPr>
              <w:jc w:val="center"/>
              <w:rPr>
                <w:color w:val="000000" w:themeColor="text1"/>
              </w:rPr>
            </w:pPr>
          </w:p>
          <w:p>
            <w:pPr>
              <w:rPr>
                <w:color w:val="000000" w:themeColor="text1"/>
              </w:rPr>
            </w:pPr>
            <w:r>
              <w:rPr>
                <w:color w:val="000000" w:themeColor="text1"/>
              </w:rPr>
              <w:drawing>
                <wp:inline distT="0" distB="0" distL="0" distR="0">
                  <wp:extent cx="2305685" cy="2298065"/>
                  <wp:effectExtent l="19050" t="0" r="0" b="0"/>
                  <wp:docPr id="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1" noChangeArrowheads="1"/>
                          </pic:cNvPicPr>
                        </pic:nvPicPr>
                        <pic:blipFill>
                          <a:blip r:embed="rId129"/>
                          <a:srcRect/>
                          <a:stretch>
                            <a:fillRect/>
                          </a:stretch>
                        </pic:blipFill>
                        <pic:spPr>
                          <a:xfrm>
                            <a:off x="0" y="0"/>
                            <a:ext cx="2305685" cy="2298065"/>
                          </a:xfrm>
                          <a:prstGeom prst="rect">
                            <a:avLst/>
                          </a:prstGeom>
                          <a:noFill/>
                          <a:ln w="9525" cmpd="sng">
                            <a:noFill/>
                            <a:miter lim="800000"/>
                            <a:headEnd/>
                            <a:tailEnd/>
                          </a:ln>
                        </pic:spPr>
                      </pic:pic>
                    </a:graphicData>
                  </a:graphic>
                </wp:inline>
              </w:drawing>
            </w:r>
          </w:p>
          <w:p>
            <w:pPr>
              <w:rPr>
                <w:color w:val="000000" w:themeColor="text1"/>
              </w:rPr>
            </w:pPr>
          </w:p>
          <w:p>
            <w:pPr>
              <w:rPr>
                <w:color w:val="000000" w:themeColor="text1"/>
              </w:rPr>
            </w:pPr>
          </w:p>
          <w:p>
            <w:pPr>
              <w:rPr>
                <w:color w:val="000000" w:themeColor="text1"/>
                <w:szCs w:val="21"/>
              </w:rPr>
            </w:pPr>
            <w:r>
              <w:rPr>
                <w:rFonts w:hint="eastAsia"/>
                <w:color w:val="000000" w:themeColor="text1"/>
                <w:szCs w:val="21"/>
              </w:rPr>
              <w:t>《座板固定铁件说明》</w:t>
            </w:r>
          </w:p>
          <w:p>
            <w:pPr>
              <w:rPr>
                <w:color w:val="000000" w:themeColor="text1"/>
                <w:szCs w:val="21"/>
              </w:rPr>
            </w:pPr>
            <w:r>
              <w:rPr>
                <w:color w:val="000000" w:themeColor="text1"/>
              </w:rPr>
              <w:drawing>
                <wp:inline distT="0" distB="0" distL="0" distR="0">
                  <wp:extent cx="1844675" cy="1343660"/>
                  <wp:effectExtent l="19050" t="0" r="3175" b="0"/>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noChangeArrowheads="1"/>
                          </pic:cNvPicPr>
                        </pic:nvPicPr>
                        <pic:blipFill>
                          <a:blip r:embed="rId130"/>
                          <a:srcRect/>
                          <a:stretch>
                            <a:fillRect/>
                          </a:stretch>
                        </pic:blipFill>
                        <pic:spPr>
                          <a:xfrm>
                            <a:off x="0" y="0"/>
                            <a:ext cx="1844675" cy="1343660"/>
                          </a:xfrm>
                          <a:prstGeom prst="rect">
                            <a:avLst/>
                          </a:prstGeom>
                          <a:noFill/>
                          <a:ln w="9525" cmpd="sng">
                            <a:noFill/>
                            <a:miter lim="800000"/>
                            <a:headEnd/>
                            <a:tailEnd/>
                          </a:ln>
                        </pic:spPr>
                      </pic:pic>
                    </a:graphicData>
                  </a:graphic>
                </wp:inline>
              </w:drawing>
            </w:r>
            <w:r>
              <w:rPr>
                <w:rFonts w:hint="eastAsia"/>
                <w:color w:val="000000" w:themeColor="text1"/>
                <w:szCs w:val="21"/>
              </w:rPr>
              <w:t>《升降套说明》</w:t>
            </w:r>
          </w:p>
          <w:p>
            <w:pPr>
              <w:jc w:val="center"/>
              <w:rPr>
                <w:color w:val="000000" w:themeColor="text1"/>
              </w:rPr>
            </w:pPr>
            <w:r>
              <w:rPr>
                <w:color w:val="000000" w:themeColor="text1"/>
              </w:rPr>
              <w:drawing>
                <wp:inline distT="0" distB="0" distL="0" distR="0">
                  <wp:extent cx="1526540" cy="1852930"/>
                  <wp:effectExtent l="19050" t="0" r="0" b="0"/>
                  <wp:docPr id="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pic:cNvPicPr>
                            <a:picLocks noChangeAspect="1" noChangeArrowheads="1"/>
                          </pic:cNvPicPr>
                        </pic:nvPicPr>
                        <pic:blipFill>
                          <a:blip r:embed="rId131"/>
                          <a:srcRect/>
                          <a:stretch>
                            <a:fillRect/>
                          </a:stretch>
                        </pic:blipFill>
                        <pic:spPr>
                          <a:xfrm>
                            <a:off x="0" y="0"/>
                            <a:ext cx="1526540" cy="1852930"/>
                          </a:xfrm>
                          <a:prstGeom prst="rect">
                            <a:avLst/>
                          </a:prstGeom>
                          <a:noFill/>
                          <a:ln w="9525" cmpd="sng">
                            <a:noFill/>
                            <a:miter lim="800000"/>
                            <a:headEnd/>
                            <a:tailEnd/>
                          </a:ln>
                        </pic:spPr>
                      </pic:pic>
                    </a:graphicData>
                  </a:graphic>
                </wp:inline>
              </w:drawing>
            </w:r>
          </w:p>
          <w:p>
            <w:pPr>
              <w:jc w:val="center"/>
              <w:rPr>
                <w:color w:val="000000" w:themeColor="text1"/>
              </w:rPr>
            </w:pPr>
            <w:r>
              <w:rPr>
                <w:rFonts w:hint="eastAsia"/>
                <w:color w:val="000000" w:themeColor="text1"/>
                <w:szCs w:val="21"/>
              </w:rPr>
              <w:t>《脚套/调节轮说明》</w:t>
            </w:r>
            <w:r>
              <w:rPr>
                <w:color w:val="000000" w:themeColor="text1"/>
              </w:rPr>
              <w:drawing>
                <wp:inline distT="0" distB="0" distL="0" distR="0">
                  <wp:extent cx="1812925" cy="1876425"/>
                  <wp:effectExtent l="19050" t="0" r="0" b="0"/>
                  <wp:docPr id="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pic:cNvPicPr>
                            <a:picLocks noChangeAspect="1" noChangeArrowheads="1"/>
                          </pic:cNvPicPr>
                        </pic:nvPicPr>
                        <pic:blipFill>
                          <a:blip r:embed="rId132"/>
                          <a:srcRect/>
                          <a:stretch>
                            <a:fillRect/>
                          </a:stretch>
                        </pic:blipFill>
                        <pic:spPr>
                          <a:xfrm>
                            <a:off x="0" y="0"/>
                            <a:ext cx="1812925" cy="1876425"/>
                          </a:xfrm>
                          <a:prstGeom prst="rect">
                            <a:avLst/>
                          </a:prstGeom>
                          <a:noFill/>
                          <a:ln w="9525" cmpd="sng">
                            <a:noFill/>
                            <a:miter lim="800000"/>
                            <a:headEnd/>
                            <a:tailEnd/>
                          </a:ln>
                        </pic:spPr>
                      </pic:pic>
                    </a:graphicData>
                  </a:graphic>
                </wp:inline>
              </w:drawing>
            </w:r>
          </w:p>
        </w:tc>
        <w:tc>
          <w:tcPr>
            <w:tcW w:w="546" w:type="dxa"/>
            <w:vAlign w:val="center"/>
          </w:tcPr>
          <w:p>
            <w:pPr>
              <w:jc w:val="center"/>
              <w:rPr>
                <w:color w:val="000000" w:themeColor="text1"/>
                <w:szCs w:val="21"/>
              </w:rPr>
            </w:pPr>
            <w:r>
              <w:rPr>
                <w:rFonts w:hint="eastAsia"/>
                <w:color w:val="000000" w:themeColor="text1"/>
                <w:szCs w:val="21"/>
              </w:rPr>
              <w:t>A.靠背要求</w:t>
            </w:r>
          </w:p>
        </w:tc>
        <w:tc>
          <w:tcPr>
            <w:tcW w:w="4868" w:type="dxa"/>
            <w:vAlign w:val="center"/>
          </w:tcPr>
          <w:p>
            <w:pPr>
              <w:rPr>
                <w:color w:val="000000" w:themeColor="text1"/>
                <w:szCs w:val="21"/>
              </w:rPr>
            </w:pPr>
            <w:r>
              <w:rPr>
                <w:rFonts w:hint="eastAsia"/>
                <w:color w:val="000000" w:themeColor="text1"/>
                <w:szCs w:val="21"/>
              </w:rPr>
              <w:t>1.材质：</w:t>
            </w:r>
            <w:r>
              <w:rPr>
                <w:rFonts w:hint="eastAsia"/>
                <w:color w:val="000000" w:themeColor="text1"/>
              </w:rPr>
              <w:t>采用PP耐冲击进口塑料一体射出成型</w:t>
            </w:r>
            <w:r>
              <w:rPr>
                <w:rFonts w:hint="eastAsia"/>
                <w:color w:val="000000" w:themeColor="text1"/>
                <w:szCs w:val="21"/>
              </w:rPr>
              <w:t>（如图）</w:t>
            </w:r>
            <w:r>
              <w:rPr>
                <w:rFonts w:hint="eastAsia"/>
                <w:color w:val="000000" w:themeColor="text1"/>
              </w:rPr>
              <w:t>。可耐重型汽车碾压，强韧而不脆裂。</w:t>
            </w:r>
            <w:r>
              <w:rPr>
                <w:rFonts w:hint="eastAsia"/>
                <w:color w:val="000000" w:themeColor="text1"/>
                <w:szCs w:val="21"/>
              </w:rPr>
              <w:t>不得采用回收料生产。</w:t>
            </w:r>
          </w:p>
          <w:p>
            <w:pPr>
              <w:rPr>
                <w:color w:val="000000" w:themeColor="text1"/>
                <w:szCs w:val="21"/>
              </w:rPr>
            </w:pPr>
            <w:r>
              <w:rPr>
                <w:rFonts w:hint="eastAsia"/>
                <w:color w:val="000000" w:themeColor="text1"/>
                <w:szCs w:val="21"/>
              </w:rPr>
              <w:t>2.规格：400mm*270mm*h750-830mm(共8个孔位，5档升降，每档升降20mm)。（如图）</w:t>
            </w:r>
          </w:p>
          <w:p>
            <w:pPr>
              <w:rPr>
                <w:color w:val="000000" w:themeColor="text1"/>
                <w:szCs w:val="21"/>
              </w:rPr>
            </w:pPr>
            <w:r>
              <w:rPr>
                <w:rFonts w:hint="eastAsia"/>
                <w:color w:val="000000" w:themeColor="text1"/>
                <w:szCs w:val="21"/>
              </w:rPr>
              <w:t>3.靠背上有6条长130mm*宽5mm（如图）的透气网，上方有长97mm*宽40mm（如图）的椭圆形空隙，方便提拿椅子。靠背需有一弧形造型设计。</w:t>
            </w:r>
          </w:p>
          <w:p>
            <w:pPr>
              <w:rPr>
                <w:rFonts w:ascii="宋体"/>
                <w:color w:val="000000" w:themeColor="text1"/>
                <w:szCs w:val="21"/>
              </w:rPr>
            </w:pPr>
            <w:r>
              <w:rPr>
                <w:rFonts w:hint="eastAsia"/>
                <w:color w:val="000000" w:themeColor="text1"/>
                <w:szCs w:val="21"/>
              </w:rPr>
              <w:t>4. 其他详如左图所示。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6" w:hRule="atLeast"/>
        </w:trPr>
        <w:tc>
          <w:tcPr>
            <w:tcW w:w="3845" w:type="dxa"/>
            <w:vMerge w:val="continue"/>
          </w:tcPr>
          <w:p>
            <w:pPr>
              <w:widowControl/>
              <w:jc w:val="left"/>
              <w:rPr>
                <w:color w:val="000000" w:themeColor="text1"/>
                <w:szCs w:val="21"/>
              </w:rPr>
            </w:pPr>
          </w:p>
        </w:tc>
        <w:tc>
          <w:tcPr>
            <w:tcW w:w="546" w:type="dxa"/>
            <w:vAlign w:val="center"/>
          </w:tcPr>
          <w:p>
            <w:pPr>
              <w:jc w:val="center"/>
              <w:rPr>
                <w:color w:val="000000" w:themeColor="text1"/>
                <w:szCs w:val="21"/>
              </w:rPr>
            </w:pPr>
            <w:r>
              <w:rPr>
                <w:rFonts w:hint="eastAsia"/>
                <w:color w:val="000000" w:themeColor="text1"/>
                <w:szCs w:val="21"/>
              </w:rPr>
              <w:t>B.座板要求</w:t>
            </w:r>
          </w:p>
        </w:tc>
        <w:tc>
          <w:tcPr>
            <w:tcW w:w="4868" w:type="dxa"/>
            <w:vAlign w:val="center"/>
          </w:tcPr>
          <w:p>
            <w:pPr>
              <w:widowControl/>
              <w:jc w:val="left"/>
              <w:rPr>
                <w:color w:val="000000" w:themeColor="text1"/>
                <w:szCs w:val="21"/>
              </w:rPr>
            </w:pPr>
            <w:r>
              <w:rPr>
                <w:rFonts w:hint="eastAsia"/>
                <w:color w:val="000000" w:themeColor="text1"/>
                <w:szCs w:val="21"/>
              </w:rPr>
              <w:t>1.材质：采用PP塑料一级新料一体射出成型（如图）。</w:t>
            </w:r>
          </w:p>
          <w:p>
            <w:pPr>
              <w:rPr>
                <w:color w:val="000000" w:themeColor="text1"/>
                <w:szCs w:val="21"/>
              </w:rPr>
            </w:pPr>
            <w:r>
              <w:rPr>
                <w:rFonts w:hint="eastAsia"/>
                <w:color w:val="000000" w:themeColor="text1"/>
                <w:szCs w:val="21"/>
              </w:rPr>
              <w:t>不得采用回收料生产。</w:t>
            </w:r>
          </w:p>
          <w:p>
            <w:pPr>
              <w:widowControl/>
              <w:rPr>
                <w:color w:val="000000" w:themeColor="text1"/>
                <w:szCs w:val="21"/>
              </w:rPr>
            </w:pPr>
            <w:r>
              <w:rPr>
                <w:rFonts w:hint="eastAsia"/>
                <w:color w:val="000000" w:themeColor="text1"/>
                <w:szCs w:val="21"/>
              </w:rPr>
              <w:t>2.规格：365mm*420mm。（如图）</w:t>
            </w:r>
          </w:p>
          <w:p>
            <w:pPr>
              <w:rPr>
                <w:color w:val="000000" w:themeColor="text1"/>
                <w:szCs w:val="21"/>
              </w:rPr>
            </w:pPr>
            <w:r>
              <w:rPr>
                <w:rFonts w:hint="eastAsia"/>
                <w:color w:val="000000" w:themeColor="text1"/>
                <w:szCs w:val="21"/>
              </w:rPr>
              <w:t>3.</w:t>
            </w:r>
            <w:r>
              <w:rPr>
                <w:rFonts w:hint="eastAsia" w:ascii="宋体" w:hAnsi="宋体" w:cs="宋体"/>
                <w:color w:val="000000" w:themeColor="text1"/>
              </w:rPr>
              <w:t>不含重金属及其他有毒物质。坐垫设计符合人体工程学原理，坐感更舒适，镂空设计，透气更健康。坐板前沿背面有加固镀锌铁条长344mm*宽12mm*厚5mm</w:t>
            </w:r>
            <w:r>
              <w:rPr>
                <w:rFonts w:hint="eastAsia"/>
                <w:color w:val="000000" w:themeColor="text1"/>
                <w:szCs w:val="21"/>
              </w:rPr>
              <w:t>（如图）</w:t>
            </w:r>
            <w:r>
              <w:rPr>
                <w:rFonts w:hint="eastAsia" w:ascii="宋体" w:hAnsi="宋体" w:cs="宋体"/>
                <w:color w:val="000000" w:themeColor="text1"/>
              </w:rPr>
              <w:t>，使椅面经久耐用，坐板有两列共十二条长130mm*宽5mm</w:t>
            </w:r>
            <w:r>
              <w:rPr>
                <w:rFonts w:hint="eastAsia"/>
                <w:color w:val="000000" w:themeColor="text1"/>
                <w:szCs w:val="21"/>
              </w:rPr>
              <w:t>（如图）</w:t>
            </w:r>
            <w:r>
              <w:rPr>
                <w:rFonts w:hint="eastAsia" w:ascii="宋体" w:hAnsi="宋体" w:cs="宋体"/>
                <w:color w:val="000000" w:themeColor="text1"/>
              </w:rPr>
              <w:t>透气网，能有效缓解学生坐姿疲劳，集中学生听课注意力，表面采用磨砂处理，表面纹路清晰，美观大方，坐板和椅子铁件连接部分不外露。椅面周边配置R角，不留锐角，椅面底部有12条加强筋长290mm*厚度3mm</w:t>
            </w:r>
            <w:r>
              <w:rPr>
                <w:rFonts w:hint="eastAsia"/>
                <w:color w:val="000000" w:themeColor="text1"/>
                <w:szCs w:val="21"/>
              </w:rPr>
              <w:t>（如图）</w:t>
            </w:r>
            <w:r>
              <w:rPr>
                <w:rFonts w:hint="eastAsia" w:ascii="宋体" w:hAnsi="宋体" w:cs="宋体"/>
                <w:color w:val="000000" w:themeColor="text1"/>
              </w:rPr>
              <w:t>，有效提高椅面的韧性和坚固性。</w:t>
            </w:r>
          </w:p>
          <w:p>
            <w:pPr>
              <w:rPr>
                <w:color w:val="000000" w:themeColor="text1"/>
                <w:szCs w:val="21"/>
              </w:rPr>
            </w:pPr>
            <w:r>
              <w:rPr>
                <w:rFonts w:hint="eastAsia"/>
                <w:color w:val="000000" w:themeColor="text1"/>
                <w:szCs w:val="21"/>
              </w:rPr>
              <w:t>4. 其他详如左图所示。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6" w:hRule="atLeast"/>
        </w:trPr>
        <w:tc>
          <w:tcPr>
            <w:tcW w:w="3845" w:type="dxa"/>
            <w:vMerge w:val="continue"/>
          </w:tcPr>
          <w:p>
            <w:pPr>
              <w:widowControl/>
              <w:jc w:val="left"/>
              <w:rPr>
                <w:color w:val="000000" w:themeColor="text1"/>
                <w:szCs w:val="21"/>
              </w:rPr>
            </w:pPr>
          </w:p>
        </w:tc>
        <w:tc>
          <w:tcPr>
            <w:tcW w:w="546" w:type="dxa"/>
            <w:vAlign w:val="center"/>
          </w:tcPr>
          <w:p>
            <w:pPr>
              <w:widowControl/>
              <w:jc w:val="center"/>
              <w:rPr>
                <w:color w:val="000000" w:themeColor="text1"/>
                <w:szCs w:val="21"/>
              </w:rPr>
            </w:pPr>
            <w:r>
              <w:rPr>
                <w:rFonts w:hint="eastAsia"/>
                <w:color w:val="000000" w:themeColor="text1"/>
                <w:szCs w:val="21"/>
              </w:rPr>
              <w:t>C.靠背铁件</w:t>
            </w:r>
          </w:p>
        </w:tc>
        <w:tc>
          <w:tcPr>
            <w:tcW w:w="4868" w:type="dxa"/>
          </w:tcPr>
          <w:p>
            <w:pPr>
              <w:widowControl/>
              <w:jc w:val="left"/>
              <w:rPr>
                <w:color w:val="000000" w:themeColor="text1"/>
                <w:szCs w:val="21"/>
              </w:rPr>
            </w:pPr>
            <w:r>
              <w:rPr>
                <w:rFonts w:hint="eastAsia"/>
                <w:color w:val="000000" w:themeColor="text1"/>
                <w:szCs w:val="21"/>
              </w:rPr>
              <w:t>1.材质及形状：采用椭圆形镀锌钢管组合焊接而成（如图），结构</w:t>
            </w:r>
            <w:r>
              <w:rPr>
                <w:rFonts w:hint="eastAsia"/>
                <w:color w:val="000000" w:themeColor="text1"/>
              </w:rPr>
              <w:t>必需</w:t>
            </w:r>
            <w:r>
              <w:rPr>
                <w:rFonts w:hint="eastAsia"/>
                <w:color w:val="000000" w:themeColor="text1"/>
                <w:szCs w:val="21"/>
              </w:rPr>
              <w:t>牢固，长时间使用不得产生摇晃、松散的现象。焊接完成之钢管架，焊接部位</w:t>
            </w:r>
            <w:r>
              <w:rPr>
                <w:rFonts w:hint="eastAsia"/>
                <w:color w:val="000000" w:themeColor="text1"/>
              </w:rPr>
              <w:t>必需</w:t>
            </w:r>
            <w:r>
              <w:rPr>
                <w:rFonts w:hint="eastAsia"/>
                <w:color w:val="000000" w:themeColor="text1"/>
                <w:szCs w:val="21"/>
              </w:rPr>
              <w:t>牢固，需无脱焊、虚焊、焊穿。</w:t>
            </w:r>
          </w:p>
          <w:p>
            <w:pPr>
              <w:widowControl/>
              <w:jc w:val="left"/>
              <w:rPr>
                <w:color w:val="000000" w:themeColor="text1"/>
                <w:szCs w:val="21"/>
              </w:rPr>
            </w:pPr>
            <w:r>
              <w:rPr>
                <w:rFonts w:hint="eastAsia"/>
                <w:color w:val="000000" w:themeColor="text1"/>
                <w:szCs w:val="21"/>
              </w:rPr>
              <w:t>2.规格1：椭圆形钢管16mm*24mm*厚1.5mm；</w:t>
            </w:r>
          </w:p>
          <w:p>
            <w:pPr>
              <w:widowControl/>
              <w:jc w:val="left"/>
              <w:rPr>
                <w:color w:val="000000" w:themeColor="text1"/>
                <w:szCs w:val="21"/>
              </w:rPr>
            </w:pPr>
            <w:r>
              <w:rPr>
                <w:rFonts w:hint="eastAsia"/>
                <w:color w:val="000000" w:themeColor="text1"/>
                <w:szCs w:val="21"/>
              </w:rPr>
              <w:t>规格2：椭圆形钢管20*49厚1.5mm。整高310mm（如图）；</w:t>
            </w:r>
          </w:p>
          <w:p>
            <w:pPr>
              <w:rPr>
                <w:color w:val="000000" w:themeColor="text1"/>
                <w:szCs w:val="21"/>
              </w:rPr>
            </w:pPr>
            <w:r>
              <w:rPr>
                <w:rFonts w:hint="eastAsia"/>
                <w:color w:val="000000" w:themeColor="text1"/>
                <w:szCs w:val="21"/>
              </w:rPr>
              <w:t>3.表面涂装：</w:t>
            </w:r>
            <w:r>
              <w:rPr>
                <w:rFonts w:hint="eastAsia" w:ascii="宋体" w:hAnsi="宋体" w:cs="宋体"/>
                <w:color w:val="000000" w:themeColor="text1"/>
                <w:kern w:val="0"/>
                <w:szCs w:val="21"/>
              </w:rPr>
              <w:t>椅子所有金属部件经过流水线抛丸工艺除锈和高温除油处理，采用静电喷塑高温固化，使涂层与金属表面的附着力更强，耐腐蚀，不易脱落。</w:t>
            </w:r>
            <w:r>
              <w:rPr>
                <w:rFonts w:hint="eastAsia"/>
                <w:color w:val="000000" w:themeColor="text1"/>
                <w:szCs w:val="21"/>
              </w:rPr>
              <w:t xml:space="preserve">涂层需光滑均匀，色泽一致，需无流挂、疙瘩、皱皮、飞漆。涂层需平整光滑、清晰，需无明显粒子、涨边现象；应无明显加工痕迹、划痕、雾光、白棱、白点、鼓泡、油白、流挂、缩孔、刷毛、积粉和杂渣。          </w:t>
            </w:r>
          </w:p>
          <w:p>
            <w:pPr>
              <w:rPr>
                <w:color w:val="000000" w:themeColor="text1"/>
                <w:szCs w:val="21"/>
              </w:rPr>
            </w:pPr>
            <w:r>
              <w:rPr>
                <w:rFonts w:hint="eastAsia"/>
                <w:color w:val="000000" w:themeColor="text1"/>
                <w:szCs w:val="21"/>
              </w:rPr>
              <w:t>4.其他详如左图所示。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5" w:hRule="atLeast"/>
        </w:trPr>
        <w:tc>
          <w:tcPr>
            <w:tcW w:w="3845" w:type="dxa"/>
            <w:vMerge w:val="continue"/>
          </w:tcPr>
          <w:p>
            <w:pPr>
              <w:widowControl/>
              <w:jc w:val="center"/>
              <w:rPr>
                <w:color w:val="000000" w:themeColor="text1"/>
              </w:rPr>
            </w:pPr>
          </w:p>
        </w:tc>
        <w:tc>
          <w:tcPr>
            <w:tcW w:w="546" w:type="dxa"/>
            <w:vAlign w:val="center"/>
          </w:tcPr>
          <w:p>
            <w:pPr>
              <w:widowControl/>
              <w:jc w:val="center"/>
              <w:rPr>
                <w:color w:val="000000" w:themeColor="text1"/>
                <w:szCs w:val="21"/>
              </w:rPr>
            </w:pPr>
            <w:r>
              <w:rPr>
                <w:rFonts w:hint="eastAsia"/>
                <w:color w:val="000000" w:themeColor="text1"/>
                <w:szCs w:val="21"/>
              </w:rPr>
              <w:t>D椅腿铁件</w:t>
            </w:r>
          </w:p>
        </w:tc>
        <w:tc>
          <w:tcPr>
            <w:tcW w:w="4868" w:type="dxa"/>
          </w:tcPr>
          <w:p>
            <w:pPr>
              <w:widowControl/>
              <w:rPr>
                <w:color w:val="000000" w:themeColor="text1"/>
                <w:szCs w:val="21"/>
              </w:rPr>
            </w:pPr>
            <w:r>
              <w:rPr>
                <w:rFonts w:hint="eastAsia"/>
                <w:color w:val="000000" w:themeColor="text1"/>
                <w:szCs w:val="21"/>
              </w:rPr>
              <w:t>1.材质及形状：采用椭圆形镀锌钢管组合焊接而成（如图），结构</w:t>
            </w:r>
            <w:r>
              <w:rPr>
                <w:rFonts w:hint="eastAsia"/>
                <w:color w:val="000000" w:themeColor="text1"/>
              </w:rPr>
              <w:t>必需</w:t>
            </w:r>
            <w:r>
              <w:rPr>
                <w:rFonts w:hint="eastAsia"/>
                <w:color w:val="000000" w:themeColor="text1"/>
                <w:szCs w:val="21"/>
              </w:rPr>
              <w:t>牢固，长时间使用不得产生摇晃、松散的现象。焊接完成之钢管架，焊接部位</w:t>
            </w:r>
            <w:r>
              <w:rPr>
                <w:rFonts w:hint="eastAsia"/>
                <w:color w:val="000000" w:themeColor="text1"/>
              </w:rPr>
              <w:t>必需</w:t>
            </w:r>
            <w:r>
              <w:rPr>
                <w:rFonts w:hint="eastAsia"/>
                <w:color w:val="000000" w:themeColor="text1"/>
                <w:szCs w:val="21"/>
              </w:rPr>
              <w:t>牢固，需无脱焊、虚焊、焊穿。</w:t>
            </w:r>
          </w:p>
          <w:p>
            <w:pPr>
              <w:widowControl/>
              <w:rPr>
                <w:color w:val="000000" w:themeColor="text1"/>
                <w:szCs w:val="21"/>
              </w:rPr>
            </w:pPr>
            <w:r>
              <w:rPr>
                <w:rFonts w:hint="eastAsia"/>
                <w:color w:val="000000" w:themeColor="text1"/>
                <w:szCs w:val="21"/>
              </w:rPr>
              <w:t>2.规格1：30mm*60mm*厚1.5mm*高330mm；</w:t>
            </w:r>
          </w:p>
          <w:p>
            <w:pPr>
              <w:widowControl/>
              <w:ind w:firstLine="210" w:firstLineChars="100"/>
              <w:rPr>
                <w:color w:val="000000" w:themeColor="text1"/>
                <w:szCs w:val="21"/>
              </w:rPr>
            </w:pPr>
            <w:r>
              <w:rPr>
                <w:rFonts w:hint="eastAsia"/>
                <w:color w:val="000000" w:themeColor="text1"/>
                <w:szCs w:val="21"/>
              </w:rPr>
              <w:t>规格2：  37.5mm*400mm*厚2mm（如图）；</w:t>
            </w:r>
          </w:p>
          <w:p>
            <w:pPr>
              <w:widowControl/>
              <w:rPr>
                <w:color w:val="000000" w:themeColor="text1"/>
                <w:szCs w:val="21"/>
              </w:rPr>
            </w:pPr>
            <w:r>
              <w:rPr>
                <w:rFonts w:hint="eastAsia"/>
                <w:color w:val="000000" w:themeColor="text1"/>
                <w:szCs w:val="21"/>
              </w:rPr>
              <w:t>3.表面涂装：</w:t>
            </w:r>
            <w:r>
              <w:rPr>
                <w:rFonts w:hint="eastAsia" w:ascii="宋体" w:hAnsi="宋体" w:cs="宋体"/>
                <w:color w:val="000000" w:themeColor="text1"/>
                <w:kern w:val="0"/>
                <w:szCs w:val="21"/>
              </w:rPr>
              <w:t>椅子所有金属部件经过流水线抛丸工艺除锈和高温除油处理，采用静电喷塑高温固化，使涂层与金属表面的附着力更强，耐腐蚀，不易脱落。</w:t>
            </w:r>
            <w:r>
              <w:rPr>
                <w:rFonts w:hint="eastAsia"/>
                <w:color w:val="000000" w:themeColor="text1"/>
                <w:szCs w:val="21"/>
              </w:rPr>
              <w:t>涂层需光滑均匀，色泽一致，需无流挂、疙瘩、皱皮、飞漆。涂层需平整光滑、清晰，需无明显粒子、涨边现象；应无明显加工痕迹、划痕、雾光、白棱、白点、鼓泡、油白、流挂、缩孔、刷毛、积粉和杂渣。</w:t>
            </w:r>
          </w:p>
          <w:p>
            <w:pPr>
              <w:widowControl/>
              <w:rPr>
                <w:color w:val="000000" w:themeColor="text1"/>
                <w:szCs w:val="21"/>
              </w:rPr>
            </w:pPr>
            <w:r>
              <w:rPr>
                <w:rFonts w:hint="eastAsia"/>
                <w:color w:val="000000" w:themeColor="text1"/>
                <w:szCs w:val="21"/>
              </w:rPr>
              <w:t>4.其他详如左图所示。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trPr>
        <w:tc>
          <w:tcPr>
            <w:tcW w:w="3845" w:type="dxa"/>
            <w:vMerge w:val="continue"/>
          </w:tcPr>
          <w:p>
            <w:pPr>
              <w:widowControl/>
              <w:jc w:val="center"/>
              <w:rPr>
                <w:color w:val="000000" w:themeColor="text1"/>
              </w:rPr>
            </w:pPr>
          </w:p>
        </w:tc>
        <w:tc>
          <w:tcPr>
            <w:tcW w:w="546" w:type="dxa"/>
            <w:vAlign w:val="center"/>
          </w:tcPr>
          <w:p>
            <w:pPr>
              <w:widowControl/>
              <w:jc w:val="center"/>
              <w:rPr>
                <w:color w:val="000000" w:themeColor="text1"/>
                <w:szCs w:val="21"/>
              </w:rPr>
            </w:pPr>
          </w:p>
          <w:p>
            <w:pPr>
              <w:widowControl/>
              <w:jc w:val="center"/>
              <w:rPr>
                <w:color w:val="000000" w:themeColor="text1"/>
                <w:szCs w:val="21"/>
              </w:rPr>
            </w:pPr>
          </w:p>
          <w:p>
            <w:pPr>
              <w:widowControl/>
              <w:jc w:val="center"/>
              <w:rPr>
                <w:color w:val="000000" w:themeColor="text1"/>
                <w:szCs w:val="21"/>
              </w:rPr>
            </w:pPr>
          </w:p>
          <w:p>
            <w:pPr>
              <w:widowControl/>
              <w:jc w:val="center"/>
              <w:rPr>
                <w:color w:val="000000" w:themeColor="text1"/>
                <w:szCs w:val="21"/>
              </w:rPr>
            </w:pPr>
          </w:p>
          <w:p>
            <w:pPr>
              <w:widowControl/>
              <w:jc w:val="center"/>
              <w:rPr>
                <w:color w:val="000000" w:themeColor="text1"/>
                <w:szCs w:val="21"/>
              </w:rPr>
            </w:pPr>
          </w:p>
          <w:p>
            <w:pPr>
              <w:widowControl/>
              <w:jc w:val="center"/>
              <w:rPr>
                <w:color w:val="000000" w:themeColor="text1"/>
                <w:szCs w:val="21"/>
              </w:rPr>
            </w:pPr>
            <w:r>
              <w:rPr>
                <w:rFonts w:hint="eastAsia"/>
                <w:color w:val="000000" w:themeColor="text1"/>
                <w:szCs w:val="21"/>
              </w:rPr>
              <w:t>E横梁</w:t>
            </w:r>
          </w:p>
          <w:p>
            <w:pPr>
              <w:widowControl/>
              <w:jc w:val="center"/>
              <w:rPr>
                <w:color w:val="000000" w:themeColor="text1"/>
                <w:szCs w:val="21"/>
              </w:rPr>
            </w:pPr>
          </w:p>
          <w:p>
            <w:pPr>
              <w:widowControl/>
              <w:jc w:val="center"/>
              <w:rPr>
                <w:color w:val="000000" w:themeColor="text1"/>
                <w:szCs w:val="21"/>
              </w:rPr>
            </w:pPr>
          </w:p>
          <w:p>
            <w:pPr>
              <w:widowControl/>
              <w:jc w:val="center"/>
              <w:rPr>
                <w:color w:val="000000" w:themeColor="text1"/>
                <w:szCs w:val="21"/>
              </w:rPr>
            </w:pPr>
          </w:p>
          <w:p>
            <w:pPr>
              <w:widowControl/>
              <w:jc w:val="center"/>
              <w:rPr>
                <w:color w:val="000000" w:themeColor="text1"/>
                <w:szCs w:val="21"/>
              </w:rPr>
            </w:pPr>
          </w:p>
          <w:p>
            <w:pPr>
              <w:widowControl/>
              <w:jc w:val="center"/>
              <w:rPr>
                <w:color w:val="000000" w:themeColor="text1"/>
                <w:szCs w:val="21"/>
              </w:rPr>
            </w:pPr>
          </w:p>
          <w:p>
            <w:pPr>
              <w:widowControl/>
              <w:jc w:val="center"/>
              <w:rPr>
                <w:color w:val="000000" w:themeColor="text1"/>
                <w:szCs w:val="21"/>
              </w:rPr>
            </w:pPr>
          </w:p>
          <w:p>
            <w:pPr>
              <w:widowControl/>
              <w:jc w:val="center"/>
              <w:rPr>
                <w:color w:val="000000" w:themeColor="text1"/>
                <w:szCs w:val="21"/>
              </w:rPr>
            </w:pPr>
          </w:p>
          <w:p>
            <w:pPr>
              <w:widowControl/>
              <w:jc w:val="center"/>
              <w:rPr>
                <w:color w:val="000000" w:themeColor="text1"/>
                <w:szCs w:val="21"/>
              </w:rPr>
            </w:pPr>
          </w:p>
          <w:p>
            <w:pPr>
              <w:widowControl/>
              <w:jc w:val="center"/>
              <w:rPr>
                <w:color w:val="000000" w:themeColor="text1"/>
                <w:szCs w:val="21"/>
              </w:rPr>
            </w:pPr>
            <w:r>
              <w:rPr>
                <w:rFonts w:hint="eastAsia"/>
                <w:color w:val="000000" w:themeColor="text1"/>
                <w:szCs w:val="21"/>
              </w:rPr>
              <w:t>F座板固定铁件</w:t>
            </w:r>
          </w:p>
        </w:tc>
        <w:tc>
          <w:tcPr>
            <w:tcW w:w="4868" w:type="dxa"/>
          </w:tcPr>
          <w:p>
            <w:pPr>
              <w:widowControl/>
              <w:numPr>
                <w:ilvl w:val="0"/>
                <w:numId w:val="11"/>
              </w:numPr>
              <w:rPr>
                <w:color w:val="000000" w:themeColor="text1"/>
                <w:szCs w:val="21"/>
              </w:rPr>
            </w:pPr>
            <w:r>
              <w:rPr>
                <w:rFonts w:hint="eastAsia"/>
                <w:color w:val="000000" w:themeColor="text1"/>
                <w:szCs w:val="21"/>
              </w:rPr>
              <w:t>材质及形状：采用椭圆形镀锌钢管组合焊接而成（如图），结构</w:t>
            </w:r>
            <w:r>
              <w:rPr>
                <w:rFonts w:hint="eastAsia"/>
                <w:color w:val="000000" w:themeColor="text1"/>
              </w:rPr>
              <w:t>必需</w:t>
            </w:r>
            <w:r>
              <w:rPr>
                <w:rFonts w:hint="eastAsia"/>
                <w:color w:val="000000" w:themeColor="text1"/>
                <w:szCs w:val="21"/>
              </w:rPr>
              <w:t>牢固，长时间使用不得产生摇晃、松散的现象。焊接完成之钢管架，焊接部位</w:t>
            </w:r>
            <w:r>
              <w:rPr>
                <w:rFonts w:hint="eastAsia"/>
                <w:color w:val="000000" w:themeColor="text1"/>
              </w:rPr>
              <w:t>必需</w:t>
            </w:r>
            <w:r>
              <w:rPr>
                <w:rFonts w:hint="eastAsia"/>
                <w:color w:val="000000" w:themeColor="text1"/>
                <w:szCs w:val="21"/>
              </w:rPr>
              <w:t>牢固，需无脱焊、虚焊、焊穿。</w:t>
            </w:r>
          </w:p>
          <w:p>
            <w:pPr>
              <w:widowControl/>
              <w:numPr>
                <w:ilvl w:val="0"/>
                <w:numId w:val="11"/>
              </w:numPr>
              <w:rPr>
                <w:color w:val="000000" w:themeColor="text1"/>
                <w:szCs w:val="21"/>
              </w:rPr>
            </w:pPr>
            <w:r>
              <w:rPr>
                <w:rFonts w:hint="eastAsia"/>
                <w:color w:val="000000" w:themeColor="text1"/>
                <w:szCs w:val="21"/>
              </w:rPr>
              <w:t>规格：28mm*100mm*310mm（如图）</w:t>
            </w:r>
          </w:p>
          <w:p>
            <w:pPr>
              <w:widowControl/>
              <w:numPr>
                <w:ilvl w:val="0"/>
                <w:numId w:val="11"/>
              </w:numPr>
              <w:rPr>
                <w:color w:val="000000" w:themeColor="text1"/>
                <w:szCs w:val="21"/>
              </w:rPr>
            </w:pPr>
            <w:r>
              <w:rPr>
                <w:rFonts w:hint="eastAsia"/>
                <w:color w:val="000000" w:themeColor="text1"/>
                <w:szCs w:val="21"/>
              </w:rPr>
              <w:t>表面涂装：</w:t>
            </w:r>
            <w:r>
              <w:rPr>
                <w:rFonts w:hint="eastAsia" w:ascii="宋体" w:hAnsi="宋体" w:cs="宋体"/>
                <w:color w:val="000000" w:themeColor="text1"/>
                <w:kern w:val="0"/>
                <w:szCs w:val="21"/>
              </w:rPr>
              <w:t>椅子所有金属部件经过流水线抛丸工艺除锈和高温除油处理，采用静电喷塑高温固化，使涂层与金属表面的附着力更强，耐腐蚀，不易脱落。</w:t>
            </w:r>
            <w:r>
              <w:rPr>
                <w:rFonts w:hint="eastAsia"/>
                <w:color w:val="000000" w:themeColor="text1"/>
                <w:szCs w:val="21"/>
              </w:rPr>
              <w:t>涂层需光滑均匀，色泽一致，需无流挂、疙瘩、皱皮、飞漆。涂层需平整光滑、清晰，需无明显粒子、涨边现象；应无明显加工痕迹、划痕、雾光、白棱、白点、鼓泡、油白、流挂、缩孔、刷毛、积粉和杂渣。</w:t>
            </w:r>
          </w:p>
          <w:p>
            <w:pPr>
              <w:widowControl/>
              <w:jc w:val="center"/>
              <w:rPr>
                <w:color w:val="000000" w:themeColor="text1"/>
                <w:szCs w:val="21"/>
              </w:rPr>
            </w:pPr>
          </w:p>
          <w:p>
            <w:pPr>
              <w:widowControl/>
              <w:rPr>
                <w:color w:val="000000" w:themeColor="text1"/>
                <w:szCs w:val="21"/>
              </w:rPr>
            </w:pPr>
            <w:r>
              <w:rPr>
                <w:rFonts w:hint="eastAsia"/>
                <w:color w:val="000000" w:themeColor="text1"/>
                <w:szCs w:val="21"/>
              </w:rPr>
              <w:t>1.材质及形状：采用椭圆形镀锌钢管组合焊接而成（如图），结构</w:t>
            </w:r>
            <w:r>
              <w:rPr>
                <w:rFonts w:hint="eastAsia"/>
                <w:color w:val="000000" w:themeColor="text1"/>
              </w:rPr>
              <w:t>必需</w:t>
            </w:r>
            <w:r>
              <w:rPr>
                <w:rFonts w:hint="eastAsia"/>
                <w:color w:val="000000" w:themeColor="text1"/>
                <w:szCs w:val="21"/>
              </w:rPr>
              <w:t>牢固，长时间使用不得产生摇晃、松散的现象。焊接完成之钢管架，焊接部位</w:t>
            </w:r>
            <w:r>
              <w:rPr>
                <w:rFonts w:hint="eastAsia"/>
                <w:color w:val="000000" w:themeColor="text1"/>
              </w:rPr>
              <w:t>必需</w:t>
            </w:r>
            <w:r>
              <w:rPr>
                <w:rFonts w:hint="eastAsia"/>
                <w:color w:val="000000" w:themeColor="text1"/>
                <w:szCs w:val="21"/>
              </w:rPr>
              <w:t>牢固，需无脱焊、虚焊、焊穿。（如图）</w:t>
            </w:r>
          </w:p>
          <w:p>
            <w:pPr>
              <w:widowControl/>
              <w:rPr>
                <w:color w:val="000000" w:themeColor="text1"/>
                <w:szCs w:val="21"/>
              </w:rPr>
            </w:pPr>
            <w:r>
              <w:rPr>
                <w:rFonts w:hint="eastAsia"/>
                <w:color w:val="000000" w:themeColor="text1"/>
                <w:szCs w:val="21"/>
              </w:rPr>
              <w:t>2.规格：18mm*12mm*320mm，厚5mm（如图）</w:t>
            </w:r>
          </w:p>
          <w:p>
            <w:pPr>
              <w:widowControl/>
              <w:rPr>
                <w:color w:val="000000" w:themeColor="text1"/>
                <w:szCs w:val="21"/>
              </w:rPr>
            </w:pPr>
            <w:r>
              <w:rPr>
                <w:rFonts w:hint="eastAsia"/>
                <w:color w:val="000000" w:themeColor="text1"/>
                <w:szCs w:val="21"/>
              </w:rPr>
              <w:t>3.表面涂装：</w:t>
            </w:r>
            <w:r>
              <w:rPr>
                <w:rFonts w:hint="eastAsia" w:ascii="宋体" w:hAnsi="宋体" w:cs="宋体"/>
                <w:color w:val="000000" w:themeColor="text1"/>
                <w:kern w:val="0"/>
                <w:szCs w:val="21"/>
              </w:rPr>
              <w:t>椅子所有金属部件经过流水线抛丸工艺除锈和高温除油处理，采用静电喷塑高温固化，使涂层与金属表面的附着力更强，耐腐蚀，不易脱落。</w:t>
            </w:r>
            <w:r>
              <w:rPr>
                <w:rFonts w:hint="eastAsia"/>
                <w:color w:val="000000" w:themeColor="text1"/>
                <w:szCs w:val="21"/>
              </w:rPr>
              <w:t>涂层需光滑均匀，色泽一致，需无流挂、疙瘩、皱皮、飞漆。涂层需平整光滑、清晰，需无明显粒子、涨边现象；应无明显加工痕迹、划痕、雾光、白棱、白点、鼓泡、油白、流挂、缩孔、刷毛、积粉和杂渣。</w:t>
            </w:r>
          </w:p>
          <w:p>
            <w:pPr>
              <w:widowControl/>
              <w:rPr>
                <w:color w:val="000000" w:themeColor="text1"/>
                <w:szCs w:val="21"/>
              </w:rPr>
            </w:pPr>
            <w:r>
              <w:rPr>
                <w:rFonts w:hint="eastAsia"/>
                <w:color w:val="000000" w:themeColor="text1"/>
                <w:szCs w:val="21"/>
              </w:rPr>
              <w:t>4.其他详如左图所示。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trPr>
        <w:tc>
          <w:tcPr>
            <w:tcW w:w="3845" w:type="dxa"/>
            <w:vMerge w:val="continue"/>
          </w:tcPr>
          <w:p>
            <w:pPr>
              <w:widowControl/>
              <w:rPr>
                <w:color w:val="000000" w:themeColor="text1"/>
              </w:rPr>
            </w:pPr>
          </w:p>
        </w:tc>
        <w:tc>
          <w:tcPr>
            <w:tcW w:w="546" w:type="dxa"/>
            <w:vAlign w:val="center"/>
          </w:tcPr>
          <w:p>
            <w:pPr>
              <w:widowControl/>
              <w:rPr>
                <w:color w:val="000000" w:themeColor="text1"/>
              </w:rPr>
            </w:pPr>
            <w:r>
              <w:rPr>
                <w:rFonts w:hint="eastAsia"/>
                <w:color w:val="000000" w:themeColor="text1"/>
                <w:szCs w:val="21"/>
              </w:rPr>
              <w:t>G升降套</w:t>
            </w:r>
          </w:p>
        </w:tc>
        <w:tc>
          <w:tcPr>
            <w:tcW w:w="4868" w:type="dxa"/>
          </w:tcPr>
          <w:p>
            <w:pPr>
              <w:widowControl/>
              <w:jc w:val="left"/>
              <w:rPr>
                <w:color w:val="000000" w:themeColor="text1"/>
                <w:szCs w:val="21"/>
              </w:rPr>
            </w:pPr>
            <w:r>
              <w:rPr>
                <w:rFonts w:hint="eastAsia"/>
                <w:color w:val="000000" w:themeColor="text1"/>
                <w:szCs w:val="21"/>
              </w:rPr>
              <w:t>1.材质及形状：采用PP塑料一级新料一体射出成型（如图）。不得采用回收料生产。</w:t>
            </w:r>
          </w:p>
          <w:p>
            <w:pPr>
              <w:widowControl/>
              <w:jc w:val="left"/>
              <w:rPr>
                <w:color w:val="000000" w:themeColor="text1"/>
                <w:szCs w:val="21"/>
              </w:rPr>
            </w:pPr>
            <w:r>
              <w:rPr>
                <w:rFonts w:hint="eastAsia"/>
                <w:color w:val="000000" w:themeColor="text1"/>
                <w:szCs w:val="21"/>
              </w:rPr>
              <w:t>2.规格：61mm*115mm*33mm（如图）</w:t>
            </w:r>
          </w:p>
          <w:p>
            <w:pPr>
              <w:widowControl/>
              <w:rPr>
                <w:color w:val="000000" w:themeColor="text1"/>
                <w:szCs w:val="21"/>
              </w:rPr>
            </w:pPr>
            <w:r>
              <w:rPr>
                <w:rFonts w:hint="eastAsia"/>
                <w:color w:val="000000" w:themeColor="text1"/>
                <w:szCs w:val="21"/>
              </w:rPr>
              <w:t>3其他详如左图所示。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6" w:hRule="atLeast"/>
        </w:trPr>
        <w:tc>
          <w:tcPr>
            <w:tcW w:w="3845" w:type="dxa"/>
            <w:vMerge w:val="continue"/>
          </w:tcPr>
          <w:p>
            <w:pPr>
              <w:widowControl/>
              <w:rPr>
                <w:color w:val="000000" w:themeColor="text1"/>
              </w:rPr>
            </w:pPr>
          </w:p>
        </w:tc>
        <w:tc>
          <w:tcPr>
            <w:tcW w:w="546" w:type="dxa"/>
            <w:vAlign w:val="center"/>
          </w:tcPr>
          <w:p>
            <w:pPr>
              <w:widowControl/>
              <w:rPr>
                <w:color w:val="000000" w:themeColor="text1"/>
              </w:rPr>
            </w:pPr>
            <w:r>
              <w:rPr>
                <w:rFonts w:hint="eastAsia"/>
                <w:color w:val="000000" w:themeColor="text1"/>
                <w:szCs w:val="21"/>
              </w:rPr>
              <w:t>H/I脚套/调节轮</w:t>
            </w:r>
          </w:p>
        </w:tc>
        <w:tc>
          <w:tcPr>
            <w:tcW w:w="4868" w:type="dxa"/>
          </w:tcPr>
          <w:p>
            <w:pPr>
              <w:widowControl/>
              <w:jc w:val="left"/>
              <w:rPr>
                <w:color w:val="000000" w:themeColor="text1"/>
                <w:szCs w:val="21"/>
              </w:rPr>
            </w:pPr>
            <w:r>
              <w:rPr>
                <w:rFonts w:hint="eastAsia"/>
                <w:color w:val="000000" w:themeColor="text1"/>
                <w:szCs w:val="21"/>
              </w:rPr>
              <w:t>1.材质及形状：脚套采用PP塑料一级新料一体射出成型（如图），不得采用回收料生产。</w:t>
            </w:r>
          </w:p>
          <w:p>
            <w:pPr>
              <w:widowControl/>
              <w:rPr>
                <w:color w:val="000000" w:themeColor="text1"/>
                <w:szCs w:val="21"/>
              </w:rPr>
            </w:pPr>
            <w:r>
              <w:rPr>
                <w:rFonts w:hint="eastAsia"/>
                <w:color w:val="000000" w:themeColor="text1"/>
                <w:szCs w:val="21"/>
              </w:rPr>
              <w:t>2.规格（脚套）：37mm*150mm*55mm（如图）。规格（调节轮）：中心直径8mm，外直径30mm，高250mm（如图）。</w:t>
            </w:r>
          </w:p>
          <w:p>
            <w:pPr>
              <w:widowControl/>
              <w:rPr>
                <w:color w:val="000000" w:themeColor="text1"/>
                <w:szCs w:val="21"/>
              </w:rPr>
            </w:pPr>
            <w:r>
              <w:rPr>
                <w:rFonts w:hint="eastAsia"/>
                <w:color w:val="000000" w:themeColor="text1"/>
                <w:szCs w:val="21"/>
              </w:rPr>
              <w:t>3.功能（脚套）：防滑且减少移动产生噪音，完美解决教室噪音。</w:t>
            </w:r>
          </w:p>
          <w:p>
            <w:pPr>
              <w:widowControl/>
              <w:rPr>
                <w:color w:val="000000" w:themeColor="text1"/>
                <w:szCs w:val="21"/>
              </w:rPr>
            </w:pPr>
            <w:r>
              <w:rPr>
                <w:rFonts w:hint="eastAsia"/>
                <w:color w:val="000000" w:themeColor="text1"/>
                <w:szCs w:val="21"/>
              </w:rPr>
              <w:t>功能（调节轮）：塑料套内置一个可调节高度为250mm的PP塑料手转轮，具备防滑、防移动从而避免产生噪音或刮伤地板板面的功能。特别是遇不平整地面时，可通过椅脚自由调节器（手转轮）进行椅脚水平调节，确保椅面实际平衡。</w:t>
            </w:r>
          </w:p>
          <w:p>
            <w:pPr>
              <w:widowControl/>
              <w:rPr>
                <w:color w:val="000000" w:themeColor="text1"/>
                <w:szCs w:val="21"/>
              </w:rPr>
            </w:pPr>
            <w:r>
              <w:rPr>
                <w:rFonts w:hint="eastAsia"/>
                <w:color w:val="000000" w:themeColor="text1"/>
                <w:szCs w:val="21"/>
              </w:rPr>
              <w:t>4.其他详如左图所示。</w:t>
            </w:r>
          </w:p>
        </w:tc>
      </w:tr>
    </w:tbl>
    <w:p>
      <w:pPr>
        <w:rPr>
          <w:color w:val="000000" w:themeColor="text1"/>
          <w:szCs w:val="21"/>
        </w:rPr>
      </w:pPr>
    </w:p>
    <w:p>
      <w:pPr>
        <w:jc w:val="left"/>
        <w:rPr>
          <w:b/>
          <w:color w:val="000000" w:themeColor="text1"/>
          <w:sz w:val="28"/>
        </w:rPr>
      </w:pPr>
      <w:r>
        <w:rPr>
          <w:rFonts w:hint="eastAsia"/>
          <w:b/>
          <w:color w:val="000000" w:themeColor="text1"/>
          <w:sz w:val="28"/>
        </w:rPr>
        <w:t>附件</w:t>
      </w:r>
      <w:r>
        <w:rPr>
          <w:b/>
          <w:color w:val="000000" w:themeColor="text1"/>
          <w:sz w:val="28"/>
        </w:rPr>
        <w:t>2-</w:t>
      </w:r>
      <w:r>
        <w:rPr>
          <w:rFonts w:hint="eastAsia"/>
          <w:b/>
          <w:color w:val="000000" w:themeColor="text1"/>
          <w:sz w:val="28"/>
        </w:rPr>
        <w:t>多媒体讲台桌参数</w:t>
      </w:r>
    </w:p>
    <w:p>
      <w:pPr>
        <w:rPr>
          <w:color w:val="000000" w:themeColor="text1"/>
        </w:rPr>
      </w:pPr>
      <w:r>
        <w:rPr>
          <w:color w:val="000000" w:themeColor="text1"/>
        </w:rPr>
        <w:t>1</w:t>
      </w:r>
      <w:r>
        <w:rPr>
          <w:rFonts w:hint="eastAsia"/>
          <w:color w:val="000000" w:themeColor="text1"/>
        </w:rPr>
        <w:t>、定制</w:t>
      </w:r>
      <w:r>
        <w:rPr>
          <w:color w:val="000000" w:themeColor="text1"/>
        </w:rPr>
        <w:t>1600*740*900mm</w:t>
      </w:r>
      <w:r>
        <w:rPr>
          <w:rFonts w:hint="eastAsia"/>
          <w:color w:val="000000" w:themeColor="text1"/>
        </w:rPr>
        <w:t>钢木结构全封闭，材料采用优质冷轧板，钢板厚度支架为净厚≥</w:t>
      </w:r>
      <w:r>
        <w:rPr>
          <w:color w:val="000000" w:themeColor="text1"/>
        </w:rPr>
        <w:t>1.5mm</w:t>
      </w:r>
      <w:r>
        <w:rPr>
          <w:rFonts w:hint="eastAsia"/>
          <w:color w:val="000000" w:themeColor="text1"/>
        </w:rPr>
        <w:t>，其他钢板为≥</w:t>
      </w:r>
      <w:r>
        <w:rPr>
          <w:color w:val="000000" w:themeColor="text1"/>
        </w:rPr>
        <w:t>1.0mm</w:t>
      </w:r>
      <w:r>
        <w:rPr>
          <w:rFonts w:hint="eastAsia"/>
          <w:color w:val="000000" w:themeColor="text1"/>
        </w:rPr>
        <w:t>，台面</w:t>
      </w:r>
      <w:r>
        <w:rPr>
          <w:color w:val="000000" w:themeColor="text1"/>
        </w:rPr>
        <w:t>25mm</w:t>
      </w:r>
      <w:r>
        <w:rPr>
          <w:rFonts w:hint="eastAsia"/>
          <w:color w:val="000000" w:themeColor="text1"/>
        </w:rPr>
        <w:t>厚，采用优质</w:t>
      </w:r>
      <w:r>
        <w:rPr>
          <w:color w:val="000000" w:themeColor="text1"/>
        </w:rPr>
        <w:t>E1</w:t>
      </w:r>
      <w:r>
        <w:rPr>
          <w:rFonts w:hint="eastAsia"/>
          <w:color w:val="000000" w:themeColor="text1"/>
        </w:rPr>
        <w:t>级名牌防火板贴面，图片中须更改以下配置：</w:t>
      </w:r>
    </w:p>
    <w:p>
      <w:pPr>
        <w:rPr>
          <w:color w:val="000000" w:themeColor="text1"/>
        </w:rPr>
      </w:pPr>
      <w:r>
        <w:rPr>
          <w:rFonts w:hint="eastAsia"/>
          <w:color w:val="000000" w:themeColor="text1"/>
        </w:rPr>
        <w:t>（</w:t>
      </w:r>
      <w:r>
        <w:rPr>
          <w:color w:val="000000" w:themeColor="text1"/>
        </w:rPr>
        <w:t>1</w:t>
      </w:r>
      <w:r>
        <w:rPr>
          <w:rFonts w:hint="eastAsia"/>
          <w:color w:val="000000" w:themeColor="text1"/>
        </w:rPr>
        <w:t>）配置讲台硬原木左右扶手和硬原木后护框；</w:t>
      </w:r>
    </w:p>
    <w:p>
      <w:pPr>
        <w:rPr>
          <w:color w:val="000000" w:themeColor="text1"/>
        </w:rPr>
      </w:pPr>
      <w:r>
        <w:rPr>
          <w:rFonts w:hint="eastAsia"/>
          <w:color w:val="000000" w:themeColor="text1"/>
        </w:rPr>
        <w:t>（</w:t>
      </w:r>
      <w:r>
        <w:rPr>
          <w:color w:val="000000" w:themeColor="text1"/>
        </w:rPr>
        <w:t>2</w:t>
      </w:r>
      <w:r>
        <w:rPr>
          <w:rFonts w:hint="eastAsia"/>
          <w:color w:val="000000" w:themeColor="text1"/>
        </w:rPr>
        <w:t>）讲台右下侧配置</w:t>
      </w:r>
      <w:r>
        <w:rPr>
          <w:color w:val="000000" w:themeColor="text1"/>
        </w:rPr>
        <w:t>2</w:t>
      </w:r>
      <w:r>
        <w:rPr>
          <w:rFonts w:hint="eastAsia"/>
          <w:color w:val="000000" w:themeColor="text1"/>
        </w:rPr>
        <w:t>套</w:t>
      </w:r>
      <w:r>
        <w:rPr>
          <w:color w:val="000000" w:themeColor="text1"/>
        </w:rPr>
        <w:t>19</w:t>
      </w:r>
      <w:r>
        <w:rPr>
          <w:rFonts w:hint="eastAsia"/>
          <w:color w:val="000000" w:themeColor="text1"/>
        </w:rPr>
        <w:t>寸机柜安装架，左边配档板</w:t>
      </w:r>
      <w:r>
        <w:rPr>
          <w:color w:val="000000" w:themeColor="text1"/>
        </w:rPr>
        <w:t>1</w:t>
      </w:r>
      <w:r>
        <w:rPr>
          <w:rFonts w:hint="eastAsia"/>
          <w:color w:val="000000" w:themeColor="text1"/>
        </w:rPr>
        <w:t>张</w:t>
      </w:r>
      <w:r>
        <w:rPr>
          <w:color w:val="000000" w:themeColor="text1"/>
        </w:rPr>
        <w:t>,</w:t>
      </w:r>
      <w:r>
        <w:rPr>
          <w:rFonts w:hint="eastAsia"/>
          <w:color w:val="000000" w:themeColor="text1"/>
        </w:rPr>
        <w:t>右边配档板</w:t>
      </w:r>
      <w:r>
        <w:rPr>
          <w:color w:val="000000" w:themeColor="text1"/>
        </w:rPr>
        <w:t>2</w:t>
      </w:r>
      <w:r>
        <w:rPr>
          <w:rFonts w:hint="eastAsia"/>
          <w:color w:val="000000" w:themeColor="text1"/>
        </w:rPr>
        <w:t>张，</w:t>
      </w:r>
      <w:r>
        <w:rPr>
          <w:color w:val="000000" w:themeColor="text1"/>
        </w:rPr>
        <w:t>8</w:t>
      </w:r>
      <w:r>
        <w:rPr>
          <w:rFonts w:hint="eastAsia"/>
          <w:color w:val="000000" w:themeColor="text1"/>
        </w:rPr>
        <w:t>位</w:t>
      </w:r>
      <w:r>
        <w:rPr>
          <w:color w:val="000000" w:themeColor="text1"/>
        </w:rPr>
        <w:t>pdu</w:t>
      </w:r>
      <w:r>
        <w:rPr>
          <w:rFonts w:hint="eastAsia"/>
          <w:color w:val="000000" w:themeColor="text1"/>
        </w:rPr>
        <w:t>插座</w:t>
      </w:r>
      <w:r>
        <w:rPr>
          <w:color w:val="000000" w:themeColor="text1"/>
        </w:rPr>
        <w:t>1</w:t>
      </w:r>
      <w:r>
        <w:rPr>
          <w:rFonts w:hint="eastAsia"/>
          <w:color w:val="000000" w:themeColor="text1"/>
        </w:rPr>
        <w:t>套；</w:t>
      </w:r>
    </w:p>
    <w:p>
      <w:pPr>
        <w:rPr>
          <w:color w:val="000000" w:themeColor="text1"/>
        </w:rPr>
      </w:pPr>
      <w:r>
        <w:rPr>
          <w:rFonts w:hint="eastAsia"/>
          <w:color w:val="000000" w:themeColor="text1"/>
        </w:rPr>
        <w:t>（</w:t>
      </w:r>
      <w:r>
        <w:rPr>
          <w:color w:val="000000" w:themeColor="text1"/>
        </w:rPr>
        <w:t>3</w:t>
      </w:r>
      <w:r>
        <w:rPr>
          <w:rFonts w:hint="eastAsia"/>
          <w:color w:val="000000" w:themeColor="text1"/>
        </w:rPr>
        <w:t>）取消显示器位置及视频展示台结构；</w:t>
      </w:r>
    </w:p>
    <w:p>
      <w:pPr>
        <w:rPr>
          <w:color w:val="000000" w:themeColor="text1"/>
        </w:rPr>
      </w:pPr>
      <w:r>
        <w:rPr>
          <w:rFonts w:hint="eastAsia"/>
          <w:color w:val="000000" w:themeColor="text1"/>
        </w:rPr>
        <w:t>（</w:t>
      </w:r>
      <w:r>
        <w:rPr>
          <w:color w:val="000000" w:themeColor="text1"/>
        </w:rPr>
        <w:t>4</w:t>
      </w:r>
      <w:r>
        <w:rPr>
          <w:rFonts w:hint="eastAsia"/>
          <w:color w:val="000000" w:themeColor="text1"/>
        </w:rPr>
        <w:t>）中控的盒子安装位置更改为讲台左上角，中控的盒子选择全铝合金翻盖式毛刷多功能</w:t>
      </w:r>
      <w:r>
        <w:rPr>
          <w:color w:val="000000" w:themeColor="text1"/>
        </w:rPr>
        <w:t>/</w:t>
      </w:r>
      <w:r>
        <w:rPr>
          <w:rFonts w:hint="eastAsia"/>
          <w:color w:val="000000" w:themeColor="text1"/>
        </w:rPr>
        <w:t>多媒体桌面插座（两个</w:t>
      </w:r>
      <w:r>
        <w:rPr>
          <w:color w:val="000000" w:themeColor="text1"/>
        </w:rPr>
        <w:t>5</w:t>
      </w:r>
      <w:r>
        <w:rPr>
          <w:rFonts w:hint="eastAsia"/>
          <w:color w:val="000000" w:themeColor="text1"/>
        </w:rPr>
        <w:t>孔电源，一个</w:t>
      </w:r>
      <w:r>
        <w:rPr>
          <w:color w:val="000000" w:themeColor="text1"/>
        </w:rPr>
        <w:t>VGA</w:t>
      </w:r>
      <w:r>
        <w:rPr>
          <w:rFonts w:hint="eastAsia"/>
          <w:color w:val="000000" w:themeColor="text1"/>
        </w:rPr>
        <w:t>接口，一个</w:t>
      </w:r>
      <w:r>
        <w:rPr>
          <w:color w:val="000000" w:themeColor="text1"/>
        </w:rPr>
        <w:t>HDMI</w:t>
      </w:r>
      <w:r>
        <w:rPr>
          <w:rFonts w:hint="eastAsia"/>
          <w:color w:val="000000" w:themeColor="text1"/>
        </w:rPr>
        <w:t>接口，一个</w:t>
      </w:r>
      <w:r>
        <w:rPr>
          <w:color w:val="000000" w:themeColor="text1"/>
        </w:rPr>
        <w:t>3.5</w:t>
      </w:r>
      <w:r>
        <w:rPr>
          <w:rFonts w:hint="eastAsia"/>
          <w:color w:val="000000" w:themeColor="text1"/>
        </w:rPr>
        <w:t>音频接口，一个</w:t>
      </w:r>
      <w:r>
        <w:rPr>
          <w:color w:val="000000" w:themeColor="text1"/>
        </w:rPr>
        <w:t>2.0USB</w:t>
      </w:r>
      <w:r>
        <w:rPr>
          <w:rFonts w:hint="eastAsia"/>
          <w:color w:val="000000" w:themeColor="text1"/>
        </w:rPr>
        <w:t>接口，一个网口），具体见图片，其中的</w:t>
      </w:r>
      <w:r>
        <w:rPr>
          <w:color w:val="000000" w:themeColor="text1"/>
        </w:rPr>
        <w:t>5</w:t>
      </w:r>
      <w:r>
        <w:rPr>
          <w:rFonts w:hint="eastAsia"/>
          <w:color w:val="000000" w:themeColor="text1"/>
        </w:rPr>
        <w:t>孔插座为新国标（孔内带防儿童挡板）。讲台台面外选择合适的位置安装一套施耐德天鑫系列</w:t>
      </w:r>
      <w:r>
        <w:rPr>
          <w:color w:val="000000" w:themeColor="text1"/>
        </w:rPr>
        <w:t>Easy9</w:t>
      </w:r>
      <w:r>
        <w:rPr>
          <w:rFonts w:hint="eastAsia"/>
          <w:color w:val="000000" w:themeColor="text1"/>
        </w:rPr>
        <w:t>系列全金属</w:t>
      </w:r>
      <w:r>
        <w:rPr>
          <w:color w:val="000000" w:themeColor="text1"/>
        </w:rPr>
        <w:t>8</w:t>
      </w:r>
      <w:r>
        <w:rPr>
          <w:rFonts w:hint="eastAsia"/>
          <w:color w:val="000000" w:themeColor="text1"/>
        </w:rPr>
        <w:t>位配电箱</w:t>
      </w:r>
      <w:r>
        <w:rPr>
          <w:color w:val="000000" w:themeColor="text1"/>
        </w:rPr>
        <w:t>1</w:t>
      </w:r>
      <w:r>
        <w:rPr>
          <w:rFonts w:hint="eastAsia"/>
          <w:color w:val="000000" w:themeColor="text1"/>
        </w:rPr>
        <w:t>套，配施耐德</w:t>
      </w:r>
      <w:r>
        <w:rPr>
          <w:color w:val="000000" w:themeColor="text1"/>
        </w:rPr>
        <w:t>MGNEA9C45C1630C</w:t>
      </w:r>
      <w:r>
        <w:rPr>
          <w:rFonts w:hint="eastAsia"/>
          <w:color w:val="000000" w:themeColor="text1"/>
        </w:rPr>
        <w:t>、</w:t>
      </w:r>
      <w:r>
        <w:rPr>
          <w:color w:val="000000" w:themeColor="text1"/>
        </w:rPr>
        <w:t>EA9X310</w:t>
      </w:r>
      <w:r>
        <w:rPr>
          <w:rFonts w:hint="eastAsia"/>
          <w:color w:val="000000" w:themeColor="text1"/>
        </w:rPr>
        <w:t>与</w:t>
      </w:r>
      <w:r>
        <w:rPr>
          <w:color w:val="000000" w:themeColor="text1"/>
        </w:rPr>
        <w:t>EA9X210</w:t>
      </w:r>
      <w:r>
        <w:rPr>
          <w:rFonts w:hint="eastAsia"/>
          <w:color w:val="000000" w:themeColor="text1"/>
        </w:rPr>
        <w:t>各</w:t>
      </w:r>
      <w:r>
        <w:rPr>
          <w:color w:val="000000" w:themeColor="text1"/>
        </w:rPr>
        <w:t>1</w:t>
      </w:r>
      <w:r>
        <w:rPr>
          <w:rFonts w:hint="eastAsia"/>
          <w:color w:val="000000" w:themeColor="text1"/>
        </w:rPr>
        <w:t>个，安装位置应满足方便操作和维护；</w:t>
      </w:r>
    </w:p>
    <w:p>
      <w:pPr>
        <w:rPr>
          <w:color w:val="000000" w:themeColor="text1"/>
        </w:rPr>
      </w:pPr>
      <w:r>
        <w:rPr>
          <w:rFonts w:hint="eastAsia"/>
          <w:color w:val="000000" w:themeColor="text1"/>
        </w:rPr>
        <w:t>（</w:t>
      </w:r>
      <w:r>
        <w:rPr>
          <w:color w:val="000000" w:themeColor="text1"/>
        </w:rPr>
        <w:t>5</w:t>
      </w:r>
      <w:r>
        <w:rPr>
          <w:rFonts w:hint="eastAsia"/>
          <w:color w:val="000000" w:themeColor="text1"/>
        </w:rPr>
        <w:t>）机柜门改对开门和单扇门；</w:t>
      </w:r>
    </w:p>
    <w:p>
      <w:pPr>
        <w:rPr>
          <w:color w:val="000000" w:themeColor="text1"/>
        </w:rPr>
      </w:pPr>
      <w:r>
        <w:rPr>
          <w:color w:val="000000" w:themeColor="text1"/>
        </w:rPr>
        <w:t>2</w:t>
      </w:r>
      <w:r>
        <w:rPr>
          <w:rFonts w:hint="eastAsia"/>
          <w:color w:val="000000" w:themeColor="text1"/>
        </w:rPr>
        <w:t>、讲台采用一钥匙通用，方便设备的操作和维护；</w:t>
      </w:r>
    </w:p>
    <w:p>
      <w:pPr>
        <w:rPr>
          <w:color w:val="000000" w:themeColor="text1"/>
        </w:rPr>
      </w:pPr>
      <w:r>
        <w:rPr>
          <w:color w:val="000000" w:themeColor="text1"/>
        </w:rPr>
        <w:t>3</w:t>
      </w:r>
      <w:r>
        <w:rPr>
          <w:rFonts w:hint="eastAsia"/>
          <w:color w:val="000000" w:themeColor="text1"/>
        </w:rPr>
        <w:t>、讲台采用全隐藏式消声精密钢珠滑轨（</w:t>
      </w:r>
      <w:r>
        <w:rPr>
          <w:color w:val="000000" w:themeColor="text1"/>
        </w:rPr>
        <w:t>DTC</w:t>
      </w:r>
      <w:r>
        <w:rPr>
          <w:rFonts w:hint="eastAsia"/>
          <w:color w:val="000000" w:themeColor="text1"/>
        </w:rPr>
        <w:t>等三级加厚滑轨、缓冲铰链），确保足够的承重；</w:t>
      </w:r>
    </w:p>
    <w:p>
      <w:pPr>
        <w:rPr>
          <w:color w:val="000000" w:themeColor="text1"/>
        </w:rPr>
      </w:pPr>
      <w:r>
        <w:rPr>
          <w:color w:val="000000" w:themeColor="text1"/>
        </w:rPr>
        <w:t>4</w:t>
      </w:r>
      <w:r>
        <w:rPr>
          <w:rFonts w:hint="eastAsia"/>
          <w:color w:val="000000" w:themeColor="text1"/>
        </w:rPr>
        <w:t>、桌边、角采用平滑过渡，去毛刺，防止学员碰撞；</w:t>
      </w:r>
    </w:p>
    <w:p>
      <w:pPr>
        <w:rPr>
          <w:color w:val="000000" w:themeColor="text1"/>
        </w:rPr>
      </w:pPr>
      <w:r>
        <w:rPr>
          <w:color w:val="000000" w:themeColor="text1"/>
        </w:rPr>
        <w:t>5</w:t>
      </w:r>
      <w:r>
        <w:rPr>
          <w:rFonts w:hint="eastAsia"/>
          <w:color w:val="000000" w:themeColor="text1"/>
        </w:rPr>
        <w:t>、采用整体磷化及静电喷塑处理符合国家环保要求；</w:t>
      </w:r>
    </w:p>
    <w:p>
      <w:pPr>
        <w:rPr>
          <w:color w:val="000000" w:themeColor="text1"/>
        </w:rPr>
      </w:pPr>
      <w:r>
        <w:rPr>
          <w:color w:val="000000" w:themeColor="text1"/>
        </w:rPr>
        <w:t>6</w:t>
      </w:r>
      <w:r>
        <w:rPr>
          <w:rFonts w:hint="eastAsia"/>
          <w:color w:val="000000" w:themeColor="text1"/>
        </w:rPr>
        <w:t>、在桌面的合适位置安装镶嵌入录播交互控制面板；</w:t>
      </w:r>
    </w:p>
    <w:p>
      <w:pPr>
        <w:rPr>
          <w:color w:val="000000" w:themeColor="text1"/>
        </w:rPr>
      </w:pPr>
      <w:r>
        <w:rPr>
          <w:color w:val="000000" w:themeColor="text1"/>
        </w:rPr>
        <w:t>7</w:t>
      </w:r>
      <w:r>
        <w:rPr>
          <w:rFonts w:hint="eastAsia"/>
          <w:color w:val="000000" w:themeColor="text1"/>
        </w:rPr>
        <w:t>、柜体靠门这边缩进</w:t>
      </w:r>
      <w:r>
        <w:rPr>
          <w:color w:val="000000" w:themeColor="text1"/>
        </w:rPr>
        <w:t>150mm</w:t>
      </w:r>
      <w:r>
        <w:rPr>
          <w:rFonts w:hint="eastAsia"/>
          <w:color w:val="000000" w:themeColor="text1"/>
        </w:rPr>
        <w:t>，柜体宽度为</w:t>
      </w:r>
      <w:r>
        <w:rPr>
          <w:color w:val="000000" w:themeColor="text1"/>
        </w:rPr>
        <w:t>590mm</w:t>
      </w:r>
      <w:r>
        <w:rPr>
          <w:rFonts w:hint="eastAsia"/>
          <w:color w:val="000000" w:themeColor="text1"/>
        </w:rPr>
        <w:t>；</w:t>
      </w:r>
    </w:p>
    <w:p>
      <w:pPr>
        <w:rPr>
          <w:color w:val="000000" w:themeColor="text1"/>
        </w:rPr>
      </w:pPr>
      <w:r>
        <w:rPr>
          <w:color w:val="000000" w:themeColor="text1"/>
        </w:rPr>
        <w:t>8</w:t>
      </w:r>
      <w:r>
        <w:rPr>
          <w:rFonts w:hint="eastAsia"/>
          <w:color w:val="000000" w:themeColor="text1"/>
        </w:rPr>
        <w:t>、部分参考下面设计图纸</w:t>
      </w:r>
    </w:p>
    <w:p>
      <w:pPr>
        <w:rPr>
          <w:color w:val="000000" w:themeColor="text1"/>
        </w:rPr>
      </w:pPr>
      <w:r>
        <w:rPr>
          <w:color w:val="000000" w:themeColor="text1"/>
        </w:rPr>
        <w:drawing>
          <wp:inline distT="0" distB="0" distL="0" distR="0">
            <wp:extent cx="5725160" cy="2536190"/>
            <wp:effectExtent l="19050" t="0" r="8890"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noChangeArrowheads="1"/>
                    </pic:cNvPicPr>
                  </pic:nvPicPr>
                  <pic:blipFill>
                    <a:blip r:embed="rId133"/>
                    <a:srcRect/>
                    <a:stretch>
                      <a:fillRect/>
                    </a:stretch>
                  </pic:blipFill>
                  <pic:spPr>
                    <a:xfrm>
                      <a:off x="0" y="0"/>
                      <a:ext cx="5725160" cy="2536190"/>
                    </a:xfrm>
                    <a:prstGeom prst="rect">
                      <a:avLst/>
                    </a:prstGeom>
                    <a:noFill/>
                    <a:ln w="9525" cmpd="sng">
                      <a:noFill/>
                      <a:miter lim="800000"/>
                      <a:headEnd/>
                      <a:tailEnd/>
                    </a:ln>
                  </pic:spPr>
                </pic:pic>
              </a:graphicData>
            </a:graphic>
          </wp:inline>
        </w:drawing>
      </w:r>
    </w:p>
    <w:p>
      <w:pPr>
        <w:rPr>
          <w:color w:val="000000" w:themeColor="text1"/>
        </w:rPr>
      </w:pPr>
      <w:r>
        <w:rPr>
          <w:rFonts w:hint="eastAsia"/>
          <w:color w:val="000000" w:themeColor="text1"/>
        </w:rPr>
        <w:drawing>
          <wp:inline distT="0" distB="0" distL="0" distR="0">
            <wp:extent cx="5271770" cy="3283585"/>
            <wp:effectExtent l="19050" t="0" r="5080" b="0"/>
            <wp:docPr id="54" name="图片 21" descr="959cc8ccb39ec4cc5b277715f9e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descr="959cc8ccb39ec4cc5b277715f9e2855"/>
                    <pic:cNvPicPr>
                      <a:picLocks noChangeAspect="1" noChangeArrowheads="1"/>
                    </pic:cNvPicPr>
                  </pic:nvPicPr>
                  <pic:blipFill>
                    <a:blip r:embed="rId134"/>
                    <a:srcRect/>
                    <a:stretch>
                      <a:fillRect/>
                    </a:stretch>
                  </pic:blipFill>
                  <pic:spPr>
                    <a:xfrm>
                      <a:off x="0" y="0"/>
                      <a:ext cx="5271770" cy="3283585"/>
                    </a:xfrm>
                    <a:prstGeom prst="rect">
                      <a:avLst/>
                    </a:prstGeom>
                    <a:noFill/>
                    <a:ln w="9525" cmpd="sng">
                      <a:noFill/>
                      <a:miter lim="800000"/>
                      <a:headEnd/>
                      <a:tailEnd/>
                    </a:ln>
                  </pic:spPr>
                </pic:pic>
              </a:graphicData>
            </a:graphic>
          </wp:inline>
        </w:drawing>
      </w:r>
    </w:p>
    <w:p>
      <w:pPr>
        <w:rPr>
          <w:color w:val="000000" w:themeColor="text1"/>
          <w:szCs w:val="21"/>
        </w:rPr>
      </w:pPr>
      <w:r>
        <w:rPr>
          <w:color w:val="000000" w:themeColor="text1"/>
          <w:szCs w:val="21"/>
        </w:rPr>
        <w:drawing>
          <wp:inline distT="0" distB="0" distL="0" distR="0">
            <wp:extent cx="5057140" cy="3641725"/>
            <wp:effectExtent l="19050" t="0" r="0" b="0"/>
            <wp:docPr id="55" name="图片 17" descr="d0f5cbc4875d7ffda80f5b799540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 descr="d0f5cbc4875d7ffda80f5b7995400e1"/>
                    <pic:cNvPicPr>
                      <a:picLocks noChangeAspect="1" noChangeArrowheads="1"/>
                    </pic:cNvPicPr>
                  </pic:nvPicPr>
                  <pic:blipFill>
                    <a:blip r:embed="rId135"/>
                    <a:srcRect l="17903"/>
                    <a:stretch>
                      <a:fillRect/>
                    </a:stretch>
                  </pic:blipFill>
                  <pic:spPr>
                    <a:xfrm>
                      <a:off x="0" y="0"/>
                      <a:ext cx="5057140" cy="3641725"/>
                    </a:xfrm>
                    <a:prstGeom prst="rect">
                      <a:avLst/>
                    </a:prstGeom>
                    <a:noFill/>
                    <a:ln w="9525" cmpd="sng">
                      <a:noFill/>
                      <a:miter lim="800000"/>
                      <a:headEnd/>
                      <a:tailEnd/>
                    </a:ln>
                  </pic:spPr>
                </pic:pic>
              </a:graphicData>
            </a:graphic>
          </wp:inline>
        </w:drawing>
      </w:r>
    </w:p>
    <w:p>
      <w:pPr>
        <w:rPr>
          <w:color w:val="000000" w:themeColor="text1"/>
          <w:szCs w:val="21"/>
        </w:rPr>
      </w:pPr>
    </w:p>
    <w:p>
      <w:pPr>
        <w:jc w:val="left"/>
        <w:rPr>
          <w:b/>
          <w:color w:val="000000" w:themeColor="text1"/>
          <w:sz w:val="28"/>
        </w:rPr>
      </w:pPr>
      <w:r>
        <w:rPr>
          <w:rFonts w:hint="eastAsia"/>
          <w:b/>
          <w:color w:val="000000" w:themeColor="text1"/>
          <w:sz w:val="28"/>
        </w:rPr>
        <w:t>附件3：86寸智能交互平板参数</w:t>
      </w:r>
    </w:p>
    <w:tbl>
      <w:tblPr>
        <w:tblStyle w:val="36"/>
        <w:tblW w:w="8472"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526"/>
        <w:gridCol w:w="694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526" w:type="dxa"/>
            <w:vAlign w:val="center"/>
          </w:tcPr>
          <w:p>
            <w:pPr>
              <w:jc w:val="center"/>
              <w:rPr>
                <w:rFonts w:ascii="Calibri" w:hAnsi="Calibri"/>
                <w:color w:val="000000" w:themeColor="text1"/>
                <w:szCs w:val="21"/>
              </w:rPr>
            </w:pPr>
            <w:r>
              <w:rPr>
                <w:rFonts w:hint="eastAsia" w:ascii="Calibri" w:hAnsi="Calibri"/>
                <w:color w:val="000000" w:themeColor="text1"/>
                <w:szCs w:val="21"/>
              </w:rPr>
              <w:t>项目</w:t>
            </w:r>
          </w:p>
        </w:tc>
        <w:tc>
          <w:tcPr>
            <w:tcW w:w="6946" w:type="dxa"/>
          </w:tcPr>
          <w:p>
            <w:pPr>
              <w:spacing w:line="280" w:lineRule="exact"/>
              <w:jc w:val="center"/>
              <w:rPr>
                <w:rFonts w:ascii="Calibri" w:hAnsi="Calibri"/>
                <w:color w:val="000000" w:themeColor="text1"/>
                <w:szCs w:val="21"/>
              </w:rPr>
            </w:pPr>
            <w:r>
              <w:rPr>
                <w:rFonts w:hint="eastAsia" w:ascii="Calibri" w:hAnsi="Calibri"/>
                <w:color w:val="000000" w:themeColor="text1"/>
                <w:szCs w:val="21"/>
              </w:rPr>
              <w:t>参数要求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526" w:type="dxa"/>
            <w:vAlign w:val="center"/>
          </w:tcPr>
          <w:p>
            <w:pPr>
              <w:jc w:val="center"/>
              <w:rPr>
                <w:rFonts w:ascii="Calibri" w:hAnsi="Calibri"/>
                <w:color w:val="000000" w:themeColor="text1"/>
                <w:szCs w:val="21"/>
              </w:rPr>
            </w:pPr>
            <w:r>
              <w:rPr>
                <w:rFonts w:hint="eastAsia" w:ascii="Calibri" w:hAnsi="Calibri"/>
                <w:color w:val="000000" w:themeColor="text1"/>
                <w:szCs w:val="21"/>
              </w:rPr>
              <w:t>整体设计</w:t>
            </w:r>
          </w:p>
        </w:tc>
        <w:tc>
          <w:tcPr>
            <w:tcW w:w="6946" w:type="dxa"/>
          </w:tcPr>
          <w:p>
            <w:pPr>
              <w:numPr>
                <w:ilvl w:val="0"/>
                <w:numId w:val="12"/>
              </w:numPr>
              <w:rPr>
                <w:rFonts w:ascii="宋体" w:hAnsi="宋体" w:cs="宋体"/>
                <w:color w:val="000000" w:themeColor="text1"/>
              </w:rPr>
            </w:pPr>
            <w:r>
              <w:rPr>
                <w:rFonts w:hint="eastAsia" w:ascii="宋体" w:hAnsi="宋体" w:cs="宋体"/>
                <w:color w:val="000000" w:themeColor="text1"/>
              </w:rPr>
              <w:t>整机采用一体设计，外部无任何可见内部功能模块连接线。整机采用全金属外壳设计，边角采用弧形设计，表面无尖锐边缘或凸起。</w:t>
            </w:r>
          </w:p>
          <w:p>
            <w:pPr>
              <w:numPr>
                <w:ilvl w:val="0"/>
                <w:numId w:val="12"/>
              </w:numPr>
              <w:rPr>
                <w:rFonts w:ascii="宋体" w:hAnsi="宋体" w:cs="宋体"/>
                <w:color w:val="000000" w:themeColor="text1"/>
              </w:rPr>
            </w:pPr>
            <w:r>
              <w:rPr>
                <w:rFonts w:hint="eastAsia" w:ascii="宋体" w:hAnsi="宋体" w:cs="宋体"/>
                <w:color w:val="000000" w:themeColor="text1"/>
              </w:rPr>
              <w:t>整机屏幕边缘采用金属圆角包边防护，整机背板采用金属材质，有效屏蔽内部电路器件辐射；防潮耐盐雾蚀锈，适应多种教学环境。</w:t>
            </w:r>
          </w:p>
          <w:p>
            <w:pPr>
              <w:numPr>
                <w:ilvl w:val="0"/>
                <w:numId w:val="12"/>
              </w:numPr>
              <w:rPr>
                <w:rFonts w:ascii="宋体" w:hAnsi="宋体" w:cs="宋体"/>
                <w:color w:val="000000" w:themeColor="text1"/>
              </w:rPr>
            </w:pPr>
            <w:r>
              <w:rPr>
                <w:rFonts w:hint="eastAsia" w:ascii="宋体" w:hAnsi="宋体" w:cs="宋体"/>
                <w:color w:val="000000" w:themeColor="text1"/>
              </w:rPr>
              <w:t>整机屏幕采用不少于86英寸液晶屏。</w:t>
            </w:r>
          </w:p>
          <w:p>
            <w:pPr>
              <w:numPr>
                <w:ilvl w:val="0"/>
                <w:numId w:val="12"/>
              </w:numPr>
              <w:rPr>
                <w:rFonts w:ascii="宋体" w:hAnsi="宋体" w:cs="宋体"/>
                <w:color w:val="000000" w:themeColor="text1"/>
              </w:rPr>
            </w:pPr>
            <w:r>
              <w:rPr>
                <w:rFonts w:hint="eastAsia" w:ascii="宋体" w:hAnsi="宋体" w:cs="宋体"/>
                <w:color w:val="000000" w:themeColor="text1"/>
              </w:rPr>
              <w:t>整机采用UHD超高清LED液晶屏，显示比例16：9，分辨率3840*2160。</w:t>
            </w:r>
          </w:p>
          <w:p>
            <w:pPr>
              <w:numPr>
                <w:ilvl w:val="0"/>
                <w:numId w:val="12"/>
              </w:numPr>
              <w:rPr>
                <w:rFonts w:ascii="宋体" w:hAnsi="宋体" w:cs="宋体"/>
                <w:color w:val="000000" w:themeColor="text1"/>
              </w:rPr>
            </w:pPr>
            <w:r>
              <w:rPr>
                <w:rFonts w:hint="eastAsia" w:ascii="宋体" w:hAnsi="宋体" w:cs="宋体"/>
                <w:color w:val="000000" w:themeColor="text1"/>
              </w:rPr>
              <w:t>灰度等级≥256级。</w:t>
            </w:r>
          </w:p>
          <w:p>
            <w:pPr>
              <w:numPr>
                <w:ilvl w:val="0"/>
                <w:numId w:val="12"/>
              </w:numPr>
              <w:rPr>
                <w:rFonts w:ascii="宋体" w:hAnsi="宋体" w:cs="宋体"/>
                <w:color w:val="000000" w:themeColor="text1"/>
              </w:rPr>
            </w:pPr>
            <w:r>
              <w:rPr>
                <w:rFonts w:hint="eastAsia" w:ascii="宋体" w:hAnsi="宋体" w:cs="宋体"/>
                <w:color w:val="000000" w:themeColor="text1"/>
              </w:rPr>
              <w:t>采用钢化玻璃，表面硬度≥9H。（提供国家认可的具备CMA认证的检测机构所出具的权威检测报告复印件并加盖厂家公章）</w:t>
            </w:r>
          </w:p>
          <w:p>
            <w:pPr>
              <w:numPr>
                <w:ilvl w:val="0"/>
                <w:numId w:val="12"/>
              </w:numPr>
              <w:rPr>
                <w:rFonts w:ascii="宋体" w:hAnsi="宋体" w:cs="宋体"/>
                <w:color w:val="000000" w:themeColor="text1"/>
              </w:rPr>
            </w:pPr>
            <w:r>
              <w:rPr>
                <w:rFonts w:hint="eastAsia" w:ascii="宋体" w:hAnsi="宋体" w:cs="宋体"/>
                <w:color w:val="000000" w:themeColor="text1"/>
              </w:rPr>
              <w:t>玻璃表面采用纳米材料镀膜环保工艺，书写更加顺滑，防眩光效果更加优异，专利文件证书证明。</w:t>
            </w:r>
          </w:p>
          <w:p>
            <w:pPr>
              <w:numPr>
                <w:ilvl w:val="0"/>
                <w:numId w:val="12"/>
              </w:numPr>
              <w:rPr>
                <w:rFonts w:ascii="Calibri" w:hAnsi="Calibri"/>
                <w:color w:val="000000" w:themeColor="text1"/>
                <w:szCs w:val="21"/>
              </w:rPr>
            </w:pPr>
            <w:r>
              <w:rPr>
                <w:rFonts w:hint="eastAsia" w:ascii="宋体" w:hAnsi="宋体" w:cs="宋体"/>
                <w:color w:val="000000" w:themeColor="text1"/>
              </w:rPr>
              <w:t>整机采用硬件低蓝光背光技术，在源头减少有害蓝光波段能量，蓝光占比（有害蓝光415～455nm能量综合）/（整体蓝光400～500能量综合）＜50%，低蓝光保护显示不偏色、不泛黄，还原真实教学色彩的同时有效降低蓝光。（提供国家认可的具备CMA认证的检测机构所出具的权威检测报告复印件并加盖厂家公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526" w:type="dxa"/>
            <w:vAlign w:val="center"/>
          </w:tcPr>
          <w:p>
            <w:pPr>
              <w:jc w:val="center"/>
              <w:rPr>
                <w:rFonts w:ascii="Calibri" w:hAnsi="Calibri"/>
                <w:color w:val="000000" w:themeColor="text1"/>
                <w:szCs w:val="21"/>
              </w:rPr>
            </w:pPr>
            <w:r>
              <w:rPr>
                <w:rFonts w:hint="eastAsia" w:ascii="Calibri" w:hAnsi="Calibri"/>
                <w:color w:val="000000" w:themeColor="text1"/>
                <w:szCs w:val="21"/>
              </w:rPr>
              <w:t>整机设计</w:t>
            </w:r>
          </w:p>
        </w:tc>
        <w:tc>
          <w:tcPr>
            <w:tcW w:w="6946" w:type="dxa"/>
            <w:vAlign w:val="center"/>
          </w:tcPr>
          <w:p>
            <w:pPr>
              <w:numPr>
                <w:ilvl w:val="0"/>
                <w:numId w:val="12"/>
              </w:numPr>
              <w:rPr>
                <w:rFonts w:ascii="宋体" w:hAnsi="宋体"/>
                <w:color w:val="000000" w:themeColor="text1"/>
                <w:szCs w:val="21"/>
              </w:rPr>
            </w:pPr>
            <w:r>
              <w:rPr>
                <w:rFonts w:hint="eastAsia" w:ascii="宋体" w:hAnsi="宋体"/>
                <w:color w:val="000000" w:themeColor="text1"/>
                <w:szCs w:val="21"/>
              </w:rPr>
              <w:t>整机内置2.2声道扬声器，位于设备上边框，顶置朝前发声，前朝向10W高音扬声器2个，上朝向20W中低音扬声器2个，额定总功率60W。（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整机支持高级音效设置、左右声道平衡、可根据实际需要设置不同频段调节功能，以满足不同课程授课声音还原需求。</w:t>
            </w:r>
          </w:p>
          <w:p>
            <w:pPr>
              <w:numPr>
                <w:ilvl w:val="0"/>
                <w:numId w:val="12"/>
              </w:numPr>
              <w:rPr>
                <w:rFonts w:ascii="宋体" w:hAnsi="宋体"/>
                <w:color w:val="000000" w:themeColor="text1"/>
                <w:szCs w:val="21"/>
              </w:rPr>
            </w:pPr>
            <w:r>
              <w:rPr>
                <w:rFonts w:hint="eastAsia" w:ascii="宋体" w:hAnsi="宋体"/>
                <w:color w:val="000000" w:themeColor="text1"/>
                <w:szCs w:val="21"/>
              </w:rPr>
              <w:t>整机内置非独立外扩展的4阵列麦克风，可用于对教室环境音频进行采集，拾音距离≥12m。（提供国家认可的具备CMA认证的检测机构所出具的权威检测报告复印件并加盖厂家公章）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整机扬声器在100%音量下，可做到1米处声压级≥88db，10米处声压级≥73dB，能够有效保障教室后排学生听觉感受</w:t>
            </w:r>
            <w:r>
              <w:rPr>
                <w:rFonts w:hint="eastAsia" w:ascii="宋体" w:hAnsi="宋体" w:cs="宋体"/>
                <w:color w:val="000000" w:themeColor="text1"/>
              </w:rPr>
              <w:t>。</w:t>
            </w:r>
            <w:r>
              <w:rPr>
                <w:rFonts w:hint="eastAsia" w:ascii="宋体" w:hAnsi="宋体"/>
                <w:color w:val="000000" w:themeColor="text1"/>
                <w:szCs w:val="21"/>
              </w:rPr>
              <w:t>（提供国家认可的具备CMA认证的检测机构所出具的权威检测报告复印件并加盖厂家公章）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ascii="宋体" w:hAnsi="宋体"/>
                <w:color w:val="000000" w:themeColor="text1"/>
                <w:szCs w:val="21"/>
              </w:rPr>
              <w:t>整机无需外接无线网卡，在Windows系统下可实现Wi-Fi无线上网连接、AP无线热点发射和BT蓝牙连接功能。</w:t>
            </w:r>
          </w:p>
          <w:p>
            <w:pPr>
              <w:numPr>
                <w:ilvl w:val="0"/>
                <w:numId w:val="12"/>
              </w:numPr>
              <w:rPr>
                <w:rFonts w:ascii="宋体" w:hAnsi="宋体"/>
                <w:color w:val="000000" w:themeColor="text1"/>
                <w:szCs w:val="21"/>
              </w:rPr>
            </w:pPr>
            <w:r>
              <w:rPr>
                <w:rFonts w:ascii="宋体" w:hAnsi="宋体"/>
                <w:color w:val="000000" w:themeColor="text1"/>
                <w:szCs w:val="21"/>
              </w:rPr>
              <w:t>Wi-Fi和AP热点工作距离≥12m。</w:t>
            </w:r>
          </w:p>
          <w:p>
            <w:pPr>
              <w:numPr>
                <w:ilvl w:val="0"/>
                <w:numId w:val="12"/>
              </w:numPr>
              <w:rPr>
                <w:rFonts w:ascii="宋体" w:hAnsi="宋体"/>
                <w:color w:val="000000" w:themeColor="text1"/>
                <w:szCs w:val="21"/>
              </w:rPr>
            </w:pPr>
            <w:r>
              <w:rPr>
                <w:rFonts w:ascii="宋体" w:hAnsi="宋体"/>
                <w:color w:val="000000" w:themeColor="text1"/>
                <w:szCs w:val="21"/>
              </w:rPr>
              <w:t>整机支持搭配具有NFC功能的手机、平板，通过接触NFC标签，接触即可实现手机与大屏的连接并同步画面，无需其它操作设置，支持不少于4台手机、平板同时连接并显示</w:t>
            </w:r>
            <w:r>
              <w:rPr>
                <w:rFonts w:hint="eastAsia" w:ascii="宋体" w:hAnsi="宋体" w:cs="宋体"/>
                <w:color w:val="000000" w:themeColor="text1"/>
              </w:rPr>
              <w:t>。</w:t>
            </w:r>
            <w:r>
              <w:rPr>
                <w:rFonts w:ascii="宋体" w:hAnsi="宋体"/>
                <w:color w:val="000000" w:themeColor="text1"/>
                <w:szCs w:val="21"/>
              </w:rPr>
              <w:t>（提供国家认可的具备CMA认证的检测机构所出具的权威检测报告复印件并加盖厂家公章）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ascii="宋体" w:hAnsi="宋体"/>
                <w:color w:val="000000" w:themeColor="text1"/>
                <w:szCs w:val="21"/>
              </w:rPr>
              <w:t>★整机支持蓝牙Bluetooth 5.2标准（提供国家认可的具备CMA认证的检测机构所出具的权威检测报告复印件并加盖厂家公章）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ascii="宋体" w:hAnsi="宋体"/>
                <w:color w:val="000000" w:themeColor="text1"/>
                <w:szCs w:val="21"/>
              </w:rPr>
              <w:t>整机支持主动发现蓝牙外设从而连接（无需整机进入发现模式），支持连接外部蓝牙音箱播放音频。（提供国家认可的具备CMA认证的检测机构所出具的权威检测报告复印件并加盖厂家公章）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ascii="宋体" w:hAnsi="宋体"/>
                <w:color w:val="000000" w:themeColor="text1"/>
                <w:szCs w:val="21"/>
              </w:rPr>
              <w:t>整机无需外接无线网卡，在Windows系统下接入无线网络，切换到嵌入式Android系统下可直接实现无线上网功能，不需手动重复设置。（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ascii="宋体" w:hAnsi="宋体"/>
                <w:color w:val="000000" w:themeColor="text1"/>
                <w:szCs w:val="21"/>
              </w:rPr>
              <w:t>★Wi-Fi及AP热点支持频段2.4GHz/5GHz ，Wi-Fi及AP热点版本802.11 a/b/g/n/ac/ax；支持Wi-Fi6</w:t>
            </w:r>
            <w:r>
              <w:rPr>
                <w:rFonts w:hint="eastAsia" w:ascii="宋体" w:hAnsi="宋体"/>
                <w:color w:val="000000" w:themeColor="text1"/>
                <w:szCs w:val="21"/>
              </w:rPr>
              <w:t>，提升传输速率的同时可接入更多设备。</w:t>
            </w:r>
            <w:r>
              <w:rPr>
                <w:rFonts w:ascii="宋体" w:hAnsi="宋体"/>
                <w:color w:val="000000" w:themeColor="text1"/>
                <w:szCs w:val="21"/>
              </w:rPr>
              <w:t>（提供国家认可的具备CMA认证的检测机构所出具的权威检测报告复印件并加盖厂家公章）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三合一电源按键，同一电源物理按键完成Android系统和Windows系统的开机、节能熄屏、关机操作；关机状态下按按键开机；开机状态下按按键实现节能熄屏/唤醒，长按按键实现关机。</w:t>
            </w:r>
          </w:p>
          <w:p>
            <w:pPr>
              <w:numPr>
                <w:ilvl w:val="0"/>
                <w:numId w:val="12"/>
              </w:numPr>
              <w:rPr>
                <w:rFonts w:ascii="宋体" w:hAnsi="宋体"/>
                <w:color w:val="000000" w:themeColor="text1"/>
                <w:szCs w:val="21"/>
              </w:rPr>
            </w:pPr>
            <w:r>
              <w:rPr>
                <w:rFonts w:hint="eastAsia" w:ascii="宋体" w:hAnsi="宋体"/>
                <w:color w:val="000000" w:themeColor="text1"/>
                <w:szCs w:val="21"/>
              </w:rPr>
              <w:t>支持护眼模式，可通过前置面板物理功能按键一键启用护眼模式。（提供国家认可的具备CMA认证的检测机构所出具的权威检测报告复印件并加盖厂家公章）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设备支持通过前置面板物理按键一键启动录屏功能，可将屏幕中显示的课件、音频内容与老师人声同时录制。（提供国家认可的具备CMA认证的检测机构所出具的权威检测报告复印件并加盖厂家公章）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侧置输入接口具备2路HDMI、1路RS232；侧置输出接口具备1路音频、1路触控USB；前置输入接口3路USB接口（包含1路Type-C、2路USB）。</w:t>
            </w:r>
          </w:p>
          <w:p>
            <w:pPr>
              <w:numPr>
                <w:ilvl w:val="0"/>
                <w:numId w:val="12"/>
              </w:numPr>
              <w:rPr>
                <w:rFonts w:ascii="宋体" w:hAnsi="宋体"/>
                <w:color w:val="000000" w:themeColor="text1"/>
                <w:szCs w:val="21"/>
              </w:rPr>
            </w:pPr>
            <w:r>
              <w:rPr>
                <w:rFonts w:hint="eastAsia" w:ascii="宋体" w:hAnsi="宋体"/>
                <w:color w:val="000000" w:themeColor="text1"/>
                <w:szCs w:val="21"/>
              </w:rPr>
              <w:t>整机具备前置Type-C接口，通过Type-C接口实现音视频输入，外接电脑设备经双头Type-C线连接至整机，即可把外接电脑设备画面投到整机上，同时在整机上操作画面，可实现触摸电脑的操作，无需再连接触控USB线。（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采用全物理钢化玻璃，有效保护屏幕显示画面</w:t>
            </w:r>
          </w:p>
          <w:p>
            <w:pPr>
              <w:numPr>
                <w:ilvl w:val="0"/>
                <w:numId w:val="12"/>
              </w:numPr>
              <w:rPr>
                <w:rFonts w:ascii="宋体" w:hAnsi="宋体"/>
                <w:color w:val="000000" w:themeColor="text1"/>
                <w:szCs w:val="21"/>
              </w:rPr>
            </w:pPr>
            <w:r>
              <w:rPr>
                <w:rFonts w:hint="eastAsia" w:ascii="宋体" w:hAnsi="宋体"/>
                <w:color w:val="000000" w:themeColor="text1"/>
                <w:szCs w:val="21"/>
              </w:rPr>
              <w:t>玻璃表面采用纳米材料镀膜环保工艺，书写更加顺滑，防眩光效果更加优异。</w:t>
            </w:r>
          </w:p>
          <w:p>
            <w:pPr>
              <w:numPr>
                <w:ilvl w:val="0"/>
                <w:numId w:val="12"/>
              </w:numPr>
              <w:rPr>
                <w:rFonts w:ascii="宋体" w:hAnsi="宋体"/>
                <w:color w:val="000000" w:themeColor="text1"/>
                <w:szCs w:val="21"/>
              </w:rPr>
            </w:pPr>
            <w:r>
              <w:rPr>
                <w:rFonts w:hint="eastAsia" w:ascii="宋体" w:hAnsi="宋体"/>
                <w:color w:val="000000" w:themeColor="text1"/>
                <w:szCs w:val="21"/>
              </w:rPr>
              <w:t>机身具备防盐雾锈蚀特性，且满足GB4943.1-2011标准中的防火要求。</w:t>
            </w:r>
          </w:p>
          <w:p>
            <w:pPr>
              <w:numPr>
                <w:ilvl w:val="0"/>
                <w:numId w:val="12"/>
              </w:numPr>
              <w:rPr>
                <w:rFonts w:ascii="宋体" w:hAnsi="宋体"/>
                <w:color w:val="000000" w:themeColor="text1"/>
                <w:szCs w:val="21"/>
              </w:rPr>
            </w:pPr>
            <w:r>
              <w:rPr>
                <w:rFonts w:hint="eastAsia" w:ascii="宋体" w:hAnsi="宋体"/>
                <w:color w:val="000000" w:themeColor="text1"/>
                <w:szCs w:val="21"/>
              </w:rPr>
              <w:t>整机具备抗振动、防跌落特性，保证整机运输或使用过程中不易受损。</w:t>
            </w:r>
          </w:p>
          <w:p>
            <w:pPr>
              <w:numPr>
                <w:ilvl w:val="0"/>
                <w:numId w:val="12"/>
              </w:numPr>
              <w:rPr>
                <w:rFonts w:ascii="宋体" w:hAnsi="宋体"/>
                <w:color w:val="000000" w:themeColor="text1"/>
                <w:szCs w:val="21"/>
              </w:rPr>
            </w:pPr>
            <w:r>
              <w:rPr>
                <w:rFonts w:hint="eastAsia" w:ascii="宋体" w:hAnsi="宋体"/>
                <w:color w:val="000000" w:themeColor="text1"/>
                <w:szCs w:val="21"/>
              </w:rPr>
              <w:t>整机表面覆盖玻璃选用国标优等品，光学变形、点状缺陷、尺寸偏差、弯曲度、透射比等均符合GB11614-2009平板玻璃标准。</w:t>
            </w:r>
          </w:p>
          <w:p>
            <w:pPr>
              <w:numPr>
                <w:ilvl w:val="0"/>
                <w:numId w:val="12"/>
              </w:numPr>
              <w:rPr>
                <w:rFonts w:ascii="宋体" w:hAnsi="宋体"/>
                <w:color w:val="000000" w:themeColor="text1"/>
                <w:szCs w:val="21"/>
              </w:rPr>
            </w:pPr>
            <w:r>
              <w:rPr>
                <w:rFonts w:hint="eastAsia" w:ascii="宋体" w:hAnsi="宋体"/>
                <w:color w:val="000000" w:themeColor="text1"/>
                <w:szCs w:val="21"/>
              </w:rPr>
              <w:t>整机书写面板采用防眩光全钢化防爆玻璃面板，面板的碎片状态、抗冲击性、霰弹袋冲击性能、耐热冲击性能均通过国家强制玻璃标准，表面应力≥100Mpa,适应学校复杂环境，保障教学安全。</w:t>
            </w:r>
          </w:p>
          <w:p>
            <w:pPr>
              <w:numPr>
                <w:ilvl w:val="0"/>
                <w:numId w:val="12"/>
              </w:numPr>
              <w:rPr>
                <w:rFonts w:ascii="宋体" w:hAnsi="宋体"/>
                <w:color w:val="000000" w:themeColor="text1"/>
                <w:szCs w:val="21"/>
              </w:rPr>
            </w:pPr>
            <w:r>
              <w:rPr>
                <w:rFonts w:hint="eastAsia" w:ascii="宋体" w:hAnsi="宋体"/>
                <w:color w:val="000000" w:themeColor="text1"/>
                <w:szCs w:val="21"/>
              </w:rPr>
              <w:t>整机支持色彩空间可选，包含标准模式和sRGB模式，在sRGB模式下可做到高色准△E≤1.5（提供国家认可的具备CMA认证的检测机构所出具的权威检测报告复印件并加盖厂家公章）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整机视网膜蓝光危害（蓝光加权辐射亮度LB）满足IEC TR 62778：2014蓝光危害RG0级别。</w:t>
            </w:r>
          </w:p>
          <w:p>
            <w:pPr>
              <w:numPr>
                <w:ilvl w:val="0"/>
                <w:numId w:val="12"/>
              </w:numPr>
              <w:rPr>
                <w:rFonts w:ascii="宋体" w:hAnsi="宋体"/>
                <w:color w:val="000000" w:themeColor="text1"/>
                <w:szCs w:val="21"/>
              </w:rPr>
            </w:pPr>
            <w:r>
              <w:rPr>
                <w:rFonts w:hint="eastAsia" w:ascii="宋体" w:hAnsi="宋体"/>
                <w:color w:val="000000" w:themeColor="text1"/>
                <w:szCs w:val="21"/>
              </w:rPr>
              <w:t>★整机支持纸质护眼模式，可以在任意通道任意画面任意软件所有显示内容下实现画面纹理的实时调整；支持纸质纹理：牛皮纸、素描纸、宣纸、水彩纸、水纹纸；支持透明度调节；支持色温调节。（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纸质护眼模式下，显示画面各像素点灰度不规则，减少背景干扰，提高观看舒适度。（提供国家认可的具备CMA认证的检测机构所出具的权威检测报告复印件并加盖厂家公章）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前置 USB 接口具备防撞挡板设计，防撞挡板采用转轴式翻转。（提供国家认可的具备CMA认证的检测机构所出具的权威检测报告复印件并加盖厂家公章）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设备支持自定义前置“设置""按键，可通过自定义设置实现前置面板功能按键一键启用任一全局小工具（批注、截屏、计时、降半屏、放大镜、倒数日、日历）、快捷开关（节能模式、纸质护眼模式、经典护眼模式、自动亮度模式）。（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整机内置摄像头（非外扩），PC通道下支持通过视频展台软件调用摄像头进行二维码扫码识别。（提供国家认可的具备CMA认证的检测机构所出具的权威检测报告复印件并加盖厂家公章）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★整机内置非独立摄像头，拍摄像素数≥1300万。（提供国家认可的具备CMA认证的检测机构所出具的权威检测报告复印件并加盖厂家公章）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摄像头视场角≥135度。（提供国家认可的具备CMA认证的检测机构所出具的权威检测报告复印件并加盖厂家公章）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整机内置非独立的高清摄像头，可用于远程巡课，拍摄范围可以涵盖整机距离摄像头垂直法线左右水平距离各大于等于4米，左右最边缘深度大于等于2.3米范围内，并且可以AI识别人像。（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整机摄像头支持大于等于10米距离时实现AI识别人像。（提供国家认可的具备CMA认证的检测机构所出具的权威检测报告复印件并加盖厂家公章）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整机摄像头支持人脸识别、快速点人数、随机抽人；识别所有学生，显示标记，然后随机抽选，同时显示标记不少于60人。（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★整机摄像头支持环境色温判断，根据环境调节合适的显示图像效果。（提供国家认可的具备CMA认证的检测机构所出具的权威检测报告复印件并加盖厂家公章）</w:t>
            </w:r>
          </w:p>
          <w:p>
            <w:pPr>
              <w:numPr>
                <w:ilvl w:val="0"/>
                <w:numId w:val="12"/>
              </w:numPr>
              <w:rPr>
                <w:rFonts w:ascii="Calibri" w:hAnsi="Calibri"/>
                <w:color w:val="000000" w:themeColor="text1"/>
                <w:szCs w:val="21"/>
              </w:rPr>
            </w:pPr>
            <w:r>
              <w:rPr>
                <w:rFonts w:hint="eastAsia" w:ascii="宋体" w:hAnsi="宋体"/>
                <w:color w:val="000000" w:themeColor="text1"/>
                <w:szCs w:val="21"/>
              </w:rPr>
              <w:t>前置USB接口支持Android系统、Windows系统读取外接移动存储设备。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526" w:type="dxa"/>
            <w:vAlign w:val="center"/>
          </w:tcPr>
          <w:p>
            <w:pPr>
              <w:jc w:val="center"/>
              <w:rPr>
                <w:rFonts w:ascii="Calibri" w:hAnsi="Calibri"/>
                <w:color w:val="000000" w:themeColor="text1"/>
                <w:szCs w:val="21"/>
              </w:rPr>
            </w:pPr>
            <w:r>
              <w:rPr>
                <w:rFonts w:hint="eastAsia" w:ascii="Calibri" w:hAnsi="Calibri"/>
                <w:color w:val="000000" w:themeColor="text1"/>
                <w:szCs w:val="21"/>
              </w:rPr>
              <w:t>主要功能</w:t>
            </w:r>
          </w:p>
        </w:tc>
        <w:tc>
          <w:tcPr>
            <w:tcW w:w="6946" w:type="dxa"/>
          </w:tcPr>
          <w:p>
            <w:pPr>
              <w:numPr>
                <w:ilvl w:val="0"/>
                <w:numId w:val="12"/>
              </w:numPr>
              <w:rPr>
                <w:rFonts w:ascii="宋体" w:hAnsi="宋体"/>
                <w:color w:val="000000" w:themeColor="text1"/>
                <w:szCs w:val="21"/>
              </w:rPr>
            </w:pPr>
            <w:r>
              <w:rPr>
                <w:rFonts w:hint="eastAsia" w:ascii="宋体" w:hAnsi="宋体"/>
                <w:color w:val="000000" w:themeColor="text1"/>
                <w:szCs w:val="21"/>
              </w:rPr>
              <w:t>部署单根网线可实现Android、Windows双系统有线网络连通。</w:t>
            </w:r>
          </w:p>
          <w:p>
            <w:pPr>
              <w:numPr>
                <w:ilvl w:val="0"/>
                <w:numId w:val="12"/>
              </w:numPr>
              <w:rPr>
                <w:rFonts w:ascii="宋体" w:hAnsi="宋体"/>
                <w:color w:val="000000" w:themeColor="text1"/>
                <w:szCs w:val="21"/>
              </w:rPr>
            </w:pPr>
            <w:r>
              <w:rPr>
                <w:rFonts w:hint="eastAsia" w:ascii="宋体" w:hAnsi="宋体"/>
                <w:color w:val="000000" w:themeColor="text1"/>
                <w:szCs w:val="21"/>
              </w:rPr>
              <w:t>整机关机状态下，通过长按电源键进入设置界面后，可点击屏幕选择恢复Android系统及Windows操作系统到出厂默认状态，无需额外工具辅助。（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支持通道自动跳转功能，如整机处于正常使用状态，HDMI信号接入时，能自动识别并切换到对应的HDMI信号源通道，且断开后能回到上一通道。</w:t>
            </w:r>
          </w:p>
          <w:p>
            <w:pPr>
              <w:numPr>
                <w:ilvl w:val="0"/>
                <w:numId w:val="12"/>
              </w:numPr>
              <w:rPr>
                <w:rFonts w:ascii="宋体" w:hAnsi="宋体"/>
                <w:color w:val="000000" w:themeColor="text1"/>
                <w:szCs w:val="21"/>
              </w:rPr>
            </w:pPr>
            <w:r>
              <w:rPr>
                <w:rFonts w:hint="eastAsia" w:ascii="宋体" w:hAnsi="宋体"/>
                <w:color w:val="000000" w:themeColor="text1"/>
                <w:szCs w:val="21"/>
              </w:rPr>
              <w:t>在HDMI、Android以及Windows信号源模式下，整机屏幕支持手势下移实现半屏显示，半屏显示时可通过点击上方屏幕返回全屏。</w:t>
            </w:r>
          </w:p>
          <w:p>
            <w:pPr>
              <w:numPr>
                <w:ilvl w:val="0"/>
                <w:numId w:val="12"/>
              </w:numPr>
              <w:rPr>
                <w:rFonts w:ascii="宋体" w:hAnsi="宋体"/>
                <w:color w:val="000000" w:themeColor="text1"/>
                <w:szCs w:val="21"/>
              </w:rPr>
            </w:pPr>
            <w:r>
              <w:rPr>
                <w:rFonts w:hint="eastAsia" w:ascii="宋体" w:hAnsi="宋体"/>
                <w:color w:val="000000" w:themeColor="text1"/>
                <w:szCs w:val="21"/>
              </w:rPr>
              <w:t>支持半屏模式，将Windows显示画面上半部分下拉到屏幕下半部分显示，此时依然可以正常触控操作Windows系统；点击非Windows显示画面区域（屏幕上半部分），即可退出该模式。</w:t>
            </w:r>
          </w:p>
          <w:p>
            <w:pPr>
              <w:numPr>
                <w:ilvl w:val="0"/>
                <w:numId w:val="12"/>
              </w:numPr>
              <w:rPr>
                <w:rFonts w:ascii="宋体" w:hAnsi="宋体"/>
                <w:color w:val="000000" w:themeColor="text1"/>
                <w:szCs w:val="21"/>
              </w:rPr>
            </w:pPr>
            <w:r>
              <w:rPr>
                <w:rFonts w:hint="eastAsia" w:ascii="宋体" w:hAnsi="宋体"/>
                <w:color w:val="000000" w:themeColor="text1"/>
                <w:szCs w:val="21"/>
              </w:rPr>
              <w:t>支持外接信号输入时自动唤醒功能，整机处于关机通电状态，外接电脑显示信号通过HDMI传输线连接至整机时，整机可智能识别外接电脑设备信号输入并自动开机。</w:t>
            </w:r>
          </w:p>
          <w:p>
            <w:pPr>
              <w:numPr>
                <w:ilvl w:val="0"/>
                <w:numId w:val="12"/>
              </w:numPr>
              <w:rPr>
                <w:rFonts w:ascii="宋体" w:hAnsi="宋体"/>
                <w:color w:val="000000" w:themeColor="text1"/>
                <w:szCs w:val="21"/>
              </w:rPr>
            </w:pPr>
            <w:r>
              <w:rPr>
                <w:rFonts w:hint="eastAsia" w:ascii="宋体" w:hAnsi="宋体"/>
                <w:color w:val="000000" w:themeColor="text1"/>
                <w:szCs w:val="21"/>
              </w:rPr>
              <w:t>整机内置专业硬件自检维护工具（非第三方工具），支持对触摸框和PC模块进行检测，并针对不同模块给出问题代码提示。</w:t>
            </w:r>
          </w:p>
          <w:p>
            <w:pPr>
              <w:numPr>
                <w:ilvl w:val="0"/>
                <w:numId w:val="12"/>
              </w:numPr>
              <w:rPr>
                <w:rFonts w:ascii="宋体" w:hAnsi="宋体"/>
                <w:color w:val="000000" w:themeColor="text1"/>
                <w:szCs w:val="21"/>
              </w:rPr>
            </w:pPr>
            <w:r>
              <w:rPr>
                <w:rFonts w:hint="eastAsia" w:ascii="宋体" w:hAnsi="宋体"/>
                <w:color w:val="000000" w:themeColor="text1"/>
                <w:szCs w:val="21"/>
              </w:rPr>
              <w:t>当整机处于黑暗环境中并无人操作，一分钟后整机将可以自动进入熄屏模式。</w:t>
            </w:r>
          </w:p>
          <w:p>
            <w:pPr>
              <w:numPr>
                <w:ilvl w:val="0"/>
                <w:numId w:val="12"/>
              </w:numPr>
              <w:rPr>
                <w:rFonts w:ascii="宋体" w:hAnsi="宋体"/>
                <w:color w:val="000000" w:themeColor="text1"/>
                <w:szCs w:val="21"/>
              </w:rPr>
            </w:pPr>
            <w:r>
              <w:rPr>
                <w:rFonts w:hint="eastAsia" w:ascii="宋体" w:hAnsi="宋体"/>
                <w:color w:val="000000" w:themeColor="text1"/>
                <w:szCs w:val="21"/>
              </w:rPr>
              <w:t>支持将自定义图片设置为开机画面。</w:t>
            </w:r>
          </w:p>
          <w:p>
            <w:pPr>
              <w:numPr>
                <w:ilvl w:val="0"/>
                <w:numId w:val="12"/>
              </w:numPr>
              <w:rPr>
                <w:rFonts w:ascii="宋体" w:hAnsi="宋体"/>
                <w:color w:val="000000" w:themeColor="text1"/>
                <w:szCs w:val="21"/>
              </w:rPr>
            </w:pPr>
            <w:r>
              <w:rPr>
                <w:rFonts w:hint="eastAsia" w:ascii="宋体" w:hAnsi="宋体"/>
                <w:color w:val="000000" w:themeColor="text1"/>
                <w:szCs w:val="21"/>
              </w:rPr>
              <w:t>支持通过Type-C接口U盘进行文件传输，兼容Type-C接口手机充电。</w:t>
            </w:r>
          </w:p>
          <w:p>
            <w:pPr>
              <w:numPr>
                <w:ilvl w:val="0"/>
                <w:numId w:val="12"/>
              </w:numPr>
              <w:rPr>
                <w:rFonts w:ascii="宋体" w:hAnsi="宋体"/>
                <w:color w:val="000000" w:themeColor="text1"/>
                <w:szCs w:val="21"/>
              </w:rPr>
            </w:pPr>
            <w:r>
              <w:rPr>
                <w:rFonts w:hint="eastAsia" w:ascii="宋体" w:hAnsi="宋体"/>
                <w:color w:val="000000" w:themeColor="text1"/>
                <w:szCs w:val="21"/>
              </w:rPr>
              <w:t>整机在五分钟内处于无信号接收状态时，能够自动关机。</w:t>
            </w:r>
          </w:p>
          <w:p>
            <w:pPr>
              <w:numPr>
                <w:ilvl w:val="0"/>
                <w:numId w:val="12"/>
              </w:numPr>
              <w:rPr>
                <w:rFonts w:ascii="宋体" w:hAnsi="宋体"/>
                <w:color w:val="000000" w:themeColor="text1"/>
                <w:szCs w:val="21"/>
              </w:rPr>
            </w:pPr>
            <w:r>
              <w:rPr>
                <w:rFonts w:hint="eastAsia" w:ascii="宋体" w:hAnsi="宋体"/>
                <w:color w:val="000000" w:themeColor="text1"/>
                <w:szCs w:val="21"/>
              </w:rPr>
              <w:t>整机具备供电保护模块，能够检测内置电脑是否插好在位，在内置电脑未在位的情况下，内置电脑无法上电工作。</w:t>
            </w:r>
          </w:p>
          <w:p>
            <w:pPr>
              <w:numPr>
                <w:ilvl w:val="0"/>
                <w:numId w:val="12"/>
              </w:numPr>
              <w:rPr>
                <w:rFonts w:ascii="Calibri" w:hAnsi="Calibri"/>
                <w:color w:val="000000" w:themeColor="text1"/>
                <w:szCs w:val="21"/>
              </w:rPr>
            </w:pPr>
            <w:r>
              <w:rPr>
                <w:rFonts w:hint="eastAsia" w:ascii="宋体" w:hAnsi="宋体"/>
                <w:color w:val="000000" w:themeColor="text1"/>
                <w:szCs w:val="21"/>
              </w:rPr>
              <w:t>整机具备智能手势识别功能，在任意信号源通道下均可识别五指上、下、左、右方向手势，五指画O、画~、左右晃动、缩/放方向手势滑动并调用相应功能。支持将各手势滑动方向自定义设置为无操作、熄屏、批注、桌面、半屏模式。（提供国家认可的具备CMA认证的检测机构所出具的权威检测报告复印件并加盖厂家公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526" w:type="dxa"/>
            <w:vAlign w:val="center"/>
          </w:tcPr>
          <w:p>
            <w:pPr>
              <w:jc w:val="center"/>
              <w:rPr>
                <w:rFonts w:ascii="Calibri" w:hAnsi="Calibri"/>
                <w:color w:val="000000" w:themeColor="text1"/>
                <w:szCs w:val="21"/>
              </w:rPr>
            </w:pPr>
            <w:r>
              <w:rPr>
                <w:rFonts w:hint="eastAsia" w:ascii="Calibri" w:hAnsi="Calibri"/>
                <w:color w:val="000000" w:themeColor="text1"/>
                <w:szCs w:val="21"/>
              </w:rPr>
              <w:t>触摸系统</w:t>
            </w:r>
          </w:p>
        </w:tc>
        <w:tc>
          <w:tcPr>
            <w:tcW w:w="6946" w:type="dxa"/>
          </w:tcPr>
          <w:p>
            <w:pPr>
              <w:numPr>
                <w:ilvl w:val="0"/>
                <w:numId w:val="12"/>
              </w:numPr>
              <w:rPr>
                <w:rFonts w:ascii="宋体" w:hAnsi="宋体"/>
                <w:color w:val="000000" w:themeColor="text1"/>
                <w:szCs w:val="21"/>
              </w:rPr>
            </w:pPr>
            <w:r>
              <w:rPr>
                <w:rFonts w:hint="eastAsia" w:ascii="宋体" w:hAnsi="宋体"/>
                <w:color w:val="000000" w:themeColor="text1"/>
                <w:szCs w:val="21"/>
              </w:rPr>
              <w:t>采用红外触控技术，支持Windows系统中进行20点或以上触控，支持在Android系统中进行10点或以上触控。</w:t>
            </w:r>
          </w:p>
          <w:p>
            <w:pPr>
              <w:numPr>
                <w:ilvl w:val="0"/>
                <w:numId w:val="12"/>
              </w:numPr>
              <w:rPr>
                <w:rFonts w:ascii="宋体" w:hAnsi="宋体"/>
                <w:color w:val="000000" w:themeColor="text1"/>
                <w:szCs w:val="21"/>
              </w:rPr>
            </w:pPr>
            <w:r>
              <w:rPr>
                <w:rFonts w:hint="eastAsia" w:ascii="宋体" w:hAnsi="宋体"/>
                <w:color w:val="000000" w:themeColor="text1"/>
                <w:szCs w:val="21"/>
              </w:rPr>
              <w:t>从内部Android通道切换到内部PC通道后，触摸框在1s内达到可触控状态。从内部PC通道切换到外部通道后，触摸框在3s内达到可触控状态。</w:t>
            </w:r>
          </w:p>
          <w:p>
            <w:pPr>
              <w:numPr>
                <w:ilvl w:val="0"/>
                <w:numId w:val="12"/>
              </w:numPr>
              <w:rPr>
                <w:rFonts w:ascii="宋体" w:hAnsi="宋体"/>
                <w:color w:val="000000" w:themeColor="text1"/>
                <w:szCs w:val="21"/>
              </w:rPr>
            </w:pPr>
            <w:r>
              <w:rPr>
                <w:rFonts w:hint="eastAsia" w:ascii="宋体" w:hAnsi="宋体"/>
                <w:color w:val="000000" w:themeColor="text1"/>
                <w:szCs w:val="21"/>
              </w:rPr>
              <w:t>触摸响应时间≤4ms。</w:t>
            </w:r>
          </w:p>
          <w:p>
            <w:pPr>
              <w:numPr>
                <w:ilvl w:val="0"/>
                <w:numId w:val="12"/>
              </w:numPr>
              <w:rPr>
                <w:rFonts w:ascii="Calibri" w:hAnsi="Calibri"/>
                <w:color w:val="000000" w:themeColor="text1"/>
                <w:szCs w:val="21"/>
              </w:rPr>
            </w:pPr>
            <w:r>
              <w:rPr>
                <w:rFonts w:hint="eastAsia" w:ascii="宋体" w:hAnsi="宋体"/>
                <w:color w:val="000000" w:themeColor="text1"/>
                <w:szCs w:val="21"/>
              </w:rPr>
              <w:t>触摸最小识别物≤3mm。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526" w:type="dxa"/>
            <w:vAlign w:val="center"/>
          </w:tcPr>
          <w:p>
            <w:pPr>
              <w:jc w:val="center"/>
              <w:rPr>
                <w:rFonts w:ascii="Calibri" w:hAnsi="Calibri"/>
                <w:color w:val="000000" w:themeColor="text1"/>
                <w:szCs w:val="21"/>
              </w:rPr>
            </w:pPr>
            <w:r>
              <w:rPr>
                <w:rFonts w:hint="eastAsia" w:ascii="Calibri" w:hAnsi="Calibri"/>
                <w:color w:val="000000" w:themeColor="text1"/>
                <w:szCs w:val="21"/>
              </w:rPr>
              <w:t>安卓系统</w:t>
            </w:r>
          </w:p>
        </w:tc>
        <w:tc>
          <w:tcPr>
            <w:tcW w:w="6946" w:type="dxa"/>
          </w:tcPr>
          <w:p>
            <w:pPr>
              <w:numPr>
                <w:ilvl w:val="0"/>
                <w:numId w:val="12"/>
              </w:numPr>
              <w:rPr>
                <w:rFonts w:ascii="宋体" w:hAnsi="宋体"/>
                <w:color w:val="000000" w:themeColor="text1"/>
                <w:szCs w:val="21"/>
              </w:rPr>
            </w:pPr>
            <w:r>
              <w:rPr>
                <w:rFonts w:hint="eastAsia" w:ascii="宋体" w:hAnsi="宋体"/>
                <w:color w:val="000000" w:themeColor="text1"/>
                <w:szCs w:val="21"/>
              </w:rPr>
              <w:t>★嵌入式系统版本不低于Android 11，内存≥2GB，存储空间≥8GB。（提供国家认可的具备CMA认证的检测机构所出具的权威检测报告复印件并加盖厂家公章）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整机全通道侧边栏快捷菜单中可以实时查看物联设备的连接情况，点击任意一台设备图标即可调出中控菜单进行管控。（提供国家认可的具备CMA认证的检测机构所出具的权威检测报告复印件并加盖厂家公章）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整机全通道侧边栏提供秒表正计时、降低半屏、聚光灯、倒数日、日历、节拍器等小工具，方便教师随时调用使用。（提供国家认可的具备CMA认证的检测机构所出具的权威检测报告复印件并加盖厂家公章）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整机设备开机启动后，自动进入教学桌面，支持多种身份识别方式登录，包括账号登录、手机扫码登录，并支持账号安全登录检测、退出，登录后自动获取个人云端教学课件列表、并可进入校本资源库获取资源；登录后进入原厂软件无需再次输入账号密码重复登录（提供国家认可的具备CMA认证的检测机构所出具的权威检测报告复印件并加盖厂家公章）</w:t>
            </w:r>
          </w:p>
          <w:p>
            <w:pPr>
              <w:numPr>
                <w:ilvl w:val="0"/>
                <w:numId w:val="12"/>
              </w:numPr>
              <w:rPr>
                <w:rFonts w:ascii="Calibri" w:hAnsi="Calibri"/>
                <w:color w:val="000000" w:themeColor="text1"/>
                <w:szCs w:val="21"/>
              </w:rPr>
            </w:pPr>
            <w:r>
              <w:rPr>
                <w:rFonts w:hint="eastAsia" w:ascii="宋体" w:hAnsi="宋体"/>
                <w:color w:val="000000" w:themeColor="text1"/>
                <w:szCs w:val="21"/>
              </w:rPr>
              <w:t>教学桌面支持教学常用的教学白板软件、文件管理软件、学生行为评价软件、随机抽选软件的快捷入口，方便教师快速授课。（提供国家认可的具备CMA认证的检测机构所出具的权威检测报告复印件并加盖厂家公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526" w:type="dxa"/>
            <w:vAlign w:val="center"/>
          </w:tcPr>
          <w:p>
            <w:pPr>
              <w:jc w:val="center"/>
              <w:rPr>
                <w:rFonts w:ascii="Calibri" w:hAnsi="Calibri"/>
                <w:color w:val="000000" w:themeColor="text1"/>
                <w:szCs w:val="21"/>
              </w:rPr>
            </w:pPr>
            <w:r>
              <w:rPr>
                <w:rFonts w:hint="eastAsia" w:ascii="Calibri" w:hAnsi="Calibri"/>
                <w:color w:val="000000" w:themeColor="text1"/>
                <w:szCs w:val="21"/>
              </w:rPr>
              <w:t>电脑系统</w:t>
            </w:r>
          </w:p>
        </w:tc>
        <w:tc>
          <w:tcPr>
            <w:tcW w:w="6946" w:type="dxa"/>
            <w:vAlign w:val="center"/>
          </w:tcPr>
          <w:p>
            <w:pPr>
              <w:numPr>
                <w:ilvl w:val="0"/>
                <w:numId w:val="12"/>
              </w:numPr>
              <w:rPr>
                <w:rFonts w:ascii="宋体" w:hAnsi="宋体"/>
                <w:color w:val="000000" w:themeColor="text1"/>
                <w:szCs w:val="21"/>
              </w:rPr>
            </w:pPr>
            <w:r>
              <w:rPr>
                <w:rFonts w:hint="eastAsia" w:ascii="宋体" w:hAnsi="宋体"/>
                <w:color w:val="000000" w:themeColor="text1"/>
                <w:szCs w:val="21"/>
              </w:rPr>
              <w:t>主板搭载Intel酷睿系列 i5CPU</w:t>
            </w:r>
          </w:p>
          <w:p>
            <w:pPr>
              <w:numPr>
                <w:ilvl w:val="0"/>
                <w:numId w:val="12"/>
              </w:numPr>
              <w:rPr>
                <w:rFonts w:ascii="宋体" w:hAnsi="宋体"/>
                <w:color w:val="000000" w:themeColor="text1"/>
                <w:szCs w:val="21"/>
              </w:rPr>
            </w:pPr>
            <w:r>
              <w:rPr>
                <w:rFonts w:hint="eastAsia" w:ascii="宋体" w:hAnsi="宋体"/>
                <w:color w:val="000000" w:themeColor="text1"/>
                <w:szCs w:val="21"/>
              </w:rPr>
              <w:t>内存：8GB DDR4笔记本内存或以上配置。</w:t>
            </w:r>
          </w:p>
          <w:p>
            <w:pPr>
              <w:numPr>
                <w:ilvl w:val="0"/>
                <w:numId w:val="12"/>
              </w:numPr>
              <w:rPr>
                <w:rFonts w:ascii="宋体" w:hAnsi="宋体"/>
                <w:color w:val="000000" w:themeColor="text1"/>
                <w:szCs w:val="21"/>
              </w:rPr>
            </w:pPr>
            <w:r>
              <w:rPr>
                <w:rFonts w:hint="eastAsia" w:ascii="宋体" w:hAnsi="宋体"/>
                <w:color w:val="000000" w:themeColor="text1"/>
                <w:szCs w:val="21"/>
              </w:rPr>
              <w:t>硬盘：256GB或以上SSD固态硬盘</w:t>
            </w:r>
          </w:p>
          <w:p>
            <w:pPr>
              <w:numPr>
                <w:ilvl w:val="0"/>
                <w:numId w:val="12"/>
              </w:numPr>
              <w:rPr>
                <w:rFonts w:ascii="宋体" w:hAnsi="宋体"/>
                <w:color w:val="000000" w:themeColor="text1"/>
                <w:szCs w:val="21"/>
              </w:rPr>
            </w:pPr>
            <w:r>
              <w:rPr>
                <w:rFonts w:hint="eastAsia" w:ascii="宋体" w:hAnsi="宋体"/>
                <w:color w:val="000000" w:themeColor="text1"/>
                <w:szCs w:val="21"/>
              </w:rPr>
              <w:t>机身采用热浸镀锌金属材质，采用智能风扇低噪音散热设计,模块主体尺寸不小于22cm*17cm*3cm以预留足够散热空间，确保封闭空间内有效散热。</w:t>
            </w:r>
          </w:p>
          <w:p>
            <w:pPr>
              <w:numPr>
                <w:ilvl w:val="0"/>
                <w:numId w:val="12"/>
              </w:numPr>
              <w:rPr>
                <w:rFonts w:ascii="宋体" w:hAnsi="宋体"/>
                <w:color w:val="000000" w:themeColor="text1"/>
                <w:szCs w:val="21"/>
              </w:rPr>
            </w:pPr>
            <w:r>
              <w:rPr>
                <w:rFonts w:hint="eastAsia" w:ascii="宋体" w:hAnsi="宋体"/>
                <w:color w:val="000000" w:themeColor="text1"/>
                <w:szCs w:val="21"/>
              </w:rPr>
              <w:t>PC模块可抽拉式插入整机，可实现无单独接线的插拔。</w:t>
            </w:r>
          </w:p>
          <w:p>
            <w:pPr>
              <w:numPr>
                <w:ilvl w:val="0"/>
                <w:numId w:val="12"/>
              </w:numPr>
              <w:rPr>
                <w:rFonts w:ascii="宋体" w:hAnsi="宋体"/>
                <w:color w:val="000000" w:themeColor="text1"/>
                <w:szCs w:val="21"/>
              </w:rPr>
            </w:pPr>
            <w:r>
              <w:rPr>
                <w:rFonts w:hint="eastAsia" w:ascii="宋体" w:hAnsi="宋体"/>
                <w:color w:val="000000" w:themeColor="text1"/>
                <w:szCs w:val="21"/>
              </w:rPr>
              <w:t>和整机的连接接口针脚数≤40pin，尺寸≤28.1mm*5.3mm。</w:t>
            </w:r>
          </w:p>
          <w:p>
            <w:pPr>
              <w:numPr>
                <w:ilvl w:val="0"/>
                <w:numId w:val="12"/>
              </w:numPr>
              <w:rPr>
                <w:rFonts w:ascii="宋体" w:hAnsi="宋体"/>
                <w:color w:val="000000" w:themeColor="text1"/>
                <w:szCs w:val="21"/>
              </w:rPr>
            </w:pPr>
            <w:r>
              <w:rPr>
                <w:rFonts w:hint="eastAsia" w:ascii="宋体" w:hAnsi="宋体"/>
                <w:color w:val="000000" w:themeColor="text1"/>
                <w:szCs w:val="21"/>
              </w:rPr>
              <w:t>采用按压式卡扣，无需工具就可快速拆卸电脑模块。</w:t>
            </w:r>
          </w:p>
          <w:p>
            <w:pPr>
              <w:numPr>
                <w:ilvl w:val="0"/>
                <w:numId w:val="12"/>
              </w:numPr>
              <w:rPr>
                <w:rFonts w:ascii="Calibri" w:hAnsi="Calibri"/>
                <w:color w:val="000000" w:themeColor="text1"/>
                <w:szCs w:val="21"/>
              </w:rPr>
            </w:pPr>
            <w:r>
              <w:rPr>
                <w:rFonts w:hint="eastAsia" w:ascii="宋体" w:hAnsi="宋体"/>
                <w:color w:val="000000" w:themeColor="text1"/>
                <w:szCs w:val="21"/>
              </w:rPr>
              <w:t>具有独立非外扩展的视频输出接口：≥1路HDMI ；具有独立非外扩展的电脑USB接口：≥3路USB。</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526" w:type="dxa"/>
            <w:vAlign w:val="center"/>
          </w:tcPr>
          <w:p>
            <w:pPr>
              <w:jc w:val="center"/>
              <w:rPr>
                <w:rFonts w:ascii="Calibri" w:hAnsi="Calibri"/>
                <w:color w:val="000000" w:themeColor="text1"/>
                <w:szCs w:val="21"/>
              </w:rPr>
            </w:pPr>
            <w:r>
              <w:rPr>
                <w:rFonts w:hint="eastAsia" w:ascii="Calibri" w:hAnsi="Calibri"/>
                <w:color w:val="000000" w:themeColor="text1"/>
                <w:szCs w:val="21"/>
              </w:rPr>
              <w:t>白板软件</w:t>
            </w:r>
          </w:p>
        </w:tc>
        <w:tc>
          <w:tcPr>
            <w:tcW w:w="6946" w:type="dxa"/>
          </w:tcPr>
          <w:p>
            <w:pPr>
              <w:numPr>
                <w:ilvl w:val="0"/>
                <w:numId w:val="12"/>
              </w:numPr>
              <w:rPr>
                <w:rFonts w:ascii="宋体" w:hAnsi="宋体"/>
                <w:color w:val="000000" w:themeColor="text1"/>
                <w:szCs w:val="21"/>
              </w:rPr>
            </w:pPr>
            <w:r>
              <w:rPr>
                <w:rFonts w:ascii="宋体" w:hAnsi="宋体"/>
                <w:color w:val="000000" w:themeColor="text1"/>
                <w:szCs w:val="21"/>
              </w:rPr>
              <w:t>白板软件具备备课与授课的功能，操作界面根据备课和授课使用场景不同而区别设计，符合用户使用需求</w:t>
            </w:r>
            <w:r>
              <w:rPr>
                <w:rFonts w:hint="eastAsia" w:ascii="宋体" w:hAnsi="宋体"/>
                <w:color w:val="000000" w:themeColor="text1"/>
                <w:szCs w:val="21"/>
              </w:rPr>
              <w:t>；</w:t>
            </w:r>
            <w:r>
              <w:rPr>
                <w:rFonts w:ascii="宋体" w:hAnsi="宋体"/>
                <w:color w:val="000000" w:themeColor="text1"/>
                <w:szCs w:val="21"/>
              </w:rPr>
              <w:t>为使用教师提供动态扩容云存储空间，可至200G。</w:t>
            </w:r>
          </w:p>
          <w:p>
            <w:pPr>
              <w:numPr>
                <w:ilvl w:val="0"/>
                <w:numId w:val="12"/>
              </w:numPr>
              <w:rPr>
                <w:rFonts w:ascii="宋体" w:hAnsi="宋体"/>
                <w:color w:val="000000" w:themeColor="text1"/>
                <w:szCs w:val="21"/>
              </w:rPr>
            </w:pPr>
            <w:r>
              <w:rPr>
                <w:rFonts w:ascii="宋体" w:hAnsi="宋体"/>
                <w:color w:val="000000" w:themeColor="text1"/>
                <w:szCs w:val="21"/>
              </w:rPr>
              <w:t>支持多种登录方式，包括密码登录、扫码登录及个人U盘登录。</w:t>
            </w:r>
          </w:p>
          <w:p>
            <w:pPr>
              <w:numPr>
                <w:ilvl w:val="0"/>
                <w:numId w:val="12"/>
              </w:numPr>
              <w:rPr>
                <w:rFonts w:ascii="宋体" w:hAnsi="宋体"/>
                <w:color w:val="000000" w:themeColor="text1"/>
                <w:szCs w:val="21"/>
              </w:rPr>
            </w:pPr>
            <w:r>
              <w:rPr>
                <w:rFonts w:ascii="宋体" w:hAnsi="宋体"/>
                <w:color w:val="000000" w:themeColor="text1"/>
                <w:szCs w:val="21"/>
              </w:rPr>
              <w:t>★支持一对多分享云课件，用户可在软件中通过生成课件链接/二维码，将课件快速分享给其他用户，可通过网页方式直接打开课件，方便快捷。（权威机构出具的检测报告扫描件）</w:t>
            </w:r>
          </w:p>
          <w:p>
            <w:pPr>
              <w:numPr>
                <w:ilvl w:val="0"/>
                <w:numId w:val="12"/>
              </w:numPr>
              <w:rPr>
                <w:rFonts w:ascii="宋体" w:hAnsi="宋体"/>
                <w:color w:val="000000" w:themeColor="text1"/>
                <w:szCs w:val="21"/>
              </w:rPr>
            </w:pPr>
            <w:r>
              <w:rPr>
                <w:rFonts w:ascii="宋体" w:hAnsi="宋体"/>
                <w:color w:val="000000" w:themeColor="text1"/>
                <w:szCs w:val="21"/>
              </w:rPr>
              <w:t>互动图表：可在软件中柱状图、扇形图、折线图等互动图表，柱状图、折线图可一键转置互换坐标轴类别；图表支持三维模式旋转展示，生动形象。</w:t>
            </w:r>
          </w:p>
          <w:p>
            <w:pPr>
              <w:numPr>
                <w:ilvl w:val="0"/>
                <w:numId w:val="12"/>
              </w:numPr>
              <w:rPr>
                <w:rFonts w:ascii="宋体" w:hAnsi="宋体"/>
                <w:color w:val="000000" w:themeColor="text1"/>
                <w:szCs w:val="21"/>
              </w:rPr>
            </w:pPr>
            <w:r>
              <w:rPr>
                <w:rFonts w:ascii="宋体" w:hAnsi="宋体"/>
                <w:color w:val="000000" w:themeColor="text1"/>
                <w:szCs w:val="21"/>
              </w:rPr>
              <w:t>多学科题库：提供涵盖小学、初中、高中的知识点及试题，中学题库需包含语文、数学、英语、物理、化学、生物、政治、历史、地理等多个学科，包含选择、填空、判断、诗歌阅读、完形填空、阅读理解、辨析题、材料题、实验题、作图题等丰富题型；可批量选择试题以交互试题卡的形式插入课件，试题卡包含题干、答案和解析，并可一键展开收起答案和解析。</w:t>
            </w:r>
          </w:p>
          <w:p>
            <w:pPr>
              <w:numPr>
                <w:ilvl w:val="0"/>
                <w:numId w:val="12"/>
              </w:numPr>
              <w:rPr>
                <w:rFonts w:ascii="宋体" w:hAnsi="宋体"/>
                <w:color w:val="000000" w:themeColor="text1"/>
                <w:szCs w:val="21"/>
              </w:rPr>
            </w:pPr>
            <w:r>
              <w:rPr>
                <w:rFonts w:ascii="宋体" w:hAnsi="宋体"/>
                <w:color w:val="000000" w:themeColor="text1"/>
                <w:szCs w:val="21"/>
              </w:rPr>
              <w:t>多学科课件库：提供涵盖小学语文、数学、英语全部教学章节的交互式课件，课件支持直接预览并下载，预览时支持拖动课堂活动、形状、几何、文本等元素；下载时课件可同步至教师个人云课件存储空间；课件支持教师在线评分。</w:t>
            </w:r>
          </w:p>
          <w:p>
            <w:pPr>
              <w:numPr>
                <w:ilvl w:val="0"/>
                <w:numId w:val="12"/>
              </w:numPr>
              <w:rPr>
                <w:rFonts w:ascii="宋体" w:hAnsi="宋体"/>
                <w:color w:val="000000" w:themeColor="text1"/>
                <w:szCs w:val="21"/>
              </w:rPr>
            </w:pPr>
            <w:r>
              <w:rPr>
                <w:rFonts w:ascii="宋体" w:hAnsi="宋体"/>
                <w:color w:val="000000" w:themeColor="text1"/>
                <w:szCs w:val="21"/>
              </w:rPr>
              <w:t>微课视频：提供涵盖小学、初中、高中微课程视频，每个学段的微课视频内容应不少于三个主要学科；微课视频支持视频关键帧打点标记，播放过程中可一键跳转至标记位置，同时支持一键对视频内容进行截图插入课件。</w:t>
            </w:r>
          </w:p>
          <w:p>
            <w:pPr>
              <w:numPr>
                <w:ilvl w:val="0"/>
                <w:numId w:val="12"/>
              </w:numPr>
              <w:rPr>
                <w:rFonts w:ascii="宋体" w:hAnsi="宋体"/>
                <w:color w:val="000000" w:themeColor="text1"/>
                <w:szCs w:val="21"/>
              </w:rPr>
            </w:pPr>
            <w:r>
              <w:rPr>
                <w:rFonts w:ascii="宋体" w:hAnsi="宋体"/>
                <w:color w:val="000000" w:themeColor="text1"/>
                <w:szCs w:val="21"/>
              </w:rPr>
              <w:t>语文工具</w:t>
            </w:r>
          </w:p>
          <w:p>
            <w:pPr>
              <w:rPr>
                <w:rFonts w:ascii="宋体" w:hAnsi="宋体"/>
                <w:color w:val="000000" w:themeColor="text1"/>
                <w:szCs w:val="21"/>
              </w:rPr>
            </w:pPr>
            <w:r>
              <w:rPr>
                <w:rFonts w:ascii="宋体" w:hAnsi="宋体"/>
                <w:color w:val="000000" w:themeColor="text1"/>
                <w:szCs w:val="21"/>
              </w:rPr>
              <w:t>（1）具备汉字生字卡，直观展示汉字部首、笔画数量，笔画书写支持分步展示和连续展示，教师可一次性生成多个汉字生字卡，同步生成数量不少于5个。</w:t>
            </w:r>
          </w:p>
          <w:p>
            <w:pPr>
              <w:rPr>
                <w:rFonts w:ascii="宋体" w:hAnsi="宋体"/>
                <w:color w:val="000000" w:themeColor="text1"/>
                <w:szCs w:val="21"/>
              </w:rPr>
            </w:pPr>
            <w:r>
              <w:rPr>
                <w:rFonts w:ascii="宋体" w:hAnsi="宋体"/>
                <w:color w:val="000000" w:themeColor="text1"/>
                <w:szCs w:val="21"/>
              </w:rPr>
              <w:t>（2）提供覆盖初中、高中的古诗词、古文教学资源：包含原文、翻译、背景介绍、作者介绍、朗诵音频。支持教师自由添加古诗词教学资源，教师可使用模板创建古诗词内容和翻译自主创建的古诗词，并自动保存至云端供教学复用。</w:t>
            </w:r>
          </w:p>
          <w:p>
            <w:pPr>
              <w:numPr>
                <w:ilvl w:val="0"/>
                <w:numId w:val="12"/>
              </w:numPr>
              <w:rPr>
                <w:rFonts w:ascii="宋体" w:hAnsi="宋体"/>
                <w:color w:val="000000" w:themeColor="text1"/>
                <w:szCs w:val="21"/>
              </w:rPr>
            </w:pPr>
            <w:r>
              <w:rPr>
                <w:rFonts w:ascii="宋体" w:hAnsi="宋体"/>
                <w:color w:val="000000" w:themeColor="text1"/>
                <w:szCs w:val="21"/>
              </w:rPr>
              <w:t>数学工具</w:t>
            </w:r>
            <w:r>
              <w:rPr>
                <w:rFonts w:hint="eastAsia" w:ascii="宋体" w:hAnsi="宋体"/>
                <w:color w:val="000000" w:themeColor="text1"/>
                <w:szCs w:val="21"/>
              </w:rPr>
              <w:t>：</w:t>
            </w:r>
            <w:r>
              <w:rPr>
                <w:rFonts w:ascii="宋体" w:hAnsi="宋体"/>
                <w:color w:val="000000" w:themeColor="text1"/>
                <w:szCs w:val="21"/>
              </w:rPr>
              <w:t>支持为长方体、圆柱体、圆锥等几何体的各面、棱分别填涂颜色，并且可通过360°旋转观察涂色面与未涂色面；几何体支持平面展开，预置长方体、立方体“141、132、222、33”型展开方式，展开后可对涂色面进行查看，有助于学生的空间想象。</w:t>
            </w:r>
          </w:p>
          <w:p>
            <w:pPr>
              <w:numPr>
                <w:ilvl w:val="0"/>
                <w:numId w:val="12"/>
              </w:numPr>
              <w:rPr>
                <w:rFonts w:ascii="宋体" w:hAnsi="宋体"/>
                <w:color w:val="000000" w:themeColor="text1"/>
                <w:szCs w:val="21"/>
              </w:rPr>
            </w:pPr>
            <w:r>
              <w:rPr>
                <w:rFonts w:ascii="宋体" w:hAnsi="宋体"/>
                <w:color w:val="000000" w:themeColor="text1"/>
                <w:szCs w:val="21"/>
              </w:rPr>
              <w:t>英语工具</w:t>
            </w:r>
            <w:r>
              <w:rPr>
                <w:rFonts w:hint="eastAsia" w:ascii="宋体" w:hAnsi="宋体"/>
                <w:color w:val="000000" w:themeColor="text1"/>
                <w:szCs w:val="21"/>
              </w:rPr>
              <w:t>：</w:t>
            </w:r>
            <w:r>
              <w:rPr>
                <w:rFonts w:ascii="宋体" w:hAnsi="宋体"/>
                <w:color w:val="000000" w:themeColor="text1"/>
                <w:szCs w:val="21"/>
              </w:rPr>
              <w:t>支持输入英文单词生成单词卡和详解页，包含单词的释义、读音、例句、词组、近义词等，可插入多个单词卡，同时支持教师自定义编辑单词释义、创建未收录的生僻单词供授课使用。</w:t>
            </w:r>
          </w:p>
          <w:p>
            <w:pPr>
              <w:numPr>
                <w:ilvl w:val="0"/>
                <w:numId w:val="12"/>
              </w:numPr>
              <w:rPr>
                <w:rFonts w:ascii="宋体" w:hAnsi="宋体"/>
                <w:color w:val="000000" w:themeColor="text1"/>
                <w:szCs w:val="21"/>
              </w:rPr>
            </w:pPr>
            <w:r>
              <w:rPr>
                <w:rFonts w:ascii="宋体" w:hAnsi="宋体"/>
                <w:color w:val="000000" w:themeColor="text1"/>
                <w:szCs w:val="21"/>
              </w:rPr>
              <w:t>化学工具</w:t>
            </w:r>
            <w:r>
              <w:rPr>
                <w:rFonts w:hint="eastAsia" w:ascii="宋体" w:hAnsi="宋体"/>
                <w:color w:val="000000" w:themeColor="text1"/>
                <w:szCs w:val="21"/>
              </w:rPr>
              <w:t>：</w:t>
            </w:r>
            <w:r>
              <w:rPr>
                <w:rFonts w:ascii="宋体" w:hAnsi="宋体"/>
                <w:color w:val="000000" w:themeColor="text1"/>
                <w:szCs w:val="21"/>
              </w:rPr>
              <w:t>化学方程式编辑器：提供化学方程式快速编辑工具，当输入一个化学元素时，软件界面将自动显示出和该元素相关的多个常用化学反应方程式，可直接选择使用。插入后的化学方程式可重新编辑。</w:t>
            </w:r>
          </w:p>
          <w:p>
            <w:pPr>
              <w:numPr>
                <w:ilvl w:val="0"/>
                <w:numId w:val="12"/>
              </w:numPr>
              <w:rPr>
                <w:rFonts w:ascii="宋体" w:hAnsi="宋体"/>
                <w:color w:val="000000" w:themeColor="text1"/>
                <w:szCs w:val="21"/>
              </w:rPr>
            </w:pPr>
            <w:r>
              <w:rPr>
                <w:rFonts w:ascii="宋体" w:hAnsi="宋体"/>
                <w:color w:val="000000" w:themeColor="text1"/>
                <w:szCs w:val="21"/>
              </w:rPr>
              <w:t>地理工具</w:t>
            </w:r>
            <w:r>
              <w:rPr>
                <w:rFonts w:hint="eastAsia" w:ascii="宋体" w:hAnsi="宋体"/>
                <w:color w:val="000000" w:themeColor="text1"/>
                <w:szCs w:val="21"/>
              </w:rPr>
              <w:t>：</w:t>
            </w:r>
            <w:r>
              <w:rPr>
                <w:rFonts w:ascii="宋体" w:hAnsi="宋体"/>
                <w:color w:val="000000" w:themeColor="text1"/>
                <w:szCs w:val="21"/>
              </w:rPr>
              <w:t>提供丰富的地理教学图集，可查看行星的详细数据信息（包括名称、赤道直径、质量、自转周期、日心轨道周期、表面重力、温度等）和内部结构信息（地壳、地幔、外核、内核等），支持地球模型直接进行平面/立体转换，清晰展现地球表面的六大板块、降水分布、气温分布、气候分布、人口分布、表层洋流、陆地自然带、海平面等压线等内容，方便教学。</w:t>
            </w:r>
          </w:p>
          <w:p>
            <w:pPr>
              <w:numPr>
                <w:ilvl w:val="0"/>
                <w:numId w:val="12"/>
              </w:numPr>
              <w:rPr>
                <w:rFonts w:ascii="宋体" w:hAnsi="宋体"/>
                <w:color w:val="000000" w:themeColor="text1"/>
                <w:szCs w:val="21"/>
              </w:rPr>
            </w:pPr>
            <w:r>
              <w:rPr>
                <w:rFonts w:ascii="宋体" w:hAnsi="宋体"/>
                <w:color w:val="000000" w:themeColor="text1"/>
                <w:szCs w:val="21"/>
              </w:rPr>
              <w:t>美术工具：内置专用美术画板工具，提供铅笔、毛笔、油画笔等笔触，具备符合绘画调色教学需求的模拟调色盘，可选择不同颜色混合调色，便于学生理解调色合成过程。</w:t>
            </w:r>
          </w:p>
          <w:p>
            <w:pPr>
              <w:numPr>
                <w:ilvl w:val="0"/>
                <w:numId w:val="12"/>
              </w:numPr>
              <w:rPr>
                <w:rFonts w:ascii="宋体" w:hAnsi="宋体"/>
                <w:color w:val="000000" w:themeColor="text1"/>
                <w:szCs w:val="21"/>
              </w:rPr>
            </w:pPr>
            <w:r>
              <w:rPr>
                <w:rFonts w:ascii="宋体" w:hAnsi="宋体"/>
                <w:color w:val="000000" w:themeColor="text1"/>
                <w:szCs w:val="21"/>
              </w:rPr>
              <w:t>教学软件应为教师提供微课录制工具。为方便调取各项功能，微课工具内置于教学软件中，支持通过教学一体机、老师个人手机、电脑等终端快速录制微课，微课可录制保存音频和课件的互动操作。</w:t>
            </w:r>
          </w:p>
          <w:p>
            <w:pPr>
              <w:numPr>
                <w:ilvl w:val="0"/>
                <w:numId w:val="12"/>
              </w:numPr>
              <w:rPr>
                <w:rFonts w:ascii="Calibri" w:hAnsi="Calibri"/>
                <w:color w:val="000000" w:themeColor="text1"/>
                <w:szCs w:val="21"/>
              </w:rPr>
            </w:pPr>
            <w:r>
              <w:rPr>
                <w:rFonts w:ascii="宋体" w:hAnsi="宋体"/>
                <w:color w:val="000000" w:themeColor="text1"/>
                <w:szCs w:val="21"/>
              </w:rPr>
              <w:t>管理者后台登录即可查看学校的信息化教学应用情况，综合评估出信息化指数，每日更新，并与月均值、全省均值进行对比，方便管理者快速了解信息化教学进展。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1526" w:type="dxa"/>
            <w:vMerge w:val="restart"/>
            <w:vAlign w:val="center"/>
          </w:tcPr>
          <w:p>
            <w:pPr>
              <w:jc w:val="center"/>
              <w:rPr>
                <w:rFonts w:ascii="Calibri" w:hAnsi="Calibri"/>
                <w:color w:val="000000" w:themeColor="text1"/>
              </w:rPr>
            </w:pPr>
            <w:r>
              <w:rPr>
                <w:rFonts w:hint="eastAsia" w:ascii="Calibri" w:hAnsi="Calibri"/>
                <w:color w:val="000000" w:themeColor="text1"/>
              </w:rPr>
              <w:t>质保服务</w:t>
            </w:r>
          </w:p>
        </w:tc>
        <w:tc>
          <w:tcPr>
            <w:tcW w:w="6946" w:type="dxa"/>
          </w:tcPr>
          <w:p>
            <w:pPr>
              <w:rPr>
                <w:rFonts w:ascii="Calibri" w:hAnsi="Calibri"/>
                <w:color w:val="000000" w:themeColor="text1"/>
                <w:szCs w:val="21"/>
              </w:rPr>
            </w:pPr>
            <w:r>
              <w:rPr>
                <w:rFonts w:hint="eastAsia" w:ascii="Calibri" w:hAnsi="Calibri"/>
                <w:color w:val="000000" w:themeColor="text1"/>
                <w:szCs w:val="21"/>
              </w:rPr>
              <w:t>提供原厂商3年免费服务，在售后服务期内，电话响应、现场支持、故障备件更换、软件升级等不需另行付费；要求设备原厂商工程师提供现场产品培训。</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5" w:hRule="atLeast"/>
        </w:trPr>
        <w:tc>
          <w:tcPr>
            <w:tcW w:w="1526" w:type="dxa"/>
            <w:vMerge w:val="continue"/>
          </w:tcPr>
          <w:p>
            <w:pPr>
              <w:rPr>
                <w:rFonts w:ascii="Calibri" w:hAnsi="Calibri"/>
                <w:color w:val="000000" w:themeColor="text1"/>
              </w:rPr>
            </w:pPr>
          </w:p>
        </w:tc>
        <w:tc>
          <w:tcPr>
            <w:tcW w:w="6946" w:type="dxa"/>
          </w:tcPr>
          <w:p>
            <w:pPr>
              <w:rPr>
                <w:rFonts w:ascii="Calibri" w:hAnsi="Calibri"/>
                <w:color w:val="000000" w:themeColor="text1"/>
                <w:szCs w:val="21"/>
              </w:rPr>
            </w:pPr>
            <w:r>
              <w:rPr>
                <w:rFonts w:hint="eastAsia" w:ascii="Calibri" w:hAnsi="Calibri"/>
                <w:color w:val="000000" w:themeColor="text1"/>
                <w:szCs w:val="21"/>
              </w:rPr>
              <w:t>★中标后签定合同前提供原厂商针对本项目的质保函原件</w:t>
            </w:r>
          </w:p>
        </w:tc>
      </w:tr>
    </w:tbl>
    <w:p>
      <w:pPr>
        <w:rPr>
          <w:color w:val="000000" w:themeColor="text1"/>
          <w:szCs w:val="21"/>
        </w:rPr>
      </w:pPr>
    </w:p>
    <w:p>
      <w:pPr>
        <w:jc w:val="left"/>
        <w:rPr>
          <w:rFonts w:ascii="宋体" w:hAnsi="宋体" w:cs="宋体"/>
          <w:b/>
          <w:color w:val="000000" w:themeColor="text1"/>
          <w:kern w:val="0"/>
          <w:sz w:val="18"/>
          <w:szCs w:val="18"/>
        </w:rPr>
      </w:pPr>
      <w:r>
        <w:rPr>
          <w:rFonts w:hint="eastAsia"/>
          <w:b/>
          <w:color w:val="000000" w:themeColor="text1"/>
          <w:sz w:val="32"/>
        </w:rPr>
        <w:t>附件4-推拉式绿板参数</w:t>
      </w:r>
    </w:p>
    <w:p>
      <w:pPr>
        <w:spacing w:line="440" w:lineRule="exact"/>
        <w:rPr>
          <w:color w:val="000000" w:themeColor="text1"/>
          <w:sz w:val="24"/>
        </w:rPr>
      </w:pPr>
      <w:r>
        <w:rPr>
          <w:rFonts w:hint="eastAsia"/>
          <w:color w:val="000000" w:themeColor="text1"/>
          <w:sz w:val="24"/>
        </w:rPr>
        <w:t>1、左右推拉式绿板（分成二块），智能交互大屏一般安装在黑板左侧（面朝绿板时）双层结构，内外双层结构，内层为一块固定书写板与一体机正面平齐，外层为一块滑动书写板。滑动板配装的挂锁带有永久性生产厂家标识，开闭自如确保书写板安全。</w:t>
      </w:r>
      <w:r>
        <w:rPr>
          <w:rFonts w:hint="eastAsia"/>
          <w:color w:val="000000" w:themeColor="text1"/>
          <w:sz w:val="24"/>
        </w:rPr>
        <w:br w:type="textWrapping"/>
      </w:r>
      <w:r>
        <w:rPr>
          <w:rFonts w:hint="eastAsia"/>
          <w:color w:val="000000" w:themeColor="text1"/>
          <w:sz w:val="24"/>
        </w:rPr>
        <w:t>2、尺寸≥4000mm×1305mm×100mm，可根据所配智能交互大屏适当调整，确保与智能交互大屏的有效配套。保证与智能交互大屏外形尺寸配套。</w:t>
      </w:r>
      <w:r>
        <w:rPr>
          <w:rFonts w:hint="eastAsia"/>
          <w:color w:val="000000" w:themeColor="text1"/>
          <w:sz w:val="24"/>
        </w:rPr>
        <w:br w:type="textWrapping"/>
      </w:r>
      <w:r>
        <w:rPr>
          <w:rFonts w:hint="eastAsia"/>
          <w:color w:val="000000" w:themeColor="text1"/>
          <w:sz w:val="24"/>
        </w:rPr>
        <w:t>3、采用优质烤漆钢板，厚度≥0.4mm，亚光、墨绿色、漆膜硬度为6H，粗糙度为Ra1.6-3.2 um，光泽度≥6光泽单位，没有因绿板本身原因产生的眩光，书写流畅字迹清晰、板面表面附有一层透明保护膜，符合GB/T 28231-2011《书写板安全卫生要求》。</w:t>
      </w:r>
      <w:r>
        <w:rPr>
          <w:rFonts w:hint="eastAsia"/>
          <w:color w:val="000000" w:themeColor="text1"/>
          <w:sz w:val="24"/>
        </w:rPr>
        <w:br w:type="textWrapping"/>
      </w:r>
      <w:r>
        <w:rPr>
          <w:rFonts w:hint="eastAsia"/>
          <w:color w:val="000000" w:themeColor="text1"/>
          <w:sz w:val="24"/>
        </w:rPr>
        <w:t>4、选用高强度、吸音、防潮、阻燃聚苯乙烯板，厚度≥13mm，采用国际适用工艺，书写无吱咔声，改善书写手感。</w:t>
      </w:r>
      <w:r>
        <w:rPr>
          <w:rFonts w:hint="eastAsia"/>
          <w:color w:val="000000" w:themeColor="text1"/>
          <w:sz w:val="24"/>
        </w:rPr>
        <w:br w:type="textWrapping"/>
      </w:r>
      <w:r>
        <w:rPr>
          <w:rFonts w:hint="eastAsia"/>
          <w:color w:val="000000" w:themeColor="text1"/>
          <w:sz w:val="24"/>
        </w:rPr>
        <w:t>5、选用优质防锈亚光彩涂钢板，每隔8公分设有2公分加强凹槽，增加板体强度，不影响红外线操控的液晶电视及白板。</w:t>
      </w:r>
      <w:r>
        <w:rPr>
          <w:rFonts w:hint="eastAsia"/>
          <w:color w:val="000000" w:themeColor="text1"/>
          <w:sz w:val="24"/>
        </w:rPr>
        <w:br w:type="textWrapping"/>
      </w:r>
      <w:r>
        <w:rPr>
          <w:rFonts w:hint="eastAsia"/>
          <w:color w:val="000000" w:themeColor="text1"/>
          <w:sz w:val="24"/>
        </w:rPr>
        <w:t>6、采用环保型双组份聚氨酯胶水，自动化流水线覆板作业(提供现场作业图片），确保粘接牢固板面平整，甲醛释放量≤0.2mg/L，符合GB/T 28231-2011《书写板安全卫生要求》</w:t>
      </w:r>
      <w:r>
        <w:rPr>
          <w:rFonts w:hint="eastAsia"/>
          <w:color w:val="000000" w:themeColor="text1"/>
          <w:sz w:val="24"/>
        </w:rPr>
        <w:br w:type="textWrapping"/>
      </w:r>
      <w:r>
        <w:rPr>
          <w:rFonts w:hint="eastAsia"/>
          <w:color w:val="000000" w:themeColor="text1"/>
          <w:sz w:val="24"/>
        </w:rPr>
        <w:t>7、横框尺寸≥100 ×57mm，竖框尺寸≥29 mm×100 mm，边框经氧化、喷砂涂层处理，无明显眩光；横（立）框采用双层加强结构，厚≥10㎜。</w:t>
      </w:r>
      <w:r>
        <w:rPr>
          <w:rFonts w:hint="eastAsia"/>
          <w:color w:val="000000" w:themeColor="text1"/>
          <w:sz w:val="24"/>
        </w:rPr>
        <w:br w:type="textWrapping"/>
      </w:r>
      <w:r>
        <w:rPr>
          <w:rFonts w:hint="eastAsia"/>
          <w:color w:val="000000" w:themeColor="text1"/>
          <w:sz w:val="24"/>
        </w:rPr>
        <w:t>8、采用抗老化高强度ABS工程塑料注塑成型，双壁成腔流线型设计，圆角≥R25mm，并带有注册商标。</w:t>
      </w:r>
      <w:r>
        <w:rPr>
          <w:rFonts w:hint="eastAsia"/>
          <w:color w:val="000000" w:themeColor="text1"/>
          <w:sz w:val="24"/>
        </w:rPr>
        <w:br w:type="textWrapping"/>
      </w:r>
      <w:r>
        <w:rPr>
          <w:rFonts w:hint="eastAsia"/>
          <w:color w:val="000000" w:themeColor="text1"/>
          <w:sz w:val="24"/>
        </w:rPr>
        <w:t>9、配滑轮：采用上吊轮双滑道、下平轮单滑动结构，滑动顺畅、噪音小；书写时定位精确不晃动、滑动板前后晃动小于0.5mm。</w:t>
      </w:r>
      <w:r>
        <w:rPr>
          <w:rFonts w:hint="eastAsia"/>
          <w:color w:val="000000" w:themeColor="text1"/>
          <w:sz w:val="24"/>
        </w:rPr>
        <w:br w:type="textWrapping"/>
      </w:r>
      <w:r>
        <w:rPr>
          <w:rFonts w:hint="eastAsia"/>
          <w:color w:val="000000" w:themeColor="text1"/>
          <w:sz w:val="24"/>
        </w:rPr>
        <w:t>10、配备宽度≥30mm一体化粉尘槽，防止粉尘垂直落地；粉尘槽与下边框一体化设计，清扫时无粉尘死角；为了防止粉笔等工具掉落，有与粉尘槽一体的粉尘清理工具，不用时，可代替粉尘孔塞，堵住粉尘孔；</w:t>
      </w:r>
      <w:r>
        <w:rPr>
          <w:rFonts w:hint="eastAsia"/>
          <w:color w:val="000000" w:themeColor="text1"/>
          <w:sz w:val="24"/>
        </w:rPr>
        <w:br w:type="textWrapping"/>
      </w:r>
      <w:r>
        <w:rPr>
          <w:rFonts w:hint="eastAsia"/>
          <w:color w:val="000000" w:themeColor="text1"/>
          <w:sz w:val="24"/>
        </w:rPr>
        <w:t>11、边框专利设计，保证智能交互大屏可直接由正面拆除进行维护，节省拆装黑板的时间及费用，延长使用寿命。</w:t>
      </w:r>
    </w:p>
    <w:p>
      <w:pPr>
        <w:spacing w:line="440" w:lineRule="exact"/>
        <w:rPr>
          <w:color w:val="000000" w:themeColor="text1"/>
          <w:sz w:val="24"/>
        </w:rPr>
      </w:pPr>
      <w:r>
        <w:rPr>
          <w:rFonts w:hint="eastAsia"/>
          <w:color w:val="000000" w:themeColor="text1"/>
          <w:sz w:val="24"/>
        </w:rPr>
        <w:t>12、智能交互大屏安装在推拉绿板的侧边或者是中间位置需要与业主商量决定。</w:t>
      </w:r>
    </w:p>
    <w:p>
      <w:pPr>
        <w:rPr>
          <w:color w:val="000000" w:themeColor="text1"/>
          <w:szCs w:val="21"/>
        </w:rPr>
      </w:pPr>
    </w:p>
    <w:p>
      <w:pPr>
        <w:spacing w:line="440" w:lineRule="exact"/>
        <w:rPr>
          <w:color w:val="000000" w:themeColor="text1"/>
          <w:sz w:val="24"/>
        </w:rPr>
      </w:pPr>
      <w:r>
        <w:rPr>
          <w:rFonts w:hint="eastAsia"/>
          <w:b/>
          <w:color w:val="000000" w:themeColor="text1"/>
          <w:sz w:val="28"/>
        </w:rPr>
        <w:t>附件5-蓝牙音箱、无线咪参数</w:t>
      </w:r>
    </w:p>
    <w:p>
      <w:pPr>
        <w:spacing w:line="440" w:lineRule="exact"/>
        <w:rPr>
          <w:color w:val="000000" w:themeColor="text1"/>
          <w:sz w:val="24"/>
        </w:rPr>
      </w:pPr>
      <w:r>
        <w:rPr>
          <w:rFonts w:hint="eastAsia"/>
          <w:b/>
          <w:color w:val="000000" w:themeColor="text1"/>
          <w:sz w:val="28"/>
        </w:rPr>
        <w:t>蓝牙音箱</w:t>
      </w:r>
    </w:p>
    <w:p>
      <w:pPr>
        <w:spacing w:line="440" w:lineRule="exact"/>
        <w:rPr>
          <w:color w:val="000000" w:themeColor="text1"/>
          <w:sz w:val="24"/>
        </w:rPr>
      </w:pPr>
      <w:r>
        <w:rPr>
          <w:rFonts w:hint="eastAsia"/>
          <w:color w:val="000000" w:themeColor="text1"/>
          <w:sz w:val="24"/>
        </w:rPr>
        <w:t>采用功放及有源音箱一体化设计。</w:t>
      </w:r>
      <w:r>
        <w:rPr>
          <w:rFonts w:hint="eastAsia"/>
          <w:color w:val="000000" w:themeColor="text1"/>
          <w:sz w:val="24"/>
        </w:rPr>
        <w:br w:type="textWrapping"/>
      </w:r>
      <w:r>
        <w:rPr>
          <w:rFonts w:hint="eastAsia"/>
          <w:color w:val="000000" w:themeColor="text1"/>
          <w:sz w:val="24"/>
        </w:rPr>
        <w:t>2. 双音箱配对，采用木质材质，保证声音还原度。</w:t>
      </w:r>
      <w:r>
        <w:rPr>
          <w:rFonts w:hint="eastAsia"/>
          <w:color w:val="000000" w:themeColor="text1"/>
          <w:sz w:val="24"/>
        </w:rPr>
        <w:br w:type="textWrapping"/>
      </w:r>
      <w:r>
        <w:rPr>
          <w:rFonts w:hint="eastAsia"/>
          <w:color w:val="000000" w:themeColor="text1"/>
          <w:sz w:val="24"/>
        </w:rPr>
        <w:t>3. 输出额定功率： 2*20W。</w:t>
      </w:r>
      <w:r>
        <w:rPr>
          <w:rFonts w:hint="eastAsia"/>
          <w:color w:val="000000" w:themeColor="text1"/>
          <w:sz w:val="24"/>
        </w:rPr>
        <w:br w:type="textWrapping"/>
      </w:r>
      <w:r>
        <w:rPr>
          <w:rFonts w:hint="eastAsia"/>
          <w:color w:val="000000" w:themeColor="text1"/>
          <w:sz w:val="24"/>
        </w:rPr>
        <w:t>4. 端口：电源*1、Line in*1、Line out*1、U盘接口*1。</w:t>
      </w:r>
      <w:r>
        <w:rPr>
          <w:rFonts w:hint="eastAsia"/>
          <w:color w:val="000000" w:themeColor="text1"/>
          <w:sz w:val="24"/>
        </w:rPr>
        <w:br w:type="textWrapping"/>
      </w:r>
      <w:r>
        <w:rPr>
          <w:rFonts w:hint="eastAsia"/>
          <w:color w:val="000000" w:themeColor="text1"/>
          <w:sz w:val="24"/>
        </w:rPr>
        <w:t>★5. 支持专业无线麦克风接收技术数字U段无线麦克风扩音接收，有效避开wifi干扰。（提供国家级检测机构所出具的权威检测报告）</w:t>
      </w:r>
      <w:r>
        <w:rPr>
          <w:rFonts w:hint="eastAsia"/>
          <w:color w:val="000000" w:themeColor="text1"/>
          <w:sz w:val="24"/>
        </w:rPr>
        <w:br w:type="textWrapping"/>
      </w:r>
      <w:r>
        <w:rPr>
          <w:rFonts w:hint="eastAsia"/>
          <w:color w:val="000000" w:themeColor="text1"/>
          <w:sz w:val="24"/>
        </w:rPr>
        <w:t>6. 配置独立音频数字信号处理芯片，支持啸叫抑制功能。</w:t>
      </w:r>
      <w:r>
        <w:rPr>
          <w:rFonts w:hint="eastAsia"/>
          <w:color w:val="000000" w:themeColor="text1"/>
          <w:sz w:val="24"/>
        </w:rPr>
        <w:br w:type="textWrapping"/>
      </w:r>
      <w:r>
        <w:rPr>
          <w:rFonts w:hint="eastAsia"/>
          <w:color w:val="000000" w:themeColor="text1"/>
          <w:sz w:val="24"/>
        </w:rPr>
        <w:t>7. 支持蓝牙无线接收，方便老师分享移动设备上的音频。</w:t>
      </w:r>
      <w:r>
        <w:rPr>
          <w:rFonts w:hint="eastAsia"/>
          <w:color w:val="000000" w:themeColor="text1"/>
          <w:sz w:val="24"/>
        </w:rPr>
        <w:br w:type="textWrapping"/>
      </w:r>
      <w:r>
        <w:rPr>
          <w:rFonts w:hint="eastAsia"/>
          <w:color w:val="000000" w:themeColor="text1"/>
          <w:sz w:val="24"/>
        </w:rPr>
        <w:t>8. 蓝牙支持密码模式，防止学生连接。</w:t>
      </w:r>
      <w:r>
        <w:rPr>
          <w:rFonts w:hint="eastAsia"/>
          <w:color w:val="000000" w:themeColor="text1"/>
          <w:sz w:val="24"/>
        </w:rPr>
        <w:br w:type="textWrapping"/>
      </w:r>
      <w:r>
        <w:rPr>
          <w:rFonts w:hint="eastAsia"/>
          <w:color w:val="000000" w:themeColor="text1"/>
          <w:sz w:val="24"/>
        </w:rPr>
        <w:t>9. 支持安卓手机通过蓝牙无线连接音箱，实现控制有源音箱的音量、设置蓝牙名称、设置蓝牙密码等功能，方便教师对音箱的管控。</w:t>
      </w:r>
      <w:r>
        <w:rPr>
          <w:rFonts w:hint="eastAsia"/>
          <w:color w:val="000000" w:themeColor="text1"/>
          <w:sz w:val="24"/>
        </w:rPr>
        <w:br w:type="textWrapping"/>
      </w:r>
      <w:r>
        <w:rPr>
          <w:rFonts w:hint="eastAsia"/>
          <w:color w:val="000000" w:themeColor="text1"/>
          <w:sz w:val="24"/>
        </w:rPr>
        <w:t>★10. 支持扩音和输入音源叠加输出，方便与录播系统结合，或者通过串联功放支持更大环境扩音。（提供国家级检测机构所出具的权威检测报告）</w:t>
      </w:r>
    </w:p>
    <w:p>
      <w:pPr>
        <w:spacing w:line="440" w:lineRule="exact"/>
        <w:rPr>
          <w:color w:val="000000" w:themeColor="text1"/>
          <w:sz w:val="24"/>
        </w:rPr>
      </w:pPr>
      <w:r>
        <w:rPr>
          <w:rFonts w:hint="eastAsia"/>
          <w:color w:val="000000" w:themeColor="text1"/>
          <w:sz w:val="24"/>
        </w:rPr>
        <w:drawing>
          <wp:anchor distT="0" distB="0" distL="114300" distR="114300" simplePos="0" relativeHeight="251659264" behindDoc="1" locked="0" layoutInCell="1" allowOverlap="1">
            <wp:simplePos x="0" y="0"/>
            <wp:positionH relativeFrom="column">
              <wp:posOffset>2914650</wp:posOffset>
            </wp:positionH>
            <wp:positionV relativeFrom="paragraph">
              <wp:posOffset>106680</wp:posOffset>
            </wp:positionV>
            <wp:extent cx="929640" cy="742950"/>
            <wp:effectExtent l="19050" t="0" r="3810" b="0"/>
            <wp:wrapNone/>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noChangeArrowheads="1"/>
                    </pic:cNvPicPr>
                  </pic:nvPicPr>
                  <pic:blipFill>
                    <a:blip r:embed="rId136" cstate="print"/>
                    <a:srcRect/>
                    <a:stretch>
                      <a:fillRect/>
                    </a:stretch>
                  </pic:blipFill>
                  <pic:spPr>
                    <a:xfrm>
                      <a:off x="0" y="0"/>
                      <a:ext cx="929640" cy="742950"/>
                    </a:xfrm>
                    <a:prstGeom prst="rect">
                      <a:avLst/>
                    </a:prstGeom>
                    <a:noFill/>
                    <a:ln w="9525" cmpd="sng">
                      <a:noFill/>
                      <a:miter lim="800000"/>
                      <a:headEnd/>
                      <a:tailEnd/>
                    </a:ln>
                  </pic:spPr>
                </pic:pic>
              </a:graphicData>
            </a:graphic>
          </wp:anchor>
        </w:drawing>
      </w:r>
      <w:r>
        <w:rPr>
          <w:rFonts w:hint="eastAsia"/>
          <w:color w:val="000000" w:themeColor="text1"/>
          <w:sz w:val="24"/>
        </w:rPr>
        <w:t>★11、与86寸智能交互平板同一品牌.</w:t>
      </w:r>
    </w:p>
    <w:p>
      <w:pPr>
        <w:spacing w:line="440" w:lineRule="exact"/>
        <w:rPr>
          <w:color w:val="000000" w:themeColor="text1"/>
          <w:sz w:val="24"/>
        </w:rPr>
      </w:pPr>
    </w:p>
    <w:p>
      <w:pPr>
        <w:spacing w:line="440" w:lineRule="exact"/>
        <w:rPr>
          <w:color w:val="000000" w:themeColor="text1"/>
          <w:sz w:val="24"/>
        </w:rPr>
      </w:pPr>
    </w:p>
    <w:p>
      <w:pPr>
        <w:spacing w:line="440" w:lineRule="exact"/>
        <w:rPr>
          <w:b/>
          <w:bCs/>
          <w:color w:val="000000" w:themeColor="text1"/>
          <w:sz w:val="32"/>
          <w:szCs w:val="28"/>
        </w:rPr>
      </w:pPr>
      <w:r>
        <w:rPr>
          <w:rFonts w:hint="eastAsia"/>
          <w:b/>
          <w:bCs/>
          <w:color w:val="000000" w:themeColor="text1"/>
          <w:sz w:val="32"/>
          <w:szCs w:val="28"/>
        </w:rPr>
        <w:t>无线咪</w:t>
      </w:r>
    </w:p>
    <w:p>
      <w:pPr>
        <w:spacing w:line="440" w:lineRule="exact"/>
        <w:rPr>
          <w:color w:val="000000" w:themeColor="text1"/>
          <w:sz w:val="24"/>
        </w:rPr>
      </w:pPr>
      <w:r>
        <w:rPr>
          <w:rFonts w:hint="eastAsia"/>
          <w:color w:val="000000" w:themeColor="text1"/>
          <w:sz w:val="24"/>
        </w:rPr>
        <w:t>无线麦克风集音频发射处理器、天线、电池、拾音麦克风于一体，配合一体化有源音箱，无需任何外接辅助设备即可实现本地扩声功能。（提供国家级检测机构所出具的权威检测报告）</w:t>
      </w:r>
      <w:r>
        <w:rPr>
          <w:rFonts w:hint="eastAsia"/>
          <w:color w:val="000000" w:themeColor="text1"/>
          <w:sz w:val="24"/>
        </w:rPr>
        <w:br w:type="textWrapping"/>
      </w:r>
      <w:r>
        <w:rPr>
          <w:rFonts w:hint="eastAsia"/>
          <w:color w:val="000000" w:themeColor="text1"/>
          <w:sz w:val="24"/>
        </w:rPr>
        <w:t>2. 采用U段传输，有效避免环境中2.4G信号干扰，例如蓝牙及WIFI设备。</w:t>
      </w:r>
      <w:r>
        <w:rPr>
          <w:rFonts w:hint="eastAsia"/>
          <w:color w:val="000000" w:themeColor="text1"/>
          <w:sz w:val="24"/>
        </w:rPr>
        <w:br w:type="textWrapping"/>
      </w:r>
      <w:r>
        <w:rPr>
          <w:rFonts w:hint="eastAsia"/>
          <w:color w:val="000000" w:themeColor="text1"/>
          <w:sz w:val="24"/>
        </w:rPr>
        <w:t>3. 采用红外对码方式连接，避免连接到其他教室音箱。可在2s内快速完成与教学扩声音箱对码，无需繁琐操作。</w:t>
      </w:r>
      <w:r>
        <w:rPr>
          <w:rFonts w:hint="eastAsia"/>
          <w:color w:val="000000" w:themeColor="text1"/>
          <w:sz w:val="24"/>
        </w:rPr>
        <w:br w:type="textWrapping"/>
      </w:r>
      <w:r>
        <w:rPr>
          <w:rFonts w:hint="eastAsia"/>
          <w:color w:val="000000" w:themeColor="text1"/>
          <w:sz w:val="24"/>
        </w:rPr>
        <w:t>4. 配合USB麦克风接收器连接一体机，具备翻页键功能，可远程操控一体机设备进行课件软件翻页功能。</w:t>
      </w:r>
      <w:r>
        <w:rPr>
          <w:rFonts w:hint="eastAsia"/>
          <w:color w:val="000000" w:themeColor="text1"/>
          <w:sz w:val="24"/>
        </w:rPr>
        <w:br w:type="textWrapping"/>
      </w:r>
      <w:r>
        <w:rPr>
          <w:rFonts w:hint="eastAsia"/>
          <w:color w:val="000000" w:themeColor="text1"/>
          <w:sz w:val="24"/>
        </w:rPr>
        <w:t>5. 配合USB接收器连接一体机，可通过一体机对老师的声音进行录制。</w:t>
      </w:r>
      <w:r>
        <w:rPr>
          <w:rFonts w:hint="eastAsia"/>
          <w:color w:val="000000" w:themeColor="text1"/>
          <w:sz w:val="24"/>
        </w:rPr>
        <w:br w:type="textWrapping"/>
      </w:r>
      <w:r>
        <w:rPr>
          <w:rFonts w:hint="eastAsia"/>
          <w:color w:val="000000" w:themeColor="text1"/>
          <w:sz w:val="24"/>
        </w:rPr>
        <w:t>6. ★采用触点磁吸式充电方式，充电10分钟，可扩音80分钟。（提供国家级检测机构所出具的权威检测报告）</w:t>
      </w:r>
      <w:r>
        <w:rPr>
          <w:rFonts w:hint="eastAsia"/>
          <w:color w:val="000000" w:themeColor="text1"/>
          <w:sz w:val="24"/>
        </w:rPr>
        <w:br w:type="textWrapping"/>
      </w:r>
      <w:r>
        <w:rPr>
          <w:rFonts w:hint="eastAsia"/>
          <w:color w:val="000000" w:themeColor="text1"/>
          <w:sz w:val="24"/>
        </w:rPr>
        <w:t>7. ★具备磁吸式触点接口，与充电接口复用（提供国家级检测机构所出具的权威检测报告）。</w:t>
      </w:r>
      <w:r>
        <w:rPr>
          <w:rFonts w:hint="eastAsia"/>
          <w:color w:val="000000" w:themeColor="text1"/>
          <w:sz w:val="24"/>
        </w:rPr>
        <w:br w:type="textWrapping"/>
      </w:r>
      <w:r>
        <w:rPr>
          <w:rFonts w:hint="eastAsia"/>
          <w:color w:val="000000" w:themeColor="text1"/>
          <w:sz w:val="24"/>
        </w:rPr>
        <w:t>8. 无遮挡情况下，有效工作距离≥10米，保证全教室覆盖。</w:t>
      </w:r>
      <w:r>
        <w:rPr>
          <w:rFonts w:hint="eastAsia"/>
          <w:color w:val="000000" w:themeColor="text1"/>
          <w:sz w:val="24"/>
        </w:rPr>
        <w:br w:type="textWrapping"/>
      </w:r>
      <w:r>
        <w:rPr>
          <w:rFonts w:hint="eastAsia"/>
          <w:color w:val="000000" w:themeColor="text1"/>
          <w:sz w:val="24"/>
        </w:rPr>
        <w:t>9. 为保证兼容性及稳定性，无线麦克风需与一体化有源音箱为同一品牌厂家（提供证明材料）。</w:t>
      </w:r>
    </w:p>
    <w:p>
      <w:pPr>
        <w:spacing w:line="440" w:lineRule="exact"/>
        <w:rPr>
          <w:color w:val="000000" w:themeColor="text1"/>
          <w:sz w:val="24"/>
        </w:rPr>
      </w:pPr>
      <w:r>
        <w:rPr>
          <w:rFonts w:hint="eastAsia"/>
          <w:color w:val="000000" w:themeColor="text1"/>
          <w:sz w:val="24"/>
        </w:rPr>
        <w:t>★10、与86寸智能交互平板同一品牌.</w:t>
      </w:r>
    </w:p>
    <w:p>
      <w:pPr>
        <w:spacing w:line="440" w:lineRule="exact"/>
        <w:ind w:firstLine="465"/>
        <w:rPr>
          <w:color w:val="000000" w:themeColor="text1"/>
          <w:sz w:val="24"/>
        </w:rPr>
      </w:pPr>
      <w:r>
        <w:rPr>
          <w:color w:val="000000" w:themeColor="text1"/>
          <w:sz w:val="24"/>
        </w:rPr>
        <w:drawing>
          <wp:anchor distT="0" distB="0" distL="114300" distR="114300" simplePos="0" relativeHeight="251660288" behindDoc="1" locked="0" layoutInCell="1" allowOverlap="1">
            <wp:simplePos x="0" y="0"/>
            <wp:positionH relativeFrom="column">
              <wp:posOffset>524510</wp:posOffset>
            </wp:positionH>
            <wp:positionV relativeFrom="paragraph">
              <wp:posOffset>76835</wp:posOffset>
            </wp:positionV>
            <wp:extent cx="2915285" cy="1463040"/>
            <wp:effectExtent l="19050" t="0" r="0" b="0"/>
            <wp:wrapNone/>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noChangeArrowheads="1"/>
                    </pic:cNvPicPr>
                  </pic:nvPicPr>
                  <pic:blipFill>
                    <a:blip r:embed="rId137"/>
                    <a:srcRect/>
                    <a:stretch>
                      <a:fillRect/>
                    </a:stretch>
                  </pic:blipFill>
                  <pic:spPr>
                    <a:xfrm>
                      <a:off x="0" y="0"/>
                      <a:ext cx="2914981" cy="1463040"/>
                    </a:xfrm>
                    <a:prstGeom prst="rect">
                      <a:avLst/>
                    </a:prstGeom>
                    <a:noFill/>
                    <a:ln w="9525" cmpd="sng">
                      <a:noFill/>
                      <a:miter lim="800000"/>
                      <a:headEnd/>
                      <a:tailEnd/>
                    </a:ln>
                  </pic:spPr>
                </pic:pic>
              </a:graphicData>
            </a:graphic>
          </wp:anchor>
        </w:drawing>
      </w:r>
    </w:p>
    <w:p>
      <w:pPr>
        <w:spacing w:line="440" w:lineRule="exact"/>
        <w:ind w:firstLine="465"/>
        <w:rPr>
          <w:color w:val="000000" w:themeColor="text1"/>
          <w:sz w:val="24"/>
        </w:rPr>
      </w:pPr>
    </w:p>
    <w:p>
      <w:pPr>
        <w:spacing w:line="440" w:lineRule="exact"/>
        <w:ind w:firstLine="465"/>
        <w:rPr>
          <w:color w:val="000000" w:themeColor="text1"/>
          <w:sz w:val="24"/>
        </w:rPr>
      </w:pPr>
    </w:p>
    <w:p>
      <w:pPr>
        <w:spacing w:line="440" w:lineRule="exact"/>
        <w:ind w:firstLine="465"/>
        <w:rPr>
          <w:color w:val="000000" w:themeColor="text1"/>
          <w:sz w:val="24"/>
        </w:rPr>
      </w:pPr>
    </w:p>
    <w:p>
      <w:pPr>
        <w:spacing w:line="440" w:lineRule="exact"/>
        <w:rPr>
          <w:color w:val="000000" w:themeColor="text1"/>
          <w:sz w:val="24"/>
        </w:rPr>
      </w:pPr>
      <w:r>
        <w:rPr>
          <w:rFonts w:hint="eastAsia"/>
          <w:color w:val="000000" w:themeColor="text1"/>
          <w:sz w:val="24"/>
        </w:rPr>
        <w:t>    </w:t>
      </w:r>
    </w:p>
    <w:p>
      <w:pPr>
        <w:spacing w:line="440" w:lineRule="exact"/>
        <w:rPr>
          <w:color w:val="000000" w:themeColor="text1"/>
          <w:sz w:val="24"/>
        </w:rPr>
      </w:pPr>
    </w:p>
    <w:p>
      <w:pPr>
        <w:spacing w:line="440" w:lineRule="exact"/>
        <w:rPr>
          <w:color w:val="000000" w:themeColor="text1"/>
          <w:sz w:val="24"/>
        </w:rPr>
      </w:pPr>
      <w:r>
        <w:rPr>
          <w:rFonts w:hint="eastAsia"/>
          <w:color w:val="000000" w:themeColor="text1"/>
          <w:sz w:val="24"/>
        </w:rPr>
        <w:t>注：★本次配置蓝牙音箱一对+无线咪各一套；与86寸智能交互平板为同一品牌；</w:t>
      </w:r>
    </w:p>
    <w:p>
      <w:pPr>
        <w:spacing w:line="440" w:lineRule="exact"/>
        <w:rPr>
          <w:color w:val="000000" w:themeColor="text1"/>
          <w:sz w:val="24"/>
        </w:rPr>
      </w:pPr>
      <w:r>
        <w:rPr>
          <w:rFonts w:hint="eastAsia"/>
          <w:color w:val="000000" w:themeColor="text1"/>
          <w:sz w:val="24"/>
        </w:rPr>
        <w:t>签合同前提供厂家或者总代的授权书与质保函，同时分别加盖有效鲜章。</w:t>
      </w:r>
    </w:p>
    <w:p>
      <w:pPr>
        <w:rPr>
          <w:color w:val="000000" w:themeColor="text1"/>
          <w:sz w:val="24"/>
        </w:rPr>
      </w:pPr>
    </w:p>
    <w:p>
      <w:pPr>
        <w:rPr>
          <w:b/>
          <w:color w:val="000000" w:themeColor="text1"/>
          <w:sz w:val="28"/>
          <w:szCs w:val="15"/>
        </w:rPr>
      </w:pPr>
      <w:r>
        <w:rPr>
          <w:rFonts w:hint="eastAsia"/>
          <w:b/>
          <w:color w:val="000000" w:themeColor="text1"/>
          <w:sz w:val="28"/>
          <w:szCs w:val="15"/>
        </w:rPr>
        <w:t>附件6-高密无线AP参数</w:t>
      </w:r>
    </w:p>
    <w:p>
      <w:pPr>
        <w:spacing w:line="440" w:lineRule="exact"/>
        <w:rPr>
          <w:color w:val="000000" w:themeColor="text1"/>
          <w:sz w:val="24"/>
        </w:rPr>
      </w:pPr>
      <w:r>
        <w:rPr>
          <w:rFonts w:hint="eastAsia"/>
          <w:color w:val="000000" w:themeColor="text1"/>
          <w:sz w:val="24"/>
        </w:rPr>
        <w:t>规格及参数</w:t>
      </w:r>
    </w:p>
    <w:p>
      <w:pPr>
        <w:spacing w:line="440" w:lineRule="exact"/>
        <w:rPr>
          <w:color w:val="000000" w:themeColor="text1"/>
          <w:sz w:val="24"/>
        </w:rPr>
      </w:pPr>
      <w:r>
        <w:rPr>
          <w:rFonts w:hint="eastAsia"/>
          <w:color w:val="000000" w:themeColor="text1"/>
          <w:sz w:val="24"/>
        </w:rPr>
        <w:t>★</w:t>
      </w:r>
      <w:r>
        <w:rPr>
          <w:color w:val="000000" w:themeColor="text1"/>
          <w:sz w:val="24"/>
        </w:rPr>
        <w:t>采用新一代802.11ax协议，双频6流设计，所有射频均支持MU-MIMO，整机接入速率最高可达3Gbps。其中5GHz射频采用4条空间流设计，支持2.4Gbps接入速率；2.4GHz射频采用2条空间流设计，支持0.575Gbps接入速率，非常适合室内放装场景使用。</w:t>
      </w:r>
    </w:p>
    <w:p>
      <w:pPr>
        <w:spacing w:line="440" w:lineRule="exact"/>
        <w:rPr>
          <w:color w:val="000000" w:themeColor="text1"/>
          <w:sz w:val="24"/>
        </w:rPr>
      </w:pPr>
      <w:r>
        <w:rPr>
          <w:rFonts w:hint="eastAsia"/>
          <w:color w:val="000000" w:themeColor="text1"/>
          <w:sz w:val="24"/>
        </w:rPr>
        <w:t>硬件规格</w:t>
      </w:r>
    </w:p>
    <w:p>
      <w:pPr>
        <w:spacing w:line="440" w:lineRule="exact"/>
        <w:rPr>
          <w:color w:val="000000" w:themeColor="text1"/>
          <w:sz w:val="24"/>
        </w:rPr>
      </w:pPr>
      <w:r>
        <w:rPr>
          <w:rFonts w:hint="eastAsia"/>
          <w:color w:val="000000" w:themeColor="text1"/>
          <w:sz w:val="24"/>
        </w:rPr>
        <w:t>以太网接口：2个（1个100/1000M/2.5G/5G电口；一个10/100/1000M电口支持PoE out对外供电，可用于扩展物联网）</w:t>
      </w:r>
    </w:p>
    <w:p>
      <w:pPr>
        <w:spacing w:line="440" w:lineRule="exact"/>
        <w:rPr>
          <w:color w:val="000000" w:themeColor="text1"/>
          <w:sz w:val="24"/>
        </w:rPr>
      </w:pPr>
      <w:r>
        <w:rPr>
          <w:rFonts w:hint="eastAsia"/>
          <w:color w:val="000000" w:themeColor="text1"/>
          <w:sz w:val="24"/>
        </w:rPr>
        <w:t>PoE(接口可支持协议)：支持802.3at/af供电</w:t>
      </w:r>
    </w:p>
    <w:p>
      <w:pPr>
        <w:spacing w:line="440" w:lineRule="exact"/>
        <w:rPr>
          <w:color w:val="000000" w:themeColor="text1"/>
          <w:sz w:val="24"/>
        </w:rPr>
      </w:pPr>
      <w:r>
        <w:rPr>
          <w:rFonts w:hint="eastAsia"/>
          <w:color w:val="000000" w:themeColor="text1"/>
          <w:sz w:val="24"/>
        </w:rPr>
        <w:t>本地供电：支持54V DC</w:t>
      </w:r>
    </w:p>
    <w:p>
      <w:pPr>
        <w:spacing w:line="440" w:lineRule="exact"/>
        <w:rPr>
          <w:color w:val="000000" w:themeColor="text1"/>
          <w:sz w:val="24"/>
        </w:rPr>
      </w:pPr>
      <w:r>
        <w:rPr>
          <w:rFonts w:hint="eastAsia"/>
          <w:color w:val="000000" w:themeColor="text1"/>
          <w:sz w:val="24"/>
        </w:rPr>
        <w:t>Console口：1个</w:t>
      </w:r>
    </w:p>
    <w:p>
      <w:pPr>
        <w:spacing w:line="440" w:lineRule="exact"/>
        <w:rPr>
          <w:color w:val="000000" w:themeColor="text1"/>
          <w:sz w:val="24"/>
        </w:rPr>
      </w:pPr>
      <w:r>
        <w:rPr>
          <w:rFonts w:hint="eastAsia"/>
          <w:color w:val="000000" w:themeColor="text1"/>
          <w:sz w:val="24"/>
        </w:rPr>
        <w:t>内置天线：内置智能天线系统</w:t>
      </w:r>
    </w:p>
    <w:p>
      <w:pPr>
        <w:spacing w:line="440" w:lineRule="exact"/>
        <w:rPr>
          <w:color w:val="000000" w:themeColor="text1"/>
          <w:sz w:val="24"/>
        </w:rPr>
      </w:pPr>
      <w:r>
        <w:rPr>
          <w:rFonts w:hint="eastAsia"/>
          <w:color w:val="000000" w:themeColor="text1"/>
          <w:sz w:val="24"/>
        </w:rPr>
        <w:t>Radio 1 ： 5G 全向天线，峰值增益3dBi</w:t>
      </w:r>
    </w:p>
    <w:p>
      <w:pPr>
        <w:spacing w:line="440" w:lineRule="exact"/>
        <w:rPr>
          <w:color w:val="000000" w:themeColor="text1"/>
          <w:sz w:val="24"/>
        </w:rPr>
      </w:pPr>
      <w:r>
        <w:rPr>
          <w:rFonts w:hint="eastAsia"/>
          <w:color w:val="000000" w:themeColor="text1"/>
          <w:sz w:val="24"/>
        </w:rPr>
        <w:t>Radio 2 ： 2.4G 全向天线，峰值增益3dBi</w:t>
      </w:r>
    </w:p>
    <w:p>
      <w:pPr>
        <w:spacing w:line="440" w:lineRule="exact"/>
        <w:rPr>
          <w:color w:val="000000" w:themeColor="text1"/>
          <w:sz w:val="24"/>
        </w:rPr>
      </w:pPr>
      <w:r>
        <w:rPr>
          <w:rFonts w:hint="eastAsia"/>
          <w:color w:val="000000" w:themeColor="text1"/>
          <w:sz w:val="24"/>
        </w:rPr>
        <w:t>内置物联网：内置蓝牙5.0/RFID</w:t>
      </w:r>
    </w:p>
    <w:p>
      <w:pPr>
        <w:spacing w:line="440" w:lineRule="exact"/>
        <w:rPr>
          <w:color w:val="000000" w:themeColor="text1"/>
          <w:sz w:val="24"/>
        </w:rPr>
      </w:pPr>
      <w:r>
        <w:rPr>
          <w:rFonts w:hint="eastAsia"/>
          <w:color w:val="000000" w:themeColor="text1"/>
          <w:sz w:val="24"/>
        </w:rPr>
        <w:t>物联网扩展：支持链式物联网扩展能力，最大支持10个BLE、RFID、ZigBee等全制式物联网扩展</w:t>
      </w:r>
    </w:p>
    <w:p>
      <w:pPr>
        <w:spacing w:line="440" w:lineRule="exact"/>
        <w:rPr>
          <w:color w:val="000000" w:themeColor="text1"/>
          <w:sz w:val="24"/>
        </w:rPr>
      </w:pPr>
      <w:r>
        <w:rPr>
          <w:rFonts w:hint="eastAsia"/>
          <w:color w:val="000000" w:themeColor="text1"/>
          <w:sz w:val="24"/>
        </w:rPr>
        <w:t>工作频段：802.11ax/ac/n/a ： 5.725GHz-5.850GHz (中国) ； 5.47GHz～5.725GHz； 5.15GHz ~5.35GHz (中国)；802.11ax/b/g/n ： 2.4GHz-2.483GHz (中国)</w:t>
      </w:r>
    </w:p>
    <w:p>
      <w:pPr>
        <w:spacing w:line="440" w:lineRule="exact"/>
        <w:rPr>
          <w:color w:val="000000" w:themeColor="text1"/>
          <w:sz w:val="24"/>
        </w:rPr>
      </w:pPr>
      <w:r>
        <w:rPr>
          <w:rFonts w:hint="eastAsia"/>
          <w:color w:val="000000" w:themeColor="text1"/>
          <w:sz w:val="24"/>
        </w:rPr>
        <w:t>调制技术：OFDM ： BPSK@6/9Mbps、QPSK@12/18Mbps、16-QAM@24Mbps、64-QAM@48/54Mbps</w:t>
      </w:r>
    </w:p>
    <w:p>
      <w:pPr>
        <w:spacing w:line="440" w:lineRule="exact"/>
        <w:rPr>
          <w:color w:val="000000" w:themeColor="text1"/>
          <w:sz w:val="24"/>
        </w:rPr>
      </w:pPr>
      <w:r>
        <w:rPr>
          <w:rFonts w:hint="eastAsia"/>
          <w:color w:val="000000" w:themeColor="text1"/>
          <w:sz w:val="24"/>
        </w:rPr>
        <w:t>DSSS ： DBPSK@1Mbps、DQPSK@2Mbps、CCK@5.5/11Mbps,MIMO-OFDM （11n）： MCS 0-15,MIMO-OFDM （11ac）： MCS 0-9,MIMO-OFDM （11ax）： MCS 0-11</w:t>
      </w:r>
    </w:p>
    <w:p>
      <w:pPr>
        <w:spacing w:line="440" w:lineRule="exact"/>
        <w:rPr>
          <w:color w:val="000000" w:themeColor="text1"/>
          <w:sz w:val="24"/>
        </w:rPr>
      </w:pPr>
      <w:r>
        <w:rPr>
          <w:rFonts w:hint="eastAsia"/>
          <w:color w:val="000000" w:themeColor="text1"/>
          <w:sz w:val="24"/>
        </w:rPr>
        <w:t>调制方式：11b：DSS：CCK@5.5/11Mbps,DQPSK@2Mbps,DBPSK@1Mbps,11a/g：OFDM：64QAM@48/54Mbps,16QAM@24Mbps,QPSK@12/18Mbps,BPSK@6/9Mbps,11n：MIMO-OFDM：BPSK,QPSK,16QAM,64QAM,11ac/ac wave2：MIMO-OFDM：BPSK,QPSK,16QAM,64QAM,256QAM,11ax： MIMO-OFDM： BPSK,QPSK,16QAM,64QAM,256QAM,1</w:t>
      </w:r>
      <w:r>
        <w:rPr>
          <w:color w:val="000000" w:themeColor="text1"/>
          <w:sz w:val="24"/>
        </w:rPr>
        <w:t>024QAM</w:t>
      </w:r>
    </w:p>
    <w:p>
      <w:pPr>
        <w:spacing w:line="440" w:lineRule="exact"/>
        <w:rPr>
          <w:color w:val="000000" w:themeColor="text1"/>
          <w:sz w:val="24"/>
        </w:rPr>
      </w:pPr>
      <w:r>
        <w:rPr>
          <w:rFonts w:hint="eastAsia"/>
          <w:color w:val="000000" w:themeColor="text1"/>
          <w:sz w:val="24"/>
        </w:rPr>
        <w:t>发射功率(单路最大)：20dBm</w:t>
      </w:r>
    </w:p>
    <w:p>
      <w:pPr>
        <w:spacing w:line="440" w:lineRule="exact"/>
        <w:rPr>
          <w:color w:val="000000" w:themeColor="text1"/>
          <w:sz w:val="24"/>
        </w:rPr>
      </w:pPr>
      <w:r>
        <w:rPr>
          <w:rFonts w:hint="eastAsia"/>
          <w:color w:val="000000" w:themeColor="text1"/>
          <w:sz w:val="24"/>
        </w:rPr>
        <w:t>可调功率粒度：1dBm</w:t>
      </w:r>
    </w:p>
    <w:p>
      <w:pPr>
        <w:spacing w:line="440" w:lineRule="exact"/>
        <w:rPr>
          <w:color w:val="000000" w:themeColor="text1"/>
          <w:sz w:val="24"/>
        </w:rPr>
      </w:pPr>
      <w:r>
        <w:rPr>
          <w:rFonts w:hint="eastAsia"/>
          <w:color w:val="000000" w:themeColor="text1"/>
          <w:sz w:val="24"/>
        </w:rPr>
        <w:t>复位/恢复出厂配置：支持</w:t>
      </w:r>
    </w:p>
    <w:p>
      <w:pPr>
        <w:spacing w:line="440" w:lineRule="exact"/>
        <w:rPr>
          <w:color w:val="000000" w:themeColor="text1"/>
          <w:sz w:val="24"/>
        </w:rPr>
      </w:pPr>
      <w:r>
        <w:rPr>
          <w:rFonts w:hint="eastAsia"/>
          <w:color w:val="000000" w:themeColor="text1"/>
          <w:sz w:val="24"/>
        </w:rPr>
        <w:t>状态指示灯：Blink交替闪烁模式、橙绿蓝不同工作状态闪烁模式、终端接入呼吸闪烁模式</w:t>
      </w:r>
    </w:p>
    <w:p>
      <w:pPr>
        <w:spacing w:line="440" w:lineRule="exact"/>
        <w:rPr>
          <w:color w:val="000000" w:themeColor="text1"/>
          <w:sz w:val="24"/>
        </w:rPr>
      </w:pPr>
      <w:r>
        <w:rPr>
          <w:rFonts w:hint="eastAsia"/>
          <w:color w:val="000000" w:themeColor="text1"/>
          <w:sz w:val="24"/>
        </w:rPr>
        <w:t>工作温度/存贮温度：-10oC～55oC/-40oC～70oC</w:t>
      </w:r>
    </w:p>
    <w:p>
      <w:pPr>
        <w:spacing w:line="440" w:lineRule="exact"/>
        <w:rPr>
          <w:color w:val="000000" w:themeColor="text1"/>
          <w:sz w:val="24"/>
        </w:rPr>
      </w:pPr>
      <w:r>
        <w:rPr>
          <w:rFonts w:hint="eastAsia"/>
          <w:color w:val="000000" w:themeColor="text1"/>
          <w:sz w:val="24"/>
        </w:rPr>
        <w:t>工作湿度/存贮湿度：5%~95%(非冷凝)</w:t>
      </w:r>
    </w:p>
    <w:p>
      <w:pPr>
        <w:spacing w:line="440" w:lineRule="exact"/>
        <w:rPr>
          <w:color w:val="000000" w:themeColor="text1"/>
          <w:sz w:val="24"/>
        </w:rPr>
      </w:pPr>
      <w:r>
        <w:rPr>
          <w:rFonts w:hint="eastAsia"/>
          <w:color w:val="000000" w:themeColor="text1"/>
          <w:sz w:val="24"/>
        </w:rPr>
        <w:t>防护等级：IP41</w:t>
      </w:r>
    </w:p>
    <w:p>
      <w:pPr>
        <w:spacing w:line="440" w:lineRule="exact"/>
        <w:rPr>
          <w:color w:val="000000" w:themeColor="text1"/>
          <w:sz w:val="24"/>
        </w:rPr>
      </w:pPr>
      <w:r>
        <w:rPr>
          <w:rFonts w:hint="eastAsia"/>
          <w:color w:val="000000" w:themeColor="text1"/>
          <w:sz w:val="24"/>
        </w:rPr>
        <w:t>整机功耗：≤22.5W（不包含PSE/USB)</w:t>
      </w:r>
    </w:p>
    <w:p>
      <w:pPr>
        <w:spacing w:line="440" w:lineRule="exact"/>
        <w:rPr>
          <w:color w:val="000000" w:themeColor="text1"/>
          <w:sz w:val="24"/>
        </w:rPr>
      </w:pPr>
      <w:r>
        <w:rPr>
          <w:rFonts w:hint="eastAsia"/>
          <w:color w:val="000000" w:themeColor="text1"/>
          <w:sz w:val="24"/>
        </w:rPr>
        <w:t>安全规范：GB4943、EN/IEC/UL 60950-1、EN/IEC/UL 62386-1</w:t>
      </w:r>
    </w:p>
    <w:p>
      <w:pPr>
        <w:spacing w:line="440" w:lineRule="exact"/>
        <w:rPr>
          <w:color w:val="000000" w:themeColor="text1"/>
          <w:sz w:val="24"/>
        </w:rPr>
      </w:pPr>
      <w:r>
        <w:rPr>
          <w:rFonts w:hint="eastAsia"/>
          <w:color w:val="000000" w:themeColor="text1"/>
          <w:sz w:val="24"/>
        </w:rPr>
        <w:t>EMC：EN 55024，EN 55032，EN 61000-3-2，EN 61000-3-3，EN301 489-1，EN301 489-17，EN60601-1-2</w:t>
      </w:r>
    </w:p>
    <w:p>
      <w:pPr>
        <w:spacing w:line="440" w:lineRule="exact"/>
        <w:rPr>
          <w:color w:val="000000" w:themeColor="text1"/>
          <w:sz w:val="24"/>
        </w:rPr>
      </w:pPr>
      <w:r>
        <w:rPr>
          <w:rFonts w:hint="eastAsia"/>
          <w:color w:val="000000" w:themeColor="text1"/>
          <w:sz w:val="24"/>
        </w:rPr>
        <w:t>环境：GB/T 2423，GB/T 13543，GB 4208</w:t>
      </w:r>
    </w:p>
    <w:p>
      <w:pPr>
        <w:spacing w:line="440" w:lineRule="exact"/>
        <w:rPr>
          <w:color w:val="000000" w:themeColor="text1"/>
          <w:sz w:val="24"/>
        </w:rPr>
      </w:pPr>
      <w:r>
        <w:rPr>
          <w:rFonts w:hint="eastAsia"/>
          <w:color w:val="000000" w:themeColor="text1"/>
          <w:sz w:val="24"/>
        </w:rPr>
        <w:t>射频认证：FCC Part 15、EN 300 328、EN 301 893、工信部无线电发射设备型号核准</w:t>
      </w:r>
    </w:p>
    <w:p>
      <w:pPr>
        <w:spacing w:line="440" w:lineRule="exact"/>
        <w:rPr>
          <w:color w:val="000000" w:themeColor="text1"/>
          <w:sz w:val="24"/>
        </w:rPr>
      </w:pPr>
      <w:r>
        <w:rPr>
          <w:color w:val="000000" w:themeColor="text1"/>
          <w:sz w:val="24"/>
        </w:rPr>
        <w:t>Health</w:t>
      </w:r>
      <w:r>
        <w:rPr>
          <w:rFonts w:hint="eastAsia"/>
          <w:color w:val="000000" w:themeColor="text1"/>
          <w:sz w:val="24"/>
        </w:rPr>
        <w:t>：</w:t>
      </w:r>
      <w:r>
        <w:rPr>
          <w:color w:val="000000" w:themeColor="text1"/>
          <w:sz w:val="24"/>
        </w:rPr>
        <w:t>EN 50385</w:t>
      </w:r>
    </w:p>
    <w:p>
      <w:pPr>
        <w:spacing w:line="440" w:lineRule="exact"/>
        <w:rPr>
          <w:color w:val="000000" w:themeColor="text1"/>
          <w:sz w:val="24"/>
        </w:rPr>
      </w:pPr>
      <w:r>
        <w:rPr>
          <w:color w:val="000000" w:themeColor="text1"/>
          <w:sz w:val="24"/>
        </w:rPr>
        <w:t>MTBF</w:t>
      </w:r>
      <w:r>
        <w:rPr>
          <w:rFonts w:hint="eastAsia"/>
          <w:color w:val="000000" w:themeColor="text1"/>
          <w:sz w:val="24"/>
        </w:rPr>
        <w:t>：</w:t>
      </w:r>
      <w:r>
        <w:rPr>
          <w:color w:val="000000" w:themeColor="text1"/>
          <w:sz w:val="24"/>
        </w:rPr>
        <w:t>&gt;250000H</w:t>
      </w:r>
    </w:p>
    <w:p>
      <w:pPr>
        <w:spacing w:line="440" w:lineRule="exact"/>
        <w:rPr>
          <w:color w:val="000000" w:themeColor="text1"/>
          <w:sz w:val="24"/>
        </w:rPr>
      </w:pPr>
    </w:p>
    <w:p>
      <w:pPr>
        <w:spacing w:line="440" w:lineRule="exact"/>
        <w:rPr>
          <w:color w:val="000000" w:themeColor="text1"/>
          <w:sz w:val="24"/>
        </w:rPr>
      </w:pPr>
      <w:r>
        <w:rPr>
          <w:rFonts w:hint="eastAsia"/>
          <w:color w:val="000000" w:themeColor="text1"/>
          <w:sz w:val="24"/>
        </w:rPr>
        <w:t>软件规格</w:t>
      </w:r>
    </w:p>
    <w:p>
      <w:pPr>
        <w:spacing w:line="440" w:lineRule="exact"/>
        <w:rPr>
          <w:color w:val="000000" w:themeColor="text1"/>
          <w:sz w:val="24"/>
        </w:rPr>
      </w:pPr>
      <w:r>
        <w:rPr>
          <w:rFonts w:hint="eastAsia"/>
          <w:color w:val="000000" w:themeColor="text1"/>
          <w:sz w:val="24"/>
        </w:rPr>
        <w:t>产品定位：室内放装型双频（5GHz 4*4 MIMO+2.4GHz 2*2 MIMO ）11ax支持</w:t>
      </w:r>
    </w:p>
    <w:p>
      <w:pPr>
        <w:spacing w:line="440" w:lineRule="exact"/>
        <w:rPr>
          <w:color w:val="000000" w:themeColor="text1"/>
          <w:sz w:val="24"/>
        </w:rPr>
      </w:pPr>
      <w:r>
        <w:rPr>
          <w:rFonts w:hint="eastAsia"/>
          <w:color w:val="000000" w:themeColor="text1"/>
          <w:sz w:val="24"/>
        </w:rPr>
        <w:t>工作频段：5GHz+2.4GHz</w:t>
      </w:r>
    </w:p>
    <w:p>
      <w:pPr>
        <w:spacing w:line="440" w:lineRule="exact"/>
        <w:rPr>
          <w:color w:val="000000" w:themeColor="text1"/>
          <w:sz w:val="24"/>
        </w:rPr>
      </w:pPr>
      <w:r>
        <w:rPr>
          <w:rFonts w:hint="eastAsia"/>
          <w:color w:val="000000" w:themeColor="text1"/>
          <w:sz w:val="24"/>
        </w:rPr>
        <w:t>整机802.11ax最高速率：2.4Gbps+0.575Gbps</w:t>
      </w:r>
    </w:p>
    <w:p>
      <w:pPr>
        <w:spacing w:line="440" w:lineRule="exact"/>
        <w:rPr>
          <w:color w:val="000000" w:themeColor="text1"/>
          <w:sz w:val="24"/>
        </w:rPr>
      </w:pPr>
      <w:r>
        <w:rPr>
          <w:rFonts w:hint="eastAsia"/>
          <w:color w:val="000000" w:themeColor="text1"/>
          <w:sz w:val="24"/>
        </w:rPr>
        <w:t>A-MPDU：支持</w:t>
      </w:r>
    </w:p>
    <w:p>
      <w:pPr>
        <w:spacing w:line="440" w:lineRule="exact"/>
        <w:rPr>
          <w:color w:val="000000" w:themeColor="text1"/>
          <w:sz w:val="24"/>
        </w:rPr>
      </w:pPr>
      <w:r>
        <w:rPr>
          <w:rFonts w:hint="eastAsia"/>
          <w:color w:val="000000" w:themeColor="text1"/>
          <w:sz w:val="24"/>
        </w:rPr>
        <w:t>A-MSDU：支持</w:t>
      </w:r>
    </w:p>
    <w:p>
      <w:pPr>
        <w:spacing w:line="440" w:lineRule="exact"/>
        <w:rPr>
          <w:color w:val="000000" w:themeColor="text1"/>
          <w:sz w:val="24"/>
        </w:rPr>
      </w:pPr>
      <w:r>
        <w:rPr>
          <w:rFonts w:hint="eastAsia"/>
          <w:color w:val="000000" w:themeColor="text1"/>
          <w:sz w:val="24"/>
        </w:rPr>
        <w:t>MU-MIMO：支持</w:t>
      </w:r>
    </w:p>
    <w:p>
      <w:pPr>
        <w:spacing w:line="440" w:lineRule="exact"/>
        <w:rPr>
          <w:color w:val="000000" w:themeColor="text1"/>
          <w:sz w:val="24"/>
        </w:rPr>
      </w:pPr>
      <w:r>
        <w:rPr>
          <w:rFonts w:hint="eastAsia"/>
          <w:color w:val="000000" w:themeColor="text1"/>
          <w:sz w:val="24"/>
        </w:rPr>
        <w:t>OFDMA：支持</w:t>
      </w:r>
    </w:p>
    <w:p>
      <w:pPr>
        <w:spacing w:line="440" w:lineRule="exact"/>
        <w:rPr>
          <w:color w:val="000000" w:themeColor="text1"/>
          <w:sz w:val="24"/>
        </w:rPr>
      </w:pPr>
      <w:r>
        <w:rPr>
          <w:rFonts w:hint="eastAsia"/>
          <w:color w:val="000000" w:themeColor="text1"/>
          <w:sz w:val="24"/>
        </w:rPr>
        <w:t>最大相似性解调(MLD)：支持</w:t>
      </w:r>
    </w:p>
    <w:p>
      <w:pPr>
        <w:spacing w:line="440" w:lineRule="exact"/>
        <w:rPr>
          <w:color w:val="000000" w:themeColor="text1"/>
          <w:sz w:val="24"/>
        </w:rPr>
      </w:pPr>
      <w:r>
        <w:rPr>
          <w:rFonts w:hint="eastAsia"/>
          <w:color w:val="000000" w:themeColor="text1"/>
          <w:sz w:val="24"/>
        </w:rPr>
        <w:t>最大合并比接收(MRC)：支持</w:t>
      </w:r>
    </w:p>
    <w:p>
      <w:pPr>
        <w:spacing w:line="440" w:lineRule="exact"/>
        <w:rPr>
          <w:color w:val="000000" w:themeColor="text1"/>
          <w:sz w:val="24"/>
        </w:rPr>
      </w:pPr>
      <w:r>
        <w:rPr>
          <w:rFonts w:hint="eastAsia"/>
          <w:color w:val="000000" w:themeColor="text1"/>
          <w:sz w:val="24"/>
        </w:rPr>
        <w:t>空时分组码(STBC)：支持</w:t>
      </w:r>
    </w:p>
    <w:p>
      <w:pPr>
        <w:spacing w:line="440" w:lineRule="exact"/>
        <w:rPr>
          <w:color w:val="000000" w:themeColor="text1"/>
          <w:sz w:val="24"/>
        </w:rPr>
      </w:pPr>
      <w:r>
        <w:rPr>
          <w:rFonts w:hint="eastAsia"/>
          <w:color w:val="000000" w:themeColor="text1"/>
          <w:sz w:val="24"/>
        </w:rPr>
        <w:t>低密度奇偶校验编码(LDPC)：支持</w:t>
      </w:r>
    </w:p>
    <w:p>
      <w:pPr>
        <w:spacing w:line="440" w:lineRule="exact"/>
        <w:rPr>
          <w:color w:val="000000" w:themeColor="text1"/>
          <w:sz w:val="24"/>
        </w:rPr>
      </w:pPr>
      <w:r>
        <w:rPr>
          <w:rFonts w:hint="eastAsia"/>
          <w:color w:val="000000" w:themeColor="text1"/>
          <w:sz w:val="24"/>
        </w:rPr>
        <w:t>WLAN基础</w:t>
      </w:r>
    </w:p>
    <w:p>
      <w:pPr>
        <w:spacing w:line="440" w:lineRule="exact"/>
        <w:rPr>
          <w:color w:val="000000" w:themeColor="text1"/>
          <w:sz w:val="24"/>
        </w:rPr>
      </w:pPr>
      <w:r>
        <w:rPr>
          <w:rFonts w:hint="eastAsia"/>
          <w:color w:val="000000" w:themeColor="text1"/>
          <w:sz w:val="24"/>
        </w:rPr>
        <w:t>每射频最大接入用户数：512(整机最大接入用户数1024)</w:t>
      </w:r>
    </w:p>
    <w:p>
      <w:pPr>
        <w:spacing w:line="440" w:lineRule="exact"/>
        <w:rPr>
          <w:color w:val="000000" w:themeColor="text1"/>
          <w:sz w:val="24"/>
        </w:rPr>
      </w:pPr>
      <w:r>
        <w:rPr>
          <w:rFonts w:hint="eastAsia"/>
          <w:color w:val="000000" w:themeColor="text1"/>
          <w:sz w:val="24"/>
        </w:rPr>
        <w:t>虚拟AP(实际应用中推荐每射频至多设置5个)：32</w:t>
      </w:r>
    </w:p>
    <w:p>
      <w:pPr>
        <w:spacing w:line="440" w:lineRule="exact"/>
        <w:rPr>
          <w:color w:val="000000" w:themeColor="text1"/>
          <w:sz w:val="24"/>
        </w:rPr>
      </w:pPr>
      <w:r>
        <w:rPr>
          <w:rFonts w:hint="eastAsia"/>
          <w:color w:val="000000" w:themeColor="text1"/>
          <w:sz w:val="24"/>
        </w:rPr>
        <w:t>open system/shared key认证：支持</w:t>
      </w:r>
    </w:p>
    <w:p>
      <w:pPr>
        <w:spacing w:line="440" w:lineRule="exact"/>
        <w:rPr>
          <w:color w:val="000000" w:themeColor="text1"/>
          <w:sz w:val="24"/>
        </w:rPr>
      </w:pPr>
      <w:r>
        <w:rPr>
          <w:rFonts w:hint="eastAsia"/>
          <w:color w:val="000000" w:themeColor="text1"/>
          <w:sz w:val="24"/>
        </w:rPr>
        <w:t>广播Probe请求应答控制：支持</w:t>
      </w:r>
    </w:p>
    <w:p>
      <w:pPr>
        <w:spacing w:line="440" w:lineRule="exact"/>
        <w:rPr>
          <w:color w:val="000000" w:themeColor="text1"/>
          <w:sz w:val="24"/>
        </w:rPr>
      </w:pPr>
      <w:r>
        <w:rPr>
          <w:rFonts w:hint="eastAsia"/>
          <w:color w:val="000000" w:themeColor="text1"/>
          <w:sz w:val="24"/>
        </w:rPr>
        <w:t>WPA、WPA2、Pre-RSNA用户混合接入：支持</w:t>
      </w:r>
    </w:p>
    <w:p>
      <w:pPr>
        <w:spacing w:line="440" w:lineRule="exact"/>
        <w:rPr>
          <w:color w:val="000000" w:themeColor="text1"/>
          <w:sz w:val="24"/>
        </w:rPr>
      </w:pPr>
      <w:r>
        <w:rPr>
          <w:rFonts w:hint="eastAsia"/>
          <w:color w:val="000000" w:themeColor="text1"/>
          <w:sz w:val="24"/>
        </w:rPr>
        <w:t>RTS/CTS：支持</w:t>
      </w:r>
    </w:p>
    <w:p>
      <w:pPr>
        <w:spacing w:line="440" w:lineRule="exact"/>
        <w:rPr>
          <w:color w:val="000000" w:themeColor="text1"/>
          <w:sz w:val="24"/>
        </w:rPr>
      </w:pPr>
      <w:r>
        <w:rPr>
          <w:rFonts w:hint="eastAsia"/>
          <w:color w:val="000000" w:themeColor="text1"/>
          <w:sz w:val="24"/>
        </w:rPr>
        <w:t>CTS-to-self：支持</w:t>
      </w:r>
    </w:p>
    <w:p>
      <w:pPr>
        <w:spacing w:line="440" w:lineRule="exact"/>
        <w:rPr>
          <w:color w:val="000000" w:themeColor="text1"/>
          <w:sz w:val="24"/>
        </w:rPr>
      </w:pPr>
      <w:r>
        <w:rPr>
          <w:rFonts w:hint="eastAsia"/>
          <w:color w:val="000000" w:themeColor="text1"/>
          <w:sz w:val="24"/>
        </w:rPr>
        <w:t>隐藏SSID：支持</w:t>
      </w:r>
    </w:p>
    <w:p>
      <w:pPr>
        <w:spacing w:line="440" w:lineRule="exact"/>
        <w:rPr>
          <w:color w:val="000000" w:themeColor="text1"/>
          <w:sz w:val="24"/>
        </w:rPr>
      </w:pPr>
      <w:r>
        <w:rPr>
          <w:rFonts w:hint="eastAsia"/>
          <w:color w:val="000000" w:themeColor="text1"/>
          <w:sz w:val="24"/>
        </w:rPr>
        <w:t>WLAN扩展</w:t>
      </w:r>
    </w:p>
    <w:p>
      <w:pPr>
        <w:spacing w:line="440" w:lineRule="exact"/>
        <w:rPr>
          <w:color w:val="000000" w:themeColor="text1"/>
          <w:sz w:val="24"/>
        </w:rPr>
      </w:pPr>
      <w:r>
        <w:rPr>
          <w:rFonts w:hint="eastAsia"/>
          <w:color w:val="000000" w:themeColor="text1"/>
          <w:sz w:val="24"/>
        </w:rPr>
        <w:t>STA相关：支持STA异常下线检测、STA老化、基于STA的统计和状态查询等</w:t>
      </w:r>
    </w:p>
    <w:p>
      <w:pPr>
        <w:spacing w:line="440" w:lineRule="exact"/>
        <w:rPr>
          <w:color w:val="000000" w:themeColor="text1"/>
          <w:sz w:val="24"/>
        </w:rPr>
      </w:pPr>
      <w:r>
        <w:rPr>
          <w:rFonts w:hint="eastAsia"/>
          <w:color w:val="000000" w:themeColor="text1"/>
          <w:sz w:val="24"/>
        </w:rPr>
        <w:t>接入用户数限制：支持</w:t>
      </w:r>
    </w:p>
    <w:p>
      <w:pPr>
        <w:spacing w:line="440" w:lineRule="exact"/>
        <w:rPr>
          <w:color w:val="000000" w:themeColor="text1"/>
          <w:sz w:val="24"/>
        </w:rPr>
      </w:pPr>
      <w:r>
        <w:rPr>
          <w:rFonts w:hint="eastAsia"/>
          <w:color w:val="000000" w:themeColor="text1"/>
          <w:sz w:val="24"/>
        </w:rPr>
        <w:t>链路完整性检测：支持</w:t>
      </w:r>
    </w:p>
    <w:p>
      <w:pPr>
        <w:spacing w:line="440" w:lineRule="exact"/>
        <w:rPr>
          <w:color w:val="000000" w:themeColor="text1"/>
          <w:sz w:val="24"/>
        </w:rPr>
      </w:pPr>
      <w:r>
        <w:rPr>
          <w:rFonts w:hint="eastAsia"/>
          <w:color w:val="000000" w:themeColor="text1"/>
          <w:sz w:val="24"/>
        </w:rPr>
        <w:t>Repeater模式：支持</w:t>
      </w:r>
    </w:p>
    <w:p>
      <w:pPr>
        <w:spacing w:line="440" w:lineRule="exact"/>
        <w:rPr>
          <w:color w:val="000000" w:themeColor="text1"/>
          <w:sz w:val="24"/>
        </w:rPr>
      </w:pPr>
      <w:r>
        <w:rPr>
          <w:rFonts w:hint="eastAsia"/>
          <w:color w:val="000000" w:themeColor="text1"/>
          <w:sz w:val="24"/>
        </w:rPr>
        <w:t>安全策略</w:t>
      </w:r>
    </w:p>
    <w:p>
      <w:pPr>
        <w:spacing w:line="440" w:lineRule="exact"/>
        <w:rPr>
          <w:color w:val="000000" w:themeColor="text1"/>
          <w:sz w:val="24"/>
        </w:rPr>
      </w:pPr>
      <w:r>
        <w:rPr>
          <w:rFonts w:hint="eastAsia"/>
          <w:color w:val="000000" w:themeColor="text1"/>
          <w:sz w:val="24"/>
        </w:rPr>
        <w:t>加密：支持64/128位WEP、动态WEP、TKIP、CCMP、WPA3加密,支持多种密钥更新触发条件动态更新单播/广播密钥</w:t>
      </w:r>
    </w:p>
    <w:p>
      <w:pPr>
        <w:spacing w:line="440" w:lineRule="exact"/>
        <w:rPr>
          <w:color w:val="000000" w:themeColor="text1"/>
          <w:sz w:val="24"/>
        </w:rPr>
      </w:pPr>
      <w:r>
        <w:rPr>
          <w:rFonts w:hint="eastAsia"/>
          <w:color w:val="000000" w:themeColor="text1"/>
          <w:sz w:val="24"/>
        </w:rPr>
        <w:t>802.11i：支持</w:t>
      </w:r>
    </w:p>
    <w:p>
      <w:pPr>
        <w:spacing w:line="440" w:lineRule="exact"/>
        <w:rPr>
          <w:color w:val="000000" w:themeColor="text1"/>
          <w:sz w:val="24"/>
        </w:rPr>
      </w:pPr>
      <w:r>
        <w:rPr>
          <w:rFonts w:hint="eastAsia"/>
          <w:color w:val="000000" w:themeColor="text1"/>
          <w:sz w:val="24"/>
        </w:rPr>
        <w:t>认证：支持802.1x认证、MAC地址认证、PSK认证、Portal认证等(根据应用不同可能需要H3C WX系列多业务无线控制器配合)</w:t>
      </w:r>
    </w:p>
    <w:p>
      <w:pPr>
        <w:spacing w:line="440" w:lineRule="exact"/>
        <w:rPr>
          <w:color w:val="000000" w:themeColor="text1"/>
          <w:sz w:val="24"/>
        </w:rPr>
      </w:pPr>
      <w:r>
        <w:rPr>
          <w:rFonts w:hint="eastAsia"/>
          <w:color w:val="000000" w:themeColor="text1"/>
          <w:sz w:val="24"/>
        </w:rPr>
        <w:t>用户隔离：支持：1、无线用户二层隔离,2、基于SSID的无线用户隔离</w:t>
      </w:r>
    </w:p>
    <w:p>
      <w:pPr>
        <w:spacing w:line="440" w:lineRule="exact"/>
        <w:rPr>
          <w:color w:val="000000" w:themeColor="text1"/>
          <w:sz w:val="24"/>
        </w:rPr>
      </w:pPr>
      <w:r>
        <w:rPr>
          <w:rFonts w:hint="eastAsia"/>
          <w:color w:val="000000" w:themeColor="text1"/>
          <w:sz w:val="24"/>
        </w:rPr>
        <w:t>转发安全：支持报文过滤、MAC地址过滤、广播风暴抑制等</w:t>
      </w:r>
    </w:p>
    <w:p>
      <w:pPr>
        <w:spacing w:line="440" w:lineRule="exact"/>
        <w:rPr>
          <w:color w:val="000000" w:themeColor="text1"/>
          <w:sz w:val="24"/>
        </w:rPr>
      </w:pPr>
      <w:r>
        <w:rPr>
          <w:rFonts w:hint="eastAsia"/>
          <w:color w:val="000000" w:themeColor="text1"/>
          <w:sz w:val="24"/>
        </w:rPr>
        <w:t>无线端点准入：支持/无线EAD</w:t>
      </w:r>
    </w:p>
    <w:p>
      <w:pPr>
        <w:spacing w:line="440" w:lineRule="exact"/>
        <w:rPr>
          <w:color w:val="000000" w:themeColor="text1"/>
          <w:sz w:val="24"/>
        </w:rPr>
      </w:pPr>
      <w:r>
        <w:rPr>
          <w:rFonts w:hint="eastAsia"/>
          <w:color w:val="000000" w:themeColor="text1"/>
          <w:sz w:val="24"/>
        </w:rPr>
        <w:t>SSID与VLAN绑定：支持</w:t>
      </w:r>
    </w:p>
    <w:p>
      <w:pPr>
        <w:spacing w:line="440" w:lineRule="exact"/>
        <w:rPr>
          <w:color w:val="000000" w:themeColor="text1"/>
          <w:sz w:val="24"/>
        </w:rPr>
      </w:pPr>
      <w:r>
        <w:rPr>
          <w:rFonts w:hint="eastAsia"/>
          <w:color w:val="000000" w:themeColor="text1"/>
          <w:sz w:val="24"/>
        </w:rPr>
        <w:t>智能无线业务感知(wIAA)：支持</w:t>
      </w:r>
    </w:p>
    <w:p>
      <w:pPr>
        <w:spacing w:line="440" w:lineRule="exact"/>
        <w:rPr>
          <w:color w:val="000000" w:themeColor="text1"/>
          <w:sz w:val="24"/>
        </w:rPr>
      </w:pPr>
      <w:r>
        <w:rPr>
          <w:rFonts w:hint="eastAsia"/>
          <w:color w:val="000000" w:themeColor="text1"/>
          <w:sz w:val="24"/>
        </w:rPr>
        <w:t>wIDS/wIPS：支持</w:t>
      </w:r>
    </w:p>
    <w:p>
      <w:pPr>
        <w:spacing w:line="440" w:lineRule="exact"/>
        <w:rPr>
          <w:color w:val="000000" w:themeColor="text1"/>
          <w:sz w:val="24"/>
        </w:rPr>
      </w:pPr>
      <w:r>
        <w:rPr>
          <w:rFonts w:hint="eastAsia"/>
          <w:color w:val="000000" w:themeColor="text1"/>
          <w:sz w:val="24"/>
        </w:rPr>
        <w:t>管理帧保护(802.11w)：支持</w:t>
      </w:r>
    </w:p>
    <w:p>
      <w:pPr>
        <w:spacing w:line="440" w:lineRule="exact"/>
        <w:rPr>
          <w:color w:val="000000" w:themeColor="text1"/>
          <w:sz w:val="24"/>
        </w:rPr>
      </w:pPr>
      <w:r>
        <w:rPr>
          <w:color w:val="000000" w:themeColor="text1"/>
          <w:sz w:val="24"/>
        </w:rPr>
        <w:t>AAA</w:t>
      </w:r>
    </w:p>
    <w:p>
      <w:pPr>
        <w:spacing w:line="440" w:lineRule="exact"/>
        <w:rPr>
          <w:color w:val="000000" w:themeColor="text1"/>
          <w:sz w:val="24"/>
        </w:rPr>
      </w:pPr>
      <w:r>
        <w:rPr>
          <w:rFonts w:hint="eastAsia"/>
          <w:color w:val="000000" w:themeColor="text1"/>
          <w:sz w:val="24"/>
        </w:rPr>
        <w:t>Radius Client：支持</w:t>
      </w:r>
    </w:p>
    <w:p>
      <w:pPr>
        <w:spacing w:line="440" w:lineRule="exact"/>
        <w:rPr>
          <w:color w:val="000000" w:themeColor="text1"/>
          <w:sz w:val="24"/>
        </w:rPr>
      </w:pPr>
      <w:r>
        <w:rPr>
          <w:rFonts w:hint="eastAsia"/>
          <w:color w:val="000000" w:themeColor="text1"/>
          <w:sz w:val="24"/>
        </w:rPr>
        <w:t>认证服务器多域配置：支持</w:t>
      </w:r>
    </w:p>
    <w:p>
      <w:pPr>
        <w:spacing w:line="440" w:lineRule="exact"/>
        <w:rPr>
          <w:color w:val="000000" w:themeColor="text1"/>
          <w:sz w:val="24"/>
        </w:rPr>
      </w:pPr>
      <w:r>
        <w:rPr>
          <w:rFonts w:hint="eastAsia"/>
          <w:color w:val="000000" w:themeColor="text1"/>
          <w:sz w:val="24"/>
        </w:rPr>
        <w:t>备份认证服务器：支持</w:t>
      </w:r>
    </w:p>
    <w:p>
      <w:pPr>
        <w:spacing w:line="440" w:lineRule="exact"/>
        <w:rPr>
          <w:color w:val="000000" w:themeColor="text1"/>
          <w:sz w:val="24"/>
        </w:rPr>
      </w:pPr>
      <w:r>
        <w:rPr>
          <w:rFonts w:hint="eastAsia"/>
          <w:color w:val="000000" w:themeColor="text1"/>
          <w:sz w:val="24"/>
        </w:rPr>
        <w:t>二三层功能</w:t>
      </w:r>
    </w:p>
    <w:p>
      <w:pPr>
        <w:spacing w:line="440" w:lineRule="exact"/>
        <w:rPr>
          <w:color w:val="000000" w:themeColor="text1"/>
          <w:sz w:val="24"/>
        </w:rPr>
      </w:pPr>
      <w:r>
        <w:rPr>
          <w:rFonts w:hint="eastAsia"/>
          <w:color w:val="000000" w:themeColor="text1"/>
          <w:sz w:val="24"/>
        </w:rPr>
        <w:t>IP地址设置：支持：DHCP获取IP地址(可选option 60)</w:t>
      </w:r>
    </w:p>
    <w:p>
      <w:pPr>
        <w:spacing w:line="440" w:lineRule="exact"/>
        <w:rPr>
          <w:color w:val="000000" w:themeColor="text1"/>
          <w:sz w:val="24"/>
        </w:rPr>
      </w:pPr>
      <w:r>
        <w:rPr>
          <w:rFonts w:hint="eastAsia"/>
          <w:color w:val="000000" w:themeColor="text1"/>
          <w:sz w:val="24"/>
        </w:rPr>
        <w:t>Native IPv6：支持</w:t>
      </w:r>
    </w:p>
    <w:p>
      <w:pPr>
        <w:spacing w:line="440" w:lineRule="exact"/>
        <w:rPr>
          <w:color w:val="000000" w:themeColor="text1"/>
          <w:sz w:val="24"/>
        </w:rPr>
      </w:pPr>
      <w:r>
        <w:rPr>
          <w:rFonts w:hint="eastAsia"/>
          <w:color w:val="000000" w:themeColor="text1"/>
          <w:sz w:val="24"/>
        </w:rPr>
        <w:t>IPv6 Portal：支持</w:t>
      </w:r>
    </w:p>
    <w:p>
      <w:pPr>
        <w:spacing w:line="440" w:lineRule="exact"/>
        <w:rPr>
          <w:color w:val="000000" w:themeColor="text1"/>
          <w:sz w:val="24"/>
        </w:rPr>
      </w:pPr>
      <w:r>
        <w:rPr>
          <w:rFonts w:hint="eastAsia"/>
          <w:color w:val="000000" w:themeColor="text1"/>
          <w:sz w:val="24"/>
        </w:rPr>
        <w:t>IPv6 SAVI：支持</w:t>
      </w:r>
    </w:p>
    <w:p>
      <w:pPr>
        <w:spacing w:line="440" w:lineRule="exact"/>
        <w:rPr>
          <w:color w:val="000000" w:themeColor="text1"/>
          <w:sz w:val="24"/>
        </w:rPr>
      </w:pPr>
      <w:r>
        <w:rPr>
          <w:rFonts w:hint="eastAsia"/>
          <w:color w:val="000000" w:themeColor="text1"/>
          <w:sz w:val="24"/>
        </w:rPr>
        <w:t>ACL：支持(IPv4/IPv6)</w:t>
      </w:r>
    </w:p>
    <w:p>
      <w:pPr>
        <w:spacing w:line="440" w:lineRule="exact"/>
        <w:rPr>
          <w:color w:val="000000" w:themeColor="text1"/>
          <w:sz w:val="24"/>
        </w:rPr>
      </w:pPr>
      <w:r>
        <w:rPr>
          <w:rFonts w:hint="eastAsia"/>
          <w:color w:val="000000" w:themeColor="text1"/>
          <w:sz w:val="24"/>
        </w:rPr>
        <w:t>本地转发：支持：基于SSID+VLAN的本地转发</w:t>
      </w:r>
    </w:p>
    <w:p>
      <w:pPr>
        <w:spacing w:line="440" w:lineRule="exact"/>
        <w:rPr>
          <w:color w:val="000000" w:themeColor="text1"/>
          <w:sz w:val="24"/>
        </w:rPr>
      </w:pPr>
      <w:r>
        <w:rPr>
          <w:rFonts w:hint="eastAsia"/>
          <w:color w:val="000000" w:themeColor="text1"/>
          <w:sz w:val="24"/>
        </w:rPr>
        <w:t>组播：IGMP Snooping/MLD Snooping</w:t>
      </w:r>
    </w:p>
    <w:p>
      <w:pPr>
        <w:spacing w:line="440" w:lineRule="exact"/>
        <w:rPr>
          <w:color w:val="000000" w:themeColor="text1"/>
          <w:sz w:val="24"/>
        </w:rPr>
      </w:pPr>
      <w:r>
        <w:rPr>
          <w:rFonts w:hint="eastAsia"/>
          <w:color w:val="000000" w:themeColor="text1"/>
          <w:sz w:val="24"/>
        </w:rPr>
        <w:t>服务质量</w:t>
      </w:r>
    </w:p>
    <w:p>
      <w:pPr>
        <w:spacing w:line="440" w:lineRule="exact"/>
        <w:rPr>
          <w:color w:val="000000" w:themeColor="text1"/>
          <w:sz w:val="24"/>
        </w:rPr>
      </w:pPr>
      <w:r>
        <w:rPr>
          <w:rFonts w:hint="eastAsia"/>
          <w:color w:val="000000" w:themeColor="text1"/>
          <w:sz w:val="24"/>
        </w:rPr>
        <w:t>802.11e：支持WMM</w:t>
      </w:r>
    </w:p>
    <w:p>
      <w:pPr>
        <w:spacing w:line="440" w:lineRule="exact"/>
        <w:rPr>
          <w:color w:val="000000" w:themeColor="text1"/>
          <w:sz w:val="24"/>
        </w:rPr>
      </w:pPr>
      <w:r>
        <w:rPr>
          <w:rFonts w:hint="eastAsia"/>
          <w:color w:val="000000" w:themeColor="text1"/>
          <w:sz w:val="24"/>
        </w:rPr>
        <w:t>优先级：支持以太网口802.1p识别和标记，支持无线优先级到有线优先级的映射</w:t>
      </w:r>
    </w:p>
    <w:p>
      <w:pPr>
        <w:spacing w:line="440" w:lineRule="exact"/>
        <w:rPr>
          <w:color w:val="000000" w:themeColor="text1"/>
          <w:sz w:val="24"/>
        </w:rPr>
      </w:pPr>
      <w:r>
        <w:rPr>
          <w:rFonts w:hint="eastAsia"/>
          <w:color w:val="000000" w:themeColor="text1"/>
          <w:sz w:val="24"/>
        </w:rPr>
        <w:t>QoS策略映射：支持不同SSID/VLAN映射不同的QoS策略</w:t>
      </w:r>
    </w:p>
    <w:p>
      <w:pPr>
        <w:spacing w:line="440" w:lineRule="exact"/>
        <w:rPr>
          <w:color w:val="000000" w:themeColor="text1"/>
          <w:sz w:val="24"/>
        </w:rPr>
      </w:pPr>
      <w:r>
        <w:rPr>
          <w:rFonts w:hint="eastAsia"/>
          <w:color w:val="000000" w:themeColor="text1"/>
          <w:sz w:val="24"/>
        </w:rPr>
        <w:t>支持L2~L4包过滤和流分类功能：支持</w:t>
      </w:r>
    </w:p>
    <w:p>
      <w:pPr>
        <w:spacing w:line="440" w:lineRule="exact"/>
        <w:rPr>
          <w:color w:val="000000" w:themeColor="text1"/>
          <w:sz w:val="24"/>
        </w:rPr>
      </w:pPr>
      <w:r>
        <w:rPr>
          <w:rFonts w:hint="eastAsia"/>
          <w:color w:val="000000" w:themeColor="text1"/>
          <w:sz w:val="24"/>
        </w:rPr>
        <w:t>CAR：支持</w:t>
      </w:r>
    </w:p>
    <w:p>
      <w:pPr>
        <w:spacing w:line="440" w:lineRule="exact"/>
        <w:rPr>
          <w:color w:val="000000" w:themeColor="text1"/>
          <w:sz w:val="24"/>
        </w:rPr>
      </w:pPr>
      <w:r>
        <w:rPr>
          <w:rFonts w:hint="eastAsia"/>
          <w:color w:val="000000" w:themeColor="text1"/>
          <w:sz w:val="24"/>
        </w:rPr>
        <w:t>用户带宽管理：可按每STA分配可用带宽，或按照SSID分配所有STA共享总带宽</w:t>
      </w:r>
    </w:p>
    <w:p>
      <w:pPr>
        <w:spacing w:line="440" w:lineRule="exact"/>
        <w:rPr>
          <w:color w:val="000000" w:themeColor="text1"/>
          <w:sz w:val="24"/>
        </w:rPr>
      </w:pPr>
      <w:r>
        <w:rPr>
          <w:rFonts w:hint="eastAsia"/>
          <w:color w:val="000000" w:themeColor="text1"/>
          <w:sz w:val="24"/>
        </w:rPr>
        <w:t>负载均衡：支持：基于流量、用户、频段(双频支持)</w:t>
      </w:r>
    </w:p>
    <w:p>
      <w:pPr>
        <w:spacing w:line="440" w:lineRule="exact"/>
        <w:rPr>
          <w:color w:val="000000" w:themeColor="text1"/>
          <w:sz w:val="24"/>
        </w:rPr>
      </w:pPr>
      <w:r>
        <w:rPr>
          <w:rFonts w:hint="eastAsia"/>
          <w:color w:val="000000" w:themeColor="text1"/>
          <w:sz w:val="24"/>
        </w:rPr>
        <w:t>频谱导航：支持</w:t>
      </w:r>
    </w:p>
    <w:p>
      <w:pPr>
        <w:spacing w:line="440" w:lineRule="exact"/>
        <w:rPr>
          <w:color w:val="000000" w:themeColor="text1"/>
          <w:sz w:val="24"/>
        </w:rPr>
      </w:pPr>
      <w:r>
        <w:rPr>
          <w:rFonts w:hint="eastAsia"/>
          <w:color w:val="000000" w:themeColor="text1"/>
          <w:sz w:val="24"/>
        </w:rPr>
        <w:t>组播增强：支持：组播转单播(IPv4/IPv6)</w:t>
      </w:r>
    </w:p>
    <w:p>
      <w:pPr>
        <w:spacing w:line="440" w:lineRule="exact"/>
        <w:rPr>
          <w:color w:val="000000" w:themeColor="text1"/>
          <w:sz w:val="24"/>
        </w:rPr>
      </w:pPr>
      <w:r>
        <w:rPr>
          <w:rFonts w:hint="eastAsia"/>
          <w:color w:val="000000" w:themeColor="text1"/>
          <w:sz w:val="24"/>
        </w:rPr>
        <w:t>CAC(Call Admission Control)：支持：基于用户数和基于信道利用率</w:t>
      </w:r>
    </w:p>
    <w:p>
      <w:pPr>
        <w:spacing w:line="440" w:lineRule="exact"/>
        <w:rPr>
          <w:color w:val="000000" w:themeColor="text1"/>
          <w:sz w:val="24"/>
        </w:rPr>
      </w:pPr>
      <w:r>
        <w:rPr>
          <w:rFonts w:hint="eastAsia"/>
          <w:color w:val="000000" w:themeColor="text1"/>
          <w:sz w:val="24"/>
        </w:rPr>
        <w:t>SVP Phone：支持</w:t>
      </w:r>
    </w:p>
    <w:p>
      <w:pPr>
        <w:spacing w:line="440" w:lineRule="exact"/>
        <w:rPr>
          <w:color w:val="000000" w:themeColor="text1"/>
          <w:sz w:val="24"/>
        </w:rPr>
      </w:pPr>
      <w:r>
        <w:rPr>
          <w:rFonts w:hint="eastAsia"/>
          <w:color w:val="000000" w:themeColor="text1"/>
          <w:sz w:val="24"/>
        </w:rPr>
        <w:t>绿色节能</w:t>
      </w:r>
    </w:p>
    <w:p>
      <w:pPr>
        <w:spacing w:line="440" w:lineRule="exact"/>
        <w:rPr>
          <w:color w:val="000000" w:themeColor="text1"/>
          <w:sz w:val="24"/>
        </w:rPr>
      </w:pPr>
      <w:r>
        <w:rPr>
          <w:rFonts w:hint="eastAsia"/>
          <w:color w:val="000000" w:themeColor="text1"/>
          <w:sz w:val="24"/>
        </w:rPr>
        <w:t>逐包功率控制(PPC)：支持</w:t>
      </w:r>
    </w:p>
    <w:p>
      <w:pPr>
        <w:spacing w:line="440" w:lineRule="exact"/>
        <w:rPr>
          <w:color w:val="000000" w:themeColor="text1"/>
          <w:sz w:val="24"/>
        </w:rPr>
      </w:pPr>
      <w:r>
        <w:rPr>
          <w:rFonts w:hint="eastAsia"/>
          <w:color w:val="000000" w:themeColor="text1"/>
          <w:sz w:val="24"/>
        </w:rPr>
        <w:t>Green AP模式：支持</w:t>
      </w:r>
    </w:p>
    <w:p>
      <w:pPr>
        <w:spacing w:line="440" w:lineRule="exact"/>
        <w:rPr>
          <w:color w:val="000000" w:themeColor="text1"/>
          <w:sz w:val="24"/>
        </w:rPr>
      </w:pPr>
      <w:r>
        <w:rPr>
          <w:rFonts w:hint="eastAsia"/>
          <w:color w:val="000000" w:themeColor="text1"/>
          <w:sz w:val="24"/>
        </w:rPr>
        <w:t>动态MIMO省电：支持</w:t>
      </w:r>
    </w:p>
    <w:p>
      <w:pPr>
        <w:spacing w:line="440" w:lineRule="exact"/>
        <w:rPr>
          <w:color w:val="000000" w:themeColor="text1"/>
          <w:sz w:val="24"/>
        </w:rPr>
      </w:pPr>
      <w:r>
        <w:rPr>
          <w:rFonts w:hint="eastAsia"/>
          <w:color w:val="000000" w:themeColor="text1"/>
          <w:sz w:val="24"/>
        </w:rPr>
        <w:t>增强型自动省电传送(E-APSD)：支持</w:t>
      </w:r>
    </w:p>
    <w:p>
      <w:pPr>
        <w:spacing w:line="440" w:lineRule="exact"/>
        <w:rPr>
          <w:color w:val="000000" w:themeColor="text1"/>
          <w:sz w:val="24"/>
        </w:rPr>
      </w:pPr>
      <w:r>
        <w:rPr>
          <w:rFonts w:hint="eastAsia"/>
          <w:color w:val="000000" w:themeColor="text1"/>
          <w:sz w:val="24"/>
        </w:rPr>
        <w:t>WMM Power Save：支持</w:t>
      </w:r>
    </w:p>
    <w:p>
      <w:pPr>
        <w:spacing w:line="440" w:lineRule="exact"/>
        <w:rPr>
          <w:color w:val="000000" w:themeColor="text1"/>
          <w:sz w:val="24"/>
        </w:rPr>
      </w:pPr>
      <w:r>
        <w:rPr>
          <w:rFonts w:hint="eastAsia"/>
          <w:color w:val="000000" w:themeColor="text1"/>
          <w:sz w:val="24"/>
        </w:rPr>
        <w:t>★产品必须无缝兼容原学校的无线网络系统（原无线AC为H3C的EWP-WX3510H）；签合同前提供厂家或者总代的授权书与质保函，同时分别加盖有效鲜章</w:t>
      </w:r>
    </w:p>
    <w:p>
      <w:pPr>
        <w:rPr>
          <w:color w:val="000000" w:themeColor="text1"/>
          <w:sz w:val="24"/>
        </w:rPr>
      </w:pPr>
    </w:p>
    <w:p>
      <w:pPr>
        <w:widowControl/>
        <w:shd w:val="clear" w:color="auto" w:fill="FFFFFF"/>
        <w:spacing w:line="315" w:lineRule="atLeast"/>
        <w:jc w:val="left"/>
        <w:outlineLvl w:val="2"/>
        <w:rPr>
          <w:rFonts w:ascii="Helvetica" w:hAnsi="Helvetica" w:cs="Helvetica"/>
          <w:b/>
          <w:bCs/>
          <w:color w:val="000000" w:themeColor="text1"/>
          <w:sz w:val="36"/>
          <w:szCs w:val="36"/>
          <w:shd w:val="clear" w:color="auto" w:fill="FFFFFF"/>
        </w:rPr>
      </w:pPr>
    </w:p>
    <w:p>
      <w:pPr>
        <w:widowControl/>
        <w:shd w:val="clear" w:color="auto" w:fill="FFFFFF"/>
        <w:spacing w:line="315" w:lineRule="atLeast"/>
        <w:jc w:val="left"/>
        <w:outlineLvl w:val="2"/>
        <w:rPr>
          <w:rFonts w:ascii="Helvetica" w:hAnsi="Helvetica" w:cs="Helvetica"/>
          <w:b/>
          <w:bCs/>
          <w:color w:val="000000" w:themeColor="text1"/>
          <w:sz w:val="36"/>
          <w:szCs w:val="36"/>
          <w:shd w:val="clear" w:color="auto" w:fill="FFFFFF"/>
        </w:rPr>
      </w:pPr>
    </w:p>
    <w:p>
      <w:pPr>
        <w:widowControl/>
        <w:shd w:val="clear" w:color="auto" w:fill="FFFFFF"/>
        <w:spacing w:line="315" w:lineRule="atLeast"/>
        <w:jc w:val="left"/>
        <w:outlineLvl w:val="2"/>
        <w:rPr>
          <w:rFonts w:ascii="Helvetica" w:hAnsi="Helvetica" w:cs="Helvetica"/>
          <w:b/>
          <w:bCs/>
          <w:color w:val="000000" w:themeColor="text1"/>
          <w:sz w:val="36"/>
          <w:szCs w:val="36"/>
          <w:shd w:val="clear" w:color="auto" w:fill="FFFFFF"/>
        </w:rPr>
      </w:pPr>
    </w:p>
    <w:p>
      <w:pPr>
        <w:widowControl/>
        <w:shd w:val="clear" w:color="auto" w:fill="FFFFFF"/>
        <w:spacing w:line="315" w:lineRule="atLeast"/>
        <w:jc w:val="left"/>
        <w:outlineLvl w:val="2"/>
        <w:rPr>
          <w:rFonts w:ascii="Helvetica" w:hAnsi="Helvetica" w:cs="Helvetica"/>
          <w:b/>
          <w:bCs/>
          <w:color w:val="000000" w:themeColor="text1"/>
          <w:sz w:val="36"/>
          <w:szCs w:val="36"/>
          <w:shd w:val="clear" w:color="auto" w:fill="FFFFFF"/>
        </w:rPr>
      </w:pPr>
    </w:p>
    <w:p>
      <w:pPr>
        <w:widowControl/>
        <w:shd w:val="clear" w:color="auto" w:fill="FFFFFF"/>
        <w:spacing w:line="315" w:lineRule="atLeast"/>
        <w:jc w:val="left"/>
        <w:outlineLvl w:val="2"/>
        <w:rPr>
          <w:rFonts w:ascii="Helvetica" w:hAnsi="Helvetica" w:cs="Helvetica"/>
          <w:b/>
          <w:bCs/>
          <w:color w:val="000000" w:themeColor="text1"/>
          <w:sz w:val="36"/>
          <w:szCs w:val="36"/>
          <w:shd w:val="clear" w:color="auto" w:fill="FFFFFF"/>
        </w:rPr>
      </w:pPr>
    </w:p>
    <w:p>
      <w:pPr>
        <w:widowControl/>
        <w:shd w:val="clear" w:color="auto" w:fill="FFFFFF"/>
        <w:spacing w:line="315" w:lineRule="atLeast"/>
        <w:jc w:val="left"/>
        <w:outlineLvl w:val="2"/>
        <w:rPr>
          <w:rFonts w:ascii="Helvetica" w:hAnsi="Helvetica" w:cs="Helvetica"/>
          <w:b/>
          <w:bCs/>
          <w:color w:val="000000" w:themeColor="text1"/>
          <w:sz w:val="36"/>
          <w:szCs w:val="36"/>
          <w:shd w:val="clear" w:color="auto" w:fill="FFFFFF"/>
        </w:rPr>
      </w:pPr>
    </w:p>
    <w:p>
      <w:pPr>
        <w:widowControl/>
        <w:shd w:val="clear" w:color="auto" w:fill="FFFFFF"/>
        <w:spacing w:line="315" w:lineRule="atLeast"/>
        <w:jc w:val="left"/>
        <w:outlineLvl w:val="2"/>
        <w:rPr>
          <w:rFonts w:ascii="Helvetica" w:hAnsi="Helvetica" w:cs="Helvetica"/>
          <w:b/>
          <w:bCs/>
          <w:color w:val="000000" w:themeColor="text1"/>
          <w:sz w:val="36"/>
          <w:szCs w:val="36"/>
          <w:shd w:val="clear" w:color="auto" w:fill="FFFFFF"/>
        </w:rPr>
      </w:pPr>
    </w:p>
    <w:p>
      <w:pPr>
        <w:rPr>
          <w:b/>
          <w:color w:val="000000" w:themeColor="text1"/>
          <w:sz w:val="28"/>
          <w:szCs w:val="15"/>
        </w:rPr>
      </w:pPr>
    </w:p>
    <w:p>
      <w:pPr>
        <w:rPr>
          <w:b/>
          <w:color w:val="000000" w:themeColor="text1"/>
          <w:sz w:val="28"/>
          <w:szCs w:val="15"/>
        </w:rPr>
      </w:pPr>
      <w:r>
        <w:rPr>
          <w:rFonts w:hint="eastAsia"/>
          <w:b/>
          <w:color w:val="000000" w:themeColor="text1"/>
          <w:sz w:val="28"/>
          <w:szCs w:val="15"/>
        </w:rPr>
        <w:t>附件7-冷暖空调参数</w:t>
      </w:r>
    </w:p>
    <w:p>
      <w:pPr>
        <w:rPr>
          <w:b/>
          <w:color w:val="000000" w:themeColor="text1"/>
          <w:sz w:val="28"/>
          <w:szCs w:val="15"/>
        </w:rPr>
      </w:pPr>
      <w:r>
        <w:rPr>
          <w:rFonts w:hint="eastAsia"/>
          <w:b/>
          <w:color w:val="000000" w:themeColor="text1"/>
          <w:sz w:val="28"/>
          <w:szCs w:val="15"/>
        </w:rPr>
        <w:t>3匹柜机</w:t>
      </w:r>
    </w:p>
    <w:p>
      <w:pPr>
        <w:jc w:val="left"/>
        <w:rPr>
          <w:color w:val="000000" w:themeColor="text1"/>
        </w:rPr>
      </w:pPr>
      <w:r>
        <w:rPr>
          <w:rFonts w:hint="eastAsia" w:ascii="宋体" w:hAnsi="宋体" w:cs="宋体"/>
          <w:color w:val="000000" w:themeColor="text1"/>
          <w:kern w:val="0"/>
          <w:sz w:val="20"/>
          <w:szCs w:val="20"/>
        </w:rPr>
        <w:t>★</w:t>
      </w:r>
      <w:r>
        <w:rPr>
          <w:rFonts w:hint="eastAsia"/>
          <w:color w:val="000000" w:themeColor="text1"/>
        </w:rPr>
        <w:t>空调类型：立柜式（普通形状，上出风）</w:t>
      </w:r>
      <w:r>
        <w:rPr>
          <w:rFonts w:hint="eastAsia"/>
          <w:color w:val="000000" w:themeColor="text1"/>
        </w:rPr>
        <w:drawing>
          <wp:inline distT="0" distB="0" distL="0" distR="0">
            <wp:extent cx="1041400" cy="2067560"/>
            <wp:effectExtent l="19050" t="0" r="6350" b="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noChangeArrowheads="1"/>
                    </pic:cNvPicPr>
                  </pic:nvPicPr>
                  <pic:blipFill>
                    <a:blip r:embed="rId138"/>
                    <a:srcRect/>
                    <a:stretch>
                      <a:fillRect/>
                    </a:stretch>
                  </pic:blipFill>
                  <pic:spPr>
                    <a:xfrm>
                      <a:off x="0" y="0"/>
                      <a:ext cx="1041400" cy="2067560"/>
                    </a:xfrm>
                    <a:prstGeom prst="rect">
                      <a:avLst/>
                    </a:prstGeom>
                    <a:noFill/>
                    <a:ln w="9525" cmpd="sng">
                      <a:noFill/>
                      <a:miter lim="800000"/>
                      <a:headEnd/>
                      <a:tailEnd/>
                    </a:ln>
                  </pic:spPr>
                </pic:pic>
              </a:graphicData>
            </a:graphic>
          </wp:inline>
        </w:drawing>
      </w:r>
    </w:p>
    <w:p>
      <w:pPr>
        <w:rPr>
          <w:color w:val="000000" w:themeColor="text1"/>
        </w:rPr>
      </w:pPr>
      <w:r>
        <w:rPr>
          <w:rFonts w:hint="eastAsia"/>
          <w:color w:val="000000" w:themeColor="text1"/>
        </w:rPr>
        <w:t>冷暖类型：冷暖型</w:t>
      </w:r>
    </w:p>
    <w:p>
      <w:pPr>
        <w:rPr>
          <w:color w:val="000000" w:themeColor="text1"/>
        </w:rPr>
      </w:pPr>
      <w:r>
        <w:rPr>
          <w:rFonts w:hint="eastAsia"/>
          <w:color w:val="000000" w:themeColor="text1"/>
        </w:rPr>
        <w:t>变频/定频：定频</w:t>
      </w:r>
    </w:p>
    <w:p>
      <w:pPr>
        <w:rPr>
          <w:color w:val="000000" w:themeColor="text1"/>
        </w:rPr>
      </w:pPr>
      <w:r>
        <w:rPr>
          <w:rFonts w:hint="eastAsia" w:ascii="宋体" w:hAnsi="宋体" w:cs="宋体"/>
          <w:color w:val="000000" w:themeColor="text1"/>
          <w:kern w:val="0"/>
          <w:sz w:val="20"/>
          <w:szCs w:val="20"/>
        </w:rPr>
        <w:t>★</w:t>
      </w:r>
      <w:r>
        <w:rPr>
          <w:rFonts w:hint="eastAsia"/>
          <w:color w:val="000000" w:themeColor="text1"/>
        </w:rPr>
        <w:t>空调匹数：3P</w:t>
      </w:r>
    </w:p>
    <w:p>
      <w:pPr>
        <w:rPr>
          <w:color w:val="000000" w:themeColor="text1"/>
        </w:rPr>
      </w:pPr>
      <w:r>
        <w:rPr>
          <w:color w:val="000000" w:themeColor="text1"/>
        </w:rPr>
        <w:t>SEER</w:t>
      </w:r>
      <w:r>
        <w:rPr>
          <w:rFonts w:hint="eastAsia"/>
          <w:color w:val="000000" w:themeColor="text1"/>
        </w:rPr>
        <w:t>：</w:t>
      </w:r>
      <w:r>
        <w:rPr>
          <w:color w:val="000000" w:themeColor="text1"/>
        </w:rPr>
        <w:t>3.71</w:t>
      </w:r>
    </w:p>
    <w:p>
      <w:pPr>
        <w:rPr>
          <w:color w:val="000000" w:themeColor="text1"/>
        </w:rPr>
      </w:pPr>
      <w:r>
        <w:rPr>
          <w:color w:val="000000" w:themeColor="text1"/>
        </w:rPr>
        <w:t>APF</w:t>
      </w:r>
      <w:r>
        <w:rPr>
          <w:rFonts w:hint="eastAsia"/>
          <w:color w:val="000000" w:themeColor="text1"/>
        </w:rPr>
        <w:t>：</w:t>
      </w:r>
      <w:r>
        <w:rPr>
          <w:color w:val="000000" w:themeColor="text1"/>
        </w:rPr>
        <w:t>3.26</w:t>
      </w:r>
    </w:p>
    <w:p>
      <w:pPr>
        <w:rPr>
          <w:color w:val="000000" w:themeColor="text1"/>
        </w:rPr>
      </w:pPr>
      <w:r>
        <w:rPr>
          <w:rFonts w:hint="eastAsia"/>
          <w:color w:val="000000" w:themeColor="text1"/>
        </w:rPr>
        <w:t>电压：三相电380V</w:t>
      </w:r>
    </w:p>
    <w:p>
      <w:pPr>
        <w:rPr>
          <w:b/>
          <w:color w:val="000000" w:themeColor="text1"/>
        </w:rPr>
      </w:pPr>
      <w:r>
        <w:rPr>
          <w:rFonts w:hint="eastAsia" w:ascii="宋体" w:hAnsi="宋体" w:cs="宋体"/>
          <w:color w:val="000000" w:themeColor="text1"/>
          <w:kern w:val="0"/>
          <w:sz w:val="20"/>
          <w:szCs w:val="20"/>
        </w:rPr>
        <w:t>★</w:t>
      </w:r>
      <w:r>
        <w:rPr>
          <w:rFonts w:hint="eastAsia"/>
          <w:b/>
          <w:color w:val="000000" w:themeColor="text1"/>
        </w:rPr>
        <w:t>能效等级：不低于三级</w:t>
      </w:r>
    </w:p>
    <w:p>
      <w:pPr>
        <w:rPr>
          <w:color w:val="000000" w:themeColor="text1"/>
        </w:rPr>
      </w:pPr>
      <w:r>
        <w:rPr>
          <w:rFonts w:hint="eastAsia"/>
          <w:color w:val="000000" w:themeColor="text1"/>
        </w:rPr>
        <w:t>制冷剂：R32</w:t>
      </w:r>
    </w:p>
    <w:p>
      <w:pPr>
        <w:rPr>
          <w:color w:val="000000" w:themeColor="text1"/>
        </w:rPr>
      </w:pPr>
      <w:r>
        <w:rPr>
          <w:rFonts w:hint="eastAsia"/>
          <w:color w:val="000000" w:themeColor="text1"/>
        </w:rPr>
        <w:t>制冷量：7350W</w:t>
      </w:r>
    </w:p>
    <w:p>
      <w:pPr>
        <w:rPr>
          <w:color w:val="000000" w:themeColor="text1"/>
        </w:rPr>
      </w:pPr>
      <w:r>
        <w:rPr>
          <w:rFonts w:hint="eastAsia"/>
          <w:color w:val="000000" w:themeColor="text1"/>
        </w:rPr>
        <w:t>制冷功率：2170W</w:t>
      </w:r>
    </w:p>
    <w:p>
      <w:pPr>
        <w:rPr>
          <w:color w:val="000000" w:themeColor="text1"/>
        </w:rPr>
      </w:pPr>
      <w:r>
        <w:rPr>
          <w:rFonts w:hint="eastAsia"/>
          <w:color w:val="000000" w:themeColor="text1"/>
        </w:rPr>
        <w:t>制热量：8210W</w:t>
      </w:r>
    </w:p>
    <w:p>
      <w:pPr>
        <w:rPr>
          <w:color w:val="000000" w:themeColor="text1"/>
        </w:rPr>
      </w:pPr>
      <w:r>
        <w:rPr>
          <w:rFonts w:hint="eastAsia"/>
          <w:color w:val="000000" w:themeColor="text1"/>
        </w:rPr>
        <w:t>制热功率：2260W</w:t>
      </w:r>
    </w:p>
    <w:p>
      <w:pPr>
        <w:rPr>
          <w:color w:val="000000" w:themeColor="text1"/>
        </w:rPr>
      </w:pPr>
      <w:r>
        <w:rPr>
          <w:rFonts w:hint="eastAsia"/>
          <w:color w:val="000000" w:themeColor="text1"/>
        </w:rPr>
        <w:t>电辅加热功率：1900W</w:t>
      </w:r>
    </w:p>
    <w:p>
      <w:pPr>
        <w:rPr>
          <w:color w:val="000000" w:themeColor="text1"/>
        </w:rPr>
      </w:pPr>
      <w:r>
        <w:rPr>
          <w:rFonts w:hint="eastAsia"/>
          <w:color w:val="000000" w:themeColor="text1"/>
        </w:rPr>
        <w:t>室内机噪音：36-46dB</w:t>
      </w:r>
    </w:p>
    <w:p>
      <w:pPr>
        <w:rPr>
          <w:color w:val="000000" w:themeColor="text1"/>
        </w:rPr>
      </w:pPr>
      <w:r>
        <w:rPr>
          <w:rFonts w:hint="eastAsia"/>
          <w:color w:val="000000" w:themeColor="text1"/>
        </w:rPr>
        <w:t>室外机噪音：≤56dB</w:t>
      </w:r>
    </w:p>
    <w:p>
      <w:pPr>
        <w:rPr>
          <w:color w:val="000000" w:themeColor="text1"/>
        </w:rPr>
      </w:pPr>
      <w:r>
        <w:rPr>
          <w:rFonts w:hint="eastAsia"/>
          <w:color w:val="000000" w:themeColor="text1"/>
        </w:rPr>
        <w:t>扫风方式：上下/左右扫风</w:t>
      </w:r>
    </w:p>
    <w:p>
      <w:pPr>
        <w:rPr>
          <w:rFonts w:ascii="Helvetica" w:hAnsi="Helvetica" w:cs="Helvetica"/>
          <w:color w:val="000000" w:themeColor="text1"/>
          <w:szCs w:val="21"/>
          <w:shd w:val="clear" w:color="auto" w:fill="FFFFFF"/>
        </w:rPr>
      </w:pPr>
      <w:r>
        <w:rPr>
          <w:rFonts w:ascii="Helvetica" w:hAnsi="Helvetica" w:cs="Helvetica"/>
          <w:color w:val="000000" w:themeColor="text1"/>
          <w:szCs w:val="21"/>
          <w:shd w:val="clear" w:color="auto" w:fill="FFFFFF"/>
        </w:rPr>
        <w:t>电源规格（PH-V-Hz）：</w:t>
      </w:r>
      <w:r>
        <w:rPr>
          <w:rFonts w:hint="eastAsia" w:ascii="Helvetica" w:hAnsi="Helvetica" w:cs="Helvetica"/>
          <w:color w:val="000000" w:themeColor="text1"/>
          <w:szCs w:val="21"/>
          <w:shd w:val="clear" w:color="auto" w:fill="FFFFFF"/>
        </w:rPr>
        <w:t>3-</w:t>
      </w:r>
      <w:r>
        <w:rPr>
          <w:rFonts w:ascii="Helvetica" w:hAnsi="Helvetica" w:cs="Helvetica"/>
          <w:color w:val="000000" w:themeColor="text1"/>
          <w:szCs w:val="21"/>
          <w:shd w:val="clear" w:color="auto" w:fill="FFFFFF"/>
        </w:rPr>
        <w:t>380</w:t>
      </w:r>
      <w:r>
        <w:rPr>
          <w:rFonts w:hint="eastAsia" w:ascii="Helvetica" w:hAnsi="Helvetica" w:cs="Helvetica"/>
          <w:color w:val="000000" w:themeColor="text1"/>
          <w:szCs w:val="21"/>
          <w:shd w:val="clear" w:color="auto" w:fill="FFFFFF"/>
        </w:rPr>
        <w:t>-50</w:t>
      </w:r>
    </w:p>
    <w:p>
      <w:pPr>
        <w:rPr>
          <w:color w:val="000000" w:themeColor="text1"/>
        </w:rPr>
      </w:pPr>
      <w:r>
        <w:rPr>
          <w:rFonts w:hint="eastAsia" w:ascii="宋体" w:hAnsi="宋体" w:cs="宋体"/>
          <w:color w:val="000000" w:themeColor="text1"/>
          <w:kern w:val="0"/>
          <w:sz w:val="20"/>
          <w:szCs w:val="20"/>
        </w:rPr>
        <w:t>★</w:t>
      </w:r>
      <w:r>
        <w:rPr>
          <w:rFonts w:hint="eastAsia"/>
          <w:color w:val="000000" w:themeColor="text1"/>
        </w:rPr>
        <w:t>整机10年厂家免费上门质保</w:t>
      </w:r>
    </w:p>
    <w:p>
      <w:pPr>
        <w:rPr>
          <w:color w:val="000000" w:themeColor="text1"/>
        </w:rPr>
      </w:pPr>
      <w:r>
        <w:rPr>
          <w:rFonts w:hint="eastAsia"/>
          <w:color w:val="000000" w:themeColor="text1"/>
        </w:rPr>
        <w:t>注：1、如果没有空调的冷凝水PVC排水管到地面，则需要安装空调冷凝水水管50PVCU到地面排水沟；</w:t>
      </w:r>
    </w:p>
    <w:p>
      <w:pPr>
        <w:rPr>
          <w:color w:val="000000" w:themeColor="text1"/>
        </w:rPr>
      </w:pPr>
      <w:r>
        <w:rPr>
          <w:rFonts w:hint="eastAsia"/>
          <w:color w:val="000000" w:themeColor="text1"/>
        </w:rPr>
        <w:t>2、室外机如果需要支架安装，支架必须是热浸镀锌或者是304不锈钢的国标支架。</w:t>
      </w:r>
    </w:p>
    <w:p>
      <w:pPr>
        <w:rPr>
          <w:b/>
          <w:color w:val="000000" w:themeColor="text1"/>
          <w:sz w:val="28"/>
          <w:szCs w:val="15"/>
        </w:rPr>
      </w:pPr>
      <w:r>
        <w:rPr>
          <w:rFonts w:hint="eastAsia"/>
          <w:b/>
          <w:color w:val="000000" w:themeColor="text1"/>
          <w:sz w:val="28"/>
          <w:szCs w:val="15"/>
        </w:rPr>
        <w:t>大3匹天井机</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功能 ：冷暖（辅助电加热）</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制冷量（W） ：7200</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制热量（W） ：7500(9600)</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额定电压 ：380 V 3N～</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额定频率 ：50 Hz</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能效比 ：3.32</w:t>
      </w:r>
    </w:p>
    <w:p>
      <w:pPr>
        <w:rPr>
          <w:color w:val="000000" w:themeColor="text1"/>
        </w:rPr>
      </w:pPr>
      <w:r>
        <w:rPr>
          <w:rFonts w:hint="eastAsia"/>
          <w:color w:val="000000" w:themeColor="text1"/>
        </w:rPr>
        <w:t>电压：三相电380V</w:t>
      </w:r>
    </w:p>
    <w:p>
      <w:pPr>
        <w:widowControl/>
        <w:shd w:val="clear" w:color="auto" w:fill="FFFFFF"/>
        <w:spacing w:line="360" w:lineRule="atLeast"/>
        <w:jc w:val="left"/>
        <w:rPr>
          <w:b/>
          <w:color w:val="000000" w:themeColor="text1"/>
          <w:kern w:val="0"/>
        </w:rPr>
      </w:pPr>
      <w:r>
        <w:rPr>
          <w:rFonts w:hint="eastAsia" w:ascii="宋体" w:hAnsi="宋体" w:cs="宋体"/>
          <w:color w:val="000000" w:themeColor="text1"/>
          <w:kern w:val="0"/>
          <w:sz w:val="20"/>
          <w:szCs w:val="20"/>
        </w:rPr>
        <w:t>★</w:t>
      </w:r>
      <w:r>
        <w:rPr>
          <w:rFonts w:ascii="Helvetica" w:hAnsi="Helvetica" w:cs="Helvetica"/>
          <w:b/>
          <w:color w:val="000000" w:themeColor="text1"/>
          <w:kern w:val="0"/>
          <w:szCs w:val="21"/>
        </w:rPr>
        <w:t>能效等级 ：</w:t>
      </w:r>
      <w:r>
        <w:rPr>
          <w:rFonts w:hint="eastAsia"/>
          <w:b/>
          <w:color w:val="000000" w:themeColor="text1"/>
          <w:kern w:val="0"/>
        </w:rPr>
        <w:t>不低于三级</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制冷/制热额定电流（A） ：3.5//4.1(7.3)</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制冷/制热最大输入电流（A） ：5.7/5.8(8.9)</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制冷/制热额定功率（W） ：2170/2500(4600)</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循环风量（m³/h） ：1280</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制冷剂名称及灌注量（kg） ：R22 2.4</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防水等级 ：IPX4</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噪音（室内/室外）dB（A） ：45/56</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气候类型 ：T1</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防触电保护类别 ：I</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连接管（气管）mm：φ16</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连接管（液管）mm：φ9.52</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冷媒追加灌注量：60</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搭配面板 ：TB07</w:t>
      </w:r>
    </w:p>
    <w:p>
      <w:pPr>
        <w:rPr>
          <w:color w:val="000000" w:themeColor="text1"/>
        </w:rPr>
      </w:pPr>
      <w:r>
        <w:rPr>
          <w:rFonts w:hint="eastAsia" w:ascii="宋体" w:hAnsi="宋体" w:cs="宋体"/>
          <w:color w:val="000000" w:themeColor="text1"/>
          <w:kern w:val="0"/>
          <w:sz w:val="20"/>
          <w:szCs w:val="20"/>
        </w:rPr>
        <w:t>★</w:t>
      </w:r>
      <w:r>
        <w:rPr>
          <w:rFonts w:hint="eastAsia"/>
          <w:color w:val="000000" w:themeColor="text1"/>
        </w:rPr>
        <w:t>整机10年厂家免费上门质保</w:t>
      </w:r>
    </w:p>
    <w:p>
      <w:pPr>
        <w:rPr>
          <w:color w:val="000000" w:themeColor="text1"/>
        </w:rPr>
      </w:pPr>
      <w:r>
        <w:rPr>
          <w:rFonts w:hint="eastAsia"/>
          <w:color w:val="000000" w:themeColor="text1"/>
        </w:rPr>
        <w:t>注：1、如果没有空调的冷凝水PVC排水管到地面，则需要安装空调冷凝水水管50PVCU到地面排水沟；</w:t>
      </w:r>
    </w:p>
    <w:p>
      <w:pPr>
        <w:rPr>
          <w:color w:val="000000" w:themeColor="text1"/>
        </w:rPr>
      </w:pPr>
      <w:r>
        <w:rPr>
          <w:rFonts w:hint="eastAsia"/>
          <w:color w:val="000000" w:themeColor="text1"/>
        </w:rPr>
        <w:t>2、室外机如果需要支架安装，支架必须是热浸镀锌或者是304不锈钢的国标支架。</w:t>
      </w:r>
    </w:p>
    <w:p>
      <w:pPr>
        <w:rPr>
          <w:color w:val="000000" w:themeColor="text1"/>
        </w:rPr>
      </w:pPr>
    </w:p>
    <w:p>
      <w:pPr>
        <w:rPr>
          <w:b/>
          <w:color w:val="000000" w:themeColor="text1"/>
          <w:sz w:val="28"/>
          <w:szCs w:val="15"/>
        </w:rPr>
      </w:pPr>
      <w:r>
        <w:rPr>
          <w:rFonts w:hint="eastAsia"/>
          <w:b/>
          <w:color w:val="000000" w:themeColor="text1"/>
          <w:sz w:val="28"/>
          <w:szCs w:val="15"/>
        </w:rPr>
        <w:t>大1匹空调挂机</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产品颜色：皓雪白</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变频/定频：变频</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APF（GB21455-2019）：4.78</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SEER（GB21455-2019）：5.79</w:t>
      </w:r>
    </w:p>
    <w:p>
      <w:pPr>
        <w:rPr>
          <w:color w:val="000000" w:themeColor="text1"/>
        </w:rPr>
      </w:pPr>
      <w:r>
        <w:rPr>
          <w:rFonts w:hint="eastAsia"/>
          <w:color w:val="000000" w:themeColor="text1"/>
        </w:rPr>
        <w:t>电压：单相电220V</w:t>
      </w:r>
    </w:p>
    <w:p>
      <w:pPr>
        <w:widowControl/>
        <w:shd w:val="clear" w:color="auto" w:fill="FFFFFF"/>
        <w:spacing w:line="360" w:lineRule="atLeast"/>
        <w:jc w:val="left"/>
        <w:rPr>
          <w:rFonts w:ascii="Helvetica" w:hAnsi="Helvetica" w:cs="Helvetica"/>
          <w:b/>
          <w:color w:val="000000" w:themeColor="text1"/>
          <w:kern w:val="0"/>
          <w:szCs w:val="21"/>
        </w:rPr>
      </w:pPr>
      <w:r>
        <w:rPr>
          <w:rFonts w:hint="eastAsia" w:ascii="宋体" w:hAnsi="宋体" w:cs="宋体"/>
          <w:color w:val="000000" w:themeColor="text1"/>
          <w:kern w:val="0"/>
          <w:sz w:val="20"/>
          <w:szCs w:val="20"/>
        </w:rPr>
        <w:t>★</w:t>
      </w:r>
      <w:r>
        <w:rPr>
          <w:rFonts w:ascii="Helvetica" w:hAnsi="Helvetica" w:cs="Helvetica"/>
          <w:b/>
          <w:color w:val="000000" w:themeColor="text1"/>
          <w:kern w:val="0"/>
          <w:szCs w:val="21"/>
        </w:rPr>
        <w:t>能效等级：2级</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冷暖类型：冷暖</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匹数：大1匹</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额定制冷量（W）：2660（150-4100）</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额定制热量（W）：4000（150-5010）</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额定制冷功率（W）：620（70-1500）</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额定制热功率（W）：1000（70-1640）</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电辅热（W）：1000</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内机质量（Kg）：9</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外机质量（Kg）：22.5</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内机噪音dB（A）（静音档-高档）：21-35</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外机噪音dB（A）：≤50</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循环风量（m²/h）：670</w:t>
      </w:r>
    </w:p>
    <w:p>
      <w:pPr>
        <w:widowControl/>
        <w:shd w:val="clear" w:color="auto" w:fill="FFFFFF"/>
        <w:spacing w:line="360" w:lineRule="atLeast"/>
        <w:jc w:val="left"/>
        <w:rPr>
          <w:rFonts w:ascii="Helvetica" w:hAnsi="Helvetica" w:cs="Helvetica"/>
          <w:color w:val="000000" w:themeColor="text1"/>
          <w:kern w:val="0"/>
          <w:szCs w:val="21"/>
        </w:rPr>
      </w:pPr>
      <w:r>
        <w:rPr>
          <w:rFonts w:ascii="Helvetica" w:hAnsi="Helvetica" w:cs="Helvetica"/>
          <w:color w:val="000000" w:themeColor="text1"/>
          <w:kern w:val="0"/>
          <w:szCs w:val="21"/>
        </w:rPr>
        <w:t>电源规格（PH-V-Hz）：1-220-50</w:t>
      </w:r>
    </w:p>
    <w:p>
      <w:pPr>
        <w:rPr>
          <w:color w:val="000000" w:themeColor="text1"/>
        </w:rPr>
      </w:pPr>
      <w:r>
        <w:rPr>
          <w:rFonts w:hint="eastAsia" w:ascii="宋体" w:hAnsi="宋体" w:cs="宋体"/>
          <w:color w:val="000000" w:themeColor="text1"/>
          <w:kern w:val="0"/>
          <w:sz w:val="20"/>
          <w:szCs w:val="20"/>
        </w:rPr>
        <w:t>★</w:t>
      </w:r>
      <w:r>
        <w:rPr>
          <w:rFonts w:hint="eastAsia"/>
          <w:color w:val="000000" w:themeColor="text1"/>
        </w:rPr>
        <w:t>整机10年厂家免费上门质保</w:t>
      </w:r>
    </w:p>
    <w:p>
      <w:pPr>
        <w:rPr>
          <w:color w:val="000000" w:themeColor="text1"/>
        </w:rPr>
      </w:pPr>
      <w:r>
        <w:rPr>
          <w:rFonts w:hint="eastAsia"/>
          <w:color w:val="000000" w:themeColor="text1"/>
        </w:rPr>
        <w:t>注：1、如果没有空调的冷凝水PVC排水管到地面，则需要安装空调冷凝水水管50PVCU到地面排水沟；</w:t>
      </w:r>
    </w:p>
    <w:p>
      <w:pPr>
        <w:rPr>
          <w:color w:val="000000" w:themeColor="text1"/>
        </w:rPr>
      </w:pPr>
      <w:r>
        <w:rPr>
          <w:rFonts w:hint="eastAsia"/>
          <w:color w:val="000000" w:themeColor="text1"/>
        </w:rPr>
        <w:t>2、室外机如果需要支架安装，支架必须是热浸镀锌或者是304不锈钢的国标支架。</w:t>
      </w:r>
    </w:p>
    <w:p>
      <w:pPr>
        <w:rPr>
          <w:color w:val="000000" w:themeColor="text1"/>
        </w:rPr>
      </w:pPr>
    </w:p>
    <w:p>
      <w:pPr>
        <w:ind w:firstLine="354" w:firstLineChars="147"/>
        <w:rPr>
          <w:rFonts w:ascii="宋体" w:hAnsi="宋体"/>
          <w:b/>
          <w:bCs/>
          <w:color w:val="000000" w:themeColor="text1"/>
          <w:sz w:val="24"/>
        </w:rPr>
      </w:pPr>
    </w:p>
    <w:p>
      <w:pPr>
        <w:ind w:firstLine="354" w:firstLineChars="147"/>
        <w:rPr>
          <w:rFonts w:ascii="宋体" w:hAnsi="宋体"/>
          <w:b/>
          <w:bCs/>
          <w:color w:val="000000" w:themeColor="text1"/>
          <w:sz w:val="24"/>
        </w:rPr>
      </w:pPr>
    </w:p>
    <w:p>
      <w:pPr>
        <w:ind w:firstLine="354" w:firstLineChars="147"/>
        <w:rPr>
          <w:rFonts w:ascii="宋体" w:hAnsi="宋体" w:cs="宋体"/>
          <w:b/>
          <w:bCs/>
          <w:color w:val="000000" w:themeColor="text1"/>
          <w:kern w:val="0"/>
          <w:sz w:val="24"/>
        </w:rPr>
      </w:pPr>
      <w:r>
        <w:rPr>
          <w:rFonts w:hint="eastAsia" w:ascii="宋体" w:hAnsi="宋体"/>
          <w:b/>
          <w:bCs/>
          <w:color w:val="000000" w:themeColor="text1"/>
          <w:sz w:val="24"/>
        </w:rPr>
        <w:t>3、</w:t>
      </w:r>
      <w:r>
        <w:rPr>
          <w:rFonts w:hint="eastAsia" w:ascii="宋体" w:hAnsi="宋体" w:cs="宋体"/>
          <w:b/>
          <w:bCs/>
          <w:color w:val="000000" w:themeColor="text1"/>
          <w:kern w:val="0"/>
          <w:sz w:val="24"/>
        </w:rPr>
        <w:t>项目主要执行标准及要求</w:t>
      </w:r>
    </w:p>
    <w:p>
      <w:pPr>
        <w:ind w:firstLine="352" w:firstLineChars="147"/>
        <w:rPr>
          <w:rFonts w:ascii="宋体" w:hAnsi="宋体"/>
          <w:color w:val="000000" w:themeColor="text1"/>
          <w:sz w:val="24"/>
        </w:rPr>
      </w:pPr>
      <w:r>
        <w:rPr>
          <w:rFonts w:hint="eastAsia" w:ascii="宋体" w:hAnsi="宋体"/>
          <w:color w:val="000000" w:themeColor="text1"/>
          <w:sz w:val="24"/>
        </w:rPr>
        <w:t>（1）设计规范：《中小学校设计规范》GB50099-2011、《浙江省中小学教育技术装备标准》</w:t>
      </w:r>
    </w:p>
    <w:p>
      <w:pPr>
        <w:ind w:firstLine="352" w:firstLineChars="147"/>
        <w:rPr>
          <w:rFonts w:ascii="宋体" w:hAnsi="宋体"/>
          <w:color w:val="000000" w:themeColor="text1"/>
          <w:sz w:val="24"/>
        </w:rPr>
      </w:pPr>
      <w:r>
        <w:rPr>
          <w:rFonts w:hint="eastAsia" w:ascii="宋体" w:hAnsi="宋体"/>
          <w:color w:val="000000" w:themeColor="text1"/>
          <w:sz w:val="24"/>
        </w:rPr>
        <w:t>（2）教学仪器设备产品的标准：JY0001-2003</w:t>
      </w:r>
    </w:p>
    <w:p>
      <w:pPr>
        <w:ind w:firstLine="352" w:firstLineChars="147"/>
        <w:rPr>
          <w:rFonts w:ascii="宋体" w:hAnsi="宋体"/>
          <w:color w:val="000000" w:themeColor="text1"/>
          <w:sz w:val="24"/>
        </w:rPr>
      </w:pPr>
      <w:r>
        <w:rPr>
          <w:rFonts w:hint="eastAsia" w:ascii="宋体" w:hAnsi="宋体"/>
          <w:color w:val="000000" w:themeColor="text1"/>
          <w:sz w:val="24"/>
        </w:rPr>
        <w:t>（3）实验台：GB 24820-2009《实验室家具通用技术条件》  GB 18584-2001《室内装饰装修材料木家具中有害物质限量》  GB/T  10357.1《家具力学性能实验 第一部分：桌类强度和耐久性》</w:t>
      </w:r>
    </w:p>
    <w:p>
      <w:pPr>
        <w:ind w:firstLine="352" w:firstLineChars="147"/>
        <w:rPr>
          <w:rFonts w:ascii="宋体" w:hAnsi="宋体"/>
          <w:color w:val="000000" w:themeColor="text1"/>
          <w:sz w:val="24"/>
        </w:rPr>
      </w:pPr>
      <w:r>
        <w:rPr>
          <w:rFonts w:hint="eastAsia" w:ascii="宋体" w:hAnsi="宋体"/>
          <w:color w:val="000000" w:themeColor="text1"/>
          <w:sz w:val="24"/>
        </w:rPr>
        <w:t>（4）实验凳：QB/T  2280-2016《办公家具、办公椅》</w:t>
      </w:r>
    </w:p>
    <w:p>
      <w:pPr>
        <w:ind w:firstLine="352" w:firstLineChars="147"/>
        <w:rPr>
          <w:rFonts w:ascii="宋体" w:hAnsi="宋体"/>
          <w:color w:val="000000" w:themeColor="text1"/>
          <w:sz w:val="24"/>
        </w:rPr>
      </w:pPr>
      <w:r>
        <w:rPr>
          <w:rFonts w:hint="eastAsia" w:ascii="宋体" w:hAnsi="宋体"/>
          <w:color w:val="000000" w:themeColor="text1"/>
          <w:sz w:val="24"/>
        </w:rPr>
        <w:t>（5）水槽柜：GB/T 32487-2016 《塑料家具通用技术条件》</w:t>
      </w:r>
    </w:p>
    <w:p>
      <w:pPr>
        <w:ind w:firstLine="352" w:firstLineChars="147"/>
        <w:rPr>
          <w:rFonts w:ascii="宋体" w:hAnsi="宋体"/>
          <w:color w:val="000000" w:themeColor="text1"/>
          <w:sz w:val="24"/>
        </w:rPr>
      </w:pPr>
      <w:r>
        <w:rPr>
          <w:rFonts w:hint="eastAsia" w:ascii="宋体" w:hAnsi="宋体"/>
          <w:color w:val="000000" w:themeColor="text1"/>
          <w:sz w:val="24"/>
        </w:rPr>
        <w:t>（6）理化板台面：GB/T 17657《人造板及饰面人造理化板理化性能试验方法》</w:t>
      </w:r>
    </w:p>
    <w:p>
      <w:pPr>
        <w:ind w:firstLine="352" w:firstLineChars="147"/>
        <w:rPr>
          <w:rFonts w:ascii="宋体" w:hAnsi="宋体"/>
          <w:color w:val="000000" w:themeColor="text1"/>
          <w:sz w:val="24"/>
        </w:rPr>
      </w:pPr>
      <w:r>
        <w:rPr>
          <w:rFonts w:hint="eastAsia" w:ascii="宋体" w:hAnsi="宋体"/>
          <w:color w:val="000000" w:themeColor="text1"/>
          <w:sz w:val="24"/>
        </w:rPr>
        <w:t>（7）陶瓷台面</w:t>
      </w:r>
    </w:p>
    <w:p>
      <w:pPr>
        <w:ind w:firstLine="352" w:firstLineChars="147"/>
        <w:rPr>
          <w:rFonts w:ascii="宋体" w:hAnsi="宋体"/>
          <w:color w:val="000000" w:themeColor="text1"/>
          <w:sz w:val="24"/>
        </w:rPr>
      </w:pPr>
      <w:r>
        <w:rPr>
          <w:rFonts w:hint="eastAsia" w:ascii="宋体" w:hAnsi="宋体"/>
          <w:color w:val="000000" w:themeColor="text1"/>
          <w:sz w:val="24"/>
        </w:rPr>
        <w:t>抗菌性能要求：参照JC/T 897-2014检测标准，肺炎克雷伯氏菌的检测值≥ 99.13%。</w:t>
      </w:r>
    </w:p>
    <w:p>
      <w:pPr>
        <w:ind w:firstLine="352" w:firstLineChars="147"/>
        <w:rPr>
          <w:rFonts w:ascii="宋体" w:hAnsi="宋体"/>
          <w:color w:val="000000" w:themeColor="text1"/>
          <w:sz w:val="24"/>
        </w:rPr>
      </w:pPr>
      <w:r>
        <w:rPr>
          <w:rFonts w:hint="eastAsia" w:ascii="宋体" w:hAnsi="宋体"/>
          <w:color w:val="000000" w:themeColor="text1"/>
          <w:sz w:val="24"/>
        </w:rPr>
        <w:t>抗急冷急热性：参照JC/T 872标准，标准要求为无裂隙。</w:t>
      </w:r>
    </w:p>
    <w:p>
      <w:pPr>
        <w:ind w:firstLine="352" w:firstLineChars="147"/>
        <w:rPr>
          <w:rFonts w:ascii="宋体" w:hAnsi="宋体"/>
          <w:color w:val="000000" w:themeColor="text1"/>
          <w:sz w:val="24"/>
        </w:rPr>
      </w:pPr>
      <w:r>
        <w:rPr>
          <w:rFonts w:hint="eastAsia" w:ascii="宋体" w:hAnsi="宋体"/>
          <w:color w:val="000000" w:themeColor="text1"/>
          <w:sz w:val="24"/>
        </w:rPr>
        <w:t>抗落球冲击：参照GB/T26696-2011的检测标准，325g钢球，落差≥500mm，无裂痕和破损。</w:t>
      </w:r>
    </w:p>
    <w:p>
      <w:pPr>
        <w:ind w:firstLine="352" w:firstLineChars="147"/>
        <w:rPr>
          <w:rFonts w:ascii="宋体" w:hAnsi="宋体"/>
          <w:color w:val="000000" w:themeColor="text1"/>
          <w:sz w:val="24"/>
        </w:rPr>
      </w:pPr>
      <w:r>
        <w:rPr>
          <w:rFonts w:hint="eastAsia" w:ascii="宋体" w:hAnsi="宋体"/>
          <w:color w:val="000000" w:themeColor="text1"/>
          <w:sz w:val="24"/>
        </w:rPr>
        <w:t>重金属含量要求：参照GB/T 3810.15-2016标准，铅、镉溶出量为未检出。</w:t>
      </w:r>
    </w:p>
    <w:p>
      <w:pPr>
        <w:ind w:firstLine="352" w:firstLineChars="147"/>
        <w:rPr>
          <w:rFonts w:ascii="宋体" w:hAnsi="宋体"/>
          <w:color w:val="000000" w:themeColor="text1"/>
          <w:sz w:val="24"/>
        </w:rPr>
      </w:pPr>
      <w:r>
        <w:rPr>
          <w:rFonts w:hint="eastAsia" w:ascii="宋体" w:hAnsi="宋体"/>
          <w:color w:val="000000" w:themeColor="text1"/>
          <w:sz w:val="24"/>
        </w:rPr>
        <w:t>（8）木质家具：GB/T3324《木家具通用技术条件》</w:t>
      </w:r>
    </w:p>
    <w:p>
      <w:pPr>
        <w:ind w:firstLine="352" w:firstLineChars="147"/>
        <w:rPr>
          <w:rFonts w:ascii="宋体" w:hAnsi="宋体"/>
          <w:color w:val="000000" w:themeColor="text1"/>
          <w:sz w:val="24"/>
        </w:rPr>
      </w:pPr>
      <w:r>
        <w:rPr>
          <w:rFonts w:hint="eastAsia" w:ascii="宋体" w:hAnsi="宋体"/>
          <w:color w:val="000000" w:themeColor="text1"/>
          <w:sz w:val="24"/>
        </w:rPr>
        <w:t>（9）木器漆GB 24410《室内装饰装修材料 水性木器涂料中有害物质限量》</w:t>
      </w:r>
    </w:p>
    <w:p>
      <w:pPr>
        <w:ind w:firstLine="352" w:firstLineChars="147"/>
        <w:rPr>
          <w:rFonts w:ascii="宋体" w:hAnsi="宋体"/>
          <w:color w:val="000000" w:themeColor="text1"/>
          <w:sz w:val="24"/>
        </w:rPr>
      </w:pPr>
      <w:r>
        <w:rPr>
          <w:rFonts w:hint="eastAsia" w:ascii="宋体" w:hAnsi="宋体"/>
          <w:color w:val="000000" w:themeColor="text1"/>
          <w:sz w:val="24"/>
        </w:rPr>
        <w:t>（10）钢板烤漆： 表面硬度附着力、耐腐蚀性符合国家GB/T3668-200X标准</w:t>
      </w:r>
    </w:p>
    <w:p>
      <w:pPr>
        <w:ind w:firstLine="352" w:firstLineChars="147"/>
        <w:rPr>
          <w:rFonts w:ascii="宋体" w:hAnsi="宋体"/>
          <w:color w:val="000000" w:themeColor="text1"/>
          <w:sz w:val="24"/>
        </w:rPr>
      </w:pPr>
      <w:r>
        <w:rPr>
          <w:rFonts w:hint="eastAsia" w:ascii="宋体" w:hAnsi="宋体"/>
          <w:color w:val="000000" w:themeColor="text1"/>
          <w:sz w:val="24"/>
        </w:rPr>
        <w:t>（11）强弱电： 符合国家GB/T5023标准（IDT IEC 60227）</w:t>
      </w:r>
    </w:p>
    <w:p>
      <w:pPr>
        <w:ind w:firstLine="352" w:firstLineChars="147"/>
        <w:rPr>
          <w:rFonts w:ascii="宋体" w:hAnsi="宋体"/>
          <w:color w:val="000000" w:themeColor="text1"/>
          <w:sz w:val="24"/>
        </w:rPr>
      </w:pPr>
      <w:r>
        <w:rPr>
          <w:rFonts w:hint="eastAsia" w:ascii="宋体" w:hAnsi="宋体"/>
          <w:color w:val="000000" w:themeColor="text1"/>
          <w:sz w:val="24"/>
        </w:rPr>
        <w:t>（12）灯光：符合GB/T 9468-2008的标准检测、《中小学校护眼灯光改造工程技术规范》、吊装安装 符合国家标准：JB/ZQ4763-2006。</w:t>
      </w:r>
    </w:p>
    <w:p>
      <w:pPr>
        <w:ind w:firstLine="352" w:firstLineChars="147"/>
        <w:rPr>
          <w:rFonts w:ascii="宋体" w:hAnsi="宋体"/>
          <w:color w:val="000000" w:themeColor="text1"/>
          <w:sz w:val="24"/>
        </w:rPr>
      </w:pPr>
      <w:r>
        <w:rPr>
          <w:rFonts w:hint="eastAsia" w:ascii="宋体" w:hAnsi="宋体"/>
          <w:color w:val="000000" w:themeColor="text1"/>
          <w:sz w:val="24"/>
        </w:rPr>
        <w:t>（13）GB 17790-2008 家用和类似用途空调器安装规范</w:t>
      </w:r>
    </w:p>
    <w:p>
      <w:pPr>
        <w:ind w:firstLine="352" w:firstLineChars="147"/>
        <w:rPr>
          <w:rFonts w:ascii="宋体" w:hAnsi="宋体"/>
          <w:color w:val="000000" w:themeColor="text1"/>
          <w:sz w:val="24"/>
        </w:rPr>
      </w:pPr>
      <w:r>
        <w:rPr>
          <w:rFonts w:hint="eastAsia" w:ascii="宋体" w:hAnsi="宋体"/>
          <w:color w:val="000000" w:themeColor="text1"/>
          <w:sz w:val="24"/>
        </w:rPr>
        <w:t>（14）售后服务：GB/T27922-2011《商品售后服务评价体系》</w:t>
      </w:r>
    </w:p>
    <w:p>
      <w:pPr>
        <w:ind w:firstLine="352" w:firstLineChars="147"/>
        <w:rPr>
          <w:rFonts w:ascii="宋体" w:hAnsi="宋体"/>
          <w:color w:val="000000" w:themeColor="text1"/>
          <w:sz w:val="24"/>
        </w:rPr>
      </w:pPr>
      <w:r>
        <w:rPr>
          <w:rFonts w:hint="eastAsia" w:ascii="宋体" w:hAnsi="宋体"/>
          <w:color w:val="000000" w:themeColor="text1"/>
          <w:sz w:val="24"/>
        </w:rPr>
        <w:t>4、 综合布线</w:t>
      </w:r>
    </w:p>
    <w:p>
      <w:pPr>
        <w:ind w:firstLine="352" w:firstLineChars="147"/>
        <w:rPr>
          <w:rFonts w:ascii="宋体" w:hAnsi="宋体"/>
          <w:color w:val="000000" w:themeColor="text1"/>
          <w:sz w:val="24"/>
        </w:rPr>
      </w:pPr>
      <w:r>
        <w:rPr>
          <w:rFonts w:hint="eastAsia" w:ascii="宋体" w:hAnsi="宋体"/>
          <w:color w:val="000000" w:themeColor="text1"/>
          <w:sz w:val="24"/>
        </w:rPr>
        <w:t>室内电源应设总控开关，设备系统、空调、照明和电源插座用电应分路设计和分别控制。室内的电力线和信号线敷设应按标准分开,每只空调安装位置合适的位置配置明装配电箱。</w:t>
      </w:r>
    </w:p>
    <w:p>
      <w:pPr>
        <w:ind w:firstLine="352" w:firstLineChars="147"/>
        <w:rPr>
          <w:rFonts w:ascii="宋体" w:hAnsi="宋体"/>
          <w:color w:val="000000" w:themeColor="text1"/>
          <w:sz w:val="24"/>
        </w:rPr>
      </w:pPr>
      <w:r>
        <w:rPr>
          <w:rFonts w:hint="eastAsia" w:ascii="宋体" w:hAnsi="宋体"/>
          <w:color w:val="000000" w:themeColor="text1"/>
          <w:sz w:val="24"/>
        </w:rPr>
        <w:t>5、 供电</w:t>
      </w:r>
    </w:p>
    <w:p>
      <w:pPr>
        <w:ind w:firstLine="352" w:firstLineChars="147"/>
        <w:rPr>
          <w:rFonts w:ascii="宋体" w:hAnsi="宋体"/>
          <w:color w:val="000000" w:themeColor="text1"/>
          <w:sz w:val="24"/>
        </w:rPr>
      </w:pPr>
      <w:r>
        <w:rPr>
          <w:rFonts w:hint="eastAsia" w:ascii="宋体" w:hAnsi="宋体"/>
          <w:color w:val="000000" w:themeColor="text1"/>
          <w:sz w:val="24"/>
        </w:rPr>
        <w:t>教室电气线路应采用防火要求的暗敷配线方式，安装剩余电流（漏电）保护器。供电电源额定总容量（设备系统的用电容量）应不小于设备总功率的</w:t>
      </w:r>
      <w:r>
        <w:rPr>
          <w:rFonts w:ascii="宋体" w:hAnsi="宋体"/>
          <w:color w:val="000000" w:themeColor="text1"/>
          <w:sz w:val="24"/>
        </w:rPr>
        <w:t>1.5</w:t>
      </w:r>
      <w:r>
        <w:rPr>
          <w:rFonts w:hint="eastAsia" w:ascii="宋体" w:hAnsi="宋体"/>
          <w:color w:val="000000" w:themeColor="text1"/>
          <w:sz w:val="24"/>
        </w:rPr>
        <w:t>～</w:t>
      </w:r>
      <w:r>
        <w:rPr>
          <w:rFonts w:ascii="宋体" w:hAnsi="宋体"/>
          <w:color w:val="000000" w:themeColor="text1"/>
          <w:sz w:val="24"/>
        </w:rPr>
        <w:t>2</w:t>
      </w:r>
      <w:r>
        <w:rPr>
          <w:rFonts w:hint="eastAsia" w:ascii="宋体" w:hAnsi="宋体"/>
          <w:color w:val="000000" w:themeColor="text1"/>
          <w:sz w:val="24"/>
        </w:rPr>
        <w:t>倍。</w:t>
      </w:r>
    </w:p>
    <w:p>
      <w:pPr>
        <w:numPr>
          <w:ilvl w:val="0"/>
          <w:numId w:val="13"/>
        </w:numPr>
        <w:ind w:firstLine="352" w:firstLineChars="147"/>
        <w:rPr>
          <w:rFonts w:ascii="宋体" w:hAnsi="宋体"/>
          <w:color w:val="000000" w:themeColor="text1"/>
          <w:sz w:val="24"/>
        </w:rPr>
      </w:pPr>
      <w:r>
        <w:rPr>
          <w:rFonts w:hint="eastAsia" w:ascii="宋体" w:hAnsi="宋体"/>
          <w:color w:val="000000" w:themeColor="text1"/>
          <w:sz w:val="24"/>
        </w:rPr>
        <w:t>接地</w:t>
      </w:r>
    </w:p>
    <w:p>
      <w:pPr>
        <w:ind w:firstLine="352" w:firstLineChars="147"/>
        <w:rPr>
          <w:rFonts w:ascii="宋体" w:hAnsi="宋体"/>
          <w:color w:val="000000" w:themeColor="text1"/>
          <w:sz w:val="24"/>
        </w:rPr>
      </w:pPr>
      <w:r>
        <w:rPr>
          <w:rFonts w:hint="eastAsia" w:ascii="宋体" w:hAnsi="宋体"/>
          <w:color w:val="000000" w:themeColor="text1"/>
          <w:sz w:val="24"/>
        </w:rPr>
        <w:t>教室应有可靠的保护接地线，接地电阻应不大于4Ω。</w:t>
      </w:r>
    </w:p>
    <w:p>
      <w:pPr>
        <w:ind w:firstLine="352" w:firstLineChars="147"/>
        <w:rPr>
          <w:rFonts w:ascii="宋体" w:hAnsi="宋体"/>
          <w:color w:val="000000" w:themeColor="text1"/>
          <w:sz w:val="24"/>
        </w:rPr>
      </w:pPr>
      <w:r>
        <w:rPr>
          <w:rFonts w:hint="eastAsia" w:ascii="宋体" w:hAnsi="宋体"/>
          <w:color w:val="000000" w:themeColor="text1"/>
          <w:sz w:val="24"/>
        </w:rPr>
        <w:t>7、 消防</w:t>
      </w:r>
    </w:p>
    <w:p>
      <w:pPr>
        <w:ind w:firstLine="352" w:firstLineChars="147"/>
        <w:rPr>
          <w:rFonts w:ascii="宋体" w:hAnsi="宋体"/>
          <w:color w:val="000000" w:themeColor="text1"/>
          <w:sz w:val="24"/>
        </w:rPr>
      </w:pPr>
      <w:r>
        <w:rPr>
          <w:rFonts w:hint="eastAsia" w:ascii="宋体" w:hAnsi="宋体"/>
          <w:color w:val="000000" w:themeColor="text1"/>
          <w:sz w:val="24"/>
        </w:rPr>
        <w:t>应备有效的消防（防火、防潮、防盗等）设施。</w:t>
      </w:r>
    </w:p>
    <w:p>
      <w:pPr>
        <w:ind w:left="309" w:leftChars="147"/>
        <w:rPr>
          <w:rFonts w:ascii="宋体" w:hAnsi="宋体"/>
          <w:color w:val="000000" w:themeColor="text1"/>
          <w:sz w:val="24"/>
        </w:rPr>
      </w:pPr>
      <w:r>
        <w:rPr>
          <w:rFonts w:hint="eastAsia" w:ascii="宋体" w:hAnsi="宋体"/>
          <w:color w:val="000000" w:themeColor="text1"/>
          <w:sz w:val="24"/>
        </w:rPr>
        <w:t>8、照明</w:t>
      </w:r>
    </w:p>
    <w:p>
      <w:pPr>
        <w:ind w:firstLine="352" w:firstLineChars="147"/>
        <w:rPr>
          <w:rFonts w:ascii="宋体" w:hAnsi="宋体"/>
          <w:color w:val="000000" w:themeColor="text1"/>
          <w:sz w:val="24"/>
        </w:rPr>
      </w:pPr>
      <w:bookmarkStart w:id="23" w:name="_Hlk59438676"/>
      <w:r>
        <w:rPr>
          <w:rFonts w:hint="eastAsia" w:ascii="宋体" w:hAnsi="宋体"/>
          <w:color w:val="000000" w:themeColor="text1"/>
          <w:sz w:val="24"/>
        </w:rPr>
        <w:t>应</w:t>
      </w:r>
      <w:r>
        <w:rPr>
          <w:rFonts w:ascii="宋体" w:hAnsi="宋体"/>
          <w:color w:val="000000" w:themeColor="text1"/>
          <w:sz w:val="24"/>
        </w:rPr>
        <w:t>采用</w:t>
      </w:r>
      <w:r>
        <w:rPr>
          <w:rFonts w:hint="eastAsia" w:ascii="宋体" w:hAnsi="宋体"/>
          <w:color w:val="000000" w:themeColor="text1"/>
          <w:sz w:val="24"/>
        </w:rPr>
        <w:t>冷光源，灯光</w:t>
      </w:r>
      <w:r>
        <w:rPr>
          <w:rFonts w:ascii="宋体" w:hAnsi="宋体"/>
          <w:color w:val="000000" w:themeColor="text1"/>
          <w:sz w:val="24"/>
        </w:rPr>
        <w:t>色温宜采用3300K～5500K，显色指数不宜低于80</w:t>
      </w:r>
      <w:r>
        <w:rPr>
          <w:rFonts w:hint="eastAsia" w:ascii="宋体" w:hAnsi="宋体"/>
          <w:color w:val="000000" w:themeColor="text1"/>
          <w:sz w:val="24"/>
        </w:rPr>
        <w:t>。</w:t>
      </w:r>
    </w:p>
    <w:p>
      <w:pPr>
        <w:ind w:firstLine="352" w:firstLineChars="147"/>
        <w:rPr>
          <w:rFonts w:ascii="宋体" w:hAnsi="宋体"/>
          <w:color w:val="000000" w:themeColor="text1"/>
          <w:sz w:val="24"/>
        </w:rPr>
      </w:pPr>
      <w:r>
        <w:rPr>
          <w:rFonts w:hint="eastAsia" w:ascii="宋体" w:hAnsi="宋体"/>
          <w:color w:val="000000" w:themeColor="text1"/>
          <w:sz w:val="24"/>
        </w:rPr>
        <w:t>教室课桌面上的维持平均照度应不低于300lx，其照度均匀度不低于0.7。</w:t>
      </w:r>
    </w:p>
    <w:p>
      <w:pPr>
        <w:ind w:firstLine="352" w:firstLineChars="147"/>
        <w:rPr>
          <w:rFonts w:ascii="宋体" w:hAnsi="宋体"/>
          <w:color w:val="000000" w:themeColor="text1"/>
          <w:sz w:val="24"/>
        </w:rPr>
      </w:pPr>
      <w:r>
        <w:rPr>
          <w:rFonts w:hint="eastAsia" w:ascii="宋体" w:hAnsi="宋体"/>
          <w:color w:val="000000" w:themeColor="text1"/>
          <w:sz w:val="24"/>
        </w:rPr>
        <w:t>教室黑板应设局部照明灯，其维持平均照度应不低于500lx，照度均匀度不低于0.7。</w:t>
      </w:r>
      <w:bookmarkEnd w:id="23"/>
    </w:p>
    <w:p>
      <w:pPr>
        <w:ind w:firstLine="352" w:firstLineChars="147"/>
        <w:rPr>
          <w:rFonts w:ascii="宋体" w:hAnsi="宋体"/>
          <w:color w:val="000000" w:themeColor="text1"/>
          <w:sz w:val="24"/>
        </w:rPr>
      </w:pPr>
      <w:r>
        <w:rPr>
          <w:rFonts w:hint="eastAsia" w:ascii="宋体" w:hAnsi="宋体"/>
          <w:color w:val="000000" w:themeColor="text1"/>
          <w:sz w:val="24"/>
        </w:rPr>
        <w:t>9、环保</w:t>
      </w:r>
    </w:p>
    <w:p>
      <w:pPr>
        <w:ind w:firstLine="352" w:firstLineChars="147"/>
        <w:rPr>
          <w:rFonts w:ascii="宋体" w:hAnsi="宋体"/>
          <w:color w:val="000000" w:themeColor="text1"/>
          <w:sz w:val="24"/>
        </w:rPr>
      </w:pPr>
      <w:r>
        <w:rPr>
          <w:rFonts w:hint="eastAsia" w:ascii="宋体" w:hAnsi="宋体"/>
          <w:color w:val="000000" w:themeColor="text1"/>
          <w:sz w:val="24"/>
        </w:rPr>
        <w:t>新建、改建、扩建实验室及附属用房时，甲醛、苯、氡等有害气体和放射性污染应符合相关标准中的限量值。</w:t>
      </w:r>
    </w:p>
    <w:p>
      <w:pPr>
        <w:ind w:firstLine="352" w:firstLineChars="147"/>
        <w:rPr>
          <w:rFonts w:ascii="宋体" w:hAnsi="宋体"/>
          <w:color w:val="000000" w:themeColor="text1"/>
          <w:sz w:val="24"/>
        </w:rPr>
      </w:pPr>
      <w:r>
        <w:rPr>
          <w:rFonts w:hint="eastAsia" w:ascii="宋体" w:hAnsi="宋体"/>
          <w:color w:val="000000" w:themeColor="text1"/>
          <w:sz w:val="24"/>
        </w:rPr>
        <w:t>10、</w:t>
      </w:r>
      <w:r>
        <w:rPr>
          <w:rFonts w:ascii="宋体" w:hAnsi="宋体"/>
          <w:color w:val="000000" w:themeColor="text1"/>
          <w:sz w:val="24"/>
        </w:rPr>
        <w:t xml:space="preserve"> 本项目为交钥匙工程。本次报价方式为总价包干，此报价应包括本项目整个服务期所需的一切货物、人工、售后服务、交通运输、</w:t>
      </w:r>
      <w:r>
        <w:rPr>
          <w:rFonts w:hint="eastAsia" w:ascii="宋体" w:hAnsi="宋体"/>
          <w:color w:val="000000" w:themeColor="text1"/>
          <w:sz w:val="24"/>
        </w:rPr>
        <w:t>保险、</w:t>
      </w:r>
      <w:r>
        <w:rPr>
          <w:rFonts w:ascii="宋体" w:hAnsi="宋体"/>
          <w:color w:val="000000" w:themeColor="text1"/>
          <w:sz w:val="24"/>
        </w:rPr>
        <w:t>利润、税金（包含须由投标人承担的各种税费）、其它需投标人承担的费用及潜在可能涉及的一切费用。未计入报价而应该发生的费用的，视为已含在其他分项投标报价中。投标人应认真计算可能发生的各相关费用并计入投标报价内，在项目实施过程中不得藉此要求增加任何费用。</w:t>
      </w:r>
    </w:p>
    <w:p>
      <w:pPr>
        <w:ind w:firstLine="352" w:firstLineChars="147"/>
        <w:rPr>
          <w:rFonts w:ascii="宋体" w:hAnsi="宋体"/>
          <w:color w:val="000000" w:themeColor="text1"/>
          <w:sz w:val="24"/>
        </w:rPr>
      </w:pPr>
      <w:r>
        <w:rPr>
          <w:rFonts w:hint="eastAsia" w:ascii="宋体" w:hAnsi="宋体"/>
          <w:color w:val="000000" w:themeColor="text1"/>
          <w:sz w:val="24"/>
        </w:rPr>
        <w:t>11、投标方所投设备安装和服务必须按照招标文件要求同时把无线AP、录播、监控等系统分别集成为一个系统平台，无线AP必须与学校原有的AP系统完全兼容，录播系统需要在学校总机房服务器上配置有关平台，使全校的精品录播及常态录播的资源上传至平台并能够在全校局域网内分享，同时每个录播教室均可在全校局域网内高清直播，平台至少能够达到200个观看端，可实时分享到外网上。监控系统必须集成到学校原有的监控系统中，与原有的监控系统完全兼容。本项目的所有软、硬件(如线缆、软件、硬件模块等，包括未列出而系统实施又必需的软件、硬件)需配齐以构成一套完整实用系统，如有任何遗漏，由中标人补齐。</w:t>
      </w:r>
    </w:p>
    <w:p>
      <w:pPr>
        <w:pStyle w:val="62"/>
        <w:ind w:left="273" w:firstLine="0" w:firstLineChars="0"/>
        <w:rPr>
          <w:color w:val="000000" w:themeColor="text1"/>
        </w:rPr>
      </w:pPr>
      <w:r>
        <w:rPr>
          <w:rFonts w:hint="eastAsia" w:ascii="FangSong_GB2312" w:hAnsi="Courier New" w:eastAsia="FangSong_GB2312"/>
          <w:b/>
          <w:color w:val="000000" w:themeColor="text1"/>
          <w:sz w:val="32"/>
        </w:rPr>
        <w:t>二、</w:t>
      </w:r>
      <w:r>
        <w:rPr>
          <w:rFonts w:hint="eastAsia" w:ascii="FangSong_GB2312" w:hAnsi="Courier New" w:eastAsia="FangSong_GB2312"/>
          <w:b/>
          <w:color w:val="000000" w:themeColor="text1"/>
          <w:sz w:val="32"/>
          <w:szCs w:val="24"/>
        </w:rPr>
        <w:t>商务需求</w:t>
      </w:r>
    </w:p>
    <w:tbl>
      <w:tblPr>
        <w:tblStyle w:val="3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7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980" w:type="dxa"/>
            <w:vAlign w:val="center"/>
          </w:tcPr>
          <w:p>
            <w:pPr>
              <w:jc w:val="center"/>
              <w:rPr>
                <w:color w:val="000000" w:themeColor="text1"/>
                <w:sz w:val="24"/>
              </w:rPr>
            </w:pPr>
            <w:r>
              <w:rPr>
                <w:rFonts w:hint="eastAsia"/>
                <w:color w:val="000000" w:themeColor="text1"/>
                <w:sz w:val="24"/>
              </w:rPr>
              <w:t>质量要求</w:t>
            </w:r>
          </w:p>
        </w:tc>
        <w:tc>
          <w:tcPr>
            <w:tcW w:w="7234" w:type="dxa"/>
          </w:tcPr>
          <w:p>
            <w:pPr>
              <w:jc w:val="left"/>
              <w:rPr>
                <w:color w:val="000000" w:themeColor="text1"/>
                <w:sz w:val="24"/>
              </w:rPr>
            </w:pPr>
            <w:r>
              <w:rPr>
                <w:rFonts w:hint="eastAsia"/>
                <w:color w:val="000000" w:themeColor="text1"/>
                <w:sz w:val="24"/>
              </w:rPr>
              <w:t>产品必须是符合国家技术规格和质量标准的全新的原厂原包装合格产品。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980" w:type="dxa"/>
            <w:vAlign w:val="center"/>
          </w:tcPr>
          <w:p>
            <w:pPr>
              <w:jc w:val="center"/>
              <w:rPr>
                <w:color w:val="000000" w:themeColor="text1"/>
                <w:sz w:val="24"/>
              </w:rPr>
            </w:pPr>
            <w:r>
              <w:rPr>
                <w:rFonts w:hint="eastAsia"/>
                <w:color w:val="000000" w:themeColor="text1"/>
                <w:sz w:val="24"/>
              </w:rPr>
              <w:t>保修期</w:t>
            </w:r>
          </w:p>
        </w:tc>
        <w:tc>
          <w:tcPr>
            <w:tcW w:w="7234" w:type="dxa"/>
          </w:tcPr>
          <w:p>
            <w:pPr>
              <w:jc w:val="left"/>
              <w:rPr>
                <w:color w:val="000000" w:themeColor="text1"/>
                <w:sz w:val="24"/>
              </w:rPr>
            </w:pPr>
            <w:r>
              <w:rPr>
                <w:rFonts w:ascii="宋体" w:hAnsi="宋体"/>
                <w:color w:val="000000" w:themeColor="text1"/>
                <w:sz w:val="24"/>
                <w:szCs w:val="21"/>
              </w:rPr>
              <w:t>验收合格</w:t>
            </w:r>
            <w:r>
              <w:rPr>
                <w:rFonts w:hint="eastAsia" w:ascii="宋体" w:hAnsi="宋体"/>
                <w:color w:val="000000" w:themeColor="text1"/>
                <w:sz w:val="24"/>
                <w:szCs w:val="21"/>
              </w:rPr>
              <w:t>后，整体质保期为3年。（具体产品保修期见招标需求）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980" w:type="dxa"/>
            <w:vAlign w:val="center"/>
          </w:tcPr>
          <w:p>
            <w:pPr>
              <w:jc w:val="center"/>
              <w:rPr>
                <w:color w:val="000000" w:themeColor="text1"/>
                <w:sz w:val="24"/>
              </w:rPr>
            </w:pPr>
            <w:r>
              <w:rPr>
                <w:rFonts w:hint="eastAsia"/>
                <w:color w:val="000000" w:themeColor="text1"/>
                <w:sz w:val="24"/>
              </w:rPr>
              <w:t>售后服务要求</w:t>
            </w:r>
          </w:p>
        </w:tc>
        <w:tc>
          <w:tcPr>
            <w:tcW w:w="7234" w:type="dxa"/>
          </w:tcPr>
          <w:p>
            <w:pPr>
              <w:jc w:val="left"/>
              <w:rPr>
                <w:color w:val="000000" w:themeColor="text1"/>
                <w:sz w:val="24"/>
              </w:rPr>
            </w:pPr>
            <w:r>
              <w:rPr>
                <w:rFonts w:hint="eastAsia"/>
                <w:color w:val="000000" w:themeColor="text1"/>
                <w:sz w:val="24"/>
              </w:rPr>
              <w:t>三年内免费上门服务；其他按国家有关要求执行。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980" w:type="dxa"/>
            <w:vAlign w:val="center"/>
          </w:tcPr>
          <w:p>
            <w:pPr>
              <w:jc w:val="center"/>
              <w:rPr>
                <w:color w:val="000000" w:themeColor="text1"/>
                <w:sz w:val="24"/>
              </w:rPr>
            </w:pPr>
            <w:r>
              <w:rPr>
                <w:rFonts w:hint="eastAsia"/>
                <w:color w:val="000000" w:themeColor="text1"/>
                <w:sz w:val="24"/>
              </w:rPr>
              <w:t>验收标准</w:t>
            </w:r>
          </w:p>
        </w:tc>
        <w:tc>
          <w:tcPr>
            <w:tcW w:w="7234" w:type="dxa"/>
          </w:tcPr>
          <w:p>
            <w:pPr>
              <w:jc w:val="left"/>
              <w:rPr>
                <w:color w:val="000000" w:themeColor="text1"/>
                <w:sz w:val="24"/>
              </w:rPr>
            </w:pPr>
            <w:r>
              <w:rPr>
                <w:color w:val="000000" w:themeColor="text1"/>
                <w:sz w:val="24"/>
              </w:rPr>
              <w:t xml:space="preserve">1. </w:t>
            </w:r>
            <w:r>
              <w:rPr>
                <w:rFonts w:hint="eastAsia"/>
                <w:color w:val="000000" w:themeColor="text1"/>
                <w:sz w:val="24"/>
              </w:rPr>
              <w:t>供货方应提供货物的有效检验材料，经采购人认可后，与招标文件的技术指标一起作为验收标准。采购人组织专家组对货物验收，验收中发现达不到验收标准或招标文件规定的技术指标，卖方必须更换，并负担由此给用户造成的损失，直到验收合格为止。</w:t>
            </w:r>
          </w:p>
          <w:p>
            <w:pPr>
              <w:jc w:val="left"/>
              <w:rPr>
                <w:color w:val="000000" w:themeColor="text1"/>
                <w:sz w:val="24"/>
              </w:rPr>
            </w:pPr>
            <w:r>
              <w:rPr>
                <w:color w:val="000000" w:themeColor="text1"/>
                <w:sz w:val="24"/>
              </w:rPr>
              <w:t xml:space="preserve">2. </w:t>
            </w:r>
            <w:r>
              <w:rPr>
                <w:rFonts w:hint="eastAsia"/>
                <w:color w:val="000000" w:themeColor="text1"/>
                <w:sz w:val="24"/>
              </w:rPr>
              <w:t>投标方应于投标书中提供验收标准和检测办法，并在验收中提供买方认可的相应检测手段，验收标准应符合中国有关的国家、地方、行业的标准，如若中标，经买方确认后作为验收的依据。</w:t>
            </w:r>
          </w:p>
          <w:p>
            <w:pPr>
              <w:jc w:val="left"/>
              <w:rPr>
                <w:color w:val="000000" w:themeColor="text1"/>
                <w:sz w:val="24"/>
              </w:rPr>
            </w:pPr>
            <w:r>
              <w:rPr>
                <w:color w:val="000000" w:themeColor="text1"/>
                <w:sz w:val="24"/>
              </w:rPr>
              <w:t xml:space="preserve">3. </w:t>
            </w:r>
            <w:r>
              <w:rPr>
                <w:rFonts w:hint="eastAsia"/>
                <w:color w:val="000000" w:themeColor="text1"/>
                <w:sz w:val="24"/>
              </w:rPr>
              <w:t>检测费用及验收专家费用由中标供应商承担。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9" w:hRule="atLeast"/>
        </w:trPr>
        <w:tc>
          <w:tcPr>
            <w:tcW w:w="1980" w:type="dxa"/>
          </w:tcPr>
          <w:p>
            <w:pPr>
              <w:jc w:val="center"/>
              <w:rPr>
                <w:color w:val="000000" w:themeColor="text1"/>
                <w:sz w:val="24"/>
              </w:rPr>
            </w:pPr>
            <w:r>
              <w:rPr>
                <w:rFonts w:hint="eastAsia"/>
                <w:color w:val="000000" w:themeColor="text1"/>
                <w:sz w:val="24"/>
              </w:rPr>
              <w:t>交货时间</w:t>
            </w:r>
          </w:p>
        </w:tc>
        <w:tc>
          <w:tcPr>
            <w:tcW w:w="7234" w:type="dxa"/>
          </w:tcPr>
          <w:p>
            <w:pPr>
              <w:jc w:val="left"/>
              <w:rPr>
                <w:color w:val="000000" w:themeColor="text1"/>
                <w:sz w:val="24"/>
              </w:rPr>
            </w:pPr>
            <w:r>
              <w:rPr>
                <w:rFonts w:hint="eastAsia" w:ascii="宋体" w:hAnsi="宋体"/>
                <w:color w:val="000000" w:themeColor="text1"/>
                <w:sz w:val="24"/>
                <w:szCs w:val="21"/>
              </w:rPr>
              <w:t>合同签订后90天内交货并完成安装调试。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1980" w:type="dxa"/>
          </w:tcPr>
          <w:p>
            <w:pPr>
              <w:jc w:val="center"/>
              <w:rPr>
                <w:color w:val="000000" w:themeColor="text1"/>
                <w:sz w:val="24"/>
              </w:rPr>
            </w:pPr>
            <w:r>
              <w:rPr>
                <w:rFonts w:hint="eastAsia"/>
                <w:color w:val="000000" w:themeColor="text1"/>
                <w:sz w:val="24"/>
              </w:rPr>
              <w:t>交货地点</w:t>
            </w:r>
          </w:p>
        </w:tc>
        <w:tc>
          <w:tcPr>
            <w:tcW w:w="7234" w:type="dxa"/>
          </w:tcPr>
          <w:p>
            <w:pPr>
              <w:jc w:val="left"/>
              <w:rPr>
                <w:color w:val="000000" w:themeColor="text1"/>
                <w:sz w:val="24"/>
              </w:rPr>
            </w:pPr>
            <w:r>
              <w:rPr>
                <w:rFonts w:hint="eastAsia"/>
                <w:color w:val="000000" w:themeColor="text1"/>
                <w:sz w:val="24"/>
              </w:rPr>
              <w:t>天台中学指定地点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9" w:hRule="atLeast"/>
        </w:trPr>
        <w:tc>
          <w:tcPr>
            <w:tcW w:w="1980" w:type="dxa"/>
          </w:tcPr>
          <w:p>
            <w:pPr>
              <w:jc w:val="center"/>
              <w:rPr>
                <w:color w:val="000000" w:themeColor="text1"/>
                <w:sz w:val="24"/>
              </w:rPr>
            </w:pPr>
            <w:r>
              <w:rPr>
                <w:rFonts w:hint="eastAsia"/>
                <w:color w:val="000000" w:themeColor="text1"/>
                <w:sz w:val="24"/>
              </w:rPr>
              <w:t>安装调试</w:t>
            </w:r>
          </w:p>
        </w:tc>
        <w:tc>
          <w:tcPr>
            <w:tcW w:w="7234" w:type="dxa"/>
          </w:tcPr>
          <w:p>
            <w:pPr>
              <w:jc w:val="left"/>
              <w:rPr>
                <w:color w:val="000000" w:themeColor="text1"/>
                <w:sz w:val="24"/>
              </w:rPr>
            </w:pPr>
            <w:r>
              <w:rPr>
                <w:rFonts w:hint="eastAsia" w:ascii="宋体" w:hAnsi="宋体"/>
                <w:color w:val="000000" w:themeColor="text1"/>
                <w:sz w:val="24"/>
                <w:szCs w:val="21"/>
              </w:rPr>
              <w:t>安装标准：符合我国国家有关技术规范要求和技术标准。中标方免费提供安装调试服务。中标方应在投标文件中应提供供货计划、对交货场地和环境的要求。在安装调试过程中不得影响校方正常教学，保证校方能够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980" w:type="dxa"/>
          </w:tcPr>
          <w:p>
            <w:pPr>
              <w:jc w:val="center"/>
              <w:rPr>
                <w:color w:val="000000" w:themeColor="text1"/>
                <w:sz w:val="24"/>
              </w:rPr>
            </w:pPr>
            <w:r>
              <w:rPr>
                <w:rFonts w:hint="eastAsia"/>
                <w:color w:val="000000" w:themeColor="text1"/>
                <w:sz w:val="24"/>
              </w:rPr>
              <w:t>培训</w:t>
            </w:r>
          </w:p>
        </w:tc>
        <w:tc>
          <w:tcPr>
            <w:tcW w:w="7234" w:type="dxa"/>
          </w:tcPr>
          <w:p>
            <w:pPr>
              <w:jc w:val="left"/>
              <w:rPr>
                <w:color w:val="000000" w:themeColor="text1"/>
                <w:sz w:val="24"/>
              </w:rPr>
            </w:pPr>
            <w:r>
              <w:rPr>
                <w:rFonts w:hint="eastAsia"/>
                <w:color w:val="000000" w:themeColor="text1"/>
                <w:sz w:val="24"/>
              </w:rPr>
              <w:t>对管理人员进行培训，保证用户能独立操作为止。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980" w:type="dxa"/>
          </w:tcPr>
          <w:p>
            <w:pPr>
              <w:jc w:val="center"/>
              <w:rPr>
                <w:color w:val="000000" w:themeColor="text1"/>
                <w:sz w:val="24"/>
              </w:rPr>
            </w:pPr>
            <w:r>
              <w:rPr>
                <w:rFonts w:hint="eastAsia"/>
                <w:color w:val="000000" w:themeColor="text1"/>
                <w:sz w:val="24"/>
              </w:rPr>
              <w:t>货款支付方式</w:t>
            </w:r>
          </w:p>
        </w:tc>
        <w:tc>
          <w:tcPr>
            <w:tcW w:w="7234" w:type="dxa"/>
          </w:tcPr>
          <w:p>
            <w:pPr>
              <w:jc w:val="left"/>
              <w:rPr>
                <w:rFonts w:ascii="宋体" w:hAnsi="宋体"/>
                <w:color w:val="000000" w:themeColor="text1"/>
                <w:sz w:val="24"/>
              </w:rPr>
            </w:pPr>
            <w:r>
              <w:rPr>
                <w:rFonts w:hint="eastAsia" w:ascii="宋体" w:hAnsi="宋体"/>
                <w:color w:val="000000" w:themeColor="text1"/>
                <w:sz w:val="24"/>
              </w:rPr>
              <w:t>▲采购合同生效及具备实施条件后15日内支付合同总额的40%预付款，安装调试完毕、验收合格后一个月内支付至合同总额的98%，余款在质保期满后一次性付清。</w:t>
            </w:r>
          </w:p>
          <w:p>
            <w:pPr>
              <w:jc w:val="left"/>
              <w:rPr>
                <w:color w:val="000000" w:themeColor="text1"/>
                <w:sz w:val="24"/>
              </w:rPr>
            </w:pPr>
            <w:r>
              <w:rPr>
                <w:rFonts w:hint="eastAsia" w:ascii="宋体" w:hAnsi="宋体"/>
                <w:color w:val="000000" w:themeColor="text1"/>
                <w:sz w:val="24"/>
              </w:rPr>
              <w:t>注:若中标供应商明确表示无需预付款或者主动要求降低预付款比例的，采购人可不适用前述规定。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980" w:type="dxa"/>
          </w:tcPr>
          <w:p>
            <w:pPr>
              <w:jc w:val="center"/>
              <w:rPr>
                <w:color w:val="000000" w:themeColor="text1"/>
                <w:sz w:val="24"/>
              </w:rPr>
            </w:pPr>
            <w:r>
              <w:rPr>
                <w:rFonts w:hint="eastAsia"/>
                <w:color w:val="000000" w:themeColor="text1"/>
                <w:sz w:val="24"/>
              </w:rPr>
              <w:t>核心产品</w:t>
            </w:r>
          </w:p>
        </w:tc>
        <w:tc>
          <w:tcPr>
            <w:tcW w:w="7234" w:type="dxa"/>
          </w:tcPr>
          <w:p>
            <w:pPr>
              <w:jc w:val="left"/>
              <w:rPr>
                <w:color w:val="000000" w:themeColor="text1"/>
                <w:sz w:val="24"/>
              </w:rPr>
            </w:pPr>
            <w:r>
              <w:rPr>
                <w:rFonts w:hint="eastAsia"/>
                <w:color w:val="000000" w:themeColor="text1"/>
                <w:sz w:val="24"/>
              </w:rPr>
              <w:t>数码显微镜</w:t>
            </w:r>
          </w:p>
        </w:tc>
      </w:tr>
    </w:tbl>
    <w:p>
      <w:pPr>
        <w:rPr>
          <w:color w:val="000000" w:themeColor="text1"/>
        </w:rPr>
      </w:pPr>
    </w:p>
    <w:p>
      <w:pPr>
        <w:rPr>
          <w:color w:val="000000" w:themeColor="text1"/>
        </w:rPr>
      </w:pPr>
    </w:p>
    <w:p>
      <w:pPr>
        <w:pStyle w:val="2"/>
        <w:rPr>
          <w:color w:val="000000" w:themeColor="text1"/>
        </w:rPr>
      </w:pPr>
    </w:p>
    <w:p>
      <w:pPr>
        <w:pStyle w:val="3"/>
        <w:ind w:left="5250"/>
        <w:rPr>
          <w:color w:val="000000" w:themeColor="text1"/>
        </w:rPr>
      </w:pPr>
    </w:p>
    <w:p>
      <w:pPr>
        <w:rPr>
          <w:color w:val="000000" w:themeColor="text1"/>
        </w:rPr>
      </w:pPr>
    </w:p>
    <w:p>
      <w:pPr>
        <w:pStyle w:val="2"/>
        <w:rPr>
          <w:color w:val="000000" w:themeColor="text1"/>
        </w:rPr>
      </w:pPr>
    </w:p>
    <w:p>
      <w:pPr>
        <w:rPr>
          <w:rFonts w:ascii="宋体" w:hAnsi="宋体"/>
          <w:b/>
          <w:color w:val="000000" w:themeColor="text1"/>
          <w:sz w:val="28"/>
          <w:szCs w:val="28"/>
        </w:rPr>
      </w:pPr>
      <w:r>
        <w:rPr>
          <w:rFonts w:hint="eastAsia" w:ascii="宋体" w:hAnsi="宋体"/>
          <w:b/>
          <w:color w:val="000000" w:themeColor="text1"/>
          <w:sz w:val="28"/>
          <w:szCs w:val="28"/>
        </w:rPr>
        <w:t>标项二：天台中学专用教室采购及安装项目</w:t>
      </w:r>
    </w:p>
    <w:p>
      <w:pPr>
        <w:rPr>
          <w:rFonts w:ascii="宋体" w:hAnsi="宋体"/>
          <w:color w:val="000000" w:themeColor="text1"/>
          <w:sz w:val="24"/>
        </w:rPr>
      </w:pPr>
      <w:r>
        <w:rPr>
          <w:rFonts w:hint="eastAsia" w:ascii="宋体" w:hAnsi="宋体"/>
          <w:b/>
          <w:color w:val="000000" w:themeColor="text1"/>
          <w:sz w:val="28"/>
          <w:szCs w:val="28"/>
        </w:rPr>
        <w:t>一、技术需求</w:t>
      </w:r>
    </w:p>
    <w:p>
      <w:pPr>
        <w:ind w:firstLine="354" w:firstLineChars="147"/>
        <w:rPr>
          <w:rFonts w:ascii="宋体" w:hAnsi="宋体"/>
          <w:b/>
          <w:color w:val="000000" w:themeColor="text1"/>
          <w:sz w:val="24"/>
        </w:rPr>
      </w:pPr>
      <w:r>
        <w:rPr>
          <w:rFonts w:hint="eastAsia" w:ascii="宋体" w:hAnsi="宋体"/>
          <w:b/>
          <w:color w:val="000000" w:themeColor="text1"/>
          <w:sz w:val="24"/>
        </w:rPr>
        <w:t>1、项目概况</w:t>
      </w:r>
    </w:p>
    <w:p>
      <w:pPr>
        <w:ind w:firstLine="352" w:firstLineChars="147"/>
        <w:rPr>
          <w:rFonts w:ascii="宋体" w:hAnsi="宋体"/>
          <w:color w:val="000000" w:themeColor="text1"/>
          <w:sz w:val="24"/>
        </w:rPr>
      </w:pPr>
      <w:r>
        <w:rPr>
          <w:rFonts w:hint="eastAsia" w:ascii="宋体" w:hAnsi="宋体"/>
          <w:color w:val="000000" w:themeColor="text1"/>
          <w:sz w:val="24"/>
        </w:rPr>
        <w:t>本项目为天台中学学科教室有关智能化设备采购项目，主要包括智能交互大屏及配套设备、移动录播设备、学生机房电脑及配套设备、行政楼LED显示屏及配套设备，</w:t>
      </w:r>
      <w:bookmarkStart w:id="24" w:name="_Hlk83676103"/>
      <w:r>
        <w:rPr>
          <w:rFonts w:hint="eastAsia" w:ascii="宋体" w:hAnsi="宋体"/>
          <w:color w:val="000000" w:themeColor="text1"/>
          <w:sz w:val="24"/>
        </w:rPr>
        <w:t>其中智能交互大屏及配套设备</w:t>
      </w:r>
      <w:bookmarkEnd w:id="24"/>
      <w:r>
        <w:rPr>
          <w:rFonts w:hint="eastAsia" w:ascii="宋体" w:hAnsi="宋体"/>
          <w:color w:val="000000" w:themeColor="text1"/>
          <w:sz w:val="24"/>
        </w:rPr>
        <w:t>包括新安装</w:t>
      </w:r>
      <w:r>
        <w:rPr>
          <w:rFonts w:ascii="宋体" w:hAnsi="宋体"/>
          <w:color w:val="000000" w:themeColor="text1"/>
          <w:sz w:val="24"/>
        </w:rPr>
        <w:t>63</w:t>
      </w:r>
      <w:r>
        <w:rPr>
          <w:rFonts w:hint="eastAsia" w:ascii="宋体" w:hAnsi="宋体"/>
          <w:color w:val="000000" w:themeColor="text1"/>
          <w:sz w:val="24"/>
        </w:rPr>
        <w:t>套推拉式绿板、讲台、智能交互大屏、视频展台、蓝牙音箱等；教室内踏台重新改造，包括6</w:t>
      </w:r>
      <w:r>
        <w:rPr>
          <w:rFonts w:ascii="宋体" w:hAnsi="宋体"/>
          <w:color w:val="000000" w:themeColor="text1"/>
          <w:sz w:val="24"/>
        </w:rPr>
        <w:t>0</w:t>
      </w:r>
      <w:r>
        <w:rPr>
          <w:rFonts w:hint="eastAsia" w:ascii="宋体" w:hAnsi="宋体"/>
          <w:color w:val="000000" w:themeColor="text1"/>
          <w:sz w:val="24"/>
        </w:rPr>
        <w:t>个砖混踏台及3个木踏台,这些设备的安装调试只能在暑期内由学校指定的20天内完成；原有</w:t>
      </w:r>
      <w:r>
        <w:rPr>
          <w:rFonts w:ascii="宋体" w:hAnsi="宋体"/>
          <w:color w:val="000000" w:themeColor="text1"/>
          <w:sz w:val="24"/>
        </w:rPr>
        <w:t>60</w:t>
      </w:r>
      <w:r>
        <w:rPr>
          <w:rFonts w:hint="eastAsia" w:ascii="宋体" w:hAnsi="宋体"/>
          <w:color w:val="000000" w:themeColor="text1"/>
          <w:sz w:val="24"/>
        </w:rPr>
        <w:t>套智能交互大屏及黑板拆除并搬运到校方指定地点，</w:t>
      </w:r>
      <w:r>
        <w:rPr>
          <w:rFonts w:ascii="宋体" w:hAnsi="宋体"/>
          <w:color w:val="000000" w:themeColor="text1"/>
          <w:sz w:val="24"/>
        </w:rPr>
        <w:t>45</w:t>
      </w:r>
      <w:r>
        <w:rPr>
          <w:rFonts w:hint="eastAsia" w:ascii="宋体" w:hAnsi="宋体"/>
          <w:color w:val="000000" w:themeColor="text1"/>
          <w:sz w:val="24"/>
        </w:rPr>
        <w:t xml:space="preserve">套大屏及黑板需要重新安装（包括配套强电及多媒体线路）。  </w:t>
      </w:r>
    </w:p>
    <w:p>
      <w:pPr>
        <w:ind w:firstLine="352" w:firstLineChars="147"/>
        <w:rPr>
          <w:rFonts w:ascii="宋体" w:hAnsi="宋体"/>
          <w:color w:val="000000" w:themeColor="text1"/>
          <w:sz w:val="24"/>
        </w:rPr>
      </w:pPr>
      <w:r>
        <w:rPr>
          <w:rFonts w:hint="eastAsia" w:ascii="宋体" w:hAnsi="宋体"/>
          <w:color w:val="000000" w:themeColor="text1"/>
          <w:sz w:val="24"/>
        </w:rPr>
        <w:t>移动录播设备采用便携式移动架构，不受场地空间限制，全套采用无线传输，免除布线。全硬件产品前端采用摄像机、硬件音视频编码器结合无线发送器，完成信号编码与无线传输，送到硬件移动录播主机，进行录制、直播、点播、管理、控制。</w:t>
      </w:r>
    </w:p>
    <w:p>
      <w:pPr>
        <w:ind w:firstLine="352" w:firstLineChars="147"/>
        <w:rPr>
          <w:rFonts w:ascii="宋体" w:hAnsi="宋体"/>
          <w:color w:val="000000" w:themeColor="text1"/>
          <w:sz w:val="24"/>
        </w:rPr>
      </w:pPr>
      <w:r>
        <w:rPr>
          <w:rFonts w:hint="eastAsia" w:ascii="宋体" w:hAnsi="宋体"/>
          <w:color w:val="000000" w:themeColor="text1"/>
          <w:sz w:val="24"/>
        </w:rPr>
        <w:t>在科技楼四楼更换3个学生机房电脑，包括原有黑板、电脑等设备的拆除并搬运到学校指定地点，新安装多媒体、电脑及配套设备，对机房内原有强弱电线路重新整理及测试，并做好标记，原有强弱电线路如有不通则重新布线，新电脑另需安装操作系统、教学应用软件等，保证校方可以正常使用。</w:t>
      </w:r>
    </w:p>
    <w:p>
      <w:pPr>
        <w:ind w:firstLine="352" w:firstLineChars="147"/>
        <w:rPr>
          <w:rFonts w:ascii="宋体" w:hAnsi="宋体"/>
          <w:color w:val="000000" w:themeColor="text1"/>
          <w:sz w:val="24"/>
        </w:rPr>
      </w:pPr>
      <w:r>
        <w:rPr>
          <w:rFonts w:hint="eastAsia" w:ascii="宋体" w:hAnsi="宋体"/>
          <w:color w:val="000000" w:themeColor="text1"/>
          <w:sz w:val="24"/>
        </w:rPr>
        <w:t>在行政楼四楼报告厅安装一块长度为</w:t>
      </w:r>
      <w:r>
        <w:rPr>
          <w:rFonts w:ascii="宋体" w:hAnsi="宋体"/>
          <w:color w:val="000000" w:themeColor="text1"/>
          <w:sz w:val="24"/>
        </w:rPr>
        <w:t>6.08</w:t>
      </w:r>
      <w:r>
        <w:rPr>
          <w:rFonts w:hint="eastAsia" w:ascii="宋体" w:hAnsi="宋体"/>
          <w:color w:val="000000" w:themeColor="text1"/>
          <w:sz w:val="24"/>
        </w:rPr>
        <w:t>米宽度为</w:t>
      </w:r>
      <w:r>
        <w:rPr>
          <w:rFonts w:ascii="宋体" w:hAnsi="宋体"/>
          <w:color w:val="000000" w:themeColor="text1"/>
          <w:sz w:val="24"/>
        </w:rPr>
        <w:t>2.24</w:t>
      </w:r>
      <w:r>
        <w:rPr>
          <w:rFonts w:hint="eastAsia" w:ascii="宋体" w:hAnsi="宋体"/>
          <w:color w:val="000000" w:themeColor="text1"/>
          <w:sz w:val="24"/>
        </w:rPr>
        <w:t>米的全彩显示屏。</w:t>
      </w:r>
    </w:p>
    <w:p>
      <w:pPr>
        <w:ind w:firstLine="352" w:firstLineChars="147"/>
        <w:rPr>
          <w:rFonts w:ascii="宋体" w:hAnsi="宋体"/>
          <w:color w:val="000000" w:themeColor="text1"/>
          <w:sz w:val="24"/>
        </w:rPr>
      </w:pPr>
      <w:r>
        <w:rPr>
          <w:rFonts w:hint="eastAsia" w:ascii="宋体" w:hAnsi="宋体"/>
          <w:color w:val="000000" w:themeColor="text1"/>
          <w:sz w:val="24"/>
        </w:rPr>
        <w:t>本项目还需要对行政楼四楼、艺术楼及人文楼四楼的音频扩声系统进行改造，部分设备进行维修或更换。</w:t>
      </w:r>
    </w:p>
    <w:p>
      <w:pPr>
        <w:ind w:firstLine="354" w:firstLineChars="147"/>
        <w:jc w:val="left"/>
        <w:rPr>
          <w:rFonts w:ascii="宋体" w:hAnsi="宋体" w:cs="宋体"/>
          <w:color w:val="000000" w:themeColor="text1"/>
          <w:sz w:val="24"/>
        </w:rPr>
      </w:pPr>
      <w:r>
        <w:rPr>
          <w:rFonts w:hint="eastAsia" w:ascii="宋体" w:hAnsi="宋体" w:cs="宋体"/>
          <w:b/>
          <w:color w:val="000000" w:themeColor="text1"/>
          <w:sz w:val="24"/>
        </w:rPr>
        <w:t>2、设备清单及技术参数要求</w:t>
      </w:r>
      <w:r>
        <w:rPr>
          <w:rFonts w:hint="eastAsia" w:ascii="宋体" w:hAnsi="宋体" w:cs="宋体"/>
          <w:color w:val="000000" w:themeColor="text1"/>
          <w:sz w:val="24"/>
        </w:rPr>
        <w:t>：</w:t>
      </w:r>
    </w:p>
    <w:p>
      <w:pPr>
        <w:ind w:firstLine="352" w:firstLineChars="147"/>
        <w:jc w:val="left"/>
        <w:rPr>
          <w:rFonts w:ascii="宋体" w:hAnsi="宋体" w:cs="宋体"/>
          <w:color w:val="000000" w:themeColor="text1"/>
          <w:sz w:val="24"/>
        </w:rPr>
      </w:pPr>
    </w:p>
    <w:tbl>
      <w:tblPr>
        <w:tblStyle w:val="36"/>
        <w:tblW w:w="9446"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2124"/>
        <w:gridCol w:w="5528"/>
        <w:gridCol w:w="560"/>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560" w:type="dxa"/>
            <w:vAlign w:val="center"/>
          </w:tcPr>
          <w:p>
            <w:pPr>
              <w:widowControl/>
              <w:jc w:val="center"/>
              <w:rPr>
                <w:rFonts w:ascii="宋体" w:hAnsi="宋体" w:cs="宋体"/>
                <w:b/>
                <w:bCs/>
                <w:color w:val="000000" w:themeColor="text1"/>
                <w:kern w:val="0"/>
                <w:sz w:val="20"/>
                <w:szCs w:val="20"/>
              </w:rPr>
            </w:pPr>
            <w:r>
              <w:rPr>
                <w:rFonts w:hint="eastAsia" w:ascii="宋体" w:hAnsi="宋体" w:cs="宋体"/>
                <w:b/>
                <w:bCs/>
                <w:color w:val="000000" w:themeColor="text1"/>
                <w:kern w:val="0"/>
                <w:sz w:val="20"/>
                <w:szCs w:val="20"/>
              </w:rPr>
              <w:t>序号</w:t>
            </w:r>
          </w:p>
        </w:tc>
        <w:tc>
          <w:tcPr>
            <w:tcW w:w="2124" w:type="dxa"/>
            <w:vAlign w:val="center"/>
          </w:tcPr>
          <w:p>
            <w:pPr>
              <w:widowControl/>
              <w:jc w:val="center"/>
              <w:rPr>
                <w:rFonts w:ascii="宋体" w:hAnsi="宋体" w:cs="宋体"/>
                <w:b/>
                <w:bCs/>
                <w:color w:val="000000" w:themeColor="text1"/>
                <w:kern w:val="0"/>
                <w:sz w:val="20"/>
                <w:szCs w:val="20"/>
              </w:rPr>
            </w:pPr>
            <w:r>
              <w:rPr>
                <w:rFonts w:hint="eastAsia" w:ascii="宋体" w:hAnsi="宋体" w:cs="宋体"/>
                <w:b/>
                <w:bCs/>
                <w:color w:val="000000" w:themeColor="text1"/>
                <w:kern w:val="0"/>
                <w:sz w:val="20"/>
                <w:szCs w:val="20"/>
              </w:rPr>
              <w:t>产品名称</w:t>
            </w:r>
          </w:p>
        </w:tc>
        <w:tc>
          <w:tcPr>
            <w:tcW w:w="5528" w:type="dxa"/>
            <w:vAlign w:val="center"/>
          </w:tcPr>
          <w:p>
            <w:pPr>
              <w:widowControl/>
              <w:jc w:val="center"/>
              <w:rPr>
                <w:rFonts w:ascii="宋体" w:hAnsi="宋体" w:cs="宋体"/>
                <w:b/>
                <w:bCs/>
                <w:color w:val="000000" w:themeColor="text1"/>
                <w:kern w:val="0"/>
                <w:sz w:val="20"/>
                <w:szCs w:val="20"/>
              </w:rPr>
            </w:pPr>
            <w:r>
              <w:rPr>
                <w:rFonts w:hint="eastAsia" w:ascii="宋体" w:hAnsi="宋体" w:cs="宋体"/>
                <w:b/>
                <w:bCs/>
                <w:color w:val="000000" w:themeColor="text1"/>
                <w:kern w:val="0"/>
                <w:sz w:val="20"/>
                <w:szCs w:val="20"/>
              </w:rPr>
              <w:t>技术参数要求</w:t>
            </w:r>
          </w:p>
        </w:tc>
        <w:tc>
          <w:tcPr>
            <w:tcW w:w="560" w:type="dxa"/>
            <w:vAlign w:val="center"/>
          </w:tcPr>
          <w:p>
            <w:pPr>
              <w:widowControl/>
              <w:jc w:val="center"/>
              <w:rPr>
                <w:rFonts w:ascii="宋体" w:hAnsi="宋体" w:cs="宋体"/>
                <w:b/>
                <w:bCs/>
                <w:color w:val="000000" w:themeColor="text1"/>
                <w:kern w:val="0"/>
                <w:sz w:val="20"/>
                <w:szCs w:val="20"/>
              </w:rPr>
            </w:pPr>
            <w:r>
              <w:rPr>
                <w:rFonts w:hint="eastAsia" w:ascii="宋体" w:hAnsi="宋体" w:cs="宋体"/>
                <w:b/>
                <w:bCs/>
                <w:color w:val="000000" w:themeColor="text1"/>
                <w:kern w:val="0"/>
                <w:sz w:val="20"/>
                <w:szCs w:val="20"/>
              </w:rPr>
              <w:t>单位</w:t>
            </w:r>
          </w:p>
        </w:tc>
        <w:tc>
          <w:tcPr>
            <w:tcW w:w="674" w:type="dxa"/>
            <w:vAlign w:val="center"/>
          </w:tcPr>
          <w:p>
            <w:pPr>
              <w:widowControl/>
              <w:jc w:val="center"/>
              <w:rPr>
                <w:rFonts w:ascii="宋体" w:hAnsi="宋体" w:cs="宋体"/>
                <w:b/>
                <w:bCs/>
                <w:color w:val="000000" w:themeColor="text1"/>
                <w:kern w:val="0"/>
                <w:sz w:val="20"/>
                <w:szCs w:val="20"/>
              </w:rPr>
            </w:pPr>
            <w:r>
              <w:rPr>
                <w:rFonts w:hint="eastAsia" w:ascii="宋体" w:hAnsi="宋体" w:cs="宋体"/>
                <w:b/>
                <w:bCs/>
                <w:color w:val="000000" w:themeColor="text1"/>
                <w:kern w:val="0"/>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446" w:type="dxa"/>
            <w:gridSpan w:val="5"/>
            <w:vAlign w:val="center"/>
          </w:tcPr>
          <w:p>
            <w:pPr>
              <w:widowControl/>
              <w:jc w:val="center"/>
              <w:rPr>
                <w:rFonts w:ascii="宋体" w:hAnsi="宋体" w:cs="宋体"/>
                <w:b/>
                <w:bCs/>
                <w:color w:val="000000" w:themeColor="text1"/>
                <w:kern w:val="0"/>
                <w:sz w:val="20"/>
                <w:szCs w:val="20"/>
              </w:rPr>
            </w:pPr>
            <w:r>
              <w:rPr>
                <w:rFonts w:hint="eastAsia" w:ascii="宋体" w:hAnsi="宋体" w:cs="宋体"/>
                <w:b/>
                <w:bCs/>
                <w:color w:val="000000" w:themeColor="text1"/>
                <w:kern w:val="0"/>
                <w:sz w:val="20"/>
                <w:szCs w:val="20"/>
              </w:rPr>
              <w:t>4号楼、5号楼、6号楼智能交互大屏及配套设备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1</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86寸智能交互平板</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详见技术指标参数</w:t>
            </w:r>
          </w:p>
        </w:tc>
        <w:tc>
          <w:tcPr>
            <w:tcW w:w="560" w:type="dxa"/>
            <w:noWrap/>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台</w:t>
            </w:r>
          </w:p>
        </w:tc>
        <w:tc>
          <w:tcPr>
            <w:tcW w:w="674" w:type="dxa"/>
            <w:noWrap/>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2</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无线键鼠套装</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MK275 无线键鼠套装</w:t>
            </w:r>
          </w:p>
        </w:tc>
        <w:tc>
          <w:tcPr>
            <w:tcW w:w="560" w:type="dxa"/>
            <w:noWrap/>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套</w:t>
            </w:r>
          </w:p>
        </w:tc>
        <w:tc>
          <w:tcPr>
            <w:tcW w:w="674" w:type="dxa"/>
            <w:noWrap/>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3</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左右推拉式绿板</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 左右推拉式绿板（分成二块），大屏要求安装在黑板左侧内（面朝黑板时）</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结构：内外双层结构，内层为一块固定书写板与一体机(电子白板）正面平齐，外层为一块滑动书写板，滑动板配装刻有黑板品牌LOGO标识的挂锁，开闭自如确保一体机安全管理。</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基本尺寸：4300mm×1305mm，可根据所配一体机适当调整，确保与一体机的有效配套。</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书写板面：采用优质烤漆钢板，厚度0.3mm，表面覆透明保护膜。板面为亚光墨绿色、漆膜硬度为6H、光泽度≤6光泽单位，粗糙度为Ra1.6-3.2um，板面书写流畅字迹清晰、易擦拭。</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内芯材料：选用高强度、吸音、防潮、阻燃聚苯乙烯板，厚度14mm。</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背板：选用优质蓝色防锈亚光彩涂钢板，纵向间隔80mm压有20mm专利加强筋，增强板体强度。</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覆板：采用环保型双组份聚氨酯胶水，自动化流水线覆板作业，牵引、滴胶、刷胶、压固、切割下料一次完成，胶水60秒钟即100%固化定型，确保粘接牢固板面平整，甲醛释放量≤0.2mg/L，符合GB 28231-2011《书写板安全卫生要求》。</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边框：采用高级亚光仿钢色铝合金，模具挤压一次成型，横框规格57mm×100mm，竖框规格29mm×100mm；边框经氧化、喷砂涂层处理，无明显眩光，根据一体机的厚度配同色同质封板；横（立）框采用双层加强结构，厚≥10㎜。</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滑轮：上轮采用减震消音双滑道吊轮，下轮采用1字型平轮单滑动结构，滑轮使用高精度轴承，滑动流畅、噪音小；书写时定位精确不晃动、滑动板前后晃动小于0.5mm，经久耐用。数目各4组，上下均匀安装，推拉顺畅自如，无卡挤现象和尖锐的摩擦声，稳定性好。</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粉尘槽：配备宽度≥30mm一体化粉尘槽，防止粉尘垂直落地；粉尘槽与下边框一体化设计，清扫时无粉尘死角；为防止粉笔等工具掉落，配备两用橡胶粉尘刷，可清扫粉笔槽内粉尘，不用时，可代替粉尘孔塞，堵住粉尘孔；粉尘槽与滑动系统分离，避免异物阻塞滑道。</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包角材料：采用抗老化高强度ABS工程塑料注塑成型。规格100mm×29mm，采用双壁成腔流线型设计，≥R25mm的圆角，正面带黑板品牌LOGO注册商标标识，无尖角毛刺，符合GB 21027-2007《学生用品的安全通用要求》。</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粉尘刷：配带两用橡胶粉尘刷，可清扫粉笔槽内粉尘，不用时可代替粉尘孔塞。</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限位档：黑板边框内部两侧安装滑动板限位档，防止活动黑板开启时撞击立框。</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生产厂家通过知识产权管理体系认证，提供证明文件并加盖生产厂家鲜章。</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所投产品提供静电抗干扰度检测报告复印件并加盖生产厂家鲜章。</w:t>
            </w:r>
          </w:p>
        </w:tc>
        <w:tc>
          <w:tcPr>
            <w:tcW w:w="560" w:type="dxa"/>
            <w:noWrap/>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套</w:t>
            </w:r>
          </w:p>
        </w:tc>
        <w:tc>
          <w:tcPr>
            <w:tcW w:w="674" w:type="dxa"/>
            <w:noWrap/>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00"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4</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视频展台</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1. 铝合金外壳，无锐角无利边设计，有效防止师生碰伤、划伤。</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2. 壁挂式安装，防盗防破坏。</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3. 采用三折叠开合式托板，展开后托板尺寸≥A4面积，收起时小巧不占空间，高效利用挂墙面积。</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4. 采用USB高速接口，单根USB线实现供电、高清数据传输需求。</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5. 采用800W像素自动对焦摄像头，可拍摄≥A4画幅。</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6. 展台按键采用电容式触摸按键，可实现一键启动展台画面、画面放大、画面缩小、画面旋转、拍照截图等功能，同时也支持在一体机或电脑上进行同样的操作。</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7. 整机自带均光罩LED补光灯，光线不足时可进行亮度补充，亮度均匀。</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8. 支持对展台实时画面进行放大、缩小、旋转、自适应、冻结画面等操作。</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9. 支持展台画面实时批注，预设多种笔划粗细及颜色供选择，且支持对展台画面联同批注内容进行同步缩放、移动。</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10. 支持展台画面拍照截图并进行多图预览，可对任一图片进行全屏显示。</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11. 老师可在一体机或电脑上选择延时拍照功能，支持5秒或10秒延时模式，预留充足时间以便调整拍摄内容。</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12. 可选择图像、文本或动态等多种情景模式，适应不同展示内容。</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13. 具备图像增强功能，可自动裁剪背景并增强文字显示，使文档画面更清晰。</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14. 支持故障自动检测，在软件无法出现展台拍摄画面时，自动出现检测链接，帮助用户检测“无画面”的原因，并给出引导性解决方案。可判断硬件连接、显卡驱动、摄像头占用、软件版本等问题。</w:t>
            </w:r>
          </w:p>
        </w:tc>
        <w:tc>
          <w:tcPr>
            <w:tcW w:w="560" w:type="dxa"/>
            <w:noWrap/>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台</w:t>
            </w:r>
          </w:p>
        </w:tc>
        <w:tc>
          <w:tcPr>
            <w:tcW w:w="674" w:type="dxa"/>
            <w:noWrap/>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2"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5</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蓝牙音响</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1. 采用功放及有源音箱一体化设计。</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2. 双音箱配对，采用木质材质，保证声音还原度。</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3. 输出额定功率: 2*20W。</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4. 端口：电源*1、Line in*1、Line out*1、U盘接口*1。</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5. 支持专业无线麦克风接收技术数字U段无线麦克风扩音接收，有效避开wifi干扰。（提供国家级检测机构所出具的权威检测报告）</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6. 配置独立音频数字信号处理芯片，支持啸叫抑制功能。</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7. 支持蓝牙无线接收，方便老师分享移动设备上的音频。</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8. 蓝牙支持密码模式，防止学生连接。</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9. 支持安卓手机通过蓝牙无线连接音箱，实现控制有源音箱的音量、设置蓝牙名称、设置蓝牙密码等功能，方便教师对音箱的管控。</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10. 支持扩音和输入音源叠加输出，方便与录播系统结合，或者通过串联功放支持更大环境扩音。（提供国家级检测机构所出具的权威检测报告）</w:t>
            </w:r>
          </w:p>
        </w:tc>
        <w:tc>
          <w:tcPr>
            <w:tcW w:w="560" w:type="dxa"/>
            <w:noWrap/>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套</w:t>
            </w:r>
          </w:p>
        </w:tc>
        <w:tc>
          <w:tcPr>
            <w:tcW w:w="674" w:type="dxa"/>
            <w:noWrap/>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00"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6</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无线麦克风</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1. 无线麦克风集音频发射处理器、天线、电池、拾音麦克风于一体，配合一体化有源音箱，无需任何外接辅助设备即可实现本地扩声功能。（提供国家级检测机构所出具的权威检测报告）</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2. 采用U段传输，有效避免环境中2.4G信号干扰，例如蓝牙及WIFI设备。</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3. 采用红外对码方式连接，避免连接到其他教室音箱。可在2s内快速完成与教学扩声音箱对码，无需繁琐操作。</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4. 配合USB麦克风接收器连接一体机，具备翻页键功能，可远程操控一体机设备进行课件软件翻页功能。</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5. 配合USB接收器连接一体机，可通过一体机对老师的声音进行录制。</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6. ★采用触点磁吸式充电方式，充电10分钟，可扩音80分钟。（提供国家级检测机构所出具的权威检测报告）</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7. ★具备磁吸式触点接口，与充电接口复用（提供国家级检测机构所出具的权威检测报告）。</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8. 无遮挡情况下，有效工作距离≥10米，保证全教室覆盖。</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9. ★为保证兼容性及稳定性，无线麦克风需与蓝牙音响为同一品牌厂家。</w:t>
            </w:r>
          </w:p>
        </w:tc>
        <w:tc>
          <w:tcPr>
            <w:tcW w:w="560" w:type="dxa"/>
            <w:noWrap/>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支</w:t>
            </w:r>
          </w:p>
        </w:tc>
        <w:tc>
          <w:tcPr>
            <w:tcW w:w="674" w:type="dxa"/>
            <w:noWrap/>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00"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7</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集中管控平台</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1. 管理平台采用B/S混合云架构设计，无需本地额外部署服务器等设备即可实现对教学信息化设备运行数据的监测</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2. Windows、Linux、Android、IOS等多种操作系统通过网页浏览器登陆操作，提供多种智能身份识别方式：支持通过账号登录、手机扫码登录等方式，方便用户使用。管理平台提供管理员移动管理平台，免安装并支持Android、IOS等多种移动操作系统，便于远程管理及告警信息通知。</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3. 管理平台为学校提供专属识别代码，可支持交互智能设备在广域网环境下，输入专属代码接入管理平台即可在通过管理平台可开启或关闭指定交互智能设备的任意磁盘分区数据还原（冰点）保护。</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4. 管理平台实时监测已连接的交互智能设备状态，支持不少于10台设备的略缩预览以及单设备全屏查看；可远程监测交互智能设备开关机状态、CPU温度、CPU使用率、硬盘空间、硬盘使用状况、内存容量、内存使用率、受控端系统版本、设备ID等设备数据。</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5. 管理平台可控制连接广域网的交互智能设备整机关机、开机和重启；可批量设定智能设备开关机的执行时间，并支持自定义日循环执行，预约定时执行。</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6. 管理平台可远程对选定的交互智能设备推送动态文字滚动公告，可对公告文字的颜色、粗体以及播放次数、推送时间进行设置。</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7. 管理平台可远程开启指定交互智能设备倒计日功能并设定倒计日截止日期，便于重大教学安排的提醒提示。</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8. 管理平台支持批量对交互智能设备进行软件远程部署，配套专用教学软件批量部署支持静默安装。</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9. 管理平台支持对设备进行锁屏，支持立即、循环操作。循环操作包含每日重复、工作日+周末（即5+2）模式、自定义循环三种。</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10. 管理平台支持后台锁定教室设备，用户可通过密码在设备上进行解锁，也可通过管理员在后台解锁。</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11. 管理平台可远程对运行状态下的交互智能设备批量进行本地系统启动盘的冻结、解冻（冰点保护）。重启设备后，被冻结后本地系统启动盘的数据及系统更改等均会自动恢复至冻结前状态。</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12. 管理平台可实时监测开启冰点保护设备数量、安装冰点保护设备数量、磁盘冰冻状态等，并提示冰点风险，方便用户管理一体机系统环境</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13. 管理平台可随时查看所有弹窗拦截的设备数和历史拦截的条数。</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14. 管理平台显示设备使用情况数据报表，包括实时在线设备数、今日活跃人数、使用学科数、异常条数、设备使用时段、设备使用时长分布、软件使用次数、用户活跃数、不同学科使用频次占比等，方便管理员检查设备使用情况。</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15. 移动管理平台可查看已连接设备运行异常数据，异常类型包含温度过高、CPU占用率过高、待机时间过长等，支持按年级筛选查看设备异常数据并对异常设备进行管控。</w:t>
            </w:r>
          </w:p>
        </w:tc>
        <w:tc>
          <w:tcPr>
            <w:tcW w:w="560" w:type="dxa"/>
            <w:noWrap/>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套</w:t>
            </w:r>
          </w:p>
        </w:tc>
        <w:tc>
          <w:tcPr>
            <w:tcW w:w="674" w:type="dxa"/>
            <w:noWrap/>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8</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多功能讲台桌</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详见技术指标参数</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套</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60"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9</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多媒体布线</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含讲台至交互大屏高清线5米1根、高清延长线2米1根、3.5音频线5米1根、3.5音频延长线2米1根、触控线5米1根、USB延长线5米1根、USB延长线2米的2根；交互大屏至蓝牙音箱音频线5米1根；蓝牙音箱主副音箱连接线；讲台主电源管线改造；讲台至交互大屏布放1根RVV3*1.0电源线并配备1个公牛412K插座；蓝牙主音箱布放1根1根RVV3*1.0电源线并配备1个公牛5孔插座及86型明盒；讲台原有侧面的有线电视及网络线路移至黑板中间靠下位置并重新安装面板及86型明盒；黑板中间至讲台布放2根六类网线并做好水晶头及标签；以上相关音视频连接线必须采用秋叶原或绿联品牌的线材。</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套</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60"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10</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讲台踏台1</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凸型砖混踏台修建，具体尺寸与业主沟通决定，踏台表面及踏台侧面铺设瓷砖，在大屏后背及讲台底下需要开槽布设二根40mmPVC管，弯头用135度弯，管线布设完成后需要对原有踏台及墙面进行回补，要求回补的瓷砖颜色与原有踏台瓷砖颜色尽可以一致，材料包括PVC管材、水泥、黄沙、砖、瓷砖、辅料及人工搬运等。</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项</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11</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讲台踏台2</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4号-6号楼原有木踏台延伸，在原有中间位置扩展一个踏台用于放置讲台桌，具体尺寸与业主沟通决定。</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项</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5"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12</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原有设备拆装</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教室内原有大屏、推拉式绿板及相关线路拆除并搬运到校方指定的地点，约</w:t>
            </w:r>
            <w:r>
              <w:rPr>
                <w:rFonts w:ascii="宋体" w:hAnsi="宋体" w:cs="宋体"/>
                <w:color w:val="000000" w:themeColor="text1"/>
                <w:kern w:val="0"/>
                <w:sz w:val="20"/>
                <w:szCs w:val="20"/>
              </w:rPr>
              <w:t>45</w:t>
            </w:r>
            <w:r>
              <w:rPr>
                <w:rFonts w:hint="eastAsia" w:ascii="宋体" w:hAnsi="宋体" w:cs="宋体"/>
                <w:color w:val="000000" w:themeColor="text1"/>
                <w:kern w:val="0"/>
                <w:sz w:val="20"/>
                <w:szCs w:val="20"/>
              </w:rPr>
              <w:t>套大屏、推拉式绿板及配套线路还需要重新安装到校方指定的教室,包括配套强电布线（连至配电箱，并在中间位置黑板后面安装一个公牛412K多用插座）。</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套</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5"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1</w:t>
            </w:r>
            <w:r>
              <w:rPr>
                <w:rFonts w:ascii="宋体" w:hAnsi="宋体" w:cs="宋体"/>
                <w:color w:val="000000" w:themeColor="text1"/>
                <w:kern w:val="0"/>
                <w:sz w:val="20"/>
                <w:szCs w:val="20"/>
              </w:rPr>
              <w:t>3</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无线投屏器</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无线高清投屏器，另配1根2米左右的高清线，可实现笔记本电脑或手机无线投屏，支持HDMI及VGA双接口同时输出，最大分辨率支持4K/60Hz及音视频同步。</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天线：外置天线</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无线网络：2.4G+5G</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输出接口：VGA+HDMI；</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兼容系统：windows、Mac os、安卓、ios等系统；</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点对点投屏无需驱动与网络；</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套</w:t>
            </w:r>
          </w:p>
        </w:tc>
        <w:tc>
          <w:tcPr>
            <w:tcW w:w="674" w:type="dxa"/>
            <w:vAlign w:val="center"/>
          </w:tcPr>
          <w:p>
            <w:pPr>
              <w:widowControl/>
              <w:jc w:val="center"/>
              <w:rPr>
                <w:rFonts w:ascii="宋体" w:hAnsi="宋体" w:cs="宋体"/>
                <w:color w:val="000000" w:themeColor="text1"/>
                <w:kern w:val="0"/>
                <w:sz w:val="20"/>
                <w:szCs w:val="20"/>
              </w:rPr>
            </w:pPr>
            <w:r>
              <w:rPr>
                <w:rFonts w:ascii="宋体" w:hAnsi="宋体" w:cs="宋体"/>
                <w:color w:val="000000" w:themeColor="text1"/>
                <w:kern w:val="0"/>
                <w:sz w:val="20"/>
                <w:szCs w:val="20"/>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5"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1</w:t>
            </w:r>
            <w:r>
              <w:rPr>
                <w:rFonts w:ascii="宋体" w:hAnsi="宋体" w:cs="宋体"/>
                <w:color w:val="000000" w:themeColor="text1"/>
                <w:kern w:val="0"/>
                <w:sz w:val="20"/>
                <w:szCs w:val="20"/>
              </w:rPr>
              <w:t>4</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无线网卡</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TL-WDN5280 AC650双频无线PCI-E网卡</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套</w:t>
            </w:r>
          </w:p>
        </w:tc>
        <w:tc>
          <w:tcPr>
            <w:tcW w:w="674" w:type="dxa"/>
            <w:vAlign w:val="center"/>
          </w:tcPr>
          <w:p>
            <w:pPr>
              <w:widowControl/>
              <w:jc w:val="center"/>
              <w:rPr>
                <w:rFonts w:ascii="宋体" w:hAnsi="宋体" w:cs="宋体"/>
                <w:color w:val="000000" w:themeColor="text1"/>
                <w:kern w:val="0"/>
                <w:sz w:val="20"/>
                <w:szCs w:val="20"/>
              </w:rPr>
            </w:pPr>
            <w:r>
              <w:rPr>
                <w:rFonts w:ascii="宋体" w:hAnsi="宋体" w:cs="宋体"/>
                <w:color w:val="000000" w:themeColor="text1"/>
                <w:kern w:val="0"/>
                <w:sz w:val="20"/>
                <w:szCs w:val="20"/>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trPr>
        <w:tc>
          <w:tcPr>
            <w:tcW w:w="9446" w:type="dxa"/>
            <w:gridSpan w:val="5"/>
            <w:vAlign w:val="center"/>
          </w:tcPr>
          <w:p>
            <w:pPr>
              <w:widowControl/>
              <w:jc w:val="center"/>
              <w:rPr>
                <w:rFonts w:ascii="宋体" w:hAnsi="宋体" w:cs="宋体"/>
                <w:b/>
                <w:bCs/>
                <w:color w:val="000000" w:themeColor="text1"/>
                <w:kern w:val="0"/>
                <w:sz w:val="20"/>
                <w:szCs w:val="20"/>
              </w:rPr>
            </w:pPr>
            <w:r>
              <w:rPr>
                <w:rFonts w:hint="eastAsia" w:ascii="宋体" w:hAnsi="宋体" w:cs="宋体"/>
                <w:b/>
                <w:bCs/>
                <w:color w:val="000000" w:themeColor="text1"/>
                <w:kern w:val="0"/>
                <w:sz w:val="20"/>
                <w:szCs w:val="20"/>
              </w:rPr>
              <w:t>移动录播设备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1</w:t>
            </w:r>
            <w:r>
              <w:rPr>
                <w:rFonts w:ascii="宋体" w:hAnsi="宋体" w:cs="宋体"/>
                <w:color w:val="000000" w:themeColor="text1"/>
                <w:kern w:val="0"/>
                <w:sz w:val="20"/>
                <w:szCs w:val="20"/>
              </w:rPr>
              <w:t>5</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高清移动录播主机</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1) 便携式移动录播主机高度＜2U，重量＜6kg，采用笔记本翻盖式设计，主机内嵌导播键盘进行导播操作。</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2) ▲主机内嵌1920*1080高清液晶触控屏，电容屏，支持触控导播操作。</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3) 导播键盘支持录制、停止、摄像机控制、预置位调用、画面切换、专场特技等功能按键，提供导播摇杆便于摄像机的云台控制操作。</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4) ▲考虑设备稳定性，要求采用嵌入式ARM架构设计，Linux操作系统，高度集成多种功能应用，包括管理、导播、录制、直播、点播等功能。</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5) 录播主机内置互动功能，支持远程音视频互动教学教研应用。</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6) ★内置音频处理功能，支持EQ均衡调节、回声抑制、增益调节及音频采样率和比特率设置。支持对音频输入输出通道进行音量调节，支持对音频输出通道进行静音设置。提供上述功能的软件设置界面截图并加盖厂家投标专用章或公章。</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7) 支持6路1080P高清视频输入，包括4路3G-SDI高清摄像机信号、1路HDMI信号和1路VGA信号。</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 xml:space="preserve">8) 至少支持1路HDMI和1路SDI输出接口，支持录制效果画面输出。  </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9) 采用AAC音频编码技术，支持3路音频输入、1路Lineout、1路耳机监听输出。</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10) 采用标准H.264视频编码技术，便携式便携式录播主机应支持电影模式和资源模式同步录制。支持网络多流和本地SDI多流两种录制模式，可实现摄像机无线接入多流录制。提供两种多流录制方式功能界面截图并加盖厂家投标专用章或公章。</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11) 内置至少1T存储硬盘，支持MP4视频封装格式。</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 xml:space="preserve">12) 支持4个USB接口，支持U盘/移动硬盘同步录制、视频拷贝，支持鼠标键盘的本地导播操作。 </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13) 高清便携式录播主机支持通过一条标准SDI线连接高清云台摄像机，即可实现视频传输、供电和云台控制功能。</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14) 便携式录播主机与摄像机之间支持通过无线信号进行视频传输，视频质量达到1080P高清画质。可通过无线信号实现便携式录播主机对摄像机的云台控制、调焦和预置位的设置与调用功能。</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15) 提供权威检测机构出具的产品无故障运行时间MTBF＞60000小时检测报告复印件并加盖厂家投标专用章或公章。</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中标后签定合同前提供原厂商针对本项目的质保函原件</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台</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1</w:t>
            </w:r>
            <w:r>
              <w:rPr>
                <w:rFonts w:ascii="宋体" w:hAnsi="宋体" w:cs="宋体"/>
                <w:color w:val="000000" w:themeColor="text1"/>
                <w:kern w:val="0"/>
                <w:sz w:val="20"/>
                <w:szCs w:val="20"/>
              </w:rPr>
              <w:t>6</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录播软件系统</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流媒体管理软件：</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1）支持主机内嵌液晶屏和鼠标进行系统管理，同时支持B/S架构设计，能够方便教师使用IE、360、chrome等主流浏览器通过网络直接访问录播主机进行管理。</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2）支持录制、暂停、停止等基本功能操作。</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3）支持导播管理、系统参数管理、用户管理、录制管理、网络参数管理。</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4）支持三种上电模式，包括关机模式、休眠模式和工作模式。</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5）支持硬盘格式化功能，支持对设备异常断电、宕机造成的损坏视频文件进行修复。提供上述功能软件界面截图并加盖厂家投标专用章或公章。</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6）支持中英文双语版本切换，适合不同用户的应用需求。提供中英文切换功能界面截图并加盖厂家投标专用章或公章。</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7）支持系统软件版本管理，包括软件版本查询，在线升级与系统授权。支持查询录播主机的设备型号、版本信息、机身号和设备运行的实时CPU温度。</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8）支持预设互动数据，包括互动对象的名称、IP、协议方式等。支持预设20个互动录播教室信息。提供上述功能的软件界面截图并加盖厂家投标专用章或公章。</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9）支持录播模式和互动模式两种工作模式。互动模式下，支持通过导播画面实时监视远端互动录播教室学生画面，支持实时预览传到远端互动录播教室的最终互动画面。互动画面支持实时进行本地教师信号、学生信号、电脑信号以及远端信号的自由组合布局。</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10）支持网络检测功能，实时检测与远端设备的连接丢包数、网速情况。支持启动网络自适应功能。提供上述功能的软件界面截图并加盖厂家投标专用章或公章。</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11）双向互动时，互动画面中可实时显示远端互动视频的码流和网络丢包率。</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12）提供流媒体管理软件著作权证书复印件并加盖厂家投标专用章或公章。</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流媒体直播软件：</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1）支持录播一键开启“直播”功能。</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2）支持网络直播参数设置、直播码流设置</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3）支持主码流、子码流双码流直播功能，主、子码流可设不同的分辨率与码流。</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4）支持自定义直播分辨率、码流大小，以适应不同网络环境下保持直播的流畅性。提供超清（1080P/4Mbps）、高清（720P/2Mbps）、标清（960*540/1Mbps）等多种直播分辨率与码流可选。</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5）支持HTTP、RTMP、RTSP多种直播视频流协议，支持TCP和UDP传输协议。</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6）★支持RTMP推流直播功能，除录播向资源平台实现FTP推流上传外，至少额外支持3路以上RTMP推流功能，实现与第三方平台和系统的推流对接。提供上述功能软件界面截图并加盖厂家投标专用章或公章。</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7）支持VLC缓冲设置功能，可精确到毫秒，缓冲时间阈值280~500ms可设。</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8）提供流媒体直播软件著作权证书复印件并加盖厂家投标专用章或公章。</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流媒体点播软件：</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1）为方便资源管理，系统需支持对录制视频按标题、主持人、时间、时长进行排序；可按照主题、主讲人进行分组展示；</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2）支持高、低双码流录制功能，支持自定义录制分辨率、帧率和码流，码流512kbps到40Mbps可设。提供自定义录制分辨率、码流、帧率的软件功能界面截图并加盖厂家投标专用章或公章。支持对视频文件进行点播回放，支持拖拽播放进度条播放；</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3）★录制文件支持分割技术，当录制的课程时间较长时，可按照用户设定的文件时长自动分割录制成多个视频文件，提供不分段、30分钟分段、60分钟分段三种方式可选。提供软件功能界面截图并加盖厂家投标专用章或公章。</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4）支持对资源模式和电影模式同步多流录制的视频进行管理和点播，点播分辨率达1080P；</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5）支持查询视频文件的分辨率、帧率和码流；</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6）支持录像文件下载；</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7）支持对视频进行手动FTP上传。</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8）提供流媒体点播软件著作权证书复印件并加盖厂家投标专用章或公章。</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流媒体导播软件：</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1）支持通过内嵌导播键盘和液晶屏进行本地导播，支持外接鼠标、键盘，保证导播具有较好的实时性和流畅性。</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2）提供4路摄像机画面和1路教师电脑画面预览窗口，支持视频画面任意切换。</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3）支持7种以上可选布局模式，包括双分屏、三分屏、画中画等。支持两个自定义布局方式，支持多个视频图层自由叠加组合，支持叠加纯色图层，自定义布局时可随意拖拉画面窗口。提供布局模式软件界面截图并加盖厂家投标专用章或公章。</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4）应具有鼠标快速定位功能，通过鼠标点击快速居中画面区域，通过鼠标滚轮可以调节云台摄像机的焦距。每个云台摄像机应至少支持8个预置位设置与调用功能。</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5）提供8种以上转场特效，包括渐变、缩放、切换等。支持在添加LOGO、字幕功能，支持通过鼠标直接拖拽设置LOGO和字幕在画面的显示位置。</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6）支持快速调用预设的字幕内容，支持实时添加字幕，字幕颜色、字幕描边、字幕背景可设。支持字幕和背景的透明度设置功能。支持字幕滚动和固定位置两种显示方式。提供上述功能软件界面截图并加盖厂家投标专用章或公章。</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提供上述功能软件界面截图并加盖厂家投标专用章或公章。</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7）提供流媒体导播软件著作权证书复印件并加盖厂家投标专用章或公章。</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▲与录播主机为同一品牌</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套</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5" w:hRule="atLeast"/>
        </w:trPr>
        <w:tc>
          <w:tcPr>
            <w:tcW w:w="560" w:type="dxa"/>
            <w:vAlign w:val="center"/>
          </w:tcPr>
          <w:p>
            <w:pPr>
              <w:widowControl/>
              <w:jc w:val="center"/>
              <w:rPr>
                <w:rFonts w:ascii="宋体" w:hAnsi="宋体" w:cs="宋体"/>
                <w:color w:val="000000" w:themeColor="text1"/>
                <w:kern w:val="0"/>
                <w:sz w:val="20"/>
                <w:szCs w:val="20"/>
              </w:rPr>
            </w:pPr>
            <w:r>
              <w:rPr>
                <w:rFonts w:ascii="宋体" w:hAnsi="宋体" w:cs="宋体"/>
                <w:color w:val="000000" w:themeColor="text1"/>
                <w:kern w:val="0"/>
                <w:sz w:val="20"/>
                <w:szCs w:val="20"/>
              </w:rPr>
              <w:t>17</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设备箱/线材箱</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1) 外尺寸：L665*W490*H342mm</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2) 内尺寸：L600*W420*H（260+43）mm</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3) 颜色：黑</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个</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00" w:hRule="atLeast"/>
        </w:trPr>
        <w:tc>
          <w:tcPr>
            <w:tcW w:w="560" w:type="dxa"/>
            <w:vAlign w:val="center"/>
          </w:tcPr>
          <w:p>
            <w:pPr>
              <w:widowControl/>
              <w:jc w:val="center"/>
              <w:rPr>
                <w:rFonts w:ascii="宋体" w:hAnsi="宋体" w:cs="宋体"/>
                <w:color w:val="000000" w:themeColor="text1"/>
                <w:kern w:val="0"/>
                <w:sz w:val="20"/>
                <w:szCs w:val="20"/>
              </w:rPr>
            </w:pPr>
            <w:r>
              <w:rPr>
                <w:rFonts w:ascii="宋体" w:hAnsi="宋体" w:cs="宋体"/>
                <w:color w:val="000000" w:themeColor="text1"/>
                <w:kern w:val="0"/>
                <w:sz w:val="20"/>
                <w:szCs w:val="20"/>
              </w:rPr>
              <w:t>18</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高清摄像机</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1.视频输出接口：HDMI、SDI</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2.传感器类型：CMOS，1/2.33英寸</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3.传感器像素：有效像素207万</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4.焦距：22倍变焦</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5.水平转动速度范围：1.0° ~ 94.2°/s，垂直转动速度范围：1.0° ~ 74.8°/s，水平视场角：72.0° ~ 6.7°，垂直视场角：43.2° ~ 3.7°</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6.支持水平、垂直翻转</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7.背光补偿：支持</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8.数字降噪：2D&amp;3D数字降噪</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9.网络流传输协议：RTP、RTSP</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10.预置位数量：255</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11.网络接口：RJ45</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12.音频接口：Line In,3.5mm</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13.通讯接口：RS232、RS422</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14.USB接口：USB Type-A</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15.支持的协议类型：VISCA</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16.编码技术：视频H.265、H.264</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17.电源支持：DC12V 2.0A、PoC</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18.▲与录播主机为同一品牌</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中标后签定合同前提供原厂商针对本项目的质保函原件</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台</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 w:hRule="atLeast"/>
        </w:trPr>
        <w:tc>
          <w:tcPr>
            <w:tcW w:w="560" w:type="dxa"/>
            <w:vAlign w:val="center"/>
          </w:tcPr>
          <w:p>
            <w:pPr>
              <w:widowControl/>
              <w:jc w:val="center"/>
              <w:rPr>
                <w:rFonts w:ascii="宋体" w:hAnsi="宋体" w:cs="宋体"/>
                <w:color w:val="000000" w:themeColor="text1"/>
                <w:kern w:val="0"/>
                <w:sz w:val="20"/>
                <w:szCs w:val="20"/>
              </w:rPr>
            </w:pPr>
            <w:r>
              <w:rPr>
                <w:rFonts w:ascii="宋体" w:hAnsi="宋体" w:cs="宋体"/>
                <w:color w:val="000000" w:themeColor="text1"/>
                <w:kern w:val="0"/>
                <w:sz w:val="20"/>
                <w:szCs w:val="20"/>
              </w:rPr>
              <w:t>19</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高清摄像机管理软件</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1) 摄像机管理软件采用B/S架构，支持通用浏览器直接访问进行管理。</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2) 支持网络参数设置与修改，支持一键恢复默认参数。</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3) 支持曝光模式设置功能，包括自动、手动。</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4) 支持抗闪烁频率、动态范围、光圈、快门参数设置。</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5) 支持自动白平衡设置功能，红、蓝增益可调范围0~200。</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6) 支持噪声抑制设置功能，支持2D、3D降噪。</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7) 支持摄像机图像质量调节功能，包括亮度、对比度、色调、饱和度。</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8) 支持摄像机控制功能，包括云台控制、预置位设置与调用、焦距调节等。</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9) 提供中国软件评测中心出具的高清摄像机管理软件相关检测报告复印件并加盖厂家投标专用章或公章。</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套</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00" w:hRule="atLeast"/>
        </w:trPr>
        <w:tc>
          <w:tcPr>
            <w:tcW w:w="560" w:type="dxa"/>
            <w:vAlign w:val="center"/>
          </w:tcPr>
          <w:p>
            <w:pPr>
              <w:widowControl/>
              <w:jc w:val="center"/>
              <w:rPr>
                <w:rFonts w:ascii="宋体" w:hAnsi="宋体" w:cs="宋体"/>
                <w:color w:val="000000" w:themeColor="text1"/>
                <w:kern w:val="0"/>
                <w:sz w:val="20"/>
                <w:szCs w:val="20"/>
              </w:rPr>
            </w:pPr>
            <w:r>
              <w:rPr>
                <w:rFonts w:ascii="宋体" w:hAnsi="宋体" w:cs="宋体"/>
                <w:color w:val="000000" w:themeColor="text1"/>
                <w:kern w:val="0"/>
                <w:sz w:val="20"/>
                <w:szCs w:val="20"/>
              </w:rPr>
              <w:t>20</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数字无线音频套装</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（1）腰包领夹麦克风</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1.载波频段：UHF500~980MHz</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2.调制方式：FM</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3.输出功率：5mW-10mW</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4.振荡方式：PLL相位锁定频率合成</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6.综合S/N比：&gt;97dB</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7.单体：背极式驻极体</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8.指向性：心形</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9.频率响应：40Hz-16kHz</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10.灵敏度：-37dB±3dB</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11.最大声压级：130dB</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（2）手持发射麦克风</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1.载波频段UHF500~980MHz</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2.调制方式FM</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3.输出功率5mW-10mW</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4.振荡方式PLL相位锁定频率合成</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5.综合S/N比&gt;97dB</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6.综合T.H.D.≤1%@1KHz</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7.单体动圈式音头</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8.指向性心形指向</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9.频率响应60Hz-18kHz</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10.灵敏度-50dB±3dB</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（3）手雷发射麦克风</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1.频段：UHF480-960MHz</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2.转换头：具有固定螺环的XLR插座</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3.发射功率：5mW/10mW可设置切换</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4.天线：外接的有线动圈式麦克风或电容式麦克风</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5.振荡模式：PLL电路，频率稳定度≤±0.005%</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6.显示器：具有背光的LCD，显示工作频道、频率、增益、音量、发射功率、静音、电池存量、静音开关设定、幻象电压，操作锁定及提示讯息等功能</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7.输入灵敏度：-40dB、-30dB、-20dB、-10dB、0dB五段，0dB=音头灵敏度</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8.幻象电源电压：提供可切换0V、12V、及48V的电压</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9.外接麦克风输入座：标准有线麦克风XLR平衡输入母座</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10.连续使用时间：＞5小时</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11.话筒单体：电容式拾音器</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12.指向性超心型</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13.频率响应40Hz-16kHz</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14.灵敏度-29±3dB</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15.最大声压级130dB（T.H.D≤1% at 1kHz）</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16.信噪比70dB（1kHz at 1Pa）</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（4）无线接收机</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1.振动器类型：晶体控制锁相环合成器</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2.接收频率范围：500-960MHz</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3.频率响应：30Hz至16kHz</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4.信噪比96dB</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5.模拟输入（麦克风及线路）：3极迷你插孔</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6.模拟输入电平：-50dBV</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7.模拟输出：3极迷你插孔，不平衡</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8.模拟输出电平：-60dBV</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9.模拟输出调节范围：-12dB至+12dB</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10.耳机输出：φ3.5mm（5/32英寸）立体声迷你插孔</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11.耳机输出电平：5mW</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套</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trPr>
        <w:tc>
          <w:tcPr>
            <w:tcW w:w="560" w:type="dxa"/>
            <w:vAlign w:val="center"/>
          </w:tcPr>
          <w:p>
            <w:pPr>
              <w:widowControl/>
              <w:jc w:val="center"/>
              <w:rPr>
                <w:rFonts w:ascii="宋体" w:hAnsi="宋体" w:cs="宋体"/>
                <w:color w:val="000000" w:themeColor="text1"/>
                <w:kern w:val="0"/>
                <w:sz w:val="20"/>
                <w:szCs w:val="20"/>
              </w:rPr>
            </w:pPr>
            <w:r>
              <w:rPr>
                <w:rFonts w:ascii="宋体" w:hAnsi="宋体" w:cs="宋体"/>
                <w:color w:val="000000" w:themeColor="text1"/>
                <w:kern w:val="0"/>
                <w:sz w:val="20"/>
                <w:szCs w:val="20"/>
              </w:rPr>
              <w:t>21</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无线网卡</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1.接口类型：USB3.0，向下兼容USB2.0</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2.天线：内置智能天线，高增益2dBi</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3.网络标准：IEEE 802.11ac/a/b/g/n</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4.频率范围：双频(2.4GHz、5.8GHz)</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5.传输速率：2.4G不小于300Mbps；5.8G不小于800Mbps</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6.收发性能：支持4*4MIMO架构，4数据流并发</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7.发射功率：18dBm</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8.操作系统：Win XP/Win7/Win8/Win10/Vista/Linux/Mac</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个</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ascii="宋体" w:hAnsi="宋体" w:cs="宋体"/>
                <w:color w:val="000000" w:themeColor="text1"/>
                <w:kern w:val="0"/>
                <w:sz w:val="20"/>
                <w:szCs w:val="20"/>
              </w:rPr>
              <w:t>22</w:t>
            </w:r>
          </w:p>
        </w:tc>
        <w:tc>
          <w:tcPr>
            <w:tcW w:w="2124"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摄像机三脚架</w:t>
            </w:r>
          </w:p>
        </w:tc>
        <w:tc>
          <w:tcPr>
            <w:tcW w:w="5528" w:type="dxa"/>
            <w:shd w:val="clear" w:color="auto" w:fill="auto"/>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1) 脚管节数：4节</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2) 最大管径：28MM</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3) 最小管径：16MM</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4) 折合高度：60 CM</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5) 最低工作高度：32CM</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6) 最高工作高度：1550 mm</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7) 脚管锁类型：扳扣</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8) 云台类型：球形</w:t>
            </w:r>
          </w:p>
        </w:tc>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支</w:t>
            </w:r>
          </w:p>
        </w:tc>
        <w:tc>
          <w:tcPr>
            <w:tcW w:w="67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5"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2</w:t>
            </w:r>
            <w:r>
              <w:rPr>
                <w:rFonts w:ascii="宋体" w:hAnsi="宋体" w:cs="宋体"/>
                <w:color w:val="000000" w:themeColor="text1"/>
                <w:kern w:val="0"/>
                <w:sz w:val="20"/>
                <w:szCs w:val="20"/>
              </w:rPr>
              <w:t>3</w:t>
            </w:r>
          </w:p>
        </w:tc>
        <w:tc>
          <w:tcPr>
            <w:tcW w:w="212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话筒支架</w:t>
            </w:r>
          </w:p>
        </w:tc>
        <w:tc>
          <w:tcPr>
            <w:tcW w:w="5528" w:type="dxa"/>
            <w:shd w:val="clear" w:color="000000" w:fill="FFFFFF"/>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1）是否折叠：支持</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2）立杆高度：0.9~1.6米</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3）话筒直径：适用于2~4CM话筒</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4）支架数：三脚架</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5）材质：钢管架身、塑料配件</w:t>
            </w:r>
          </w:p>
        </w:tc>
        <w:tc>
          <w:tcPr>
            <w:tcW w:w="560"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个</w:t>
            </w:r>
          </w:p>
        </w:tc>
        <w:tc>
          <w:tcPr>
            <w:tcW w:w="67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2</w:t>
            </w:r>
            <w:r>
              <w:rPr>
                <w:rFonts w:ascii="宋体" w:hAnsi="宋体" w:cs="宋体"/>
                <w:color w:val="000000" w:themeColor="text1"/>
                <w:kern w:val="0"/>
                <w:sz w:val="20"/>
                <w:szCs w:val="20"/>
              </w:rPr>
              <w:t>4</w:t>
            </w:r>
          </w:p>
        </w:tc>
        <w:tc>
          <w:tcPr>
            <w:tcW w:w="212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移动电源</w:t>
            </w:r>
          </w:p>
        </w:tc>
        <w:tc>
          <w:tcPr>
            <w:tcW w:w="5528" w:type="dxa"/>
            <w:shd w:val="clear" w:color="000000" w:fill="FFFFFF"/>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容量（mAh）：32000</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电芯类型：锂聚合物电池</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输入电压：20V (max)</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输出电压：20V (max)</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输出电流：DC15-24V 2A</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输入电流：DC15-24V 2A</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电量显示：支持</w:t>
            </w:r>
          </w:p>
        </w:tc>
        <w:tc>
          <w:tcPr>
            <w:tcW w:w="560"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个</w:t>
            </w:r>
          </w:p>
        </w:tc>
        <w:tc>
          <w:tcPr>
            <w:tcW w:w="67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560" w:type="dxa"/>
            <w:vAlign w:val="center"/>
          </w:tcPr>
          <w:p>
            <w:pPr>
              <w:widowControl/>
              <w:jc w:val="center"/>
              <w:rPr>
                <w:rFonts w:ascii="宋体" w:hAnsi="宋体" w:cs="宋体"/>
                <w:color w:val="000000" w:themeColor="text1"/>
                <w:kern w:val="0"/>
                <w:sz w:val="20"/>
                <w:szCs w:val="20"/>
              </w:rPr>
            </w:pPr>
            <w:r>
              <w:rPr>
                <w:rFonts w:ascii="宋体" w:hAnsi="宋体" w:cs="宋体"/>
                <w:color w:val="000000" w:themeColor="text1"/>
                <w:kern w:val="0"/>
                <w:sz w:val="20"/>
                <w:szCs w:val="20"/>
              </w:rPr>
              <w:t>25</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线材</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满足系统需求，含4条标准SDI线、1条HDMI线、1个USB延长线底座、5个USB上弯转接头</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批</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2</w:t>
            </w:r>
            <w:r>
              <w:rPr>
                <w:rFonts w:ascii="宋体" w:hAnsi="宋体" w:cs="宋体"/>
                <w:color w:val="000000" w:themeColor="text1"/>
                <w:kern w:val="0"/>
                <w:sz w:val="20"/>
                <w:szCs w:val="20"/>
              </w:rPr>
              <w:t>6</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高清无人机</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DJI AIR 2S畅飞套装（带屏遥控器），含AIR 2S飞行器1个、DJI带屏遥控器1个，智能飞行电池3个，AC电源线1根，降噪螺旋桨6对，云台保护罩1个，数据线USB3.0 Type-C1根，ND镜套装（ND4/8/16/32）1套，充电管家1套，电池-充电宝转换器1个，单肩包1个，24W USB充电器1个，备用遥杆1对，另配128G内存卡2张。</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台</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560" w:type="dxa"/>
            <w:vAlign w:val="center"/>
          </w:tcPr>
          <w:p>
            <w:pPr>
              <w:widowControl/>
              <w:jc w:val="center"/>
              <w:rPr>
                <w:rFonts w:ascii="宋体" w:hAnsi="宋体" w:cs="宋体"/>
                <w:color w:val="000000" w:themeColor="text1"/>
                <w:kern w:val="0"/>
                <w:sz w:val="20"/>
                <w:szCs w:val="20"/>
              </w:rPr>
            </w:pPr>
            <w:r>
              <w:rPr>
                <w:rFonts w:ascii="宋体" w:hAnsi="宋体" w:cs="宋体"/>
                <w:color w:val="000000" w:themeColor="text1"/>
                <w:kern w:val="0"/>
                <w:sz w:val="20"/>
                <w:szCs w:val="20"/>
              </w:rPr>
              <w:t>27</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无线话筒</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原装无线话筒,原厂标配+5号充电电池及充电器+手提箱</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套</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560" w:type="dxa"/>
            <w:vAlign w:val="center"/>
          </w:tcPr>
          <w:p>
            <w:pPr>
              <w:widowControl/>
              <w:jc w:val="center"/>
              <w:rPr>
                <w:rFonts w:ascii="宋体" w:hAnsi="宋体" w:cs="宋体"/>
                <w:color w:val="000000" w:themeColor="text1"/>
                <w:kern w:val="0"/>
                <w:sz w:val="20"/>
                <w:szCs w:val="20"/>
              </w:rPr>
            </w:pPr>
            <w:r>
              <w:rPr>
                <w:rFonts w:ascii="宋体" w:hAnsi="宋体" w:cs="宋体"/>
                <w:color w:val="000000" w:themeColor="text1"/>
                <w:kern w:val="0"/>
                <w:sz w:val="20"/>
                <w:szCs w:val="20"/>
              </w:rPr>
              <w:t>28</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相关连接线</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BELDEN百通1694F 75欧姆音频数字同轴线配佳耐美BNC头 10米1根，20米1根；</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批</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trPr>
        <w:tc>
          <w:tcPr>
            <w:tcW w:w="9446" w:type="dxa"/>
            <w:gridSpan w:val="5"/>
            <w:vAlign w:val="center"/>
          </w:tcPr>
          <w:p>
            <w:pPr>
              <w:widowControl/>
              <w:jc w:val="center"/>
              <w:rPr>
                <w:rFonts w:ascii="宋体" w:hAnsi="宋体" w:cs="宋体"/>
                <w:b/>
                <w:bCs/>
                <w:color w:val="000000" w:themeColor="text1"/>
                <w:kern w:val="0"/>
                <w:sz w:val="20"/>
                <w:szCs w:val="20"/>
              </w:rPr>
            </w:pPr>
            <w:r>
              <w:rPr>
                <w:rFonts w:hint="eastAsia" w:ascii="宋体" w:hAnsi="宋体" w:cs="宋体"/>
                <w:b/>
                <w:bCs/>
                <w:color w:val="000000" w:themeColor="text1"/>
                <w:kern w:val="0"/>
                <w:sz w:val="20"/>
                <w:szCs w:val="20"/>
              </w:rPr>
              <w:t>学生机房电脑及配套设备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trPr>
        <w:tc>
          <w:tcPr>
            <w:tcW w:w="560" w:type="dxa"/>
            <w:vAlign w:val="center"/>
          </w:tcPr>
          <w:p>
            <w:pPr>
              <w:widowControl/>
              <w:jc w:val="center"/>
              <w:rPr>
                <w:rFonts w:ascii="宋体" w:hAnsi="宋体" w:cs="宋体"/>
                <w:color w:val="000000" w:themeColor="text1"/>
                <w:kern w:val="0"/>
                <w:sz w:val="20"/>
                <w:szCs w:val="20"/>
              </w:rPr>
            </w:pPr>
            <w:r>
              <w:rPr>
                <w:rFonts w:ascii="宋体" w:hAnsi="宋体" w:cs="宋体"/>
                <w:color w:val="000000" w:themeColor="text1"/>
                <w:kern w:val="0"/>
                <w:sz w:val="20"/>
                <w:szCs w:val="20"/>
              </w:rPr>
              <w:t>29</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教师电脑</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详见技术指标参数</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台</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trPr>
        <w:tc>
          <w:tcPr>
            <w:tcW w:w="560" w:type="dxa"/>
            <w:vAlign w:val="center"/>
          </w:tcPr>
          <w:p>
            <w:pPr>
              <w:widowControl/>
              <w:jc w:val="center"/>
              <w:rPr>
                <w:rFonts w:ascii="宋体" w:hAnsi="宋体" w:cs="宋体"/>
                <w:color w:val="000000" w:themeColor="text1"/>
                <w:kern w:val="0"/>
                <w:sz w:val="20"/>
                <w:szCs w:val="20"/>
              </w:rPr>
            </w:pPr>
            <w:r>
              <w:rPr>
                <w:rFonts w:ascii="宋体" w:hAnsi="宋体" w:cs="宋体"/>
                <w:color w:val="000000" w:themeColor="text1"/>
                <w:kern w:val="0"/>
                <w:sz w:val="20"/>
                <w:szCs w:val="20"/>
              </w:rPr>
              <w:t>30</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学生电脑</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详见技术指标参数</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台</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3</w:t>
            </w:r>
            <w:r>
              <w:rPr>
                <w:rFonts w:ascii="宋体" w:hAnsi="宋体" w:cs="宋体"/>
                <w:color w:val="000000" w:themeColor="text1"/>
                <w:kern w:val="0"/>
                <w:sz w:val="20"/>
                <w:szCs w:val="20"/>
              </w:rPr>
              <w:t>1</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千兆企业级路由器</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双核64位网络专用处理器，512MB DDRIII高速内存，性能强劲</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5个千兆网口，1WAN+4LAN</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IPSec/PPTP/L2TP VPN，远程通信更安全</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Web认证、短信认证、PPPoE服务器</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上网行为管理（移动APP管控/桌面应用管控/网站过滤/行为审计）</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内置AC功能，统一管理TP-LINK企业AP</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内外网ARP防护及常见攻击防护</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智能IP带宽管理及连接数限制硬件规格</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端口 </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1个10/100/1000M RJ45 WAN口</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4个10/100/1000M RJ45 LAN口</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1个Console端口</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处理器 </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双核MIPS 64位网络专用处理器，主频1GHz</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内存 </w:t>
            </w:r>
          </w:p>
          <w:p>
            <w:pPr>
              <w:widowControl/>
              <w:jc w:val="left"/>
              <w:rPr>
                <w:rFonts w:ascii="宋体" w:hAnsi="宋体" w:cs="宋体"/>
                <w:color w:val="000000" w:themeColor="text1"/>
                <w:kern w:val="0"/>
                <w:sz w:val="20"/>
                <w:szCs w:val="20"/>
              </w:rPr>
            </w:pPr>
            <w:r>
              <w:rPr>
                <w:rFonts w:ascii="宋体" w:hAnsi="宋体" w:cs="宋体"/>
                <w:color w:val="000000" w:themeColor="text1"/>
                <w:kern w:val="0"/>
                <w:sz w:val="20"/>
                <w:szCs w:val="20"/>
              </w:rPr>
              <w:t>DDRIII 512MB</w:t>
            </w:r>
          </w:p>
          <w:p>
            <w:pPr>
              <w:widowControl/>
              <w:jc w:val="left"/>
              <w:rPr>
                <w:rFonts w:ascii="宋体" w:hAnsi="宋体" w:cs="宋体"/>
                <w:color w:val="000000" w:themeColor="text1"/>
                <w:kern w:val="0"/>
                <w:sz w:val="20"/>
                <w:szCs w:val="20"/>
              </w:rPr>
            </w:pPr>
            <w:r>
              <w:rPr>
                <w:rFonts w:ascii="宋体" w:hAnsi="宋体" w:cs="宋体"/>
                <w:color w:val="000000" w:themeColor="text1"/>
                <w:kern w:val="0"/>
                <w:sz w:val="20"/>
                <w:szCs w:val="20"/>
              </w:rPr>
              <w:t xml:space="preserve">FLASH </w:t>
            </w:r>
          </w:p>
          <w:p>
            <w:pPr>
              <w:widowControl/>
              <w:jc w:val="left"/>
              <w:rPr>
                <w:rFonts w:ascii="宋体" w:hAnsi="宋体" w:cs="宋体"/>
                <w:color w:val="000000" w:themeColor="text1"/>
                <w:kern w:val="0"/>
                <w:sz w:val="20"/>
                <w:szCs w:val="20"/>
              </w:rPr>
            </w:pPr>
            <w:r>
              <w:rPr>
                <w:rFonts w:ascii="宋体" w:hAnsi="宋体" w:cs="宋体"/>
                <w:color w:val="000000" w:themeColor="text1"/>
                <w:kern w:val="0"/>
                <w:sz w:val="20"/>
                <w:szCs w:val="20"/>
              </w:rPr>
              <w:t>32MB</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指示灯 </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每端口： WAN/LAN、Speed</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每设备： PWR、SYS</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外形尺寸 </w:t>
            </w:r>
          </w:p>
          <w:p>
            <w:pPr>
              <w:widowControl/>
              <w:jc w:val="left"/>
              <w:rPr>
                <w:rFonts w:ascii="宋体" w:hAnsi="宋体" w:cs="宋体"/>
                <w:color w:val="000000" w:themeColor="text1"/>
                <w:kern w:val="0"/>
                <w:sz w:val="20"/>
                <w:szCs w:val="20"/>
              </w:rPr>
            </w:pPr>
            <w:r>
              <w:rPr>
                <w:rFonts w:ascii="宋体" w:hAnsi="宋体" w:cs="宋体"/>
                <w:color w:val="000000" w:themeColor="text1"/>
                <w:kern w:val="0"/>
                <w:sz w:val="20"/>
                <w:szCs w:val="20"/>
              </w:rPr>
              <w:t>440(w)x227(D)x44(H) mm</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输入电源 </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100～240V AC,50/60Hz</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散热方式 </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自然散热</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使用环境 </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工作温度：0℃～40℃, 工作湿度：10%～90%RH 不凝结</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存储温度：-40℃～70℃, 存储湿度：5%～90%RH 不凝结</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典型带机量 </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500台左右</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软件功能</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网络协议 </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TCP/IP、DHCP、ICMP、NAT、PPPoE、SNTP、HTTP、DNS、H.323、SIP、DDNS</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基本设置 </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接口设置</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DHCP服务器</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MAC地址设置</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VLAN（多局域网）</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交换机设置</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DNS代理</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AP管理 </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AP设置，最多管理100台AP</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无线网络设置</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无线客户端状态</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传输控制 </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一对一NAT、NAPT、虚拟服务器、ALG、NAT-DMZ</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IP带宽控制、连接数控制、流量/连接数监控</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大并发连接数：150000条</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策略路由、静态路由、系统路由</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安全管理 </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支持ARP扫描、ARP列表、GARP</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支持 IP/MAC 绑定</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防DoS类、扫描类、可疑包类等多种常见攻击行为</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支持设置MAC地址过滤黑白名单</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访问控制列表</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行为管控 </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社交软件/ 视频软件/ 音乐软件/ 购物休闲软件/ 新闻资讯软件/P2P 软件/金融软件/网络游戏/ 应用商店/ 基础应用等各种常见应用限制</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QQ黑白名单</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网址分组过滤、URL过滤</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网页安全（禁止网页提交，过滤网页中的各种文件类型）</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行为审计</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应用特征库更新</w:t>
            </w:r>
          </w:p>
          <w:p>
            <w:pPr>
              <w:widowControl/>
              <w:jc w:val="left"/>
              <w:rPr>
                <w:rFonts w:ascii="宋体" w:hAnsi="宋体" w:cs="宋体"/>
                <w:color w:val="000000" w:themeColor="text1"/>
                <w:kern w:val="0"/>
                <w:sz w:val="20"/>
                <w:szCs w:val="20"/>
              </w:rPr>
            </w:pPr>
            <w:r>
              <w:rPr>
                <w:rFonts w:ascii="宋体" w:hAnsi="宋体" w:cs="宋体"/>
                <w:color w:val="000000" w:themeColor="text1"/>
                <w:kern w:val="0"/>
                <w:sz w:val="20"/>
                <w:szCs w:val="20"/>
              </w:rPr>
              <w:t xml:space="preserve">VPN </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IPSec VPN（100条隧道）</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PPTP/L2TP VPN（100条隧道）</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接入认证 </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Web认证，支持本地认证、Radius认证、一键上网，满足多种认证需求</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短信认证，满足实名认证要求，并可基于手机号进行二次营销</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免认证策略</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系统服务 </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PPPoE服务器，带机量500</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动态DNS（花生壳、科迈、3322)</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UPnP服务</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管理维护 </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中文Web网管、远程管理</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配置备份与导入配置</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系统软件升级</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接口流量统计、IP流量统计</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ping、tracert诊断工具</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时间设置</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系统日志</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台</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3</w:t>
            </w:r>
            <w:r>
              <w:rPr>
                <w:rFonts w:ascii="宋体" w:hAnsi="宋体" w:cs="宋体"/>
                <w:color w:val="000000" w:themeColor="text1"/>
                <w:kern w:val="0"/>
                <w:sz w:val="20"/>
                <w:szCs w:val="20"/>
              </w:rPr>
              <w:t>2</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高密AP（含布线）</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专业超材料天线，高等级隔离度，提升覆盖区域信号质量</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频谱导航，引导双频客户端优先连接到5GHz频段上，使2.4GHz和5GHz两个频段负载更均衡，保障网络性能</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胖瘦一体，不同环境选择不同工作模式</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FIT模式支持智能漫游技术</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FIT模式支持射频自动调优功能（近期更新软件支持）</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无线发射功率线性可调，根据需求调整信号覆盖范围</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简易吸顶式安装，支持802.3at标准PoE、12VDC两种供电方式</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端口隐藏式壳体，布线美观</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独立硬件保护电路，可自动恢复工作异常AP</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台</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3</w:t>
            </w:r>
            <w:r>
              <w:rPr>
                <w:rFonts w:ascii="宋体" w:hAnsi="宋体" w:cs="宋体"/>
                <w:color w:val="000000" w:themeColor="text1"/>
                <w:kern w:val="0"/>
                <w:sz w:val="20"/>
                <w:szCs w:val="20"/>
              </w:rPr>
              <w:t>3</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POE交换机</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全千兆5口PoE交换机</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台</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0"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3</w:t>
            </w:r>
            <w:r>
              <w:rPr>
                <w:rFonts w:ascii="宋体" w:hAnsi="宋体" w:cs="宋体"/>
                <w:color w:val="000000" w:themeColor="text1"/>
                <w:kern w:val="0"/>
                <w:sz w:val="20"/>
                <w:szCs w:val="20"/>
              </w:rPr>
              <w:t>4</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千兆交换机</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交换容量：336Gbps/3.36Tbps；</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包转发率：51Mpps/126Mpps；</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端口数：24个10/100/1000Base-T以太网端口，4个千兆SFP。</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台</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5"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3</w:t>
            </w:r>
            <w:r>
              <w:rPr>
                <w:rFonts w:ascii="宋体" w:hAnsi="宋体" w:cs="宋体"/>
                <w:color w:val="000000" w:themeColor="text1"/>
                <w:kern w:val="0"/>
                <w:sz w:val="20"/>
                <w:szCs w:val="20"/>
              </w:rPr>
              <w:t>5</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86寸智能交互平板</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详见技术指标参数</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台</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3</w:t>
            </w:r>
            <w:r>
              <w:rPr>
                <w:rFonts w:ascii="宋体" w:hAnsi="宋体" w:cs="宋体"/>
                <w:color w:val="000000" w:themeColor="text1"/>
                <w:kern w:val="0"/>
                <w:sz w:val="20"/>
                <w:szCs w:val="20"/>
              </w:rPr>
              <w:t>6</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无线键鼠套装</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MK275 无线键鼠套装</w:t>
            </w:r>
          </w:p>
        </w:tc>
        <w:tc>
          <w:tcPr>
            <w:tcW w:w="560" w:type="dxa"/>
            <w:noWrap/>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套</w:t>
            </w:r>
          </w:p>
        </w:tc>
        <w:tc>
          <w:tcPr>
            <w:tcW w:w="674" w:type="dxa"/>
            <w:noWrap/>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3</w:t>
            </w:r>
            <w:r>
              <w:rPr>
                <w:rFonts w:ascii="宋体" w:hAnsi="宋体" w:cs="宋体"/>
                <w:color w:val="000000" w:themeColor="text1"/>
                <w:kern w:val="0"/>
                <w:sz w:val="20"/>
                <w:szCs w:val="20"/>
              </w:rPr>
              <w:t>7</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左右推拉式绿板</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左右推拉式绿板（分成二块），大屏要求安装在黑板左侧内（面朝黑板时）</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结构：内外双层结构，内层为一块固定书写板与一体机(电子白板）正面平齐，外层为一块滑动书写板，滑动板配装刻有黑板品牌LOGO标识的挂锁，开闭自如确保一体机安全管理。</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基本尺寸：4300mm×1305mm，可根据所配一体机适当调整，确保与一体机的有效配套。</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书写板面：采用优质烤漆钢板，厚度0.3mm，表面覆透明保护膜。板面为亚光墨绿色、漆膜硬度为6H、光泽度≤6光泽单位，粗糙度为Ra1.6-3.2um，板面书写流畅字迹清晰、易擦拭。</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内芯材料：选用高强度、吸音、防潮、阻燃聚苯乙烯板，厚度14mm。</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背板：选用优质蓝色防锈亚光彩涂钢板，纵向间隔80mm压有20mm专利加强筋，增强板体强度。</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覆板：采用环保型双组份聚氨酯胶水，自动化流水线覆板作业，牵引、滴胶、刷胶、压固、切割下料一次完成，胶水60秒钟即100%固化定型，确保粘接牢固板面平整，甲醛释放量≤0.2mg/L，符合GB 28231-2011《书写板安全卫生要求》。</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边框：采用高级亚光仿钢色铝合金，模具挤压一次成型，横框规格57mm×100mm，竖框规格29mm×100mm；边框经氧化、喷砂涂层处理，无明显眩光，根据一体机的厚度配同色同质封板；横（立）框采用双层加强结构，厚≥10㎜。</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滑轮：上轮采用减震消音双滑道吊轮，下轮采用1字型平轮单滑动结构，滑轮使用高精度轴承，滑动流畅、噪音小；书写时定位精确不晃动、滑动板前后晃动小于0.5mm，经久耐用。数目各4组，上下均匀安装，推拉顺畅自如，无卡挤现象和尖锐的摩擦声，稳定性好。</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粉尘槽：配备宽度≥30mm一体化粉尘槽，防止粉尘垂直落地；粉尘槽与下边框一体化设计，清扫时无粉尘死角；为防止粉笔等工具掉落，配备两用橡胶粉尘刷，可清扫粉笔槽内粉尘，不用时，可代替粉尘孔塞，堵住粉尘孔；粉尘槽与滑动系统分离，避免异物阻塞滑道。</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包角材料：采用抗老化高强度ABS工程塑料注塑成型。规格100mm×29mm，采用双壁成腔流线型设计，≥R25mm的圆角，正面带黑板品牌LOGO注册商标标识，无尖角毛刺，符合GB 21027-2007《学生用品的安全通用要求》。</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粉尘刷：配带两用橡胶粉尘刷，可清扫粉笔槽内粉尘，不用时可代替粉尘孔塞。</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限位档：黑板边框内部两侧安装滑动板限位档，防止活动黑板开启时撞击立框。</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生产厂家通过知识产权管理体系认证，提供证明文件并加盖生产厂家鲜章。</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所投产品提供静电抗干扰度检测报告复印件并加盖生产厂家鲜章。</w:t>
            </w:r>
          </w:p>
        </w:tc>
        <w:tc>
          <w:tcPr>
            <w:tcW w:w="560" w:type="dxa"/>
            <w:noWrap/>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套</w:t>
            </w:r>
          </w:p>
        </w:tc>
        <w:tc>
          <w:tcPr>
            <w:tcW w:w="674" w:type="dxa"/>
            <w:noWrap/>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8" w:hRule="atLeast"/>
        </w:trPr>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3</w:t>
            </w:r>
            <w:r>
              <w:rPr>
                <w:rFonts w:ascii="宋体" w:hAnsi="宋体" w:cs="宋体"/>
                <w:color w:val="000000" w:themeColor="text1"/>
                <w:kern w:val="0"/>
                <w:sz w:val="20"/>
                <w:szCs w:val="20"/>
              </w:rPr>
              <w:t>8</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视频展台</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1. 铝合金外壳，无锐角无利边设计，有效防止师生碰伤、划伤。</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2. 壁挂式安装，防盗防破坏。</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3. 采用三折叠开合式托板，展开后托板尺寸≥A4面积，收起时小巧不占空间，高效利用挂墙面积。</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4. 采用USB高速接口，单根USB线实现供电、高清数据传输需求。</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5. 采用800W像素自动对焦摄像头，可拍摄≥A4画幅。</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6. 展台按键采用电容式触摸按键，可实现一键启动展台画面、画面放大、画面缩小、画面旋转、拍照截图等功能，同时也支持在一体机或电脑上进行同样的操作。</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7. 整机自带均光罩LED补光灯，光线不足时可进行亮度补充，亮度均匀。</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8. 支持对展台实时画面进行放大、缩小、旋转、自适应、冻结画面等操作。</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9. 支持展台画面实时批注，预设多种笔划粗细及颜色供选择，且支持对展台画面联同批注内容进行同步缩放、移动。</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10. 支持展台画面拍照截图并进行多图预览，可对任一图片进行全屏显示。</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11. 老师可在一体机或电脑上选择延时拍照功能，支持5秒或10秒延时模式，预留充足时间以便调整拍摄内容。</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12. 可选择图像、文本或动态等多种情景模式，适应不同展示内容。</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13. 具备图像增强功能，可自动裁剪背景并增强文字显示，使文档画面更清晰。</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14. 支持故障自动检测，在软件无法出现展台拍摄画面时，自动出现检测链接，帮助用户检测“无画面”的原因，并给出引导性解决方案。可判断硬件连接、显卡驱动、摄像头占用、软件版本等问题。</w:t>
            </w:r>
          </w:p>
        </w:tc>
        <w:tc>
          <w:tcPr>
            <w:tcW w:w="560" w:type="dxa"/>
            <w:noWrap/>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台</w:t>
            </w:r>
          </w:p>
        </w:tc>
        <w:tc>
          <w:tcPr>
            <w:tcW w:w="674" w:type="dxa"/>
            <w:noWrap/>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00" w:hRule="atLeast"/>
        </w:trPr>
        <w:tc>
          <w:tcPr>
            <w:tcW w:w="560" w:type="dxa"/>
            <w:vAlign w:val="center"/>
          </w:tcPr>
          <w:p>
            <w:pPr>
              <w:widowControl/>
              <w:jc w:val="center"/>
              <w:rPr>
                <w:rFonts w:ascii="宋体" w:hAnsi="宋体" w:cs="宋体"/>
                <w:color w:val="000000" w:themeColor="text1"/>
                <w:kern w:val="0"/>
                <w:sz w:val="20"/>
                <w:szCs w:val="20"/>
              </w:rPr>
            </w:pPr>
            <w:r>
              <w:rPr>
                <w:rFonts w:ascii="宋体" w:hAnsi="宋体" w:cs="宋体"/>
                <w:color w:val="000000" w:themeColor="text1"/>
                <w:kern w:val="0"/>
                <w:sz w:val="20"/>
                <w:szCs w:val="20"/>
              </w:rPr>
              <w:t>39</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蓝牙音响</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1. 采用功放及有源音箱一体化设计。</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2. 双音箱配对，采用木质材质，保证声音还原度。</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3. 输出额定功率: 2*20W。</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4. 端口：电源*1、Line in*1、Line out*1、U盘接口*1。</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5. 支持专业无线麦克风接收技术数字U段无线麦克风扩音接收，有效避开wifi干扰。（提供国家级检测机构所出具的权威检测报告）</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6. 配置独立音频数字信号处理芯片，支持啸叫抑制功能。</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7. 支持蓝牙无线接收，方便老师分享移动设备上的音频。</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8. 蓝牙支持密码模式，防止学生连接。</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9. 支持安卓手机通过蓝牙无线连接音箱，实现控制有源音箱的音量、设置蓝牙名称、设置蓝牙密码等功能，方便教师对音箱的管控。</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10. 支持扩音和输入音源叠加输出，方便与录播系统结合，或者通过串联功放支持更大环境扩音。（提供国家级检测机构所出具的权威检测报告）</w:t>
            </w:r>
          </w:p>
        </w:tc>
        <w:tc>
          <w:tcPr>
            <w:tcW w:w="560" w:type="dxa"/>
            <w:noWrap/>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套</w:t>
            </w:r>
          </w:p>
        </w:tc>
        <w:tc>
          <w:tcPr>
            <w:tcW w:w="674" w:type="dxa"/>
            <w:noWrap/>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00" w:hRule="atLeast"/>
        </w:trPr>
        <w:tc>
          <w:tcPr>
            <w:tcW w:w="560" w:type="dxa"/>
            <w:vAlign w:val="center"/>
          </w:tcPr>
          <w:p>
            <w:pPr>
              <w:widowControl/>
              <w:jc w:val="center"/>
              <w:rPr>
                <w:rFonts w:ascii="宋体" w:hAnsi="宋体" w:cs="宋体"/>
                <w:color w:val="000000" w:themeColor="text1"/>
                <w:kern w:val="0"/>
                <w:sz w:val="20"/>
                <w:szCs w:val="20"/>
              </w:rPr>
            </w:pPr>
            <w:r>
              <w:rPr>
                <w:rFonts w:ascii="宋体" w:hAnsi="宋体" w:cs="宋体"/>
                <w:color w:val="000000" w:themeColor="text1"/>
                <w:kern w:val="0"/>
                <w:sz w:val="20"/>
                <w:szCs w:val="20"/>
              </w:rPr>
              <w:t>40</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无线麦克风</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1. 无线麦克风集音频发射处理器、天线、电池、拾音麦克风于一体，配合一体化有源音箱，无需任何外接辅助设备即可实现本地扩声功能。（提供国家级检测机构所出具的权威检测报告）</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2. 采用U段传输，有效避免环境中2.4G信号干扰，例如蓝牙及WIFI设备。</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3. 采用红外对码方式连接，避免连接到其他教室音箱。可在2s内快速完成与教学扩声音箱对码，无需繁琐操作。</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4. 配合USB麦克风接收器连接一体机，具备翻页键功能，可远程操控一体机设备进行课件软件翻页功能。</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5. 配合USB接收器连接一体机，可通过一体机对老师的声音进行录制。</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6. ★采用触点磁吸式充电方式，充电10分钟，可扩音80分钟。（提供国家级检测机构所出具的权威检测报告）</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7. ★具备磁吸式触点接口，与充电接口复用（提供国家级检测机构所出具的权威检测报告）。</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8. 无遮挡情况下，有效工作距离≥10米，保证全教室覆盖。</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9. ★为保证兼容性及稳定性，无线麦克风需与蓝牙音响为同一品牌厂家。</w:t>
            </w:r>
          </w:p>
        </w:tc>
        <w:tc>
          <w:tcPr>
            <w:tcW w:w="560" w:type="dxa"/>
            <w:noWrap/>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支</w:t>
            </w:r>
          </w:p>
        </w:tc>
        <w:tc>
          <w:tcPr>
            <w:tcW w:w="674" w:type="dxa"/>
            <w:noWrap/>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trPr>
        <w:tc>
          <w:tcPr>
            <w:tcW w:w="560" w:type="dxa"/>
            <w:vAlign w:val="center"/>
          </w:tcPr>
          <w:p>
            <w:pPr>
              <w:widowControl/>
              <w:jc w:val="center"/>
              <w:rPr>
                <w:rFonts w:ascii="宋体" w:hAnsi="宋体" w:cs="宋体"/>
                <w:color w:val="000000" w:themeColor="text1"/>
                <w:kern w:val="0"/>
                <w:sz w:val="20"/>
                <w:szCs w:val="20"/>
              </w:rPr>
            </w:pPr>
            <w:r>
              <w:rPr>
                <w:rFonts w:ascii="宋体" w:hAnsi="宋体" w:cs="宋体"/>
                <w:color w:val="000000" w:themeColor="text1"/>
                <w:kern w:val="0"/>
                <w:sz w:val="20"/>
                <w:szCs w:val="20"/>
              </w:rPr>
              <w:t>41</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高清分配器</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一进二出</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台</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vAlign w:val="center"/>
          </w:tcPr>
          <w:p>
            <w:pPr>
              <w:widowControl/>
              <w:jc w:val="center"/>
              <w:rPr>
                <w:rFonts w:ascii="宋体" w:hAnsi="宋体" w:cs="宋体"/>
                <w:color w:val="000000" w:themeColor="text1"/>
                <w:kern w:val="0"/>
                <w:sz w:val="20"/>
                <w:szCs w:val="20"/>
              </w:rPr>
            </w:pPr>
            <w:r>
              <w:rPr>
                <w:rFonts w:ascii="宋体" w:hAnsi="宋体" w:cs="宋体"/>
                <w:color w:val="000000" w:themeColor="text1"/>
                <w:kern w:val="0"/>
                <w:sz w:val="20"/>
                <w:szCs w:val="20"/>
              </w:rPr>
              <w:t>42</w:t>
            </w:r>
          </w:p>
        </w:tc>
        <w:tc>
          <w:tcPr>
            <w:tcW w:w="212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多媒体布线</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含高清线、音频线、音箱线及各设备配套电源线</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套</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9446" w:type="dxa"/>
            <w:gridSpan w:val="5"/>
            <w:vAlign w:val="center"/>
          </w:tcPr>
          <w:p>
            <w:pPr>
              <w:widowControl/>
              <w:jc w:val="center"/>
              <w:rPr>
                <w:rFonts w:ascii="宋体" w:hAnsi="宋体" w:cs="宋体"/>
                <w:b/>
                <w:bCs/>
                <w:color w:val="000000" w:themeColor="text1"/>
                <w:kern w:val="0"/>
                <w:sz w:val="20"/>
                <w:szCs w:val="20"/>
              </w:rPr>
            </w:pPr>
            <w:r>
              <w:rPr>
                <w:rFonts w:hint="eastAsia" w:ascii="宋体" w:hAnsi="宋体" w:cs="宋体"/>
                <w:b/>
                <w:bCs/>
                <w:color w:val="000000" w:themeColor="text1"/>
                <w:kern w:val="0"/>
                <w:sz w:val="20"/>
                <w:szCs w:val="20"/>
              </w:rPr>
              <w:t>行政楼LED显示屏及配套设备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4</w:t>
            </w:r>
            <w:r>
              <w:rPr>
                <w:rFonts w:ascii="宋体" w:hAnsi="宋体" w:cs="宋体"/>
                <w:color w:val="000000" w:themeColor="text1"/>
                <w:kern w:val="0"/>
                <w:sz w:val="20"/>
                <w:szCs w:val="20"/>
              </w:rPr>
              <w:t>3</w:t>
            </w:r>
          </w:p>
        </w:tc>
        <w:tc>
          <w:tcPr>
            <w:tcW w:w="212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室内全彩显示屏</w:t>
            </w:r>
          </w:p>
        </w:tc>
        <w:tc>
          <w:tcPr>
            <w:tcW w:w="5528" w:type="dxa"/>
            <w:shd w:val="clear" w:color="000000" w:fill="FFFFFF"/>
            <w:vAlign w:val="center"/>
          </w:tcPr>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18"/>
                <w:szCs w:val="18"/>
              </w:rPr>
              <w:t xml:space="preserve">▲显示面积：6.08m*2.24m=13.62㎡                     </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 xml:space="preserve">▲产品底壳材质采用铝材质或采用压铸铝材质箱体                                    </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1.像素构成：表贴三合一；</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2.▲像素间距：2mm;</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3.模组尺寸（W×H）：320*160</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4.单元面积（㎡）0.0512</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5.亮度（nits）≥450；</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6.色温：3000-15000K；</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7.对比度：5500:1；</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8.峰值功耗：≤460W/㎡，平均功耗≤154W/㎡，提供CNAS认可检测机构出具的检测报告复印件加盖生产厂家鲜章。</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9.可视角：水平≥160°；垂直≥140°；</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10.亮度均匀：≥97%；</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11.▲刷新率：≥3840Hz；</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12.换帧频率（Hz）:50&amp;60；</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13.发光点中心距偏差：＜3%；</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14.平整度：≤0.15mm；</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15.像素失控率：≤0.00001；色域覆盖率：≥100%；</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16.低亮高灰：100%亮度时，16bit 灰度；20%亮度时，12bit 灰度；</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17.具有单点亮度校正功能；支持前拆前维护和后拆后维护功能；</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18.</w:t>
            </w:r>
            <w:r>
              <w:rPr>
                <w:rFonts w:hint="eastAsia" w:ascii="宋体" w:hAnsi="宋体" w:cs="宋体"/>
                <w:color w:val="000000" w:themeColor="text1"/>
                <w:kern w:val="0"/>
                <w:sz w:val="20"/>
                <w:szCs w:val="20"/>
              </w:rPr>
              <w:t xml:space="preserve"> ★</w:t>
            </w:r>
            <w:r>
              <w:rPr>
                <w:rFonts w:hint="eastAsia" w:ascii="宋体" w:hAnsi="宋体" w:cs="宋体"/>
                <w:color w:val="000000" w:themeColor="text1"/>
                <w:kern w:val="0"/>
                <w:sz w:val="18"/>
                <w:szCs w:val="18"/>
              </w:rPr>
              <w:t>底壳材质：铝；模组机械强度≥5MP(提供CNAS认可检测机构出具的检测报告复印件加盖生产厂家鲜章)；</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19.接口：模组电源接口采用4P接插头，免工具维护，同时有防呆设计，预防接错电源线短路而导致的烧毁模组行为；采用集成 HUB 接收卡控制，支持通讯状态监测；</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20.软件具有一键调节亮、暗线功能；</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21.电源系统：冗余备份；模组供电：屏体发光模组采用4.5VDC的安全电压供电；</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22.采用无风扇散热结构；彩色信号处理位数≥16bit；</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23.具备故障自诊断及排查功能；</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24.</w:t>
            </w:r>
            <w:r>
              <w:rPr>
                <w:rFonts w:hint="eastAsia" w:ascii="宋体" w:hAnsi="宋体" w:cs="宋体"/>
                <w:color w:val="000000" w:themeColor="text1"/>
                <w:kern w:val="0"/>
                <w:sz w:val="20"/>
                <w:szCs w:val="20"/>
              </w:rPr>
              <w:t>★</w:t>
            </w:r>
            <w:r>
              <w:rPr>
                <w:rFonts w:hint="eastAsia" w:ascii="宋体" w:hAnsi="宋体" w:cs="宋体"/>
                <w:color w:val="000000" w:themeColor="text1"/>
                <w:kern w:val="0"/>
                <w:sz w:val="18"/>
                <w:szCs w:val="18"/>
              </w:rPr>
              <w:t>带有智能（黑屏）节电功能，开启智能节电功能比没有开启节能40%以上，(提供CNAS认可检测机构出具的检测报告复印件加盖生产厂家鲜章)；</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25.图像处理：图像具有降噪、增强、运动补偿、色坐标变换处理、钝化处理、无几何失真和非线性失真现象、消鬼影拖尾，无毛毛虫鬼影跟随现象；</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26.软件功能：(1</w:t>
            </w:r>
            <w:r>
              <w:rPr>
                <w:rFonts w:ascii="宋体" w:hAnsi="宋体" w:cs="宋体"/>
                <w:color w:val="000000" w:themeColor="text1"/>
                <w:kern w:val="0"/>
                <w:sz w:val="18"/>
                <w:szCs w:val="18"/>
              </w:rPr>
              <w:t>)</w:t>
            </w:r>
            <w:r>
              <w:rPr>
                <w:rFonts w:hint="eastAsia" w:ascii="宋体" w:hAnsi="宋体" w:cs="宋体"/>
                <w:color w:val="000000" w:themeColor="text1"/>
                <w:kern w:val="0"/>
                <w:sz w:val="18"/>
                <w:szCs w:val="18"/>
              </w:rPr>
              <w:t>、LED显示屏可实时监控显示屏工作状态，具有故障自动告警功能，发生故障立即发消息到指定邮箱，及时处理。(2</w:t>
            </w:r>
            <w:r>
              <w:rPr>
                <w:rFonts w:ascii="宋体" w:hAnsi="宋体" w:cs="宋体"/>
                <w:color w:val="000000" w:themeColor="text1"/>
                <w:kern w:val="0"/>
                <w:sz w:val="18"/>
                <w:szCs w:val="18"/>
              </w:rPr>
              <w:t>)</w:t>
            </w:r>
            <w:r>
              <w:rPr>
                <w:rFonts w:hint="eastAsia" w:ascii="宋体" w:hAnsi="宋体" w:cs="宋体"/>
                <w:color w:val="000000" w:themeColor="text1"/>
                <w:kern w:val="0"/>
                <w:sz w:val="18"/>
                <w:szCs w:val="18"/>
              </w:rPr>
              <w:t>、LED显示屏有多点测温系统，均衡散热，防止局部温度过高造成色彩漂移，并提高显示屏寿命。(3</w:t>
            </w:r>
            <w:r>
              <w:rPr>
                <w:rFonts w:ascii="宋体" w:hAnsi="宋体" w:cs="宋体"/>
                <w:color w:val="000000" w:themeColor="text1"/>
                <w:kern w:val="0"/>
                <w:sz w:val="18"/>
                <w:szCs w:val="18"/>
              </w:rPr>
              <w:t>)</w:t>
            </w:r>
            <w:r>
              <w:rPr>
                <w:rFonts w:hint="eastAsia" w:ascii="宋体" w:hAnsi="宋体" w:cs="宋体"/>
                <w:color w:val="000000" w:themeColor="text1"/>
                <w:kern w:val="0"/>
                <w:sz w:val="18"/>
                <w:szCs w:val="18"/>
              </w:rPr>
              <w:t>、LED显示屏具有电源温度控制系统，提供电源实时温度监控，防止过温失效；</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27.</w:t>
            </w:r>
            <w:r>
              <w:rPr>
                <w:rFonts w:hint="eastAsia" w:ascii="宋体" w:hAnsi="宋体" w:cs="宋体"/>
                <w:color w:val="000000" w:themeColor="text1"/>
                <w:kern w:val="0"/>
                <w:sz w:val="20"/>
                <w:szCs w:val="20"/>
              </w:rPr>
              <w:t>★</w:t>
            </w:r>
            <w:r>
              <w:rPr>
                <w:rFonts w:hint="eastAsia" w:ascii="宋体" w:hAnsi="宋体" w:cs="宋体"/>
                <w:color w:val="000000" w:themeColor="text1"/>
                <w:kern w:val="0"/>
                <w:sz w:val="18"/>
                <w:szCs w:val="18"/>
              </w:rPr>
              <w:t>显示屏图像质量主观评价为优，产品平整度≤0.15mm,实际检测0.1mm；(提供CNAS认可检测机构出具的检测报告复印件加盖生产厂家鲜章)；</w:t>
            </w:r>
          </w:p>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18"/>
                <w:szCs w:val="18"/>
              </w:rPr>
              <w:t>28.寿命典型值（hrs）≥100000；无故障时间≥100000hrs；支持7×24H连续工作；</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29.工作温度范围-30℃-40℃；存储温度范围-40℃-60℃；冷热冲击：-40°-60°；</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30.</w:t>
            </w:r>
            <w:r>
              <w:rPr>
                <w:rFonts w:hint="eastAsia" w:ascii="宋体" w:hAnsi="宋体" w:cs="宋体"/>
                <w:color w:val="000000" w:themeColor="text1"/>
                <w:kern w:val="0"/>
                <w:sz w:val="20"/>
                <w:szCs w:val="20"/>
              </w:rPr>
              <w:t>★</w:t>
            </w:r>
            <w:r>
              <w:rPr>
                <w:rFonts w:hint="eastAsia" w:ascii="宋体" w:hAnsi="宋体" w:cs="宋体"/>
                <w:color w:val="000000" w:themeColor="text1"/>
                <w:kern w:val="0"/>
                <w:sz w:val="18"/>
                <w:szCs w:val="18"/>
              </w:rPr>
              <w:t>抗电强度：符合；泄漏电流≤3.5mA/㎡；IP等级符合IP6X；(提供CNAS认可检测机构出具的检测报告复印件加盖生产厂家鲜章)；</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31.具有防潮、防尘、防辐射、防电磁干扰、防静电等功能；并具有过流、短路、过压、欠压保护等功能；</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32.</w:t>
            </w:r>
            <w:r>
              <w:rPr>
                <w:rFonts w:hint="eastAsia" w:ascii="宋体" w:hAnsi="宋体" w:cs="宋体"/>
                <w:color w:val="000000" w:themeColor="text1"/>
                <w:kern w:val="0"/>
                <w:sz w:val="20"/>
                <w:szCs w:val="20"/>
              </w:rPr>
              <w:t>★</w:t>
            </w:r>
            <w:r>
              <w:rPr>
                <w:rFonts w:hint="eastAsia" w:ascii="宋体" w:hAnsi="宋体" w:cs="宋体"/>
                <w:color w:val="000000" w:themeColor="text1"/>
                <w:kern w:val="0"/>
                <w:sz w:val="18"/>
                <w:szCs w:val="18"/>
              </w:rPr>
              <w:t xml:space="preserve"> 防噪音；盐雾试验：符合盐雾10级要求；PCB的阻燃等级达到UL94-0级；防震动；光生物安全：无危害；观看舒适度：符合要求；抗紫外UV辐射，(提供CNAS认可检测机构出具的检测报告复印件加盖生产厂家鲜章)；</w:t>
            </w:r>
          </w:p>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18"/>
                <w:szCs w:val="18"/>
              </w:rPr>
              <w:t>3</w:t>
            </w:r>
            <w:r>
              <w:rPr>
                <w:rFonts w:ascii="宋体" w:hAnsi="宋体" w:cs="宋体"/>
                <w:color w:val="000000" w:themeColor="text1"/>
                <w:kern w:val="0"/>
                <w:sz w:val="18"/>
                <w:szCs w:val="18"/>
              </w:rPr>
              <w:t>3</w:t>
            </w:r>
            <w:r>
              <w:rPr>
                <w:rFonts w:hint="eastAsia" w:ascii="宋体" w:hAnsi="宋体" w:cs="宋体"/>
                <w:color w:val="000000" w:themeColor="text1"/>
                <w:kern w:val="0"/>
                <w:sz w:val="18"/>
                <w:szCs w:val="18"/>
              </w:rPr>
              <w:t>.★振动试验：模拟9级烈度地震2行2列单元组成拼接显示屏，垂直、水平振动10~55~10Hz，峰值加速度0.25g，1倍频程，每一轴向循环扫频50次，每次时间5min，检测结果合格，(提供CNAS认可检测机构出具的检测报告复印件加盖生产厂家鲜章)；</w:t>
            </w:r>
          </w:p>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18"/>
                <w:szCs w:val="18"/>
              </w:rPr>
              <w:t>▲提供备用单元板4块</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18"/>
                <w:szCs w:val="18"/>
              </w:rPr>
              <w:t>中标后签订合同前提供原厂商针对本项目的质保函原件</w:t>
            </w:r>
          </w:p>
        </w:tc>
        <w:tc>
          <w:tcPr>
            <w:tcW w:w="560"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w:t>
            </w:r>
          </w:p>
        </w:tc>
        <w:tc>
          <w:tcPr>
            <w:tcW w:w="67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 xml:space="preserve">13.60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4</w:t>
            </w:r>
            <w:r>
              <w:rPr>
                <w:rFonts w:ascii="宋体" w:hAnsi="宋体" w:cs="宋体"/>
                <w:color w:val="000000" w:themeColor="text1"/>
                <w:kern w:val="0"/>
                <w:sz w:val="20"/>
                <w:szCs w:val="20"/>
              </w:rPr>
              <w:t>4</w:t>
            </w:r>
          </w:p>
        </w:tc>
        <w:tc>
          <w:tcPr>
            <w:tcW w:w="212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二合一视频处理器</w:t>
            </w:r>
          </w:p>
        </w:tc>
        <w:tc>
          <w:tcPr>
            <w:tcW w:w="5528" w:type="dxa"/>
            <w:shd w:val="clear" w:color="000000" w:fill="FFFFFF"/>
            <w:vAlign w:val="center"/>
          </w:tcPr>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18"/>
                <w:szCs w:val="18"/>
              </w:rPr>
              <w:t>1.带载390万，三画面，输入： 2xHDMI1.3、1 xDVI、 1xUSB；输出：6x千兆网；横向最大4096纵向最大1920，脱机点屏、一键全屏缩放、无缝切换、多台级联，支持AP+无限模式；</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2.★无需电脑，支持通过设备旋转按钮快捷配屏和高级配屏功能点亮屏体；支持设备备份和网口备份，设备故障或网线故障时保证屏体运行过程正常无问题(提供CNAS认可检测机构出具的检测报告复印件加盖生产厂家鲜章)；</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3.</w:t>
            </w:r>
            <w:r>
              <w:rPr>
                <w:rFonts w:hint="eastAsia" w:ascii="宋体" w:hAnsi="宋体" w:cs="宋体"/>
                <w:color w:val="000000" w:themeColor="text1"/>
                <w:kern w:val="0"/>
                <w:sz w:val="20"/>
                <w:szCs w:val="20"/>
              </w:rPr>
              <w:t>★</w:t>
            </w:r>
            <w:r>
              <w:rPr>
                <w:rFonts w:hint="eastAsia" w:ascii="宋体" w:hAnsi="宋体" w:cs="宋体"/>
                <w:color w:val="000000" w:themeColor="text1"/>
                <w:kern w:val="0"/>
                <w:sz w:val="18"/>
                <w:szCs w:val="18"/>
              </w:rPr>
              <w:t>无需电脑，可通过旋转按钮一键调节屏体亮度调节；支持一键将优先级最低的窗口全屏自动缩放，支持3种画面缩放模式(提供CNAS认可检测机构出具的检测报告复印件加盖生产厂家鲜章)；</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4.</w:t>
            </w:r>
            <w:r>
              <w:rPr>
                <w:rFonts w:hint="eastAsia" w:ascii="宋体" w:hAnsi="宋体" w:cs="宋体"/>
                <w:color w:val="000000" w:themeColor="text1"/>
                <w:kern w:val="0"/>
                <w:sz w:val="20"/>
                <w:szCs w:val="20"/>
              </w:rPr>
              <w:t>★</w:t>
            </w:r>
            <w:r>
              <w:rPr>
                <w:rFonts w:hint="eastAsia" w:ascii="宋体" w:hAnsi="宋体" w:cs="宋体"/>
                <w:color w:val="000000" w:themeColor="text1"/>
                <w:kern w:val="0"/>
                <w:sz w:val="18"/>
                <w:szCs w:val="18"/>
              </w:rPr>
              <w:t>支持创建10个用户场景作为模板保存，方便快速调用；支持选择 HDMI 输入源或 DVI输入源作为同步信号，达到输出的场级同步；支持HDR输出；支持5窗口任意布局；监视输出画面将监视内容通过 HDMI 发送到显示器显示；(提供CNAS认可检测机构出具的检测报告复印件加盖生产厂家鲜章)；</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5.支持智能控制软件 NovaLCT 进行操作控制；支持用户自定义EDID和预设EDID；</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6.二合一发送卡和视频处理器二合一，连线更加少，稳定性兼容性大大提升</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7.液晶面板可实时显示，型号，ip地址，窗口及信号源的分辨率以及状态信息，输出16 路网口的状态，屏幕大小及帧频信息，设备同步模式展示，或网线连接状态，屏体亮度；</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8.</w:t>
            </w:r>
            <w:r>
              <w:rPr>
                <w:rFonts w:hint="eastAsia" w:ascii="宋体" w:hAnsi="宋体" w:cs="宋体"/>
                <w:color w:val="000000" w:themeColor="text1"/>
                <w:kern w:val="0"/>
                <w:sz w:val="20"/>
                <w:szCs w:val="20"/>
              </w:rPr>
              <w:t>★</w:t>
            </w:r>
            <w:r>
              <w:rPr>
                <w:rFonts w:hint="eastAsia" w:ascii="宋体" w:hAnsi="宋体" w:cs="宋体"/>
                <w:color w:val="000000" w:themeColor="text1"/>
                <w:kern w:val="0"/>
                <w:sz w:val="18"/>
                <w:szCs w:val="18"/>
              </w:rPr>
              <w:t>主界面下，按下旋钮进入菜单操作界面。菜单操作界面下，旋转旋钮选择菜单，按下旋钮选定当前菜单或者进入子菜单。选定带有参数的菜单后可以通过旋转旋钮调节参数，调节完成后需要再次按下旋钮进行确认(提供CNAS认可检测机构出具的检测报告复印件加盖生产厂家鲜章)；</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 xml:space="preserve">9.表面阻燃 V-0 级；工作温度 0℃-50℃；储存温度 -20℃-60℃；湿度0%RH～95%RH </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10.▲与室内全彩显示屏同一品牌</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18"/>
                <w:szCs w:val="18"/>
              </w:rPr>
              <w:t>中标后签订合同前提供原厂商针对本项目的质保函原件</w:t>
            </w:r>
          </w:p>
        </w:tc>
        <w:tc>
          <w:tcPr>
            <w:tcW w:w="560"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套</w:t>
            </w:r>
          </w:p>
        </w:tc>
        <w:tc>
          <w:tcPr>
            <w:tcW w:w="67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4</w:t>
            </w:r>
            <w:r>
              <w:rPr>
                <w:rFonts w:ascii="宋体" w:hAnsi="宋体" w:cs="宋体"/>
                <w:color w:val="000000" w:themeColor="text1"/>
                <w:kern w:val="0"/>
                <w:sz w:val="20"/>
                <w:szCs w:val="20"/>
              </w:rPr>
              <w:t>5</w:t>
            </w:r>
          </w:p>
        </w:tc>
        <w:tc>
          <w:tcPr>
            <w:tcW w:w="212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数据接收卡</w:t>
            </w:r>
          </w:p>
        </w:tc>
        <w:tc>
          <w:tcPr>
            <w:tcW w:w="5528" w:type="dxa"/>
            <w:shd w:val="clear" w:color="000000" w:fill="FFFFFF"/>
            <w:vAlign w:val="center"/>
          </w:tcPr>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18"/>
                <w:szCs w:val="18"/>
              </w:rPr>
              <w:t>1.标准HUB75 接口，更加稳定、可靠</w:t>
            </w:r>
          </w:p>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18"/>
                <w:szCs w:val="18"/>
              </w:rPr>
              <w:t xml:space="preserve">2.单卡输出 RGB 数据32组；单卡带载像素为512×256； </w:t>
            </w:r>
          </w:p>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18"/>
                <w:szCs w:val="18"/>
              </w:rPr>
              <w:t>3.支持配置文件回读和固件程序回读；</w:t>
            </w:r>
          </w:p>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18"/>
                <w:szCs w:val="18"/>
              </w:rPr>
              <w:t>4.★双程序备份和环路备份；（提供CNAS认可检测机构出具的检测报告复印件加盖生产厂家鲜章）</w:t>
            </w:r>
          </w:p>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18"/>
                <w:szCs w:val="18"/>
              </w:rPr>
              <w:t>5.★支持温度和电压、误码监测；（提供CNAS认可检测机构出具的检测报告复印件加盖生产厂家鲜章）</w:t>
            </w:r>
          </w:p>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18"/>
                <w:szCs w:val="18"/>
              </w:rPr>
              <w:t>6.支亮暗线调节；</w:t>
            </w:r>
          </w:p>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18"/>
                <w:szCs w:val="18"/>
              </w:rPr>
              <w:t>7.支持千兆网链接，</w:t>
            </w:r>
          </w:p>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18"/>
                <w:szCs w:val="18"/>
              </w:rPr>
              <w:t>8.★支持逐点亮色度矫正（提供CNAS认可检测机构出具的检测报告复印件加盖生产厂家鲜章）</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18"/>
                <w:szCs w:val="18"/>
              </w:rPr>
              <w:t>▲与室内全彩显示屏同一品牌</w:t>
            </w:r>
          </w:p>
        </w:tc>
        <w:tc>
          <w:tcPr>
            <w:tcW w:w="560"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张</w:t>
            </w:r>
          </w:p>
        </w:tc>
        <w:tc>
          <w:tcPr>
            <w:tcW w:w="67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4</w:t>
            </w:r>
            <w:r>
              <w:rPr>
                <w:rFonts w:ascii="宋体" w:hAnsi="宋体" w:cs="宋体"/>
                <w:color w:val="000000" w:themeColor="text1"/>
                <w:kern w:val="0"/>
                <w:sz w:val="20"/>
                <w:szCs w:val="20"/>
              </w:rPr>
              <w:t>6</w:t>
            </w:r>
          </w:p>
        </w:tc>
        <w:tc>
          <w:tcPr>
            <w:tcW w:w="212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控制软件</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18"/>
                <w:szCs w:val="18"/>
              </w:rPr>
              <w:t>灵活的编排和发布节目，预览播放画面，监控节目及播放状态，定时远程开关机管理维护，定时或紧急插入发布节目或内容等，基于TCP/IP网络的控制管理和发布，含远程指令模块，实时网页接入模块等，支持各类多媒体节目及格式，不需要转换格式；</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1）可自动生成保修日志，以每个显示屏的历史健康状态为基准，根据接收到的屏体的实时状态数据与基准进行对比，分析然后根据分析的结果及时通知可能存在问题，以及问题现象。</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2）支持全方位的监控查看，以及现场图片监控，及时了解现场情况。</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3）支持远程调节显示屏的工作参数，如显示屏亮度、音响的音量等。</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4）强大的系统体检，准确了解屏体历史运行状态，细致了解屏体弱点，提前预测，提前防范；</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5）支持集群，可远程发布节目，远程维护显示屏，如重启、升级等远程操控显示屏，远程获取已播放节目日志。</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套</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4</w:t>
            </w:r>
            <w:r>
              <w:rPr>
                <w:rFonts w:ascii="宋体" w:hAnsi="宋体" w:cs="宋体"/>
                <w:color w:val="000000" w:themeColor="text1"/>
                <w:kern w:val="0"/>
                <w:sz w:val="20"/>
                <w:szCs w:val="20"/>
              </w:rPr>
              <w:t>7</w:t>
            </w:r>
          </w:p>
        </w:tc>
        <w:tc>
          <w:tcPr>
            <w:tcW w:w="212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电源</w:t>
            </w:r>
          </w:p>
        </w:tc>
        <w:tc>
          <w:tcPr>
            <w:tcW w:w="5528" w:type="dxa"/>
            <w:shd w:val="clear" w:color="000000" w:fill="FFFFFF"/>
            <w:vAlign w:val="center"/>
          </w:tcPr>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18"/>
                <w:szCs w:val="18"/>
              </w:rPr>
              <w:t>4.5V/200W</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▲与室内全彩显示屏同一品牌</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18"/>
                <w:szCs w:val="18"/>
              </w:rPr>
              <w:t>▲提供备用电源2个</w:t>
            </w:r>
          </w:p>
        </w:tc>
        <w:tc>
          <w:tcPr>
            <w:tcW w:w="560"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台</w:t>
            </w:r>
          </w:p>
        </w:tc>
        <w:tc>
          <w:tcPr>
            <w:tcW w:w="67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4</w:t>
            </w:r>
            <w:r>
              <w:rPr>
                <w:rFonts w:ascii="宋体" w:hAnsi="宋体" w:cs="宋体"/>
                <w:color w:val="000000" w:themeColor="text1"/>
                <w:kern w:val="0"/>
                <w:sz w:val="20"/>
                <w:szCs w:val="20"/>
              </w:rPr>
              <w:t>8</w:t>
            </w:r>
          </w:p>
        </w:tc>
        <w:tc>
          <w:tcPr>
            <w:tcW w:w="212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框架结构</w:t>
            </w:r>
          </w:p>
        </w:tc>
        <w:tc>
          <w:tcPr>
            <w:tcW w:w="5528" w:type="dxa"/>
            <w:shd w:val="clear" w:color="000000" w:fill="FFFFFF"/>
            <w:vAlign w:val="center"/>
          </w:tcPr>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18"/>
                <w:szCs w:val="18"/>
              </w:rPr>
              <w:t>边框采用专用铝材单边（或采用不锈钢包边）45mm，内结构采用镀锌方管</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18"/>
                <w:szCs w:val="18"/>
              </w:rPr>
              <w:t xml:space="preserve">★LED厂商应具有建筑机电安装工程专业承包三级（含）以上资质、钢结构工程专业承包三级（含）以上资质，（提供证书复印件加盖生产厂家鲜章）  </w:t>
            </w:r>
          </w:p>
        </w:tc>
        <w:tc>
          <w:tcPr>
            <w:tcW w:w="560"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平方米</w:t>
            </w:r>
          </w:p>
        </w:tc>
        <w:tc>
          <w:tcPr>
            <w:tcW w:w="67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4</w:t>
            </w:r>
            <w:r>
              <w:rPr>
                <w:rFonts w:ascii="宋体" w:hAnsi="宋体" w:cs="宋体"/>
                <w:color w:val="000000" w:themeColor="text1"/>
                <w:kern w:val="0"/>
                <w:sz w:val="20"/>
                <w:szCs w:val="20"/>
              </w:rPr>
              <w:t>9</w:t>
            </w:r>
          </w:p>
        </w:tc>
        <w:tc>
          <w:tcPr>
            <w:tcW w:w="212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配电系统</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10KW配电系统具有过载、欠压等保护功能，具有远程控制及定时自动开关功能，具有多路输出及延时上电功能。</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套</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ascii="宋体" w:hAnsi="宋体" w:cs="宋体"/>
                <w:color w:val="000000" w:themeColor="text1"/>
                <w:kern w:val="0"/>
                <w:sz w:val="20"/>
                <w:szCs w:val="20"/>
              </w:rPr>
              <w:t>50</w:t>
            </w:r>
          </w:p>
        </w:tc>
        <w:tc>
          <w:tcPr>
            <w:tcW w:w="212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强弱电布线</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配电箱至显示屏屏体强电布线、控制机柜至显示屏屏体弱电布线、屏体内强弱电连接线等</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套</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5</w:t>
            </w:r>
            <w:r>
              <w:rPr>
                <w:rFonts w:ascii="宋体" w:hAnsi="宋体" w:cs="宋体"/>
                <w:color w:val="000000" w:themeColor="text1"/>
                <w:kern w:val="0"/>
                <w:sz w:val="20"/>
                <w:szCs w:val="20"/>
              </w:rPr>
              <w:t>1</w:t>
            </w:r>
          </w:p>
        </w:tc>
        <w:tc>
          <w:tcPr>
            <w:tcW w:w="212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一体机台式电脑</w:t>
            </w:r>
          </w:p>
        </w:tc>
        <w:tc>
          <w:tcPr>
            <w:tcW w:w="5528" w:type="dxa"/>
            <w:shd w:val="clear" w:color="auto" w:fill="auto"/>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品牌机一体机台式电脑。11代I5/8G内存/256G固态+≥1TB机械硬盘/独立显卡2G/高清23.8寸/内置摄像头/内置扬声器、麦克风/内置无线WIFI6网卡/内置蓝牙/原装无线键鼠套装/win10</w:t>
            </w:r>
          </w:p>
        </w:tc>
        <w:tc>
          <w:tcPr>
            <w:tcW w:w="560"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台</w:t>
            </w:r>
          </w:p>
        </w:tc>
        <w:tc>
          <w:tcPr>
            <w:tcW w:w="67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5</w:t>
            </w:r>
            <w:r>
              <w:rPr>
                <w:rFonts w:ascii="宋体" w:hAnsi="宋体" w:cs="宋体"/>
                <w:color w:val="000000" w:themeColor="text1"/>
                <w:kern w:val="0"/>
                <w:sz w:val="20"/>
                <w:szCs w:val="20"/>
              </w:rPr>
              <w:t>2</w:t>
            </w:r>
          </w:p>
        </w:tc>
        <w:tc>
          <w:tcPr>
            <w:tcW w:w="212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千兆交换机</w:t>
            </w:r>
          </w:p>
        </w:tc>
        <w:tc>
          <w:tcPr>
            <w:tcW w:w="5528" w:type="dxa"/>
            <w:shd w:val="clear" w:color="000000" w:fill="FFFFFF"/>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18"/>
                <w:szCs w:val="18"/>
              </w:rPr>
              <w:t>24口千兆电口+2SFP光口机架式交换机，交换容量：52Gbps,转发性能：38.7Mpps,无风扇静音设计。</w:t>
            </w:r>
          </w:p>
        </w:tc>
        <w:tc>
          <w:tcPr>
            <w:tcW w:w="560"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台</w:t>
            </w:r>
          </w:p>
        </w:tc>
        <w:tc>
          <w:tcPr>
            <w:tcW w:w="67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5</w:t>
            </w:r>
            <w:r>
              <w:rPr>
                <w:rFonts w:ascii="宋体" w:hAnsi="宋体" w:cs="宋体"/>
                <w:color w:val="000000" w:themeColor="text1"/>
                <w:kern w:val="0"/>
                <w:sz w:val="20"/>
                <w:szCs w:val="20"/>
              </w:rPr>
              <w:t>3</w:t>
            </w:r>
          </w:p>
        </w:tc>
        <w:tc>
          <w:tcPr>
            <w:tcW w:w="212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无线投屏器(含相关连接线)</w:t>
            </w:r>
          </w:p>
        </w:tc>
        <w:tc>
          <w:tcPr>
            <w:tcW w:w="5528" w:type="dxa"/>
            <w:shd w:val="clear" w:color="000000" w:fill="FFFFFF"/>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18"/>
                <w:szCs w:val="18"/>
              </w:rPr>
              <w:t>无线高清投屏器，可实现笔记本电脑或手机无线投屏，支持HDMI及VGA双接口同时输出，最大分辨率支持4K/60Hz及音视频同步。</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天线：外置天线</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无线网络：2.4G+5G</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输出接口：VGA+HDMI；</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兼容系统：windows、Mac os、安卓、ios等系统；</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点对点投屏无需驱动与网络；</w:t>
            </w:r>
          </w:p>
        </w:tc>
        <w:tc>
          <w:tcPr>
            <w:tcW w:w="560"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台</w:t>
            </w:r>
          </w:p>
        </w:tc>
        <w:tc>
          <w:tcPr>
            <w:tcW w:w="67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5</w:t>
            </w:r>
            <w:r>
              <w:rPr>
                <w:rFonts w:ascii="宋体" w:hAnsi="宋体" w:cs="宋体"/>
                <w:color w:val="000000" w:themeColor="text1"/>
                <w:kern w:val="0"/>
                <w:sz w:val="20"/>
                <w:szCs w:val="20"/>
              </w:rPr>
              <w:t>4</w:t>
            </w:r>
          </w:p>
        </w:tc>
        <w:tc>
          <w:tcPr>
            <w:tcW w:w="212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高清线</w:t>
            </w:r>
          </w:p>
        </w:tc>
        <w:tc>
          <w:tcPr>
            <w:tcW w:w="5528" w:type="dxa"/>
            <w:shd w:val="clear" w:color="000000" w:fill="FFFFFF"/>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18"/>
                <w:szCs w:val="18"/>
              </w:rPr>
              <w:t>10米高清线</w:t>
            </w:r>
          </w:p>
        </w:tc>
        <w:tc>
          <w:tcPr>
            <w:tcW w:w="560"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根</w:t>
            </w:r>
          </w:p>
        </w:tc>
        <w:tc>
          <w:tcPr>
            <w:tcW w:w="67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5</w:t>
            </w:r>
            <w:r>
              <w:rPr>
                <w:rFonts w:ascii="宋体" w:hAnsi="宋体" w:cs="宋体"/>
                <w:color w:val="000000" w:themeColor="text1"/>
                <w:kern w:val="0"/>
                <w:sz w:val="20"/>
                <w:szCs w:val="20"/>
              </w:rPr>
              <w:t>5</w:t>
            </w:r>
          </w:p>
        </w:tc>
        <w:tc>
          <w:tcPr>
            <w:tcW w:w="212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DVI线</w:t>
            </w:r>
          </w:p>
        </w:tc>
        <w:tc>
          <w:tcPr>
            <w:tcW w:w="5528" w:type="dxa"/>
            <w:shd w:val="clear" w:color="000000" w:fill="FFFFFF"/>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18"/>
                <w:szCs w:val="18"/>
              </w:rPr>
              <w:t>3米DVI线</w:t>
            </w:r>
          </w:p>
        </w:tc>
        <w:tc>
          <w:tcPr>
            <w:tcW w:w="560"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根</w:t>
            </w:r>
          </w:p>
        </w:tc>
        <w:tc>
          <w:tcPr>
            <w:tcW w:w="67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5</w:t>
            </w:r>
            <w:r>
              <w:rPr>
                <w:rFonts w:ascii="宋体" w:hAnsi="宋体" w:cs="宋体"/>
                <w:color w:val="000000" w:themeColor="text1"/>
                <w:kern w:val="0"/>
                <w:sz w:val="20"/>
                <w:szCs w:val="20"/>
              </w:rPr>
              <w:t>6</w:t>
            </w:r>
          </w:p>
        </w:tc>
        <w:tc>
          <w:tcPr>
            <w:tcW w:w="212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电源时序器</w:t>
            </w:r>
          </w:p>
        </w:tc>
        <w:tc>
          <w:tcPr>
            <w:tcW w:w="5528" w:type="dxa"/>
            <w:shd w:val="clear" w:color="000000" w:fill="FFFFFF"/>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18"/>
                <w:szCs w:val="18"/>
              </w:rPr>
              <w:t>8路电源时序器</w:t>
            </w:r>
          </w:p>
        </w:tc>
        <w:tc>
          <w:tcPr>
            <w:tcW w:w="560"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台</w:t>
            </w:r>
          </w:p>
        </w:tc>
        <w:tc>
          <w:tcPr>
            <w:tcW w:w="67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5</w:t>
            </w:r>
            <w:r>
              <w:rPr>
                <w:rFonts w:ascii="宋体" w:hAnsi="宋体" w:cs="宋体"/>
                <w:color w:val="000000" w:themeColor="text1"/>
                <w:kern w:val="0"/>
                <w:sz w:val="20"/>
                <w:szCs w:val="20"/>
              </w:rPr>
              <w:t>7</w:t>
            </w:r>
          </w:p>
        </w:tc>
        <w:tc>
          <w:tcPr>
            <w:tcW w:w="212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机柜</w:t>
            </w:r>
          </w:p>
        </w:tc>
        <w:tc>
          <w:tcPr>
            <w:tcW w:w="5528" w:type="dxa"/>
            <w:shd w:val="clear" w:color="000000" w:fill="FFFFFF"/>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18"/>
                <w:szCs w:val="18"/>
              </w:rPr>
              <w:t>22U标准机柜（多孔网门）</w:t>
            </w:r>
          </w:p>
        </w:tc>
        <w:tc>
          <w:tcPr>
            <w:tcW w:w="560"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台</w:t>
            </w:r>
          </w:p>
        </w:tc>
        <w:tc>
          <w:tcPr>
            <w:tcW w:w="67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9446" w:type="dxa"/>
            <w:gridSpan w:val="5"/>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行政楼四楼、艺术楼及人文楼四楼音响配件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58</w:t>
            </w:r>
          </w:p>
        </w:tc>
        <w:tc>
          <w:tcPr>
            <w:tcW w:w="2124" w:type="dxa"/>
            <w:shd w:val="clear" w:color="auto" w:fill="auto"/>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调音台（行政楼四楼）</w:t>
            </w:r>
          </w:p>
        </w:tc>
        <w:tc>
          <w:tcPr>
            <w:tcW w:w="5528" w:type="dxa"/>
            <w:shd w:val="clear" w:color="000000" w:fill="FFFFFF"/>
            <w:vAlign w:val="center"/>
          </w:tcPr>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18"/>
                <w:szCs w:val="18"/>
              </w:rPr>
              <w:t>8 声道（ EPM8 ）、每种型号的混音器都附加了两个立体声输入， EPM 系列能够进行高质量混音处理，同时控制区域减少了不必要的设备，更便于操作。 EPM 混音台采用了先进的技术和设计理念，具有极高的性价比。外形设计始终贯穿了简洁的设计理念，并采用了优良的配件可实现高精度 EQ 、放大倍率设定。 EPM 的 GB30 麦克风放大器是 Graham Blyth 为公司 30 周年年庆特意推出的产品，其音质透明，并广泛应用于 LX7ii 及 GB 等大型控制台。该放大器可在 55 分贝的范围内实现音量调节，同时其净空值更高达 22 分贝可以满足用户对完美音质的不懈追求。 EPM 专业的 48 伏虚拟电源可适配置所有类型电容麦克风。 EPM 混音器独特之处在于其峰值监控系统。它采用了多点信号测量设计可以对不同区域纠+20dBu ；耳机最大输出电平为 300mw/200Ω。EQ （单声道输入）： HF （高频）： 12kHz ， ±15dB ，</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 xml:space="preserve">MF （中频）： 140Hz-3kHz ， ±15dB ， Q=1.5 ； </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 xml:space="preserve">LF （低频）： 80Hz ， ±15dB ， </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 xml:space="preserve">输出电平表： L 和 R 混音输出电平表为 10 段 LED 指示灯； </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 xml:space="preserve">工作条件：温度范围： -10°C ~+ 30°C ； </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供电：集成轻型开关电源；</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 xml:space="preserve">交流输入： 85V-270V ， 50/60Hz ； </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 xml:space="preserve">电源消耗：小于 20W ； </w:t>
            </w:r>
          </w:p>
        </w:tc>
        <w:tc>
          <w:tcPr>
            <w:tcW w:w="560"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台</w:t>
            </w:r>
          </w:p>
        </w:tc>
        <w:tc>
          <w:tcPr>
            <w:tcW w:w="674"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59</w:t>
            </w:r>
          </w:p>
        </w:tc>
        <w:tc>
          <w:tcPr>
            <w:tcW w:w="2124" w:type="dxa"/>
            <w:shd w:val="clear" w:color="auto" w:fill="auto"/>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功放（行政楼四楼）</w:t>
            </w:r>
          </w:p>
        </w:tc>
        <w:tc>
          <w:tcPr>
            <w:tcW w:w="5528" w:type="dxa"/>
            <w:shd w:val="clear" w:color="000000" w:fill="FFFFFF"/>
            <w:vAlign w:val="center"/>
          </w:tcPr>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18"/>
                <w:szCs w:val="18"/>
              </w:rPr>
              <w:t>内置分频、均衡、限幅、延时等数字处理功能；</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Peakx Plus 限幅器通过全面的阈值、启动与释放控制，提供最极致的系统性能和保护；</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3个用户定义风扇控制模式，包括常规、提前和全速，为特定应用提供匹配的表现,可通过软件直观监视交流线路电压和电路温度；</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HIQnet网络连接，连接控制软件；</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设有Speakon插座和接线柱端子输出件，XLR卡农输入接头及LINK输出口；</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预设数量达到50个，49个为用户可定义预设；</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 xml:space="preserve">功率：立体声4Ω-300W，立体声8Ω-200W，单声道桥接8Ω-600W；                                           </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总谐波失真（THD）：0.5%/1%</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 xml:space="preserve">阻尼系数：&gt;500；                                             </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 xml:space="preserve">信噪比：100dB                                                </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串扰：＞70dB/20Hz-1KHz</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频率响应：20Hz-20kHz ﹢0/﹣1dB ；</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输入灵敏度：1.4V；</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尺寸：89 mm x 482 mm x 311 mm   净重11.4kg</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与超低频音箱功放为同一品牌；</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中标后签合同前提供原厂商或国内总代针对本项目的质保函原件。</w:t>
            </w:r>
          </w:p>
        </w:tc>
        <w:tc>
          <w:tcPr>
            <w:tcW w:w="560"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台</w:t>
            </w:r>
          </w:p>
        </w:tc>
        <w:tc>
          <w:tcPr>
            <w:tcW w:w="674"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60</w:t>
            </w:r>
          </w:p>
        </w:tc>
        <w:tc>
          <w:tcPr>
            <w:tcW w:w="2124" w:type="dxa"/>
            <w:shd w:val="clear" w:color="auto" w:fill="auto"/>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CD\MP3播放器（行政楼四楼）</w:t>
            </w:r>
          </w:p>
        </w:tc>
        <w:tc>
          <w:tcPr>
            <w:tcW w:w="5528" w:type="dxa"/>
            <w:shd w:val="clear" w:color="000000" w:fill="FFFFFF"/>
            <w:vAlign w:val="center"/>
          </w:tcPr>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18"/>
                <w:szCs w:val="18"/>
              </w:rPr>
              <w:t xml:space="preserve"> 采用高亮度动态 VFD 显示，清晰醒目；</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 xml:space="preserve"> 支持播放 CD、VCD、DVD、MP3、WAV 等格式的音乐文件；</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 xml:space="preserve"> 支持碟片和连接于 USB 接口的移动硬盘，两种方式供给节目源；</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具有曲目直选功能；</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具有通电后自动播放功能；</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支持2路音源信号输出。</w:t>
            </w:r>
          </w:p>
        </w:tc>
        <w:tc>
          <w:tcPr>
            <w:tcW w:w="560"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台</w:t>
            </w:r>
          </w:p>
        </w:tc>
        <w:tc>
          <w:tcPr>
            <w:tcW w:w="674"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61</w:t>
            </w:r>
          </w:p>
        </w:tc>
        <w:tc>
          <w:tcPr>
            <w:tcW w:w="2124" w:type="dxa"/>
            <w:shd w:val="clear" w:color="auto" w:fill="auto"/>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优盘（行政楼四楼）</w:t>
            </w:r>
          </w:p>
        </w:tc>
        <w:tc>
          <w:tcPr>
            <w:tcW w:w="5528" w:type="dxa"/>
            <w:shd w:val="clear" w:color="000000" w:fill="FFFFFF"/>
            <w:vAlign w:val="center"/>
          </w:tcPr>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18"/>
                <w:szCs w:val="18"/>
              </w:rPr>
              <w:t>闪迪高速酷铄USB3.0闪存盘 CZ73金属优盘16G加密高速电脑U盘</w:t>
            </w:r>
          </w:p>
        </w:tc>
        <w:tc>
          <w:tcPr>
            <w:tcW w:w="560"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只</w:t>
            </w:r>
          </w:p>
        </w:tc>
        <w:tc>
          <w:tcPr>
            <w:tcW w:w="674"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62</w:t>
            </w:r>
          </w:p>
        </w:tc>
        <w:tc>
          <w:tcPr>
            <w:tcW w:w="2124" w:type="dxa"/>
            <w:shd w:val="clear" w:color="auto" w:fill="auto"/>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辅材（行政楼四楼）</w:t>
            </w:r>
          </w:p>
        </w:tc>
        <w:tc>
          <w:tcPr>
            <w:tcW w:w="5528" w:type="dxa"/>
            <w:shd w:val="clear" w:color="000000" w:fill="FFFFFF"/>
            <w:vAlign w:val="center"/>
          </w:tcPr>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18"/>
                <w:szCs w:val="18"/>
              </w:rPr>
              <w:t>跳线等及调试</w:t>
            </w:r>
          </w:p>
        </w:tc>
        <w:tc>
          <w:tcPr>
            <w:tcW w:w="560"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批</w:t>
            </w:r>
          </w:p>
        </w:tc>
        <w:tc>
          <w:tcPr>
            <w:tcW w:w="674"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63</w:t>
            </w:r>
          </w:p>
        </w:tc>
        <w:tc>
          <w:tcPr>
            <w:tcW w:w="2124" w:type="dxa"/>
            <w:shd w:val="clear" w:color="auto" w:fill="auto"/>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一拖二无线话筒（艺术楼剧场）</w:t>
            </w:r>
          </w:p>
        </w:tc>
        <w:tc>
          <w:tcPr>
            <w:tcW w:w="5528" w:type="dxa"/>
            <w:shd w:val="clear" w:color="000000" w:fill="FFFFFF"/>
            <w:vAlign w:val="center"/>
          </w:tcPr>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18"/>
                <w:szCs w:val="18"/>
              </w:rPr>
              <w:t>SLXD24D/SM58</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配备2个SLXD2/SM58手持式发射机的双通道无线系统.接收机特性：</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SLXD4D是一台双通道机架接收机，采用耐用的金属结构，安装简单，易于控制；</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功能特性：</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一键式QuickScan频率选择可快速查找最佳开放频率（在干扰情况下）；</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每个频带多达12个兼容系统（视区域而定）；</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XLR和¼英寸输出接口；</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微处理器控制的内部天线分集；</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双色音频状态LED指示灯；</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 xml:space="preserve">  绿色：正常音频电平</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 xml:space="preserve">  红色：过高音频电平（过载/衰减）</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可调节的输出电平；</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可拆卸的天线令天线分布更快速；</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显示详细射频和音频计量；</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工作范围：91米（300英尺）直线距离；注：实际范围取决于射频信号吸收、反射和干扰；</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频响范围：50至15,000 Hz；注：依话筒类型而定；</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总谐波失真（参考值：±33 kHz偏差，1 kHz音调）：0.5%（典型值）</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动态范围：100 dB，A计权（典型值）</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 xml:space="preserve">尺寸（H x W x D）：42 mm X 393 mm X 152 mm；  </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发射机特性：</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SLXD2手持式发射机，与SLXD4D无线系统兼容，传送的无线音频音质清晰，专业可靠。与多年来深得音乐家信任的舒尔话筒兼容，包括品质卓越的 SM58；</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功能特性：</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集成话筒振膜设计，有值得信赖的SM58®；</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-10 dB增益衰减</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ABS铸模材质，轻质耐用结构；</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射频发射机输出：10 mW, 典型；</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彩色ID保护盖（可另购）</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尺寸：224 mm X 53 mm；  重量218g；配置SM58二只</w:t>
            </w:r>
            <w:r>
              <w:rPr>
                <w:rFonts w:hint="eastAsia" w:ascii="宋体" w:hAnsi="宋体" w:cs="宋体"/>
                <w:color w:val="000000" w:themeColor="text1"/>
                <w:kern w:val="0"/>
                <w:sz w:val="18"/>
                <w:szCs w:val="18"/>
              </w:rPr>
              <w:br w:type="textWrapping"/>
            </w:r>
            <w:r>
              <w:rPr>
                <w:rFonts w:hint="eastAsia" w:ascii="宋体" w:hAnsi="宋体" w:cs="宋体"/>
                <w:color w:val="000000" w:themeColor="text1"/>
                <w:kern w:val="0"/>
                <w:sz w:val="18"/>
                <w:szCs w:val="18"/>
              </w:rPr>
              <w:t>中标后签合同前提供原厂商或国内总代针对本项目的质保函原件。</w:t>
            </w:r>
          </w:p>
        </w:tc>
        <w:tc>
          <w:tcPr>
            <w:tcW w:w="560"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套</w:t>
            </w:r>
          </w:p>
        </w:tc>
        <w:tc>
          <w:tcPr>
            <w:tcW w:w="674"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64</w:t>
            </w:r>
          </w:p>
        </w:tc>
        <w:tc>
          <w:tcPr>
            <w:tcW w:w="2124" w:type="dxa"/>
            <w:shd w:val="clear" w:color="auto" w:fill="auto"/>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高音喇叭（艺术楼剧场）</w:t>
            </w:r>
          </w:p>
        </w:tc>
        <w:tc>
          <w:tcPr>
            <w:tcW w:w="5528" w:type="dxa"/>
            <w:shd w:val="clear" w:color="auto" w:fill="auto"/>
            <w:vAlign w:val="center"/>
          </w:tcPr>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20"/>
                <w:szCs w:val="20"/>
              </w:rPr>
              <w:t xml:space="preserve">户外专业舞台音响44芯钕磁号角高音喇叭大功率100w </w:t>
            </w:r>
          </w:p>
        </w:tc>
        <w:tc>
          <w:tcPr>
            <w:tcW w:w="560"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只</w:t>
            </w:r>
          </w:p>
        </w:tc>
        <w:tc>
          <w:tcPr>
            <w:tcW w:w="674"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65</w:t>
            </w:r>
          </w:p>
        </w:tc>
        <w:tc>
          <w:tcPr>
            <w:tcW w:w="2124" w:type="dxa"/>
            <w:shd w:val="clear" w:color="auto" w:fill="auto"/>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高音喇叭音圈（艺术楼剧场）</w:t>
            </w:r>
          </w:p>
        </w:tc>
        <w:tc>
          <w:tcPr>
            <w:tcW w:w="5528" w:type="dxa"/>
            <w:shd w:val="clear" w:color="auto" w:fill="auto"/>
            <w:vAlign w:val="center"/>
          </w:tcPr>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20"/>
                <w:szCs w:val="20"/>
              </w:rPr>
              <w:t>配套上面高音喇叭的音圈</w:t>
            </w:r>
          </w:p>
        </w:tc>
        <w:tc>
          <w:tcPr>
            <w:tcW w:w="560"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只</w:t>
            </w:r>
          </w:p>
        </w:tc>
        <w:tc>
          <w:tcPr>
            <w:tcW w:w="674"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66</w:t>
            </w:r>
          </w:p>
        </w:tc>
        <w:tc>
          <w:tcPr>
            <w:tcW w:w="2124" w:type="dxa"/>
            <w:shd w:val="clear" w:color="auto" w:fill="auto"/>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辅材（艺术楼剧场）</w:t>
            </w:r>
          </w:p>
        </w:tc>
        <w:tc>
          <w:tcPr>
            <w:tcW w:w="5528" w:type="dxa"/>
            <w:shd w:val="clear" w:color="auto" w:fill="auto"/>
            <w:vAlign w:val="center"/>
          </w:tcPr>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20"/>
                <w:szCs w:val="20"/>
              </w:rPr>
              <w:t>接入无线话筒放大器的跳线等及调试</w:t>
            </w:r>
          </w:p>
        </w:tc>
        <w:tc>
          <w:tcPr>
            <w:tcW w:w="560"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批</w:t>
            </w:r>
          </w:p>
        </w:tc>
        <w:tc>
          <w:tcPr>
            <w:tcW w:w="674"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67</w:t>
            </w:r>
          </w:p>
        </w:tc>
        <w:tc>
          <w:tcPr>
            <w:tcW w:w="2124" w:type="dxa"/>
            <w:shd w:val="clear" w:color="auto" w:fill="auto"/>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话筒线（人文楼四楼）</w:t>
            </w:r>
          </w:p>
        </w:tc>
        <w:tc>
          <w:tcPr>
            <w:tcW w:w="5528" w:type="dxa"/>
            <w:shd w:val="clear" w:color="auto" w:fill="auto"/>
            <w:vAlign w:val="center"/>
          </w:tcPr>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20"/>
                <w:szCs w:val="20"/>
              </w:rPr>
              <w:t>15米卡侬公对母话筒音频延长线，三芯XLR平衡线</w:t>
            </w:r>
          </w:p>
        </w:tc>
        <w:tc>
          <w:tcPr>
            <w:tcW w:w="560"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套</w:t>
            </w:r>
          </w:p>
        </w:tc>
        <w:tc>
          <w:tcPr>
            <w:tcW w:w="674"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68</w:t>
            </w:r>
          </w:p>
        </w:tc>
        <w:tc>
          <w:tcPr>
            <w:tcW w:w="2124" w:type="dxa"/>
            <w:shd w:val="clear" w:color="auto" w:fill="auto"/>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无线投屏器（人文楼四楼）</w:t>
            </w:r>
          </w:p>
        </w:tc>
        <w:tc>
          <w:tcPr>
            <w:tcW w:w="5528" w:type="dxa"/>
            <w:shd w:val="clear" w:color="auto" w:fill="auto"/>
            <w:vAlign w:val="center"/>
          </w:tcPr>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20"/>
                <w:szCs w:val="20"/>
              </w:rPr>
              <w:t>无线点对点投屏器，包括接收器、发射器、供电线等</w:t>
            </w:r>
          </w:p>
        </w:tc>
        <w:tc>
          <w:tcPr>
            <w:tcW w:w="560"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套</w:t>
            </w:r>
          </w:p>
        </w:tc>
        <w:tc>
          <w:tcPr>
            <w:tcW w:w="674"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69</w:t>
            </w:r>
          </w:p>
        </w:tc>
        <w:tc>
          <w:tcPr>
            <w:tcW w:w="2124" w:type="dxa"/>
            <w:shd w:val="clear" w:color="auto" w:fill="auto"/>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无线有线同屏器（人文楼四楼）</w:t>
            </w:r>
          </w:p>
        </w:tc>
        <w:tc>
          <w:tcPr>
            <w:tcW w:w="5528" w:type="dxa"/>
            <w:shd w:val="clear" w:color="auto" w:fill="auto"/>
            <w:vAlign w:val="center"/>
          </w:tcPr>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20"/>
                <w:szCs w:val="20"/>
              </w:rPr>
              <w:t>无线有线同屏器，4K高清+双天线+HDMI+VGA+音频口+无线2.4G+无线5G+5V手机充电器</w:t>
            </w:r>
          </w:p>
        </w:tc>
        <w:tc>
          <w:tcPr>
            <w:tcW w:w="560"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套</w:t>
            </w:r>
          </w:p>
        </w:tc>
        <w:tc>
          <w:tcPr>
            <w:tcW w:w="674"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70</w:t>
            </w:r>
          </w:p>
        </w:tc>
        <w:tc>
          <w:tcPr>
            <w:tcW w:w="2124" w:type="dxa"/>
            <w:shd w:val="clear" w:color="auto" w:fill="auto"/>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一拖四无线会议话筒（人文楼四楼）</w:t>
            </w:r>
          </w:p>
        </w:tc>
        <w:tc>
          <w:tcPr>
            <w:tcW w:w="5528" w:type="dxa"/>
            <w:shd w:val="clear" w:color="auto" w:fill="auto"/>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 采用UHF超高频段，比传统的VHF频段干扰更少，传输更可靠；</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PLL数字锁相环多信道频率合成技术，在50MHz频率范围内，以250KHz信</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 xml:space="preserve">   道间隔，提供多达200个信道选择，多套机器同时使用，轻松避开各类干扰；</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先进的自动对频技术，即使将发射机与接收机的频率调乱了， 只需轻轻一按，</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 xml:space="preserve">   发射机就会自动追锁频率并调整一致，使用方便；</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高档液晶显示屏，使接收机及发射器的工作状态一目了然；</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无线会议发射系统，采用两节AA电池供电，采用高碱性电池可使用较长时间</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 xml:space="preserve">  （高功率10小时，低功率14小时）。若使用充电电池，使用时间会有所下降。</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空阔最大使用范围100米以上，理想空阔使用范围60米。</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 xml:space="preserve"> 会议发射带静音功能(静音后15分钟自动关机)</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数字ID身份识别技术,确保通讯互不干扰</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独有的数字加密技术,不再有场外被监听或窃听的困扰</w:t>
            </w:r>
          </w:p>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内置反馈抑制器，一键式抑制啸叫</w:t>
            </w:r>
          </w:p>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20"/>
                <w:szCs w:val="20"/>
              </w:rPr>
              <w:t>可选供电方式，充电宝，USB口5V直插式，（5号(AA)碱性电池×2节）</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接收机参数：</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振荡方式: 锁相环频率合成</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频率范围：UHF520MHz-950MHz</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频率稳定性：±0.001%</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 xml:space="preserve">调制方式：FM </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信噪比：&gt;60dB</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 xml:space="preserve">失真度:&lt;0.5%@1KHz            </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接收灵敏度：1.2/UV @S/N=12dB</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电源供应：DC 12V-17V</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音频输出：独立0-400mV</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 xml:space="preserve">          混合0-300mV</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发射器参数：</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电源供应：DC 4.5V(1.5V AA×3)</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话筒耗电量：100mA</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载波频率：UHF 520MHz-950MHz</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频率稳定度：±0.001%</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最大频偏：±30KHz</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信噪比：&gt;60dB</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邻频干扰比：&gt;80dB</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动态范围：≥100dB</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类型：电容式</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极性模式：单一指向性</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频率响应：40Hz-20KHz</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话筒灵敏度：-43±3dB@1KHz</w:t>
            </w:r>
          </w:p>
        </w:tc>
        <w:tc>
          <w:tcPr>
            <w:tcW w:w="560"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套</w:t>
            </w:r>
          </w:p>
        </w:tc>
        <w:tc>
          <w:tcPr>
            <w:tcW w:w="674"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71</w:t>
            </w:r>
          </w:p>
        </w:tc>
        <w:tc>
          <w:tcPr>
            <w:tcW w:w="2124" w:type="dxa"/>
            <w:shd w:val="clear" w:color="auto" w:fill="auto"/>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插线板（人文楼四楼）</w:t>
            </w:r>
          </w:p>
        </w:tc>
        <w:tc>
          <w:tcPr>
            <w:tcW w:w="5528" w:type="dxa"/>
            <w:shd w:val="clear" w:color="auto" w:fill="auto"/>
            <w:vAlign w:val="center"/>
          </w:tcPr>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20"/>
                <w:szCs w:val="20"/>
              </w:rPr>
              <w:t>带过载保护十插位10米延长线排插线板</w:t>
            </w:r>
          </w:p>
        </w:tc>
        <w:tc>
          <w:tcPr>
            <w:tcW w:w="560"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件</w:t>
            </w:r>
          </w:p>
        </w:tc>
        <w:tc>
          <w:tcPr>
            <w:tcW w:w="674"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72</w:t>
            </w:r>
          </w:p>
        </w:tc>
        <w:tc>
          <w:tcPr>
            <w:tcW w:w="2124" w:type="dxa"/>
            <w:shd w:val="clear" w:color="auto" w:fill="auto"/>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CD\MP3播放器（人文楼四楼）</w:t>
            </w:r>
          </w:p>
        </w:tc>
        <w:tc>
          <w:tcPr>
            <w:tcW w:w="5528" w:type="dxa"/>
            <w:shd w:val="clear" w:color="auto" w:fill="auto"/>
            <w:vAlign w:val="center"/>
          </w:tcPr>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20"/>
                <w:szCs w:val="20"/>
              </w:rPr>
              <w:t xml:space="preserve"> 采用高亮度动态 VFD 显示，清晰醒目；</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 xml:space="preserve"> 支持播放 CD、VCD、DVD、MP3、WAV 等格式的音乐文件；</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 xml:space="preserve"> 支持碟片和连接于 USB 接口的移动硬盘，两种方式供给节目源；</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具有曲目直选功能；</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具有通电后自动播放功能；</w:t>
            </w:r>
            <w:r>
              <w:rPr>
                <w:rFonts w:hint="eastAsia" w:ascii="宋体" w:hAnsi="宋体" w:cs="宋体"/>
                <w:color w:val="000000" w:themeColor="text1"/>
                <w:kern w:val="0"/>
                <w:sz w:val="20"/>
                <w:szCs w:val="20"/>
              </w:rPr>
              <w:br w:type="textWrapping"/>
            </w:r>
            <w:r>
              <w:rPr>
                <w:rFonts w:hint="eastAsia" w:ascii="宋体" w:hAnsi="宋体" w:cs="宋体"/>
                <w:color w:val="000000" w:themeColor="text1"/>
                <w:kern w:val="0"/>
                <w:sz w:val="20"/>
                <w:szCs w:val="20"/>
              </w:rPr>
              <w:t>支持2路音源信号输出。</w:t>
            </w:r>
          </w:p>
        </w:tc>
        <w:tc>
          <w:tcPr>
            <w:tcW w:w="560"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台</w:t>
            </w:r>
          </w:p>
        </w:tc>
        <w:tc>
          <w:tcPr>
            <w:tcW w:w="674"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73</w:t>
            </w:r>
          </w:p>
        </w:tc>
        <w:tc>
          <w:tcPr>
            <w:tcW w:w="2124" w:type="dxa"/>
            <w:shd w:val="clear" w:color="auto" w:fill="auto"/>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辅材（人文楼四楼）</w:t>
            </w:r>
          </w:p>
        </w:tc>
        <w:tc>
          <w:tcPr>
            <w:tcW w:w="5528" w:type="dxa"/>
            <w:shd w:val="clear" w:color="auto" w:fill="auto"/>
            <w:vAlign w:val="center"/>
          </w:tcPr>
          <w:p>
            <w:pPr>
              <w:widowControl/>
              <w:jc w:val="left"/>
              <w:rPr>
                <w:rFonts w:ascii="宋体" w:hAnsi="宋体" w:cs="宋体"/>
                <w:color w:val="000000" w:themeColor="text1"/>
                <w:kern w:val="0"/>
                <w:sz w:val="18"/>
                <w:szCs w:val="18"/>
              </w:rPr>
            </w:pPr>
            <w:r>
              <w:rPr>
                <w:rFonts w:hint="eastAsia" w:ascii="宋体" w:hAnsi="宋体" w:cs="宋体"/>
                <w:color w:val="000000" w:themeColor="text1"/>
                <w:kern w:val="0"/>
                <w:sz w:val="20"/>
                <w:szCs w:val="20"/>
              </w:rPr>
              <w:t>高清HDMI、音频线、音频跳线等</w:t>
            </w:r>
          </w:p>
        </w:tc>
        <w:tc>
          <w:tcPr>
            <w:tcW w:w="560"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批</w:t>
            </w:r>
          </w:p>
        </w:tc>
        <w:tc>
          <w:tcPr>
            <w:tcW w:w="674" w:type="dxa"/>
            <w:shd w:val="clear" w:color="000000" w:fill="FFFFFF"/>
            <w:vAlign w:val="center"/>
          </w:tcPr>
          <w:p>
            <w:pPr>
              <w:widowControl/>
              <w:jc w:val="center"/>
              <w:rPr>
                <w:rFonts w:ascii="宋体" w:hAnsi="宋体" w:cs="宋体"/>
                <w:color w:val="000000" w:themeColor="text1"/>
                <w:kern w:val="0"/>
                <w:sz w:val="18"/>
                <w:szCs w:val="18"/>
              </w:rPr>
            </w:pPr>
            <w:r>
              <w:rPr>
                <w:rFonts w:hint="eastAsia" w:ascii="宋体" w:hAnsi="宋体" w:cs="宋体"/>
                <w:color w:val="000000" w:themeColor="text1"/>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ascii="宋体" w:hAnsi="宋体" w:cs="宋体"/>
                <w:color w:val="000000" w:themeColor="text1"/>
                <w:kern w:val="0"/>
                <w:sz w:val="20"/>
                <w:szCs w:val="20"/>
              </w:rPr>
              <w:t>74</w:t>
            </w:r>
          </w:p>
        </w:tc>
        <w:tc>
          <w:tcPr>
            <w:tcW w:w="2124" w:type="dxa"/>
            <w:shd w:val="clear" w:color="000000" w:fill="FFFFFF"/>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18"/>
                <w:szCs w:val="18"/>
              </w:rPr>
              <w:t>系统集成</w:t>
            </w:r>
          </w:p>
        </w:tc>
        <w:tc>
          <w:tcPr>
            <w:tcW w:w="5528" w:type="dxa"/>
            <w:vAlign w:val="center"/>
          </w:tcPr>
          <w:p>
            <w:pPr>
              <w:widowControl/>
              <w:jc w:val="left"/>
              <w:rPr>
                <w:rFonts w:ascii="宋体" w:hAnsi="宋体" w:cs="宋体"/>
                <w:color w:val="000000" w:themeColor="text1"/>
                <w:kern w:val="0"/>
                <w:sz w:val="20"/>
                <w:szCs w:val="20"/>
              </w:rPr>
            </w:pPr>
            <w:r>
              <w:rPr>
                <w:rFonts w:hint="eastAsia" w:ascii="宋体" w:hAnsi="宋体" w:cs="宋体"/>
                <w:color w:val="000000" w:themeColor="text1"/>
                <w:kern w:val="0"/>
                <w:sz w:val="20"/>
                <w:szCs w:val="20"/>
              </w:rPr>
              <w:t>包括以上所有设备的安装调试及项目实施所需配件等相关费用</w:t>
            </w:r>
          </w:p>
        </w:tc>
        <w:tc>
          <w:tcPr>
            <w:tcW w:w="560"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项</w:t>
            </w:r>
          </w:p>
        </w:tc>
        <w:tc>
          <w:tcPr>
            <w:tcW w:w="674" w:type="dxa"/>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9446" w:type="dxa"/>
            <w:gridSpan w:val="5"/>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科技楼五楼听力改造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17"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75</w:t>
            </w:r>
          </w:p>
        </w:tc>
        <w:tc>
          <w:tcPr>
            <w:tcW w:w="2124" w:type="dxa"/>
            <w:shd w:val="clear" w:color="000000" w:fill="FFFFFF"/>
            <w:vAlign w:val="center"/>
          </w:tcPr>
          <w:p>
            <w:pPr>
              <w:jc w:val="center"/>
              <w:rPr>
                <w:rFonts w:ascii="宋体" w:hAnsi="宋体" w:cs="宋体"/>
                <w:color w:val="000000" w:themeColor="text1"/>
                <w:sz w:val="22"/>
                <w:szCs w:val="22"/>
              </w:rPr>
            </w:pPr>
            <w:r>
              <w:rPr>
                <w:rFonts w:hint="eastAsia"/>
                <w:color w:val="000000" w:themeColor="text1"/>
                <w:sz w:val="22"/>
                <w:szCs w:val="22"/>
              </w:rPr>
              <w:t>磁带CD机播放器</w:t>
            </w:r>
          </w:p>
        </w:tc>
        <w:tc>
          <w:tcPr>
            <w:tcW w:w="5528" w:type="dxa"/>
            <w:vAlign w:val="center"/>
          </w:tcPr>
          <w:p>
            <w:pPr>
              <w:jc w:val="left"/>
              <w:rPr>
                <w:rFonts w:ascii="宋体" w:hAnsi="宋体" w:cs="宋体"/>
                <w:color w:val="000000" w:themeColor="text1"/>
                <w:sz w:val="18"/>
                <w:szCs w:val="22"/>
              </w:rPr>
            </w:pPr>
            <w:r>
              <w:rPr>
                <w:rFonts w:hint="eastAsia"/>
                <w:color w:val="000000" w:themeColor="text1"/>
                <w:sz w:val="18"/>
                <w:szCs w:val="22"/>
              </w:rPr>
              <w:t>AZ787/93磁带CD机播放器</w:t>
            </w:r>
            <w:r>
              <w:rPr>
                <w:rFonts w:hint="eastAsia"/>
                <w:color w:val="000000" w:themeColor="text1"/>
                <w:sz w:val="18"/>
                <w:szCs w:val="22"/>
              </w:rPr>
              <w:br w:type="textWrapping"/>
            </w:r>
            <w:r>
              <w:rPr>
                <w:rFonts w:hint="eastAsia"/>
                <w:color w:val="000000" w:themeColor="text1"/>
                <w:sz w:val="18"/>
                <w:szCs w:val="22"/>
              </w:rPr>
              <w:t>技术规格</w:t>
            </w:r>
            <w:r>
              <w:rPr>
                <w:rFonts w:hint="eastAsia"/>
                <w:color w:val="000000" w:themeColor="text1"/>
                <w:sz w:val="18"/>
                <w:szCs w:val="22"/>
              </w:rPr>
              <w:br w:type="textWrapping"/>
            </w:r>
            <w:r>
              <w:rPr>
                <w:rFonts w:hint="eastAsia"/>
                <w:color w:val="000000" w:themeColor="text1"/>
                <w:sz w:val="18"/>
                <w:szCs w:val="22"/>
              </w:rPr>
              <w:t>音频播放</w:t>
            </w:r>
            <w:r>
              <w:rPr>
                <w:rFonts w:hint="eastAsia"/>
                <w:color w:val="000000" w:themeColor="text1"/>
                <w:sz w:val="18"/>
                <w:szCs w:val="22"/>
              </w:rPr>
              <w:br w:type="textWrapping"/>
            </w:r>
            <w:r>
              <w:rPr>
                <w:rFonts w:hint="eastAsia"/>
                <w:color w:val="000000" w:themeColor="text1"/>
                <w:sz w:val="18"/>
                <w:szCs w:val="22"/>
              </w:rPr>
              <w:t>光盘播放模式:快进/快退、下一首/上一首曲目搜索、重复/随机播放/编序播放</w:t>
            </w:r>
            <w:r>
              <w:rPr>
                <w:rFonts w:hint="eastAsia"/>
                <w:color w:val="000000" w:themeColor="text1"/>
                <w:sz w:val="18"/>
                <w:szCs w:val="22"/>
              </w:rPr>
              <w:br w:type="textWrapping"/>
            </w:r>
            <w:r>
              <w:rPr>
                <w:rFonts w:hint="eastAsia"/>
                <w:color w:val="000000" w:themeColor="text1"/>
                <w:sz w:val="18"/>
                <w:szCs w:val="22"/>
              </w:rPr>
              <w:t>播放媒体：CD、CD-R、CD-RW、MP3-CD、WMA-CD</w:t>
            </w:r>
            <w:r>
              <w:rPr>
                <w:rFonts w:hint="eastAsia"/>
                <w:color w:val="000000" w:themeColor="text1"/>
                <w:sz w:val="18"/>
                <w:szCs w:val="22"/>
              </w:rPr>
              <w:br w:type="textWrapping"/>
            </w:r>
            <w:r>
              <w:rPr>
                <w:rFonts w:hint="eastAsia"/>
                <w:color w:val="000000" w:themeColor="text1"/>
                <w:sz w:val="18"/>
                <w:szCs w:val="22"/>
              </w:rPr>
              <w:t>USB 直插式播放模式：快退/快进、上一首/下一首、编程播放、随机播放/暂停、重复播放、停止</w:t>
            </w:r>
            <w:r>
              <w:rPr>
                <w:rFonts w:hint="eastAsia"/>
                <w:color w:val="000000" w:themeColor="text1"/>
                <w:sz w:val="18"/>
                <w:szCs w:val="22"/>
              </w:rPr>
              <w:br w:type="textWrapping"/>
            </w:r>
            <w:r>
              <w:rPr>
                <w:rFonts w:hint="eastAsia"/>
                <w:color w:val="000000" w:themeColor="text1"/>
                <w:sz w:val="18"/>
                <w:szCs w:val="22"/>
              </w:rPr>
              <w:t>录放机数：1</w:t>
            </w:r>
            <w:r>
              <w:rPr>
                <w:rFonts w:hint="eastAsia"/>
                <w:color w:val="000000" w:themeColor="text1"/>
                <w:sz w:val="18"/>
                <w:szCs w:val="22"/>
              </w:rPr>
              <w:br w:type="textWrapping"/>
            </w:r>
            <w:r>
              <w:rPr>
                <w:rFonts w:hint="eastAsia"/>
                <w:color w:val="000000" w:themeColor="text1"/>
                <w:sz w:val="18"/>
                <w:szCs w:val="22"/>
              </w:rPr>
              <w:t>磁带播放模式：机械式</w:t>
            </w:r>
            <w:r>
              <w:rPr>
                <w:rFonts w:hint="eastAsia"/>
                <w:color w:val="000000" w:themeColor="text1"/>
                <w:sz w:val="18"/>
                <w:szCs w:val="22"/>
              </w:rPr>
              <w:br w:type="textWrapping"/>
            </w:r>
            <w:r>
              <w:rPr>
                <w:rFonts w:hint="eastAsia"/>
                <w:color w:val="000000" w:themeColor="text1"/>
                <w:sz w:val="18"/>
                <w:szCs w:val="22"/>
              </w:rPr>
              <w:t>调谐器/接收/发送</w:t>
            </w:r>
            <w:r>
              <w:rPr>
                <w:rFonts w:hint="eastAsia"/>
                <w:color w:val="000000" w:themeColor="text1"/>
                <w:sz w:val="18"/>
                <w:szCs w:val="22"/>
              </w:rPr>
              <w:br w:type="textWrapping"/>
            </w:r>
            <w:r>
              <w:rPr>
                <w:rFonts w:hint="eastAsia"/>
                <w:color w:val="000000" w:themeColor="text1"/>
                <w:sz w:val="18"/>
                <w:szCs w:val="22"/>
              </w:rPr>
              <w:t>天线：FM 天线</w:t>
            </w:r>
            <w:r>
              <w:rPr>
                <w:rFonts w:hint="eastAsia"/>
                <w:color w:val="000000" w:themeColor="text1"/>
                <w:sz w:val="18"/>
                <w:szCs w:val="22"/>
              </w:rPr>
              <w:br w:type="textWrapping"/>
            </w:r>
            <w:r>
              <w:rPr>
                <w:rFonts w:hint="eastAsia"/>
                <w:color w:val="000000" w:themeColor="text1"/>
                <w:sz w:val="18"/>
                <w:szCs w:val="22"/>
              </w:rPr>
              <w:t>预设电台：20</w:t>
            </w:r>
            <w:r>
              <w:rPr>
                <w:rFonts w:hint="eastAsia"/>
                <w:color w:val="000000" w:themeColor="text1"/>
                <w:sz w:val="18"/>
                <w:szCs w:val="22"/>
              </w:rPr>
              <w:br w:type="textWrapping"/>
            </w:r>
            <w:r>
              <w:rPr>
                <w:rFonts w:hint="eastAsia"/>
                <w:color w:val="000000" w:themeColor="text1"/>
                <w:sz w:val="18"/>
                <w:szCs w:val="22"/>
              </w:rPr>
              <w:t>调谐波段：FM</w:t>
            </w:r>
            <w:r>
              <w:rPr>
                <w:rFonts w:hint="eastAsia"/>
                <w:color w:val="000000" w:themeColor="text1"/>
                <w:sz w:val="18"/>
                <w:szCs w:val="22"/>
              </w:rPr>
              <w:br w:type="textWrapping"/>
            </w:r>
            <w:r>
              <w:rPr>
                <w:rFonts w:hint="eastAsia"/>
                <w:color w:val="000000" w:themeColor="text1"/>
                <w:sz w:val="18"/>
                <w:szCs w:val="22"/>
              </w:rPr>
              <w:t>调谐器增强：自动数字调谐</w:t>
            </w:r>
            <w:r>
              <w:rPr>
                <w:rFonts w:hint="eastAsia"/>
                <w:color w:val="000000" w:themeColor="text1"/>
                <w:sz w:val="18"/>
                <w:szCs w:val="22"/>
              </w:rPr>
              <w:br w:type="textWrapping"/>
            </w:r>
            <w:r>
              <w:rPr>
                <w:rFonts w:hint="eastAsia"/>
                <w:color w:val="000000" w:themeColor="text1"/>
                <w:sz w:val="18"/>
                <w:szCs w:val="22"/>
              </w:rPr>
              <w:t>声音：音量控制、旋转（数字）</w:t>
            </w:r>
            <w:r>
              <w:rPr>
                <w:rFonts w:hint="eastAsia"/>
                <w:color w:val="000000" w:themeColor="text1"/>
                <w:sz w:val="18"/>
                <w:szCs w:val="22"/>
              </w:rPr>
              <w:br w:type="textWrapping"/>
            </w:r>
            <w:r>
              <w:rPr>
                <w:rFonts w:hint="eastAsia"/>
                <w:color w:val="000000" w:themeColor="text1"/>
                <w:sz w:val="18"/>
                <w:szCs w:val="22"/>
              </w:rPr>
              <w:t>声音系统：立体声、音效增强、2步动态低音增强</w:t>
            </w:r>
            <w:r>
              <w:rPr>
                <w:rFonts w:hint="eastAsia"/>
                <w:color w:val="000000" w:themeColor="text1"/>
                <w:sz w:val="18"/>
                <w:szCs w:val="22"/>
              </w:rPr>
              <w:br w:type="textWrapping"/>
            </w:r>
            <w:r>
              <w:rPr>
                <w:rFonts w:hint="eastAsia"/>
                <w:color w:val="000000" w:themeColor="text1"/>
                <w:sz w:val="18"/>
                <w:szCs w:val="22"/>
              </w:rPr>
              <w:t>最大输出功率 (RMS)：12 瓦</w:t>
            </w:r>
            <w:r>
              <w:rPr>
                <w:rFonts w:hint="eastAsia"/>
                <w:color w:val="000000" w:themeColor="text1"/>
                <w:sz w:val="18"/>
                <w:szCs w:val="22"/>
              </w:rPr>
              <w:br w:type="textWrapping"/>
            </w:r>
            <w:r>
              <w:rPr>
                <w:rFonts w:hint="eastAsia"/>
                <w:color w:val="000000" w:themeColor="text1"/>
                <w:sz w:val="18"/>
                <w:szCs w:val="22"/>
              </w:rPr>
              <w:t>扬声器：</w:t>
            </w:r>
            <w:r>
              <w:rPr>
                <w:rFonts w:hint="eastAsia"/>
                <w:color w:val="000000" w:themeColor="text1"/>
                <w:sz w:val="18"/>
                <w:szCs w:val="22"/>
              </w:rPr>
              <w:br w:type="textWrapping"/>
            </w:r>
            <w:r>
              <w:rPr>
                <w:rFonts w:hint="eastAsia"/>
                <w:color w:val="000000" w:themeColor="text1"/>
                <w:sz w:val="18"/>
                <w:szCs w:val="22"/>
              </w:rPr>
              <w:t>内置扬声器数：2</w:t>
            </w:r>
            <w:r>
              <w:rPr>
                <w:rFonts w:hint="eastAsia"/>
                <w:color w:val="000000" w:themeColor="text1"/>
                <w:sz w:val="18"/>
                <w:szCs w:val="22"/>
              </w:rPr>
              <w:br w:type="textWrapping"/>
            </w:r>
            <w:r>
              <w:rPr>
                <w:rFonts w:hint="eastAsia"/>
                <w:color w:val="000000" w:themeColor="text1"/>
                <w:sz w:val="18"/>
                <w:szCs w:val="22"/>
              </w:rPr>
              <w:t>扬声器网罩表面：金属</w:t>
            </w:r>
            <w:r>
              <w:rPr>
                <w:rFonts w:hint="eastAsia"/>
                <w:color w:val="000000" w:themeColor="text1"/>
                <w:sz w:val="18"/>
                <w:szCs w:val="22"/>
              </w:rPr>
              <w:br w:type="textWrapping"/>
            </w:r>
            <w:r>
              <w:rPr>
                <w:rFonts w:hint="eastAsia"/>
                <w:color w:val="000000" w:themeColor="text1"/>
                <w:sz w:val="18"/>
                <w:szCs w:val="22"/>
              </w:rPr>
              <w:t>扬声器增强：双路低音反射扬声器</w:t>
            </w:r>
            <w:r>
              <w:rPr>
                <w:rFonts w:hint="eastAsia"/>
                <w:color w:val="000000" w:themeColor="text1"/>
                <w:sz w:val="18"/>
                <w:szCs w:val="22"/>
              </w:rPr>
              <w:br w:type="textWrapping"/>
            </w:r>
            <w:r>
              <w:rPr>
                <w:rFonts w:hint="eastAsia"/>
                <w:color w:val="000000" w:themeColor="text1"/>
                <w:sz w:val="18"/>
                <w:szCs w:val="22"/>
              </w:rPr>
              <w:t>连接：USB、USB 主机</w:t>
            </w:r>
            <w:r>
              <w:rPr>
                <w:rFonts w:hint="eastAsia"/>
                <w:color w:val="000000" w:themeColor="text1"/>
                <w:sz w:val="18"/>
                <w:szCs w:val="22"/>
              </w:rPr>
              <w:br w:type="textWrapping"/>
            </w:r>
            <w:r>
              <w:rPr>
                <w:rFonts w:hint="eastAsia"/>
                <w:color w:val="000000" w:themeColor="text1"/>
                <w:sz w:val="18"/>
                <w:szCs w:val="22"/>
              </w:rPr>
              <w:t>音频/视频输出：耳机（3.5 毫米）</w:t>
            </w:r>
            <w:r>
              <w:rPr>
                <w:rFonts w:hint="eastAsia"/>
                <w:color w:val="000000" w:themeColor="text1"/>
                <w:sz w:val="18"/>
                <w:szCs w:val="22"/>
              </w:rPr>
              <w:br w:type="textWrapping"/>
            </w:r>
            <w:r>
              <w:rPr>
                <w:rFonts w:hint="eastAsia"/>
                <w:color w:val="000000" w:themeColor="text1"/>
                <w:sz w:val="18"/>
                <w:szCs w:val="22"/>
              </w:rPr>
              <w:t>音频输入（3.5 毫米）</w:t>
            </w:r>
            <w:r>
              <w:rPr>
                <w:rFonts w:hint="eastAsia"/>
                <w:color w:val="000000" w:themeColor="text1"/>
                <w:sz w:val="18"/>
                <w:szCs w:val="22"/>
              </w:rPr>
              <w:br w:type="textWrapping"/>
            </w:r>
            <w:r>
              <w:rPr>
                <w:rFonts w:hint="eastAsia"/>
                <w:color w:val="000000" w:themeColor="text1"/>
                <w:sz w:val="18"/>
                <w:szCs w:val="22"/>
              </w:rPr>
              <w:t>显示屏类型：背光液晶显示屏</w:t>
            </w:r>
            <w:r>
              <w:rPr>
                <w:rFonts w:hint="eastAsia"/>
                <w:color w:val="000000" w:themeColor="text1"/>
                <w:sz w:val="18"/>
                <w:szCs w:val="22"/>
              </w:rPr>
              <w:br w:type="textWrapping"/>
            </w:r>
            <w:r>
              <w:rPr>
                <w:rFonts w:hint="eastAsia"/>
                <w:color w:val="000000" w:themeColor="text1"/>
                <w:sz w:val="18"/>
                <w:szCs w:val="22"/>
              </w:rPr>
              <w:t>电池数：主机需要 6 节 LR20 型电池（未随机附带），遥控器需要 1 节 CR2025 电池（随附）</w:t>
            </w:r>
            <w:r>
              <w:rPr>
                <w:rFonts w:hint="eastAsia"/>
                <w:color w:val="000000" w:themeColor="text1"/>
                <w:sz w:val="18"/>
                <w:szCs w:val="22"/>
              </w:rPr>
              <w:br w:type="textWrapping"/>
            </w:r>
            <w:r>
              <w:rPr>
                <w:rFonts w:hint="eastAsia"/>
                <w:color w:val="000000" w:themeColor="text1"/>
                <w:sz w:val="18"/>
                <w:szCs w:val="22"/>
              </w:rPr>
              <w:t>电源类型：220 - 240 伏</w:t>
            </w:r>
            <w:r>
              <w:rPr>
                <w:rFonts w:hint="eastAsia"/>
                <w:color w:val="000000" w:themeColor="text1"/>
                <w:sz w:val="18"/>
                <w:szCs w:val="22"/>
              </w:rPr>
              <w:br w:type="textWrapping"/>
            </w:r>
            <w:r>
              <w:rPr>
                <w:rFonts w:hint="eastAsia"/>
                <w:color w:val="000000" w:themeColor="text1"/>
                <w:sz w:val="18"/>
                <w:szCs w:val="22"/>
              </w:rPr>
              <w:t>附件：遥控器、快速入门指南、多语言、电源线、保修单</w:t>
            </w:r>
            <w:r>
              <w:rPr>
                <w:rFonts w:hint="eastAsia"/>
                <w:color w:val="000000" w:themeColor="text1"/>
                <w:sz w:val="18"/>
                <w:szCs w:val="22"/>
              </w:rPr>
              <w:br w:type="textWrapping"/>
            </w:r>
            <w:r>
              <w:rPr>
                <w:rFonts w:hint="eastAsia"/>
                <w:color w:val="000000" w:themeColor="text1"/>
                <w:sz w:val="18"/>
                <w:szCs w:val="22"/>
              </w:rPr>
              <w:t>尺寸</w:t>
            </w:r>
            <w:r>
              <w:rPr>
                <w:rFonts w:hint="eastAsia"/>
                <w:color w:val="000000" w:themeColor="text1"/>
                <w:sz w:val="18"/>
                <w:szCs w:val="22"/>
              </w:rPr>
              <w:br w:type="textWrapping"/>
            </w:r>
            <w:r>
              <w:rPr>
                <w:rFonts w:hint="eastAsia"/>
                <w:color w:val="000000" w:themeColor="text1"/>
                <w:sz w:val="18"/>
                <w:szCs w:val="22"/>
              </w:rPr>
              <w:t>产品重量：3千克</w:t>
            </w:r>
            <w:r>
              <w:rPr>
                <w:rFonts w:hint="eastAsia"/>
                <w:color w:val="000000" w:themeColor="text1"/>
                <w:sz w:val="18"/>
                <w:szCs w:val="22"/>
              </w:rPr>
              <w:br w:type="textWrapping"/>
            </w:r>
            <w:r>
              <w:rPr>
                <w:rFonts w:hint="eastAsia"/>
                <w:color w:val="000000" w:themeColor="text1"/>
                <w:sz w:val="18"/>
                <w:szCs w:val="22"/>
              </w:rPr>
              <w:t>重量（含包装）：4千克</w:t>
            </w:r>
            <w:r>
              <w:rPr>
                <w:rFonts w:hint="eastAsia"/>
                <w:color w:val="000000" w:themeColor="text1"/>
                <w:sz w:val="18"/>
                <w:szCs w:val="22"/>
              </w:rPr>
              <w:br w:type="textWrapping"/>
            </w:r>
            <w:r>
              <w:rPr>
                <w:rFonts w:hint="eastAsia"/>
                <w:color w:val="000000" w:themeColor="text1"/>
                <w:sz w:val="18"/>
                <w:szCs w:val="22"/>
              </w:rPr>
              <w:t>包装尺寸（宽x厚x高）：468 x 198 x 310 毫米</w:t>
            </w:r>
            <w:r>
              <w:rPr>
                <w:rFonts w:hint="eastAsia"/>
                <w:color w:val="000000" w:themeColor="text1"/>
                <w:sz w:val="18"/>
                <w:szCs w:val="22"/>
              </w:rPr>
              <w:br w:type="textWrapping"/>
            </w:r>
            <w:r>
              <w:rPr>
                <w:rFonts w:hint="eastAsia"/>
                <w:color w:val="000000" w:themeColor="text1"/>
                <w:sz w:val="18"/>
                <w:szCs w:val="22"/>
              </w:rPr>
              <w:t>产品尺寸（宽x厚x高）：435 x 270 x 170  毫米</w:t>
            </w:r>
          </w:p>
        </w:tc>
        <w:tc>
          <w:tcPr>
            <w:tcW w:w="560" w:type="dxa"/>
            <w:vAlign w:val="center"/>
          </w:tcPr>
          <w:p>
            <w:pPr>
              <w:jc w:val="center"/>
              <w:rPr>
                <w:rFonts w:ascii="宋体" w:hAnsi="宋体" w:cs="宋体"/>
                <w:color w:val="000000" w:themeColor="text1"/>
                <w:sz w:val="22"/>
                <w:szCs w:val="22"/>
              </w:rPr>
            </w:pPr>
            <w:r>
              <w:rPr>
                <w:rFonts w:hint="eastAsia"/>
                <w:color w:val="000000" w:themeColor="text1"/>
                <w:sz w:val="22"/>
                <w:szCs w:val="22"/>
              </w:rPr>
              <w:t>台</w:t>
            </w:r>
          </w:p>
        </w:tc>
        <w:tc>
          <w:tcPr>
            <w:tcW w:w="674" w:type="dxa"/>
            <w:vAlign w:val="center"/>
          </w:tcPr>
          <w:p>
            <w:pPr>
              <w:jc w:val="center"/>
              <w:rPr>
                <w:rFonts w:ascii="宋体" w:hAnsi="宋体" w:cs="宋体"/>
                <w:color w:val="000000" w:themeColor="text1"/>
                <w:sz w:val="22"/>
                <w:szCs w:val="22"/>
              </w:rPr>
            </w:pPr>
            <w:r>
              <w:rPr>
                <w:rFonts w:hint="eastAsia"/>
                <w:color w:val="000000" w:themeColor="text1"/>
                <w:sz w:val="22"/>
                <w:szCs w:val="2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76</w:t>
            </w:r>
          </w:p>
        </w:tc>
        <w:tc>
          <w:tcPr>
            <w:tcW w:w="2124" w:type="dxa"/>
            <w:shd w:val="clear" w:color="000000" w:fill="FFFFFF"/>
            <w:vAlign w:val="center"/>
          </w:tcPr>
          <w:p>
            <w:pPr>
              <w:jc w:val="center"/>
              <w:rPr>
                <w:rFonts w:ascii="宋体" w:hAnsi="宋体" w:cs="宋体"/>
                <w:color w:val="000000" w:themeColor="text1"/>
                <w:sz w:val="22"/>
                <w:szCs w:val="22"/>
              </w:rPr>
            </w:pPr>
            <w:r>
              <w:rPr>
                <w:rFonts w:hint="eastAsia"/>
                <w:color w:val="000000" w:themeColor="text1"/>
                <w:sz w:val="22"/>
                <w:szCs w:val="22"/>
              </w:rPr>
              <w:t>转换桶</w:t>
            </w:r>
          </w:p>
        </w:tc>
        <w:tc>
          <w:tcPr>
            <w:tcW w:w="5528" w:type="dxa"/>
            <w:vAlign w:val="center"/>
          </w:tcPr>
          <w:p>
            <w:pPr>
              <w:jc w:val="center"/>
              <w:rPr>
                <w:rFonts w:ascii="宋体" w:hAnsi="宋体" w:cs="宋体"/>
                <w:color w:val="000000" w:themeColor="text1"/>
                <w:sz w:val="18"/>
                <w:szCs w:val="22"/>
              </w:rPr>
            </w:pPr>
            <w:r>
              <w:rPr>
                <w:color w:val="000000" w:themeColor="text1"/>
                <w:sz w:val="18"/>
                <w:szCs w:val="22"/>
              </w:rPr>
              <w:t>BQ-BS1E/2BC</w:t>
            </w:r>
            <w:r>
              <w:rPr>
                <w:rFonts w:hint="eastAsia"/>
                <w:color w:val="000000" w:themeColor="text1"/>
                <w:sz w:val="18"/>
                <w:szCs w:val="22"/>
              </w:rPr>
              <w:t>，5号(eneloop)爱乐普充电电池转1号电池转换筒2只装一套</w:t>
            </w:r>
          </w:p>
        </w:tc>
        <w:tc>
          <w:tcPr>
            <w:tcW w:w="560" w:type="dxa"/>
            <w:vAlign w:val="center"/>
          </w:tcPr>
          <w:p>
            <w:pPr>
              <w:jc w:val="center"/>
              <w:rPr>
                <w:rFonts w:ascii="宋体" w:hAnsi="宋体" w:cs="宋体"/>
                <w:color w:val="000000" w:themeColor="text1"/>
                <w:sz w:val="22"/>
                <w:szCs w:val="22"/>
              </w:rPr>
            </w:pPr>
            <w:r>
              <w:rPr>
                <w:rFonts w:hint="eastAsia"/>
                <w:color w:val="000000" w:themeColor="text1"/>
                <w:sz w:val="22"/>
                <w:szCs w:val="22"/>
              </w:rPr>
              <w:t>套</w:t>
            </w:r>
          </w:p>
        </w:tc>
        <w:tc>
          <w:tcPr>
            <w:tcW w:w="674" w:type="dxa"/>
            <w:vAlign w:val="center"/>
          </w:tcPr>
          <w:p>
            <w:pPr>
              <w:jc w:val="center"/>
              <w:rPr>
                <w:rFonts w:ascii="宋体" w:hAnsi="宋体" w:cs="宋体"/>
                <w:color w:val="000000" w:themeColor="text1"/>
                <w:sz w:val="22"/>
                <w:szCs w:val="22"/>
              </w:rPr>
            </w:pPr>
            <w:r>
              <w:rPr>
                <w:rFonts w:hint="eastAsia"/>
                <w:color w:val="000000" w:themeColor="text1"/>
                <w:sz w:val="22"/>
                <w:szCs w:val="22"/>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77</w:t>
            </w:r>
          </w:p>
        </w:tc>
        <w:tc>
          <w:tcPr>
            <w:tcW w:w="2124" w:type="dxa"/>
            <w:shd w:val="clear" w:color="000000" w:fill="FFFFFF"/>
            <w:vAlign w:val="center"/>
          </w:tcPr>
          <w:p>
            <w:pPr>
              <w:jc w:val="center"/>
              <w:rPr>
                <w:rFonts w:ascii="宋体" w:hAnsi="宋体" w:cs="宋体"/>
                <w:color w:val="000000" w:themeColor="text1"/>
                <w:sz w:val="22"/>
                <w:szCs w:val="22"/>
              </w:rPr>
            </w:pPr>
            <w:r>
              <w:rPr>
                <w:rFonts w:hint="eastAsia"/>
                <w:color w:val="000000" w:themeColor="text1"/>
                <w:sz w:val="22"/>
                <w:szCs w:val="22"/>
              </w:rPr>
              <w:t>充电电池套装</w:t>
            </w:r>
          </w:p>
        </w:tc>
        <w:tc>
          <w:tcPr>
            <w:tcW w:w="5528" w:type="dxa"/>
            <w:vAlign w:val="center"/>
          </w:tcPr>
          <w:p>
            <w:pPr>
              <w:jc w:val="center"/>
              <w:rPr>
                <w:rFonts w:ascii="宋体" w:hAnsi="宋体" w:cs="宋体"/>
                <w:color w:val="000000" w:themeColor="text1"/>
                <w:sz w:val="18"/>
                <w:szCs w:val="22"/>
              </w:rPr>
            </w:pPr>
            <w:r>
              <w:rPr>
                <w:rFonts w:hint="eastAsia"/>
                <w:color w:val="000000" w:themeColor="text1"/>
                <w:sz w:val="18"/>
                <w:szCs w:val="22"/>
              </w:rPr>
              <w:t>每一套装包含BQ-CC55C充电器一只，四节AA（5号）白色三洋eneloop（爱老婆）镍氢充电电池</w:t>
            </w:r>
          </w:p>
        </w:tc>
        <w:tc>
          <w:tcPr>
            <w:tcW w:w="560" w:type="dxa"/>
            <w:vAlign w:val="center"/>
          </w:tcPr>
          <w:p>
            <w:pPr>
              <w:jc w:val="center"/>
              <w:rPr>
                <w:rFonts w:ascii="宋体" w:hAnsi="宋体" w:cs="宋体"/>
                <w:color w:val="000000" w:themeColor="text1"/>
                <w:sz w:val="22"/>
                <w:szCs w:val="22"/>
              </w:rPr>
            </w:pPr>
            <w:r>
              <w:rPr>
                <w:rFonts w:hint="eastAsia"/>
                <w:color w:val="000000" w:themeColor="text1"/>
                <w:sz w:val="22"/>
                <w:szCs w:val="22"/>
              </w:rPr>
              <w:t>套</w:t>
            </w:r>
          </w:p>
        </w:tc>
        <w:tc>
          <w:tcPr>
            <w:tcW w:w="674" w:type="dxa"/>
            <w:vAlign w:val="center"/>
          </w:tcPr>
          <w:p>
            <w:pPr>
              <w:jc w:val="center"/>
              <w:rPr>
                <w:rFonts w:ascii="宋体" w:hAnsi="宋体" w:cs="宋体"/>
                <w:color w:val="000000" w:themeColor="text1"/>
                <w:sz w:val="22"/>
                <w:szCs w:val="22"/>
              </w:rPr>
            </w:pPr>
            <w:r>
              <w:rPr>
                <w:rFonts w:hint="eastAsia"/>
                <w:color w:val="000000" w:themeColor="text1"/>
                <w:sz w:val="22"/>
                <w:szCs w:val="2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78</w:t>
            </w:r>
          </w:p>
        </w:tc>
        <w:tc>
          <w:tcPr>
            <w:tcW w:w="2124" w:type="dxa"/>
            <w:shd w:val="clear" w:color="000000" w:fill="FFFFFF"/>
            <w:vAlign w:val="center"/>
          </w:tcPr>
          <w:p>
            <w:pPr>
              <w:jc w:val="center"/>
              <w:rPr>
                <w:rFonts w:ascii="宋体" w:hAnsi="宋体" w:cs="宋体"/>
                <w:color w:val="000000" w:themeColor="text1"/>
                <w:sz w:val="22"/>
                <w:szCs w:val="22"/>
              </w:rPr>
            </w:pPr>
            <w:r>
              <w:rPr>
                <w:rFonts w:hint="eastAsia"/>
                <w:color w:val="000000" w:themeColor="text1"/>
                <w:sz w:val="22"/>
                <w:szCs w:val="22"/>
              </w:rPr>
              <w:t>86型明装底盒</w:t>
            </w:r>
          </w:p>
        </w:tc>
        <w:tc>
          <w:tcPr>
            <w:tcW w:w="5528" w:type="dxa"/>
            <w:vAlign w:val="center"/>
          </w:tcPr>
          <w:p>
            <w:pPr>
              <w:jc w:val="center"/>
              <w:rPr>
                <w:rFonts w:ascii="宋体" w:hAnsi="宋体" w:cs="宋体"/>
                <w:color w:val="000000" w:themeColor="text1"/>
                <w:sz w:val="18"/>
                <w:szCs w:val="22"/>
              </w:rPr>
            </w:pPr>
            <w:r>
              <w:rPr>
                <w:rFonts w:hint="eastAsia"/>
                <w:color w:val="000000" w:themeColor="text1"/>
                <w:sz w:val="18"/>
                <w:szCs w:val="22"/>
              </w:rPr>
              <w:t>86型明装底盒</w:t>
            </w:r>
          </w:p>
        </w:tc>
        <w:tc>
          <w:tcPr>
            <w:tcW w:w="560" w:type="dxa"/>
            <w:vAlign w:val="center"/>
          </w:tcPr>
          <w:p>
            <w:pPr>
              <w:jc w:val="center"/>
              <w:rPr>
                <w:rFonts w:ascii="宋体" w:hAnsi="宋体" w:cs="宋体"/>
                <w:color w:val="000000" w:themeColor="text1"/>
                <w:sz w:val="22"/>
                <w:szCs w:val="22"/>
              </w:rPr>
            </w:pPr>
            <w:r>
              <w:rPr>
                <w:rFonts w:hint="eastAsia"/>
                <w:color w:val="000000" w:themeColor="text1"/>
                <w:sz w:val="22"/>
                <w:szCs w:val="22"/>
              </w:rPr>
              <w:t>只</w:t>
            </w:r>
          </w:p>
        </w:tc>
        <w:tc>
          <w:tcPr>
            <w:tcW w:w="674" w:type="dxa"/>
            <w:vAlign w:val="center"/>
          </w:tcPr>
          <w:p>
            <w:pPr>
              <w:jc w:val="center"/>
              <w:rPr>
                <w:rFonts w:ascii="宋体" w:hAnsi="宋体" w:cs="宋体"/>
                <w:color w:val="000000" w:themeColor="text1"/>
                <w:sz w:val="22"/>
                <w:szCs w:val="22"/>
              </w:rPr>
            </w:pPr>
            <w:r>
              <w:rPr>
                <w:rFonts w:hint="eastAsia"/>
                <w:color w:val="000000" w:themeColor="text1"/>
                <w:sz w:val="22"/>
                <w:szCs w:val="22"/>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79</w:t>
            </w:r>
          </w:p>
        </w:tc>
        <w:tc>
          <w:tcPr>
            <w:tcW w:w="2124" w:type="dxa"/>
            <w:shd w:val="clear" w:color="000000" w:fill="FFFFFF"/>
            <w:vAlign w:val="center"/>
          </w:tcPr>
          <w:p>
            <w:pPr>
              <w:jc w:val="center"/>
              <w:rPr>
                <w:rFonts w:ascii="宋体" w:hAnsi="宋体" w:cs="宋体"/>
                <w:color w:val="000000" w:themeColor="text1"/>
                <w:sz w:val="22"/>
                <w:szCs w:val="22"/>
              </w:rPr>
            </w:pPr>
            <w:r>
              <w:rPr>
                <w:rFonts w:hint="eastAsia"/>
                <w:color w:val="000000" w:themeColor="text1"/>
                <w:sz w:val="22"/>
                <w:szCs w:val="22"/>
              </w:rPr>
              <w:t>86型</w:t>
            </w:r>
          </w:p>
        </w:tc>
        <w:tc>
          <w:tcPr>
            <w:tcW w:w="5528" w:type="dxa"/>
            <w:vAlign w:val="center"/>
          </w:tcPr>
          <w:p>
            <w:pPr>
              <w:jc w:val="center"/>
              <w:rPr>
                <w:rFonts w:ascii="宋体" w:hAnsi="宋体" w:cs="宋体"/>
                <w:color w:val="000000" w:themeColor="text1"/>
                <w:sz w:val="18"/>
                <w:szCs w:val="22"/>
              </w:rPr>
            </w:pPr>
            <w:r>
              <w:rPr>
                <w:rFonts w:hint="eastAsia"/>
                <w:color w:val="000000" w:themeColor="text1"/>
                <w:sz w:val="18"/>
                <w:szCs w:val="22"/>
              </w:rPr>
              <w:t>86型单开双控G07</w:t>
            </w:r>
          </w:p>
        </w:tc>
        <w:tc>
          <w:tcPr>
            <w:tcW w:w="560" w:type="dxa"/>
            <w:vAlign w:val="center"/>
          </w:tcPr>
          <w:p>
            <w:pPr>
              <w:jc w:val="center"/>
              <w:rPr>
                <w:rFonts w:ascii="宋体" w:hAnsi="宋体" w:cs="宋体"/>
                <w:color w:val="000000" w:themeColor="text1"/>
                <w:sz w:val="22"/>
                <w:szCs w:val="22"/>
              </w:rPr>
            </w:pPr>
            <w:r>
              <w:rPr>
                <w:rFonts w:hint="eastAsia"/>
                <w:color w:val="000000" w:themeColor="text1"/>
                <w:sz w:val="22"/>
                <w:szCs w:val="22"/>
              </w:rPr>
              <w:t>只</w:t>
            </w:r>
          </w:p>
        </w:tc>
        <w:tc>
          <w:tcPr>
            <w:tcW w:w="674" w:type="dxa"/>
            <w:vAlign w:val="center"/>
          </w:tcPr>
          <w:p>
            <w:pPr>
              <w:jc w:val="center"/>
              <w:rPr>
                <w:rFonts w:ascii="宋体" w:hAnsi="宋体" w:cs="宋体"/>
                <w:color w:val="000000" w:themeColor="text1"/>
                <w:sz w:val="22"/>
                <w:szCs w:val="22"/>
              </w:rPr>
            </w:pPr>
            <w:r>
              <w:rPr>
                <w:rFonts w:hint="eastAsia"/>
                <w:color w:val="000000" w:themeColor="text1"/>
                <w:sz w:val="22"/>
                <w:szCs w:val="22"/>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80</w:t>
            </w:r>
          </w:p>
        </w:tc>
        <w:tc>
          <w:tcPr>
            <w:tcW w:w="2124" w:type="dxa"/>
            <w:shd w:val="clear" w:color="000000" w:fill="FFFFFF"/>
            <w:vAlign w:val="center"/>
          </w:tcPr>
          <w:p>
            <w:pPr>
              <w:jc w:val="center"/>
              <w:rPr>
                <w:rFonts w:ascii="宋体" w:hAnsi="宋体" w:cs="宋体"/>
                <w:color w:val="000000" w:themeColor="text1"/>
                <w:sz w:val="22"/>
                <w:szCs w:val="22"/>
              </w:rPr>
            </w:pPr>
            <w:r>
              <w:rPr>
                <w:rFonts w:hint="eastAsia"/>
                <w:color w:val="000000" w:themeColor="text1"/>
                <w:sz w:val="22"/>
                <w:szCs w:val="22"/>
              </w:rPr>
              <w:t>pvc线槽</w:t>
            </w:r>
          </w:p>
        </w:tc>
        <w:tc>
          <w:tcPr>
            <w:tcW w:w="5528" w:type="dxa"/>
            <w:vAlign w:val="center"/>
          </w:tcPr>
          <w:p>
            <w:pPr>
              <w:jc w:val="center"/>
              <w:rPr>
                <w:rFonts w:ascii="宋体" w:hAnsi="宋体" w:cs="宋体"/>
                <w:color w:val="000000" w:themeColor="text1"/>
                <w:sz w:val="18"/>
                <w:szCs w:val="22"/>
              </w:rPr>
            </w:pPr>
            <w:r>
              <w:rPr>
                <w:rFonts w:hint="eastAsia"/>
                <w:color w:val="000000" w:themeColor="text1"/>
                <w:sz w:val="18"/>
                <w:szCs w:val="22"/>
              </w:rPr>
              <w:t>全新白料特厚pvc线槽</w:t>
            </w:r>
          </w:p>
        </w:tc>
        <w:tc>
          <w:tcPr>
            <w:tcW w:w="560" w:type="dxa"/>
            <w:vAlign w:val="center"/>
          </w:tcPr>
          <w:p>
            <w:pPr>
              <w:jc w:val="center"/>
              <w:rPr>
                <w:rFonts w:ascii="宋体" w:hAnsi="宋体" w:cs="宋体"/>
                <w:color w:val="000000" w:themeColor="text1"/>
                <w:sz w:val="22"/>
                <w:szCs w:val="22"/>
              </w:rPr>
            </w:pPr>
            <w:r>
              <w:rPr>
                <w:rFonts w:hint="eastAsia"/>
                <w:color w:val="000000" w:themeColor="text1"/>
                <w:sz w:val="22"/>
                <w:szCs w:val="22"/>
              </w:rPr>
              <w:t>米</w:t>
            </w:r>
          </w:p>
        </w:tc>
        <w:tc>
          <w:tcPr>
            <w:tcW w:w="674" w:type="dxa"/>
            <w:vAlign w:val="center"/>
          </w:tcPr>
          <w:p>
            <w:pPr>
              <w:jc w:val="center"/>
              <w:rPr>
                <w:rFonts w:ascii="宋体" w:hAnsi="宋体" w:cs="宋体"/>
                <w:color w:val="000000" w:themeColor="text1"/>
                <w:sz w:val="22"/>
                <w:szCs w:val="22"/>
              </w:rPr>
            </w:pPr>
            <w:r>
              <w:rPr>
                <w:rFonts w:hint="eastAsia"/>
                <w:color w:val="000000" w:themeColor="text1"/>
                <w:sz w:val="22"/>
                <w:szCs w:val="22"/>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81</w:t>
            </w:r>
          </w:p>
        </w:tc>
        <w:tc>
          <w:tcPr>
            <w:tcW w:w="2124" w:type="dxa"/>
            <w:shd w:val="clear" w:color="000000" w:fill="FFFFFF"/>
            <w:vAlign w:val="center"/>
          </w:tcPr>
          <w:p>
            <w:pPr>
              <w:jc w:val="center"/>
              <w:rPr>
                <w:rFonts w:ascii="宋体" w:hAnsi="宋体" w:cs="宋体"/>
                <w:color w:val="000000" w:themeColor="text1"/>
                <w:sz w:val="22"/>
                <w:szCs w:val="22"/>
              </w:rPr>
            </w:pPr>
            <w:r>
              <w:rPr>
                <w:rFonts w:hint="eastAsia"/>
                <w:color w:val="000000" w:themeColor="text1"/>
                <w:sz w:val="22"/>
                <w:szCs w:val="22"/>
              </w:rPr>
              <w:t>护套线</w:t>
            </w:r>
          </w:p>
        </w:tc>
        <w:tc>
          <w:tcPr>
            <w:tcW w:w="5528" w:type="dxa"/>
            <w:vAlign w:val="center"/>
          </w:tcPr>
          <w:p>
            <w:pPr>
              <w:jc w:val="center"/>
              <w:rPr>
                <w:rFonts w:ascii="宋体" w:hAnsi="宋体" w:cs="宋体"/>
                <w:color w:val="000000" w:themeColor="text1"/>
                <w:sz w:val="18"/>
                <w:szCs w:val="22"/>
              </w:rPr>
            </w:pPr>
            <w:r>
              <w:rPr>
                <w:rFonts w:hint="eastAsia"/>
                <w:color w:val="000000" w:themeColor="text1"/>
                <w:sz w:val="18"/>
                <w:szCs w:val="22"/>
              </w:rPr>
              <w:t>无氧铜BVVB2*1.0</w:t>
            </w:r>
          </w:p>
        </w:tc>
        <w:tc>
          <w:tcPr>
            <w:tcW w:w="560" w:type="dxa"/>
            <w:vAlign w:val="center"/>
          </w:tcPr>
          <w:p>
            <w:pPr>
              <w:jc w:val="center"/>
              <w:rPr>
                <w:rFonts w:ascii="宋体" w:hAnsi="宋体" w:cs="宋体"/>
                <w:color w:val="000000" w:themeColor="text1"/>
                <w:sz w:val="22"/>
                <w:szCs w:val="22"/>
              </w:rPr>
            </w:pPr>
            <w:r>
              <w:rPr>
                <w:rFonts w:hint="eastAsia"/>
                <w:color w:val="000000" w:themeColor="text1"/>
                <w:sz w:val="22"/>
                <w:szCs w:val="22"/>
              </w:rPr>
              <w:t>米</w:t>
            </w:r>
          </w:p>
        </w:tc>
        <w:tc>
          <w:tcPr>
            <w:tcW w:w="674" w:type="dxa"/>
            <w:vAlign w:val="center"/>
          </w:tcPr>
          <w:p>
            <w:pPr>
              <w:jc w:val="center"/>
              <w:rPr>
                <w:rFonts w:ascii="宋体" w:hAnsi="宋体" w:cs="宋体"/>
                <w:color w:val="000000" w:themeColor="text1"/>
                <w:sz w:val="22"/>
                <w:szCs w:val="22"/>
              </w:rPr>
            </w:pPr>
            <w:r>
              <w:rPr>
                <w:rFonts w:hint="eastAsia"/>
                <w:color w:val="000000" w:themeColor="text1"/>
                <w:sz w:val="22"/>
                <w:szCs w:val="22"/>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560" w:type="dxa"/>
            <w:shd w:val="clear" w:color="auto" w:fill="auto"/>
            <w:vAlign w:val="center"/>
          </w:tcPr>
          <w:p>
            <w:pPr>
              <w:widowControl/>
              <w:jc w:val="center"/>
              <w:rPr>
                <w:rFonts w:ascii="宋体" w:hAnsi="宋体" w:cs="宋体"/>
                <w:color w:val="000000" w:themeColor="text1"/>
                <w:kern w:val="0"/>
                <w:sz w:val="20"/>
                <w:szCs w:val="20"/>
              </w:rPr>
            </w:pPr>
            <w:r>
              <w:rPr>
                <w:rFonts w:hint="eastAsia" w:ascii="宋体" w:hAnsi="宋体" w:cs="宋体"/>
                <w:color w:val="000000" w:themeColor="text1"/>
                <w:kern w:val="0"/>
                <w:sz w:val="20"/>
                <w:szCs w:val="20"/>
              </w:rPr>
              <w:t>82</w:t>
            </w:r>
          </w:p>
        </w:tc>
        <w:tc>
          <w:tcPr>
            <w:tcW w:w="2124" w:type="dxa"/>
            <w:shd w:val="clear" w:color="000000" w:fill="FFFFFF"/>
            <w:vAlign w:val="center"/>
          </w:tcPr>
          <w:p>
            <w:pPr>
              <w:jc w:val="center"/>
              <w:rPr>
                <w:rFonts w:ascii="宋体" w:hAnsi="宋体" w:cs="宋体"/>
                <w:color w:val="000000" w:themeColor="text1"/>
                <w:sz w:val="22"/>
                <w:szCs w:val="22"/>
              </w:rPr>
            </w:pPr>
            <w:r>
              <w:rPr>
                <w:rFonts w:hint="eastAsia"/>
                <w:color w:val="000000" w:themeColor="text1"/>
                <w:sz w:val="22"/>
                <w:szCs w:val="22"/>
              </w:rPr>
              <w:t>附件</w:t>
            </w:r>
          </w:p>
        </w:tc>
        <w:tc>
          <w:tcPr>
            <w:tcW w:w="5528" w:type="dxa"/>
            <w:vAlign w:val="center"/>
          </w:tcPr>
          <w:p>
            <w:pPr>
              <w:jc w:val="center"/>
              <w:rPr>
                <w:rFonts w:ascii="宋体" w:hAnsi="宋体" w:cs="宋体"/>
                <w:color w:val="000000" w:themeColor="text1"/>
                <w:sz w:val="18"/>
                <w:szCs w:val="22"/>
              </w:rPr>
            </w:pPr>
            <w:r>
              <w:rPr>
                <w:rFonts w:hint="eastAsia"/>
                <w:color w:val="000000" w:themeColor="text1"/>
                <w:sz w:val="18"/>
                <w:szCs w:val="22"/>
              </w:rPr>
              <w:t>防水标签、水泥钉、塑料膨胀及螺丝、胶布等附件、包含安装费用。</w:t>
            </w:r>
          </w:p>
        </w:tc>
        <w:tc>
          <w:tcPr>
            <w:tcW w:w="560" w:type="dxa"/>
            <w:vAlign w:val="center"/>
          </w:tcPr>
          <w:p>
            <w:pPr>
              <w:jc w:val="center"/>
              <w:rPr>
                <w:rFonts w:ascii="宋体" w:hAnsi="宋体" w:cs="宋体"/>
                <w:color w:val="000000" w:themeColor="text1"/>
                <w:sz w:val="22"/>
                <w:szCs w:val="22"/>
              </w:rPr>
            </w:pPr>
            <w:r>
              <w:rPr>
                <w:rFonts w:hint="eastAsia"/>
                <w:color w:val="000000" w:themeColor="text1"/>
                <w:sz w:val="22"/>
                <w:szCs w:val="22"/>
              </w:rPr>
              <w:t>批</w:t>
            </w:r>
          </w:p>
        </w:tc>
        <w:tc>
          <w:tcPr>
            <w:tcW w:w="674" w:type="dxa"/>
            <w:vAlign w:val="center"/>
          </w:tcPr>
          <w:p>
            <w:pPr>
              <w:jc w:val="center"/>
              <w:rPr>
                <w:rFonts w:ascii="宋体" w:hAnsi="宋体" w:cs="宋体"/>
                <w:color w:val="000000" w:themeColor="text1"/>
                <w:sz w:val="22"/>
                <w:szCs w:val="22"/>
              </w:rPr>
            </w:pPr>
            <w:r>
              <w:rPr>
                <w:rFonts w:hint="eastAsia"/>
                <w:color w:val="000000" w:themeColor="text1"/>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trPr>
        <w:tc>
          <w:tcPr>
            <w:tcW w:w="2684" w:type="dxa"/>
            <w:gridSpan w:val="2"/>
          </w:tcPr>
          <w:p>
            <w:pPr>
              <w:jc w:val="center"/>
              <w:rPr>
                <w:color w:val="000000" w:themeColor="text1"/>
                <w:sz w:val="22"/>
                <w:szCs w:val="22"/>
              </w:rPr>
            </w:pPr>
            <w:r>
              <w:rPr>
                <w:rFonts w:hint="eastAsia"/>
                <w:color w:val="000000" w:themeColor="text1"/>
                <w:sz w:val="22"/>
                <w:szCs w:val="22"/>
              </w:rPr>
              <w:t>说明</w:t>
            </w:r>
          </w:p>
        </w:tc>
        <w:tc>
          <w:tcPr>
            <w:tcW w:w="5528" w:type="dxa"/>
            <w:vAlign w:val="center"/>
          </w:tcPr>
          <w:p>
            <w:pPr>
              <w:jc w:val="center"/>
              <w:rPr>
                <w:color w:val="000000" w:themeColor="text1"/>
                <w:sz w:val="18"/>
                <w:szCs w:val="22"/>
              </w:rPr>
            </w:pPr>
            <w:r>
              <w:rPr>
                <w:rFonts w:hint="eastAsia"/>
                <w:color w:val="000000" w:themeColor="text1"/>
                <w:sz w:val="18"/>
                <w:szCs w:val="22"/>
              </w:rPr>
              <w:t>科技楼五楼一共有13个教室，每个教室安装有广播音箱，每个广播音箱需要增加开关控制，开关安装在广播音箱下方，高度大约2.5米，开关上需要用防水标签贴"开"与"关"的明显标记</w:t>
            </w:r>
          </w:p>
        </w:tc>
        <w:tc>
          <w:tcPr>
            <w:tcW w:w="560" w:type="dxa"/>
            <w:vAlign w:val="center"/>
          </w:tcPr>
          <w:p>
            <w:pPr>
              <w:jc w:val="center"/>
              <w:rPr>
                <w:color w:val="000000" w:themeColor="text1"/>
                <w:sz w:val="22"/>
                <w:szCs w:val="22"/>
              </w:rPr>
            </w:pPr>
          </w:p>
        </w:tc>
        <w:tc>
          <w:tcPr>
            <w:tcW w:w="674" w:type="dxa"/>
            <w:vAlign w:val="center"/>
          </w:tcPr>
          <w:p>
            <w:pPr>
              <w:jc w:val="center"/>
              <w:rPr>
                <w:color w:val="000000" w:themeColor="text1"/>
                <w:sz w:val="22"/>
                <w:szCs w:val="22"/>
              </w:rPr>
            </w:pPr>
          </w:p>
        </w:tc>
      </w:tr>
    </w:tbl>
    <w:p>
      <w:pPr>
        <w:ind w:firstLine="352" w:firstLineChars="147"/>
        <w:jc w:val="left"/>
        <w:rPr>
          <w:rFonts w:ascii="宋体" w:hAnsi="宋体" w:cs="宋体"/>
          <w:color w:val="000000" w:themeColor="text1"/>
          <w:sz w:val="24"/>
        </w:rPr>
      </w:pPr>
    </w:p>
    <w:p>
      <w:pPr>
        <w:ind w:firstLine="361" w:firstLineChars="150"/>
        <w:rPr>
          <w:rFonts w:ascii="FangSong_GB2312" w:hAnsi="黑体" w:eastAsia="FangSong_GB2312" w:cs="宋体"/>
          <w:b/>
          <w:color w:val="000000" w:themeColor="text1"/>
          <w:sz w:val="24"/>
        </w:rPr>
      </w:pPr>
      <w:r>
        <w:rPr>
          <w:rFonts w:hint="eastAsia" w:ascii="FangSong_GB2312" w:hAnsi="黑体" w:eastAsia="FangSong_GB2312" w:cs="宋体"/>
          <w:b/>
          <w:color w:val="000000" w:themeColor="text1"/>
          <w:sz w:val="24"/>
        </w:rPr>
        <w:t>注：投标方所投设备安装和服务必须按照招标文件要求，把整个系统集成后成为一个系统平台。本项目的所有软、硬件(如线缆、软件、硬件模块等，包括未列出而系统实施又必需的软件、硬件)需配齐以构成一套完整实用系统，如有任何遗漏，由中标人补齐。</w:t>
      </w:r>
    </w:p>
    <w:p>
      <w:pPr>
        <w:jc w:val="center"/>
        <w:rPr>
          <w:color w:val="000000" w:themeColor="text1"/>
          <w:szCs w:val="21"/>
        </w:rPr>
      </w:pPr>
    </w:p>
    <w:p>
      <w:pPr>
        <w:numPr>
          <w:ilvl w:val="0"/>
          <w:numId w:val="14"/>
        </w:numPr>
        <w:rPr>
          <w:color w:val="000000" w:themeColor="text1"/>
          <w:szCs w:val="21"/>
        </w:rPr>
      </w:pPr>
      <w:r>
        <w:rPr>
          <w:rFonts w:hint="eastAsia" w:ascii="宋体" w:hAnsi="宋体" w:cs="宋体"/>
          <w:color w:val="000000" w:themeColor="text1"/>
          <w:kern w:val="0"/>
          <w:szCs w:val="21"/>
        </w:rPr>
        <w:t>86寸智能交互平板</w:t>
      </w:r>
    </w:p>
    <w:p>
      <w:pPr>
        <w:rPr>
          <w:color w:val="000000" w:themeColor="text1"/>
          <w:szCs w:val="21"/>
        </w:rPr>
      </w:pPr>
    </w:p>
    <w:tbl>
      <w:tblPr>
        <w:tblStyle w:val="36"/>
        <w:tblW w:w="9464"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036"/>
        <w:gridCol w:w="742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036" w:type="dxa"/>
            <w:vAlign w:val="center"/>
          </w:tcPr>
          <w:p>
            <w:pPr>
              <w:jc w:val="center"/>
              <w:rPr>
                <w:rFonts w:ascii="Calibri" w:hAnsi="Calibri"/>
                <w:color w:val="000000" w:themeColor="text1"/>
                <w:szCs w:val="21"/>
              </w:rPr>
            </w:pPr>
            <w:r>
              <w:rPr>
                <w:rFonts w:hint="eastAsia" w:ascii="Calibri" w:hAnsi="Calibri"/>
                <w:color w:val="000000" w:themeColor="text1"/>
                <w:szCs w:val="21"/>
              </w:rPr>
              <w:t>项目</w:t>
            </w:r>
          </w:p>
        </w:tc>
        <w:tc>
          <w:tcPr>
            <w:tcW w:w="7428" w:type="dxa"/>
          </w:tcPr>
          <w:p>
            <w:pPr>
              <w:spacing w:line="280" w:lineRule="exact"/>
              <w:jc w:val="center"/>
              <w:rPr>
                <w:rFonts w:ascii="Calibri" w:hAnsi="Calibri"/>
                <w:color w:val="000000" w:themeColor="text1"/>
                <w:szCs w:val="21"/>
              </w:rPr>
            </w:pPr>
            <w:r>
              <w:rPr>
                <w:rFonts w:hint="eastAsia" w:ascii="Calibri" w:hAnsi="Calibri"/>
                <w:color w:val="000000" w:themeColor="text1"/>
                <w:szCs w:val="21"/>
              </w:rPr>
              <w:t>参数要求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036" w:type="dxa"/>
            <w:vAlign w:val="center"/>
          </w:tcPr>
          <w:p>
            <w:pPr>
              <w:jc w:val="center"/>
              <w:rPr>
                <w:rFonts w:ascii="Calibri" w:hAnsi="Calibri"/>
                <w:color w:val="000000" w:themeColor="text1"/>
                <w:szCs w:val="21"/>
              </w:rPr>
            </w:pPr>
            <w:r>
              <w:rPr>
                <w:rFonts w:hint="eastAsia" w:ascii="Calibri" w:hAnsi="Calibri"/>
                <w:color w:val="000000" w:themeColor="text1"/>
                <w:szCs w:val="21"/>
              </w:rPr>
              <w:t>整体设计</w:t>
            </w:r>
          </w:p>
        </w:tc>
        <w:tc>
          <w:tcPr>
            <w:tcW w:w="7428" w:type="dxa"/>
          </w:tcPr>
          <w:p>
            <w:pPr>
              <w:numPr>
                <w:ilvl w:val="0"/>
                <w:numId w:val="12"/>
              </w:numPr>
              <w:rPr>
                <w:rFonts w:ascii="宋体" w:hAnsi="宋体" w:cs="宋体"/>
                <w:color w:val="000000" w:themeColor="text1"/>
              </w:rPr>
            </w:pPr>
            <w:r>
              <w:rPr>
                <w:rFonts w:hint="eastAsia" w:ascii="宋体" w:hAnsi="宋体" w:cs="宋体"/>
                <w:color w:val="000000" w:themeColor="text1"/>
              </w:rPr>
              <w:t>整机采用一体设计，外部无任何可见内部功能模块连接线。整机采用全金属外壳设计，边角采用弧形设计，表面无尖锐边缘或凸起。</w:t>
            </w:r>
          </w:p>
          <w:p>
            <w:pPr>
              <w:numPr>
                <w:ilvl w:val="0"/>
                <w:numId w:val="12"/>
              </w:numPr>
              <w:rPr>
                <w:rFonts w:ascii="宋体" w:hAnsi="宋体" w:cs="宋体"/>
                <w:color w:val="000000" w:themeColor="text1"/>
              </w:rPr>
            </w:pPr>
            <w:r>
              <w:rPr>
                <w:rFonts w:hint="eastAsia" w:ascii="宋体" w:hAnsi="宋体" w:cs="宋体"/>
                <w:color w:val="000000" w:themeColor="text1"/>
              </w:rPr>
              <w:t>整机屏幕边缘采用金属圆角包边防护，整机背板采用金属材质，有效屏蔽内部电路器件辐射；防潮耐盐雾蚀锈，适应多种教学环境。</w:t>
            </w:r>
          </w:p>
          <w:p>
            <w:pPr>
              <w:numPr>
                <w:ilvl w:val="0"/>
                <w:numId w:val="12"/>
              </w:numPr>
              <w:rPr>
                <w:rFonts w:ascii="宋体" w:hAnsi="宋体" w:cs="宋体"/>
                <w:color w:val="000000" w:themeColor="text1"/>
              </w:rPr>
            </w:pPr>
            <w:r>
              <w:rPr>
                <w:rFonts w:hint="eastAsia" w:ascii="宋体" w:hAnsi="宋体" w:cs="宋体"/>
                <w:color w:val="000000" w:themeColor="text1"/>
              </w:rPr>
              <w:t>整机屏幕采用65/75/86英寸液晶显示器。</w:t>
            </w:r>
          </w:p>
          <w:p>
            <w:pPr>
              <w:numPr>
                <w:ilvl w:val="0"/>
                <w:numId w:val="12"/>
              </w:numPr>
              <w:rPr>
                <w:rFonts w:ascii="宋体" w:hAnsi="宋体" w:cs="宋体"/>
                <w:color w:val="000000" w:themeColor="text1"/>
              </w:rPr>
            </w:pPr>
            <w:r>
              <w:rPr>
                <w:rFonts w:hint="eastAsia" w:ascii="宋体" w:hAnsi="宋体" w:cs="宋体"/>
                <w:color w:val="000000" w:themeColor="text1"/>
              </w:rPr>
              <w:t>整机采用UHD超高清LED液晶屏，显示比例16:9，分辨率3840*2160。</w:t>
            </w:r>
          </w:p>
          <w:p>
            <w:pPr>
              <w:numPr>
                <w:ilvl w:val="0"/>
                <w:numId w:val="12"/>
              </w:numPr>
              <w:rPr>
                <w:rFonts w:ascii="宋体" w:hAnsi="宋体" w:cs="宋体"/>
                <w:color w:val="000000" w:themeColor="text1"/>
              </w:rPr>
            </w:pPr>
            <w:r>
              <w:rPr>
                <w:rFonts w:hint="eastAsia" w:ascii="宋体" w:hAnsi="宋体" w:cs="宋体"/>
                <w:color w:val="000000" w:themeColor="text1"/>
              </w:rPr>
              <w:t>灰度等级≥256级。</w:t>
            </w:r>
          </w:p>
          <w:p>
            <w:pPr>
              <w:numPr>
                <w:ilvl w:val="0"/>
                <w:numId w:val="12"/>
              </w:numPr>
              <w:rPr>
                <w:rFonts w:ascii="宋体" w:hAnsi="宋体" w:cs="宋体"/>
                <w:color w:val="000000" w:themeColor="text1"/>
              </w:rPr>
            </w:pPr>
            <w:r>
              <w:rPr>
                <w:rFonts w:hint="eastAsia" w:ascii="宋体" w:hAnsi="宋体" w:cs="宋体"/>
                <w:color w:val="000000" w:themeColor="text1"/>
              </w:rPr>
              <w:t>采用钢化玻璃，表面硬度≥9H。（提供国家认可的具备CMA认证的检测机构所出具的权威检测报告复印件并加盖厂家公章）</w:t>
            </w:r>
          </w:p>
          <w:p>
            <w:pPr>
              <w:numPr>
                <w:ilvl w:val="0"/>
                <w:numId w:val="12"/>
              </w:numPr>
              <w:rPr>
                <w:rFonts w:ascii="宋体" w:hAnsi="宋体" w:cs="宋体"/>
                <w:color w:val="000000" w:themeColor="text1"/>
              </w:rPr>
            </w:pPr>
            <w:r>
              <w:rPr>
                <w:rFonts w:hint="eastAsia" w:ascii="宋体" w:hAnsi="宋体" w:cs="宋体"/>
                <w:color w:val="000000" w:themeColor="text1"/>
              </w:rPr>
              <w:t>玻璃表面采用纳米材料镀膜环保工艺，书写更加顺滑，防眩光效果更加优异。</w:t>
            </w:r>
          </w:p>
          <w:p>
            <w:pPr>
              <w:numPr>
                <w:ilvl w:val="0"/>
                <w:numId w:val="12"/>
              </w:numPr>
              <w:rPr>
                <w:rFonts w:ascii="Calibri" w:hAnsi="Calibri"/>
                <w:color w:val="000000" w:themeColor="text1"/>
                <w:szCs w:val="21"/>
              </w:rPr>
            </w:pPr>
            <w:r>
              <w:rPr>
                <w:rFonts w:hint="eastAsia" w:ascii="宋体" w:hAnsi="宋体" w:cs="宋体"/>
                <w:color w:val="000000" w:themeColor="text1"/>
              </w:rPr>
              <w:t>整机采用硬件低蓝光背光技术，在源头减少有害蓝光波段能量，蓝光占比（有害蓝光415～455nm能量综合）/（整体蓝光400～500能量综合）＜50%，低蓝光保护显示不偏色、不泛黄，还原真实教学色彩的同时有效降低蓝光。（提供国家认可的具备CMA认证的检测机构所出具的权威检测报告复印件并加盖厂家公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036" w:type="dxa"/>
            <w:vAlign w:val="center"/>
          </w:tcPr>
          <w:p>
            <w:pPr>
              <w:jc w:val="center"/>
              <w:rPr>
                <w:rFonts w:ascii="Calibri" w:hAnsi="Calibri"/>
                <w:color w:val="000000" w:themeColor="text1"/>
                <w:szCs w:val="21"/>
              </w:rPr>
            </w:pPr>
            <w:r>
              <w:rPr>
                <w:rFonts w:hint="eastAsia" w:ascii="Calibri" w:hAnsi="Calibri"/>
                <w:color w:val="000000" w:themeColor="text1"/>
                <w:szCs w:val="21"/>
              </w:rPr>
              <w:t>整机设计</w:t>
            </w:r>
          </w:p>
        </w:tc>
        <w:tc>
          <w:tcPr>
            <w:tcW w:w="7428" w:type="dxa"/>
            <w:vAlign w:val="center"/>
          </w:tcPr>
          <w:p>
            <w:pPr>
              <w:numPr>
                <w:ilvl w:val="0"/>
                <w:numId w:val="12"/>
              </w:numPr>
              <w:rPr>
                <w:rFonts w:ascii="宋体" w:hAnsi="宋体"/>
                <w:color w:val="000000" w:themeColor="text1"/>
                <w:szCs w:val="21"/>
              </w:rPr>
            </w:pPr>
            <w:r>
              <w:rPr>
                <w:rFonts w:hint="eastAsia" w:ascii="宋体" w:hAnsi="宋体"/>
                <w:color w:val="000000" w:themeColor="text1"/>
                <w:szCs w:val="21"/>
              </w:rPr>
              <w:t>整机内置2.2声道扬声器，位于设备上边框，顶置朝前发声，前朝向10W高音扬声器2个，上朝向20W中低音扬声器2个，额定总功率60W。（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整机支持高级音效设置、左右声道平衡、可根据实际需要设置不同频段调节功能，以满足不同课程授课声音还原需求。</w:t>
            </w:r>
          </w:p>
          <w:p>
            <w:pPr>
              <w:numPr>
                <w:ilvl w:val="0"/>
                <w:numId w:val="12"/>
              </w:numPr>
              <w:rPr>
                <w:rFonts w:ascii="宋体" w:hAnsi="宋体"/>
                <w:color w:val="000000" w:themeColor="text1"/>
                <w:szCs w:val="21"/>
              </w:rPr>
            </w:pPr>
            <w:r>
              <w:rPr>
                <w:rFonts w:hint="eastAsia" w:ascii="宋体" w:hAnsi="宋体"/>
                <w:color w:val="000000" w:themeColor="text1"/>
                <w:szCs w:val="21"/>
              </w:rPr>
              <w:t>整机内置非独立外扩展的4阵列麦克风，可用于对教室环境音频进行采集，拾音距离≥12m。（提供国家认可的具备CMA认证的检测机构所出具的权威检测报告复印件并加盖厂家公章）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整机扬声器在100%音量下，可做到1米处声压级≥88db，10米处声压级≥73dB，能够有效保障教室后排学生听觉感受</w:t>
            </w:r>
            <w:r>
              <w:rPr>
                <w:rFonts w:hint="eastAsia" w:ascii="宋体" w:hAnsi="宋体" w:cs="宋体"/>
                <w:color w:val="000000" w:themeColor="text1"/>
              </w:rPr>
              <w:t>。</w:t>
            </w:r>
            <w:r>
              <w:rPr>
                <w:rFonts w:hint="eastAsia" w:ascii="宋体" w:hAnsi="宋体"/>
                <w:color w:val="000000" w:themeColor="text1"/>
                <w:szCs w:val="21"/>
              </w:rPr>
              <w:t>（提供国家认可的具备CMA认证的检测机构所出具的权威检测报告复印件并加盖厂家公章）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ascii="宋体" w:hAnsi="宋体"/>
                <w:color w:val="000000" w:themeColor="text1"/>
                <w:szCs w:val="21"/>
              </w:rPr>
              <w:t>整机无需外接无线网卡，在Windows系统下可实现Wi-Fi无线上网连接、AP无线热点发射和BT蓝牙连接功能。</w:t>
            </w:r>
          </w:p>
          <w:p>
            <w:pPr>
              <w:numPr>
                <w:ilvl w:val="0"/>
                <w:numId w:val="12"/>
              </w:numPr>
              <w:rPr>
                <w:rFonts w:ascii="宋体" w:hAnsi="宋体"/>
                <w:color w:val="000000" w:themeColor="text1"/>
                <w:szCs w:val="21"/>
              </w:rPr>
            </w:pPr>
            <w:r>
              <w:rPr>
                <w:rFonts w:ascii="宋体" w:hAnsi="宋体"/>
                <w:color w:val="000000" w:themeColor="text1"/>
                <w:szCs w:val="21"/>
              </w:rPr>
              <w:t>Wi-Fi和AP热点工作距离≥12m。</w:t>
            </w:r>
          </w:p>
          <w:p>
            <w:pPr>
              <w:numPr>
                <w:ilvl w:val="0"/>
                <w:numId w:val="12"/>
              </w:numPr>
              <w:rPr>
                <w:rFonts w:ascii="宋体" w:hAnsi="宋体"/>
                <w:color w:val="000000" w:themeColor="text1"/>
                <w:szCs w:val="21"/>
              </w:rPr>
            </w:pPr>
            <w:r>
              <w:rPr>
                <w:rFonts w:ascii="宋体" w:hAnsi="宋体"/>
                <w:color w:val="000000" w:themeColor="text1"/>
                <w:szCs w:val="21"/>
              </w:rPr>
              <w:t>整机支持搭配具有NFC功能的手机、平板，通过接触NFC标签，接触即可实现手机与大屏的连接并同步画面，无需其它操作设置，支持不少于4台手机、平板同时连接并显示</w:t>
            </w:r>
            <w:r>
              <w:rPr>
                <w:rFonts w:hint="eastAsia" w:ascii="宋体" w:hAnsi="宋体" w:cs="宋体"/>
                <w:color w:val="000000" w:themeColor="text1"/>
              </w:rPr>
              <w:t>。</w:t>
            </w:r>
            <w:r>
              <w:rPr>
                <w:rFonts w:ascii="宋体" w:hAnsi="宋体"/>
                <w:color w:val="000000" w:themeColor="text1"/>
                <w:szCs w:val="21"/>
              </w:rPr>
              <w:t>（提供国家认可的具备CMA认证的检测机构所出具的权威检测报告复印件并加盖厂家公章）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ascii="宋体" w:hAnsi="宋体"/>
                <w:color w:val="000000" w:themeColor="text1"/>
                <w:szCs w:val="21"/>
              </w:rPr>
              <w:t>★整机支持蓝牙Bluetooth 5.2标准（提供国家认可的具备CMA认证的检测机构所出具的权威检测报告复印件并加盖厂家公章）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ascii="宋体" w:hAnsi="宋体"/>
                <w:color w:val="000000" w:themeColor="text1"/>
                <w:szCs w:val="21"/>
              </w:rPr>
              <w:t>整机支持主动发现蓝牙外设从而连接（无需整机进入发现模式），支持连接外部蓝牙音箱播放音频。（提供国家认可的具备CMA认证的检测机构所出具的权威检测报告复印件并加盖厂家公章）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ascii="宋体" w:hAnsi="宋体"/>
                <w:color w:val="000000" w:themeColor="text1"/>
                <w:szCs w:val="21"/>
              </w:rPr>
              <w:t>整机无需外接无线网卡，在Windows系统下接入无线网络，切换到嵌入式Android系统下可直接实现无线上网功能，不需手动重复设置。（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ascii="宋体" w:hAnsi="宋体"/>
                <w:color w:val="000000" w:themeColor="text1"/>
                <w:szCs w:val="21"/>
              </w:rPr>
              <w:t>★Wi-Fi及AP热点支持频段2.4GHz/5GHz ，Wi-Fi及AP热点版本802.11 a/b/g/n/ac/ax；支持Wi-Fi6</w:t>
            </w:r>
            <w:r>
              <w:rPr>
                <w:rFonts w:hint="eastAsia" w:ascii="宋体" w:hAnsi="宋体"/>
                <w:color w:val="000000" w:themeColor="text1"/>
                <w:szCs w:val="21"/>
              </w:rPr>
              <w:t>，提升传输速率的同时可接入更多设备。</w:t>
            </w:r>
            <w:r>
              <w:rPr>
                <w:rFonts w:ascii="宋体" w:hAnsi="宋体"/>
                <w:color w:val="000000" w:themeColor="text1"/>
                <w:szCs w:val="21"/>
              </w:rPr>
              <w:t>（提供国家认可的具备CMA认证的检测机构所出具的权威检测报告复印件并加盖厂家公章）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三合一电源按键，同一电源物理按键完成Android系统和Windows系统的开机、节能熄屏、关机操作；关机状态下按按键开机；开机状态下按按键实现节能熄屏/唤醒，长按按键实现关机。</w:t>
            </w:r>
          </w:p>
          <w:p>
            <w:pPr>
              <w:numPr>
                <w:ilvl w:val="0"/>
                <w:numId w:val="12"/>
              </w:numPr>
              <w:rPr>
                <w:rFonts w:ascii="宋体" w:hAnsi="宋体"/>
                <w:color w:val="000000" w:themeColor="text1"/>
                <w:szCs w:val="21"/>
              </w:rPr>
            </w:pPr>
            <w:r>
              <w:rPr>
                <w:rFonts w:hint="eastAsia" w:ascii="宋体" w:hAnsi="宋体"/>
                <w:color w:val="000000" w:themeColor="text1"/>
                <w:szCs w:val="21"/>
              </w:rPr>
              <w:t>支持护眼模式，可通过前置面板物理功能按键一键启用护眼模式。（提供国家认可的具备CMA认证的检测机构所出具的权威检测报告复印件并加盖厂家公章）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设备支持通过前置面板物理按键一键启动录屏功能，可将屏幕中显示的课件、音频内容与老师人声同时录制。（提供国家认可的具备CMA认证的检测机构所出具的权威检测报告复印件并加盖厂家公章）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侧置输入接口具备2路HDMI、1路RS232；侧置输出接口具备1路音频、1路触控USB；前置输入接口3路USB接口（包含1路Type-C、2路USB）。</w:t>
            </w:r>
          </w:p>
          <w:p>
            <w:pPr>
              <w:numPr>
                <w:ilvl w:val="0"/>
                <w:numId w:val="12"/>
              </w:numPr>
              <w:rPr>
                <w:rFonts w:ascii="宋体" w:hAnsi="宋体"/>
                <w:color w:val="000000" w:themeColor="text1"/>
                <w:szCs w:val="21"/>
              </w:rPr>
            </w:pPr>
            <w:r>
              <w:rPr>
                <w:rFonts w:hint="eastAsia" w:ascii="宋体" w:hAnsi="宋体"/>
                <w:color w:val="000000" w:themeColor="text1"/>
                <w:szCs w:val="21"/>
              </w:rPr>
              <w:t>整机具备前置Type-C接口，通过Type-C接口实现音视频输入，外接电脑设备经双头Type-C线连接至整机，即可把外接电脑设备画面投到整机上，同时在整机上操作画面，可实现触摸电脑的操作，无需再连接触控USB线。（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采用全物理钢化玻璃，有效保护屏幕显示画面</w:t>
            </w:r>
          </w:p>
          <w:p>
            <w:pPr>
              <w:numPr>
                <w:ilvl w:val="0"/>
                <w:numId w:val="12"/>
              </w:numPr>
              <w:rPr>
                <w:rFonts w:ascii="宋体" w:hAnsi="宋体"/>
                <w:color w:val="000000" w:themeColor="text1"/>
                <w:szCs w:val="21"/>
              </w:rPr>
            </w:pPr>
            <w:r>
              <w:rPr>
                <w:rFonts w:hint="eastAsia" w:ascii="宋体" w:hAnsi="宋体"/>
                <w:color w:val="000000" w:themeColor="text1"/>
                <w:szCs w:val="21"/>
              </w:rPr>
              <w:t>玻璃表面采用纳米材料镀膜环保工艺，书写更加顺滑，防眩光效果更加优异。</w:t>
            </w:r>
          </w:p>
          <w:p>
            <w:pPr>
              <w:numPr>
                <w:ilvl w:val="0"/>
                <w:numId w:val="12"/>
              </w:numPr>
              <w:rPr>
                <w:rFonts w:ascii="宋体" w:hAnsi="宋体"/>
                <w:color w:val="000000" w:themeColor="text1"/>
                <w:szCs w:val="21"/>
              </w:rPr>
            </w:pPr>
            <w:r>
              <w:rPr>
                <w:rFonts w:hint="eastAsia" w:ascii="宋体" w:hAnsi="宋体"/>
                <w:color w:val="000000" w:themeColor="text1"/>
                <w:szCs w:val="21"/>
              </w:rPr>
              <w:t>机身具备防盐雾锈蚀特性，且满足GB4943.1-2011标准中的防火要求。</w:t>
            </w:r>
          </w:p>
          <w:p>
            <w:pPr>
              <w:numPr>
                <w:ilvl w:val="0"/>
                <w:numId w:val="12"/>
              </w:numPr>
              <w:rPr>
                <w:rFonts w:ascii="宋体" w:hAnsi="宋体"/>
                <w:color w:val="000000" w:themeColor="text1"/>
                <w:szCs w:val="21"/>
              </w:rPr>
            </w:pPr>
            <w:r>
              <w:rPr>
                <w:rFonts w:hint="eastAsia" w:ascii="宋体" w:hAnsi="宋体"/>
                <w:color w:val="000000" w:themeColor="text1"/>
                <w:szCs w:val="21"/>
              </w:rPr>
              <w:t>整机具备抗振动、防跌落特性，保证整机运输或使用过程中不易受损。</w:t>
            </w:r>
          </w:p>
          <w:p>
            <w:pPr>
              <w:numPr>
                <w:ilvl w:val="0"/>
                <w:numId w:val="12"/>
              </w:numPr>
              <w:rPr>
                <w:rFonts w:ascii="宋体" w:hAnsi="宋体"/>
                <w:color w:val="000000" w:themeColor="text1"/>
                <w:szCs w:val="21"/>
              </w:rPr>
            </w:pPr>
            <w:r>
              <w:rPr>
                <w:rFonts w:hint="eastAsia" w:ascii="宋体" w:hAnsi="宋体"/>
                <w:color w:val="000000" w:themeColor="text1"/>
                <w:szCs w:val="21"/>
              </w:rPr>
              <w:t>整机表面覆盖玻璃选用国标优等品，光学变形、点状缺陷、尺寸偏差、弯曲度、透射比等均符合GB11614-2009平板玻璃标准。</w:t>
            </w:r>
          </w:p>
          <w:p>
            <w:pPr>
              <w:numPr>
                <w:ilvl w:val="0"/>
                <w:numId w:val="12"/>
              </w:numPr>
              <w:rPr>
                <w:rFonts w:ascii="宋体" w:hAnsi="宋体"/>
                <w:color w:val="000000" w:themeColor="text1"/>
                <w:szCs w:val="21"/>
              </w:rPr>
            </w:pPr>
            <w:r>
              <w:rPr>
                <w:rFonts w:hint="eastAsia" w:ascii="宋体" w:hAnsi="宋体"/>
                <w:color w:val="000000" w:themeColor="text1"/>
                <w:szCs w:val="21"/>
              </w:rPr>
              <w:t>整机书写面板采用防眩光全钢化防爆玻璃面板，面板的碎片状态、抗冲击性、霰弹袋冲击性能、耐热冲击性能均通过国家强制玻璃标准，表面应力≥100Mpa,适应学校复杂环境，保障教学安全。</w:t>
            </w:r>
          </w:p>
          <w:p>
            <w:pPr>
              <w:numPr>
                <w:ilvl w:val="0"/>
                <w:numId w:val="12"/>
              </w:numPr>
              <w:rPr>
                <w:rFonts w:ascii="宋体" w:hAnsi="宋体"/>
                <w:color w:val="000000" w:themeColor="text1"/>
                <w:szCs w:val="21"/>
              </w:rPr>
            </w:pPr>
            <w:r>
              <w:rPr>
                <w:rFonts w:hint="eastAsia" w:ascii="宋体" w:hAnsi="宋体"/>
                <w:color w:val="000000" w:themeColor="text1"/>
                <w:szCs w:val="21"/>
              </w:rPr>
              <w:t>整机支持色彩空间可选，包含标准模式和sRGB模式，在sRGB模式下可做到高色准△E≤1.5（提供国家认可的具备CMA认证的检测机构所出具的权威检测报告复印件并加盖厂家公章）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整机视网膜蓝光危害（蓝光加权辐射亮度LB）满足IEC TR 62778:2014蓝光危害RG0级别。</w:t>
            </w:r>
          </w:p>
          <w:p>
            <w:pPr>
              <w:numPr>
                <w:ilvl w:val="0"/>
                <w:numId w:val="12"/>
              </w:numPr>
              <w:rPr>
                <w:rFonts w:ascii="宋体" w:hAnsi="宋体"/>
                <w:color w:val="000000" w:themeColor="text1"/>
                <w:szCs w:val="21"/>
              </w:rPr>
            </w:pPr>
            <w:r>
              <w:rPr>
                <w:rFonts w:hint="eastAsia" w:ascii="宋体" w:hAnsi="宋体"/>
                <w:color w:val="000000" w:themeColor="text1"/>
                <w:szCs w:val="21"/>
              </w:rPr>
              <w:t>★整机支持纸质护眼模式，可以在任意通道任意画面任意软件所有显示内容下实现画面纹理的实时调整；支持纸质纹理：牛皮纸、素描纸、宣纸、水彩纸、水纹纸；支持透明度调节；支持色温调节。（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纸质护眼模式下，显示画面各像素点灰度不规则，减少背景干扰，提高观看舒适度。（提供国家认可的具备CMA认证的检测机构所出具的权威检测报告复印件并加盖厂家公章）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前置 USB 接口具备防撞挡板设计，防撞挡板采用转轴式翻转。（提供国家认可的具备CMA认证的检测机构所出具的权威检测报告复印件并加盖厂家公章）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设备支持自定义前置“设置""按键，可通过自定义设置实现前置面板功能按键一键启用任一全局小工具（批注、截屏、计时、降半屏、放大镜、倒数日、日历）、快捷开关（节能模式、纸质护眼模式、经典护眼模式、自动亮度模式）。（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整机内置摄像头（非外扩），PC通道下支持通过视频展台软件调用摄像头进行二维码扫码识别。（提供国家认可的具备CMA认证的检测机构所出具的权威检测报告复印件并加盖厂家公章）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★整机内置非独立摄像头，拍摄像素数≥1300万。（提供国家认可的具备CMA认证的检测机构所出具的权威检测报告复印件并加盖厂家公章）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摄像头视场角≥135度。（提供国家认可的具备CMA认证的检测机构所出具的权威检测报告复印件并加盖厂家公章）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整机内置非独立的高清摄像头，可用于远程巡课，拍摄范围可以涵盖整机距离摄像头垂直法线左右水平距离各大于等于4米，左右最边缘深度大于等于2.3米范围内，并且可以AI识别人像。（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整机摄像头支持大于等于10米距离时实现AI识别人像。（提供国家认可的具备CMA认证的检测机构所出具的权威检测报告复印件并加盖厂家公章）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整机摄像头支持人脸识别、快速点人数、随机抽人；识别所有学生，显示标记，然后随机抽选，同时显示标记不少于60人。（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★整机摄像头支持环境色温判断，根据环境调节合适的显示图像效果。（提供国家认可的具备CMA认证的检测机构所出具的权威检测报告复印件并加盖厂家公章）</w:t>
            </w:r>
          </w:p>
          <w:p>
            <w:pPr>
              <w:numPr>
                <w:ilvl w:val="0"/>
                <w:numId w:val="12"/>
              </w:numPr>
              <w:rPr>
                <w:rFonts w:ascii="Calibri" w:hAnsi="Calibri"/>
                <w:color w:val="000000" w:themeColor="text1"/>
                <w:szCs w:val="21"/>
              </w:rPr>
            </w:pPr>
            <w:r>
              <w:rPr>
                <w:rFonts w:hint="eastAsia" w:ascii="宋体" w:hAnsi="宋体"/>
                <w:color w:val="000000" w:themeColor="text1"/>
                <w:szCs w:val="21"/>
              </w:rPr>
              <w:t>前置USB接口支持Android系统、Windows系统读取外接移动存储设备。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036" w:type="dxa"/>
            <w:vAlign w:val="center"/>
          </w:tcPr>
          <w:p>
            <w:pPr>
              <w:jc w:val="center"/>
              <w:rPr>
                <w:rFonts w:ascii="Calibri" w:hAnsi="Calibri"/>
                <w:color w:val="000000" w:themeColor="text1"/>
                <w:szCs w:val="21"/>
              </w:rPr>
            </w:pPr>
            <w:r>
              <w:rPr>
                <w:rFonts w:hint="eastAsia" w:ascii="Calibri" w:hAnsi="Calibri"/>
                <w:color w:val="000000" w:themeColor="text1"/>
                <w:szCs w:val="21"/>
              </w:rPr>
              <w:t>主要功能</w:t>
            </w:r>
          </w:p>
        </w:tc>
        <w:tc>
          <w:tcPr>
            <w:tcW w:w="7428" w:type="dxa"/>
          </w:tcPr>
          <w:p>
            <w:pPr>
              <w:numPr>
                <w:ilvl w:val="0"/>
                <w:numId w:val="12"/>
              </w:numPr>
              <w:rPr>
                <w:rFonts w:ascii="宋体" w:hAnsi="宋体"/>
                <w:color w:val="000000" w:themeColor="text1"/>
                <w:szCs w:val="21"/>
              </w:rPr>
            </w:pPr>
            <w:r>
              <w:rPr>
                <w:rFonts w:hint="eastAsia" w:ascii="宋体" w:hAnsi="宋体"/>
                <w:color w:val="000000" w:themeColor="text1"/>
                <w:szCs w:val="21"/>
              </w:rPr>
              <w:t>部署单根网线可实现Android、Windows双系统有线网络连通。</w:t>
            </w:r>
          </w:p>
          <w:p>
            <w:pPr>
              <w:numPr>
                <w:ilvl w:val="0"/>
                <w:numId w:val="12"/>
              </w:numPr>
              <w:rPr>
                <w:rFonts w:ascii="宋体" w:hAnsi="宋体"/>
                <w:color w:val="000000" w:themeColor="text1"/>
                <w:szCs w:val="21"/>
              </w:rPr>
            </w:pPr>
            <w:r>
              <w:rPr>
                <w:rFonts w:hint="eastAsia" w:ascii="宋体" w:hAnsi="宋体"/>
                <w:color w:val="000000" w:themeColor="text1"/>
                <w:szCs w:val="21"/>
              </w:rPr>
              <w:t>整机关机状态下，通过长按电源键进入设置界面后，可点击屏幕选择恢复Android系统及Windows操作系统到出厂默认状态，无需额外工具辅助。（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支持通道自动跳转功能，如整机处于正常使用状态，HDMI信号接入时，能自动识别并切换到对应的HDMI信号源通道，且断开后能回到上一通道。</w:t>
            </w:r>
          </w:p>
          <w:p>
            <w:pPr>
              <w:numPr>
                <w:ilvl w:val="0"/>
                <w:numId w:val="12"/>
              </w:numPr>
              <w:rPr>
                <w:rFonts w:ascii="宋体" w:hAnsi="宋体"/>
                <w:color w:val="000000" w:themeColor="text1"/>
                <w:szCs w:val="21"/>
              </w:rPr>
            </w:pPr>
            <w:r>
              <w:rPr>
                <w:rFonts w:hint="eastAsia" w:ascii="宋体" w:hAnsi="宋体"/>
                <w:color w:val="000000" w:themeColor="text1"/>
                <w:szCs w:val="21"/>
              </w:rPr>
              <w:t>在HDMI、Android以及Windows信号源模式下，整机屏幕支持手势下移实现半屏显示，半屏显示时可通过点击上方屏幕返回全屏。</w:t>
            </w:r>
          </w:p>
          <w:p>
            <w:pPr>
              <w:numPr>
                <w:ilvl w:val="0"/>
                <w:numId w:val="12"/>
              </w:numPr>
              <w:rPr>
                <w:rFonts w:ascii="宋体" w:hAnsi="宋体"/>
                <w:color w:val="000000" w:themeColor="text1"/>
                <w:szCs w:val="21"/>
              </w:rPr>
            </w:pPr>
            <w:r>
              <w:rPr>
                <w:rFonts w:hint="eastAsia" w:ascii="宋体" w:hAnsi="宋体"/>
                <w:color w:val="000000" w:themeColor="text1"/>
                <w:szCs w:val="21"/>
              </w:rPr>
              <w:t>支持半屏模式，将Windows显示画面上半部分下拉到屏幕下半部分显示，此时依然可以正常触控操作Windows系统；点击非Windows显示画面区域（屏幕上半部分），即可退出该模式。</w:t>
            </w:r>
          </w:p>
          <w:p>
            <w:pPr>
              <w:numPr>
                <w:ilvl w:val="0"/>
                <w:numId w:val="12"/>
              </w:numPr>
              <w:rPr>
                <w:rFonts w:ascii="宋体" w:hAnsi="宋体"/>
                <w:color w:val="000000" w:themeColor="text1"/>
                <w:szCs w:val="21"/>
              </w:rPr>
            </w:pPr>
            <w:r>
              <w:rPr>
                <w:rFonts w:hint="eastAsia" w:ascii="宋体" w:hAnsi="宋体"/>
                <w:color w:val="000000" w:themeColor="text1"/>
                <w:szCs w:val="21"/>
              </w:rPr>
              <w:t>支持外接信号输入时自动唤醒功能，整机处于关机通电状态，外接电脑显示信号通过HDMI传输线连接至整机时，整机可智能识别外接电脑设备信号输入并自动开机。</w:t>
            </w:r>
          </w:p>
          <w:p>
            <w:pPr>
              <w:numPr>
                <w:ilvl w:val="0"/>
                <w:numId w:val="12"/>
              </w:numPr>
              <w:rPr>
                <w:rFonts w:ascii="宋体" w:hAnsi="宋体"/>
                <w:color w:val="000000" w:themeColor="text1"/>
                <w:szCs w:val="21"/>
              </w:rPr>
            </w:pPr>
            <w:r>
              <w:rPr>
                <w:rFonts w:hint="eastAsia" w:ascii="宋体" w:hAnsi="宋体"/>
                <w:color w:val="000000" w:themeColor="text1"/>
                <w:szCs w:val="21"/>
              </w:rPr>
              <w:t>整机内置专业硬件自检维护工具（非第三方工具），支持对触摸框和PC模块进行检测，并针对不同模块给出问题代码提示。</w:t>
            </w:r>
          </w:p>
          <w:p>
            <w:pPr>
              <w:numPr>
                <w:ilvl w:val="0"/>
                <w:numId w:val="12"/>
              </w:numPr>
              <w:rPr>
                <w:rFonts w:ascii="宋体" w:hAnsi="宋体"/>
                <w:color w:val="000000" w:themeColor="text1"/>
                <w:szCs w:val="21"/>
              </w:rPr>
            </w:pPr>
            <w:r>
              <w:rPr>
                <w:rFonts w:hint="eastAsia" w:ascii="宋体" w:hAnsi="宋体"/>
                <w:color w:val="000000" w:themeColor="text1"/>
                <w:szCs w:val="21"/>
              </w:rPr>
              <w:t>当整机处于黑暗环境中并无人操作，一分钟后整机将可以自动进入熄屏模式。</w:t>
            </w:r>
          </w:p>
          <w:p>
            <w:pPr>
              <w:numPr>
                <w:ilvl w:val="0"/>
                <w:numId w:val="12"/>
              </w:numPr>
              <w:rPr>
                <w:rFonts w:ascii="宋体" w:hAnsi="宋体"/>
                <w:color w:val="000000" w:themeColor="text1"/>
                <w:szCs w:val="21"/>
              </w:rPr>
            </w:pPr>
            <w:r>
              <w:rPr>
                <w:rFonts w:hint="eastAsia" w:ascii="宋体" w:hAnsi="宋体"/>
                <w:color w:val="000000" w:themeColor="text1"/>
                <w:szCs w:val="21"/>
              </w:rPr>
              <w:t>支持将自定义图片设置为开机画面。</w:t>
            </w:r>
          </w:p>
          <w:p>
            <w:pPr>
              <w:numPr>
                <w:ilvl w:val="0"/>
                <w:numId w:val="12"/>
              </w:numPr>
              <w:rPr>
                <w:rFonts w:ascii="宋体" w:hAnsi="宋体"/>
                <w:color w:val="000000" w:themeColor="text1"/>
                <w:szCs w:val="21"/>
              </w:rPr>
            </w:pPr>
            <w:r>
              <w:rPr>
                <w:rFonts w:hint="eastAsia" w:ascii="宋体" w:hAnsi="宋体"/>
                <w:color w:val="000000" w:themeColor="text1"/>
                <w:szCs w:val="21"/>
              </w:rPr>
              <w:t>支持通过Type-C接口U盘进行文件传输，兼容Type-C接口手机充电。</w:t>
            </w:r>
          </w:p>
          <w:p>
            <w:pPr>
              <w:numPr>
                <w:ilvl w:val="0"/>
                <w:numId w:val="12"/>
              </w:numPr>
              <w:rPr>
                <w:rFonts w:ascii="宋体" w:hAnsi="宋体"/>
                <w:color w:val="000000" w:themeColor="text1"/>
                <w:szCs w:val="21"/>
              </w:rPr>
            </w:pPr>
            <w:r>
              <w:rPr>
                <w:rFonts w:hint="eastAsia" w:ascii="宋体" w:hAnsi="宋体"/>
                <w:color w:val="000000" w:themeColor="text1"/>
                <w:szCs w:val="21"/>
              </w:rPr>
              <w:t>整机在五分钟内处于无信号接收状态时，能够自动关机。</w:t>
            </w:r>
          </w:p>
          <w:p>
            <w:pPr>
              <w:numPr>
                <w:ilvl w:val="0"/>
                <w:numId w:val="12"/>
              </w:numPr>
              <w:rPr>
                <w:rFonts w:ascii="宋体" w:hAnsi="宋体"/>
                <w:color w:val="000000" w:themeColor="text1"/>
                <w:szCs w:val="21"/>
              </w:rPr>
            </w:pPr>
            <w:r>
              <w:rPr>
                <w:rFonts w:hint="eastAsia" w:ascii="宋体" w:hAnsi="宋体"/>
                <w:color w:val="000000" w:themeColor="text1"/>
                <w:szCs w:val="21"/>
              </w:rPr>
              <w:t>整机具备供电保护模块，能够检测内置电脑是否插好在位，在内置电脑未在位的情况下，内置电脑无法上电工作。</w:t>
            </w:r>
          </w:p>
          <w:p>
            <w:pPr>
              <w:numPr>
                <w:ilvl w:val="0"/>
                <w:numId w:val="12"/>
              </w:numPr>
              <w:rPr>
                <w:rFonts w:ascii="Calibri" w:hAnsi="Calibri"/>
                <w:color w:val="000000" w:themeColor="text1"/>
                <w:szCs w:val="21"/>
              </w:rPr>
            </w:pPr>
            <w:r>
              <w:rPr>
                <w:rFonts w:hint="eastAsia" w:ascii="宋体" w:hAnsi="宋体"/>
                <w:color w:val="000000" w:themeColor="text1"/>
                <w:szCs w:val="21"/>
              </w:rPr>
              <w:t>整机具备智能手势识别功能，在任意信号源通道下均可识别五指上、下、左、右方向手势，五指画O、画~、左右晃动、缩/放方向手势滑动并调用相应功能。支持将各手势滑动方向自定义设置为无操作、熄屏、批注、桌面、半屏模式。（提供国家认可的具备CMA认证的检测机构所出具的权威检测报告复印件并加盖厂家公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036" w:type="dxa"/>
            <w:vAlign w:val="center"/>
          </w:tcPr>
          <w:p>
            <w:pPr>
              <w:jc w:val="center"/>
              <w:rPr>
                <w:rFonts w:ascii="Calibri" w:hAnsi="Calibri"/>
                <w:color w:val="000000" w:themeColor="text1"/>
                <w:szCs w:val="21"/>
              </w:rPr>
            </w:pPr>
            <w:r>
              <w:rPr>
                <w:rFonts w:hint="eastAsia" w:ascii="Calibri" w:hAnsi="Calibri"/>
                <w:color w:val="000000" w:themeColor="text1"/>
                <w:szCs w:val="21"/>
              </w:rPr>
              <w:t>触摸系统</w:t>
            </w:r>
          </w:p>
        </w:tc>
        <w:tc>
          <w:tcPr>
            <w:tcW w:w="7428" w:type="dxa"/>
          </w:tcPr>
          <w:p>
            <w:pPr>
              <w:numPr>
                <w:ilvl w:val="0"/>
                <w:numId w:val="12"/>
              </w:numPr>
              <w:rPr>
                <w:rFonts w:ascii="宋体" w:hAnsi="宋体"/>
                <w:color w:val="000000" w:themeColor="text1"/>
                <w:szCs w:val="21"/>
              </w:rPr>
            </w:pPr>
            <w:r>
              <w:rPr>
                <w:rFonts w:hint="eastAsia" w:ascii="宋体" w:hAnsi="宋体"/>
                <w:color w:val="000000" w:themeColor="text1"/>
                <w:szCs w:val="21"/>
              </w:rPr>
              <w:t>采用红外触控技术，支持Windows系统中进行20点或以上触控，支持在Android系统中进行10点或以上触控。</w:t>
            </w:r>
          </w:p>
          <w:p>
            <w:pPr>
              <w:numPr>
                <w:ilvl w:val="0"/>
                <w:numId w:val="12"/>
              </w:numPr>
              <w:rPr>
                <w:rFonts w:ascii="宋体" w:hAnsi="宋体"/>
                <w:color w:val="000000" w:themeColor="text1"/>
                <w:szCs w:val="21"/>
              </w:rPr>
            </w:pPr>
            <w:r>
              <w:rPr>
                <w:rFonts w:hint="eastAsia" w:ascii="宋体" w:hAnsi="宋体"/>
                <w:color w:val="000000" w:themeColor="text1"/>
                <w:szCs w:val="21"/>
              </w:rPr>
              <w:t>从内部Android通道切换到内部PC通道后，触摸框在1s内达到可触控状态。从内部PC通道切换到外部通道后，触摸框在3s内达到可触控状态。</w:t>
            </w:r>
          </w:p>
          <w:p>
            <w:pPr>
              <w:numPr>
                <w:ilvl w:val="0"/>
                <w:numId w:val="12"/>
              </w:numPr>
              <w:rPr>
                <w:rFonts w:ascii="宋体" w:hAnsi="宋体"/>
                <w:color w:val="000000" w:themeColor="text1"/>
                <w:szCs w:val="21"/>
              </w:rPr>
            </w:pPr>
            <w:r>
              <w:rPr>
                <w:rFonts w:hint="eastAsia" w:ascii="宋体" w:hAnsi="宋体"/>
                <w:color w:val="000000" w:themeColor="text1"/>
                <w:szCs w:val="21"/>
              </w:rPr>
              <w:t>触摸响应时间≤4ms。</w:t>
            </w:r>
          </w:p>
          <w:p>
            <w:pPr>
              <w:numPr>
                <w:ilvl w:val="0"/>
                <w:numId w:val="12"/>
              </w:numPr>
              <w:rPr>
                <w:rFonts w:ascii="Calibri" w:hAnsi="Calibri"/>
                <w:color w:val="000000" w:themeColor="text1"/>
                <w:szCs w:val="21"/>
              </w:rPr>
            </w:pPr>
            <w:r>
              <w:rPr>
                <w:rFonts w:hint="eastAsia" w:ascii="宋体" w:hAnsi="宋体"/>
                <w:color w:val="000000" w:themeColor="text1"/>
                <w:szCs w:val="21"/>
              </w:rPr>
              <w:t>触摸最小识别物≤3mm。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036" w:type="dxa"/>
            <w:vAlign w:val="center"/>
          </w:tcPr>
          <w:p>
            <w:pPr>
              <w:jc w:val="center"/>
              <w:rPr>
                <w:rFonts w:ascii="Calibri" w:hAnsi="Calibri"/>
                <w:color w:val="000000" w:themeColor="text1"/>
                <w:szCs w:val="21"/>
              </w:rPr>
            </w:pPr>
            <w:r>
              <w:rPr>
                <w:rFonts w:hint="eastAsia" w:ascii="Calibri" w:hAnsi="Calibri"/>
                <w:color w:val="000000" w:themeColor="text1"/>
                <w:szCs w:val="21"/>
              </w:rPr>
              <w:t>安卓系统</w:t>
            </w:r>
          </w:p>
        </w:tc>
        <w:tc>
          <w:tcPr>
            <w:tcW w:w="7428" w:type="dxa"/>
          </w:tcPr>
          <w:p>
            <w:pPr>
              <w:numPr>
                <w:ilvl w:val="0"/>
                <w:numId w:val="12"/>
              </w:numPr>
              <w:rPr>
                <w:rFonts w:ascii="宋体" w:hAnsi="宋体"/>
                <w:color w:val="000000" w:themeColor="text1"/>
                <w:szCs w:val="21"/>
              </w:rPr>
            </w:pPr>
            <w:r>
              <w:rPr>
                <w:rFonts w:hint="eastAsia" w:ascii="宋体" w:hAnsi="宋体"/>
                <w:color w:val="000000" w:themeColor="text1"/>
                <w:szCs w:val="21"/>
              </w:rPr>
              <w:t>★嵌入式系统版本不低于Android 11，内存≥2GB，存储空间≥8GB。（提供国家认可的具备CMA认证的检测机构所出具的权威检测报告复印件并加盖厂家公章）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整机全通道侧边栏快捷菜单中可以实时查看物联设备的连接情况，点击任意一台设备图标即可调出中控菜单进行管控。（提供国家认可的具备CMA认证的检测机构所出具的权威检测报告复印件并加盖厂家公章）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整机全通道侧边栏提供秒表正计时、降低半屏、聚光灯、倒数日、日历、节拍器等小工具，方便教师随时调用使用。（提供国家认可的具备CMA认证的检测机构所出具的权威检测报告复印件并加盖厂家公章）</w:t>
            </w:r>
          </w:p>
          <w:p>
            <w:pPr>
              <w:numPr>
                <w:ilvl w:val="0"/>
                <w:numId w:val="12"/>
              </w:numPr>
              <w:rPr>
                <w:rFonts w:ascii="宋体" w:hAnsi="宋体"/>
                <w:color w:val="000000" w:themeColor="text1"/>
                <w:szCs w:val="21"/>
              </w:rPr>
            </w:pPr>
            <w:r>
              <w:rPr>
                <w:rFonts w:hint="eastAsia" w:ascii="宋体" w:hAnsi="宋体"/>
                <w:color w:val="000000" w:themeColor="text1"/>
                <w:szCs w:val="21"/>
              </w:rPr>
              <w:t>整机设备开机启动后，自动进入教学桌面，支持多种身份识别方式登录，包括账号登录、手机扫码登录，并支持账号安全登录检测、退出，登录后自动获取个人云端教学课件列表、并可进入校本资源库获取资源；登录后进入原厂软件无需再次输入账号密码重复登录（提供国家认可的具备CMA认证的检测机构所出具的权威检测报告复印件并加盖厂家公章）</w:t>
            </w:r>
          </w:p>
          <w:p>
            <w:pPr>
              <w:numPr>
                <w:ilvl w:val="0"/>
                <w:numId w:val="12"/>
              </w:numPr>
              <w:rPr>
                <w:rFonts w:ascii="Calibri" w:hAnsi="Calibri"/>
                <w:color w:val="000000" w:themeColor="text1"/>
                <w:szCs w:val="21"/>
              </w:rPr>
            </w:pPr>
            <w:r>
              <w:rPr>
                <w:rFonts w:hint="eastAsia" w:ascii="宋体" w:hAnsi="宋体"/>
                <w:color w:val="000000" w:themeColor="text1"/>
                <w:szCs w:val="21"/>
              </w:rPr>
              <w:t>教学桌面支持教学常用的教学白板软件、文件管理软件、学生行为评价软件、随机抽选软件的快捷入口，方便教师快速授课。（提供国家认可的具备CMA认证的检测机构所出具的权威检测报告复印件并加盖厂家公章）</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036" w:type="dxa"/>
            <w:vAlign w:val="center"/>
          </w:tcPr>
          <w:p>
            <w:pPr>
              <w:jc w:val="center"/>
              <w:rPr>
                <w:rFonts w:ascii="Calibri" w:hAnsi="Calibri"/>
                <w:color w:val="000000" w:themeColor="text1"/>
                <w:szCs w:val="21"/>
              </w:rPr>
            </w:pPr>
            <w:r>
              <w:rPr>
                <w:rFonts w:hint="eastAsia" w:ascii="Calibri" w:hAnsi="Calibri"/>
                <w:color w:val="000000" w:themeColor="text1"/>
                <w:szCs w:val="21"/>
              </w:rPr>
              <w:t>电脑系统</w:t>
            </w:r>
          </w:p>
        </w:tc>
        <w:tc>
          <w:tcPr>
            <w:tcW w:w="7428" w:type="dxa"/>
            <w:vAlign w:val="center"/>
          </w:tcPr>
          <w:p>
            <w:pPr>
              <w:numPr>
                <w:ilvl w:val="0"/>
                <w:numId w:val="12"/>
              </w:numPr>
              <w:rPr>
                <w:rFonts w:ascii="宋体" w:hAnsi="宋体"/>
                <w:color w:val="000000" w:themeColor="text1"/>
                <w:szCs w:val="21"/>
              </w:rPr>
            </w:pPr>
            <w:r>
              <w:rPr>
                <w:rFonts w:hint="eastAsia" w:ascii="宋体" w:hAnsi="宋体"/>
                <w:color w:val="000000" w:themeColor="text1"/>
                <w:szCs w:val="21"/>
              </w:rPr>
              <w:t>主板搭载Intel酷睿系列 i5CPU</w:t>
            </w:r>
          </w:p>
          <w:p>
            <w:pPr>
              <w:numPr>
                <w:ilvl w:val="0"/>
                <w:numId w:val="12"/>
              </w:numPr>
              <w:rPr>
                <w:rFonts w:ascii="宋体" w:hAnsi="宋体"/>
                <w:color w:val="000000" w:themeColor="text1"/>
                <w:szCs w:val="21"/>
              </w:rPr>
            </w:pPr>
            <w:r>
              <w:rPr>
                <w:rFonts w:hint="eastAsia" w:ascii="宋体" w:hAnsi="宋体"/>
                <w:color w:val="000000" w:themeColor="text1"/>
                <w:szCs w:val="21"/>
              </w:rPr>
              <w:t>内存：8GB DDR4笔记本内存或以上配置。</w:t>
            </w:r>
          </w:p>
          <w:p>
            <w:pPr>
              <w:numPr>
                <w:ilvl w:val="0"/>
                <w:numId w:val="12"/>
              </w:numPr>
              <w:rPr>
                <w:rFonts w:ascii="宋体" w:hAnsi="宋体"/>
                <w:color w:val="000000" w:themeColor="text1"/>
                <w:szCs w:val="21"/>
              </w:rPr>
            </w:pPr>
            <w:r>
              <w:rPr>
                <w:rFonts w:hint="eastAsia" w:ascii="宋体" w:hAnsi="宋体"/>
                <w:color w:val="000000" w:themeColor="text1"/>
                <w:szCs w:val="21"/>
              </w:rPr>
              <w:t>硬盘：256GB或以上SSD固态硬盘</w:t>
            </w:r>
          </w:p>
          <w:p>
            <w:pPr>
              <w:numPr>
                <w:ilvl w:val="0"/>
                <w:numId w:val="12"/>
              </w:numPr>
              <w:rPr>
                <w:rFonts w:ascii="宋体" w:hAnsi="宋体"/>
                <w:color w:val="000000" w:themeColor="text1"/>
                <w:szCs w:val="21"/>
              </w:rPr>
            </w:pPr>
            <w:r>
              <w:rPr>
                <w:rFonts w:hint="eastAsia" w:ascii="宋体" w:hAnsi="宋体"/>
                <w:color w:val="000000" w:themeColor="text1"/>
                <w:szCs w:val="21"/>
              </w:rPr>
              <w:t>机身采用热浸镀锌金属材质，采用智能风扇低噪音散热设计,模块主体尺寸不小于22cm*17cm*3cm以预留足够散热空间，确保封闭空间内有效散热。</w:t>
            </w:r>
          </w:p>
          <w:p>
            <w:pPr>
              <w:numPr>
                <w:ilvl w:val="0"/>
                <w:numId w:val="12"/>
              </w:numPr>
              <w:rPr>
                <w:rFonts w:ascii="宋体" w:hAnsi="宋体"/>
                <w:color w:val="000000" w:themeColor="text1"/>
                <w:szCs w:val="21"/>
              </w:rPr>
            </w:pPr>
            <w:r>
              <w:rPr>
                <w:rFonts w:hint="eastAsia" w:ascii="宋体" w:hAnsi="宋体"/>
                <w:color w:val="000000" w:themeColor="text1"/>
                <w:szCs w:val="21"/>
              </w:rPr>
              <w:t>PC模块可抽拉式插入整机，可实现无单独接线的插拔。</w:t>
            </w:r>
          </w:p>
          <w:p>
            <w:pPr>
              <w:numPr>
                <w:ilvl w:val="0"/>
                <w:numId w:val="12"/>
              </w:numPr>
              <w:rPr>
                <w:rFonts w:ascii="宋体" w:hAnsi="宋体"/>
                <w:color w:val="000000" w:themeColor="text1"/>
                <w:szCs w:val="21"/>
              </w:rPr>
            </w:pPr>
            <w:r>
              <w:rPr>
                <w:rFonts w:hint="eastAsia" w:ascii="宋体" w:hAnsi="宋体"/>
                <w:color w:val="000000" w:themeColor="text1"/>
                <w:szCs w:val="21"/>
              </w:rPr>
              <w:t>和整机的连接接口针脚数≤40pin，尺寸≤28.1mm*5.3mm。</w:t>
            </w:r>
          </w:p>
          <w:p>
            <w:pPr>
              <w:numPr>
                <w:ilvl w:val="0"/>
                <w:numId w:val="12"/>
              </w:numPr>
              <w:rPr>
                <w:rFonts w:ascii="宋体" w:hAnsi="宋体"/>
                <w:color w:val="000000" w:themeColor="text1"/>
                <w:szCs w:val="21"/>
              </w:rPr>
            </w:pPr>
            <w:r>
              <w:rPr>
                <w:rFonts w:hint="eastAsia" w:ascii="宋体" w:hAnsi="宋体"/>
                <w:color w:val="000000" w:themeColor="text1"/>
                <w:szCs w:val="21"/>
              </w:rPr>
              <w:t>采用按压式卡扣，无需工具就可快速拆卸电脑模块。</w:t>
            </w:r>
          </w:p>
          <w:p>
            <w:pPr>
              <w:numPr>
                <w:ilvl w:val="0"/>
                <w:numId w:val="12"/>
              </w:numPr>
              <w:rPr>
                <w:rFonts w:ascii="Calibri" w:hAnsi="Calibri"/>
                <w:color w:val="000000" w:themeColor="text1"/>
                <w:szCs w:val="21"/>
              </w:rPr>
            </w:pPr>
            <w:r>
              <w:rPr>
                <w:rFonts w:hint="eastAsia" w:ascii="宋体" w:hAnsi="宋体"/>
                <w:color w:val="000000" w:themeColor="text1"/>
                <w:szCs w:val="21"/>
              </w:rPr>
              <w:t>具有独立非外扩展的视频输出接口：≥1路HDMI ；具有独立非外扩展的电脑USB接口：≥3路USB。</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036" w:type="dxa"/>
            <w:vAlign w:val="center"/>
          </w:tcPr>
          <w:p>
            <w:pPr>
              <w:jc w:val="center"/>
              <w:rPr>
                <w:rFonts w:ascii="Calibri" w:hAnsi="Calibri"/>
                <w:color w:val="000000" w:themeColor="text1"/>
                <w:szCs w:val="21"/>
              </w:rPr>
            </w:pPr>
            <w:r>
              <w:rPr>
                <w:rFonts w:hint="eastAsia" w:ascii="Calibri" w:hAnsi="Calibri"/>
                <w:color w:val="000000" w:themeColor="text1"/>
                <w:szCs w:val="21"/>
              </w:rPr>
              <w:t>白板软件</w:t>
            </w:r>
          </w:p>
        </w:tc>
        <w:tc>
          <w:tcPr>
            <w:tcW w:w="7428" w:type="dxa"/>
          </w:tcPr>
          <w:p>
            <w:pPr>
              <w:numPr>
                <w:ilvl w:val="0"/>
                <w:numId w:val="12"/>
              </w:numPr>
              <w:rPr>
                <w:rFonts w:ascii="宋体" w:hAnsi="宋体"/>
                <w:color w:val="000000" w:themeColor="text1"/>
                <w:szCs w:val="21"/>
              </w:rPr>
            </w:pPr>
            <w:r>
              <w:rPr>
                <w:rFonts w:ascii="宋体" w:hAnsi="宋体"/>
                <w:color w:val="000000" w:themeColor="text1"/>
                <w:szCs w:val="21"/>
              </w:rPr>
              <w:t>白板软件具备备课与授课的功能，操作界面根据备课和授课使用场景不同而区别设计，符合用户使用需求</w:t>
            </w:r>
            <w:r>
              <w:rPr>
                <w:rFonts w:hint="eastAsia" w:ascii="宋体" w:hAnsi="宋体"/>
                <w:color w:val="000000" w:themeColor="text1"/>
                <w:szCs w:val="21"/>
              </w:rPr>
              <w:t>；</w:t>
            </w:r>
            <w:r>
              <w:rPr>
                <w:rFonts w:ascii="宋体" w:hAnsi="宋体"/>
                <w:color w:val="000000" w:themeColor="text1"/>
                <w:szCs w:val="21"/>
              </w:rPr>
              <w:t>为使用教师提供动态扩容云存储空间，可至200G。</w:t>
            </w:r>
          </w:p>
          <w:p>
            <w:pPr>
              <w:numPr>
                <w:ilvl w:val="0"/>
                <w:numId w:val="12"/>
              </w:numPr>
              <w:rPr>
                <w:rFonts w:ascii="宋体" w:hAnsi="宋体"/>
                <w:color w:val="000000" w:themeColor="text1"/>
                <w:szCs w:val="21"/>
              </w:rPr>
            </w:pPr>
            <w:r>
              <w:rPr>
                <w:rFonts w:ascii="宋体" w:hAnsi="宋体"/>
                <w:color w:val="000000" w:themeColor="text1"/>
                <w:szCs w:val="21"/>
              </w:rPr>
              <w:t>支持多种登录方式，包括密码登录、扫码登录及个人U盘登录。</w:t>
            </w:r>
          </w:p>
          <w:p>
            <w:pPr>
              <w:numPr>
                <w:ilvl w:val="0"/>
                <w:numId w:val="12"/>
              </w:numPr>
              <w:rPr>
                <w:rFonts w:ascii="宋体" w:hAnsi="宋体"/>
                <w:color w:val="000000" w:themeColor="text1"/>
                <w:szCs w:val="21"/>
              </w:rPr>
            </w:pPr>
            <w:r>
              <w:rPr>
                <w:rFonts w:ascii="宋体" w:hAnsi="宋体"/>
                <w:color w:val="000000" w:themeColor="text1"/>
                <w:szCs w:val="21"/>
              </w:rPr>
              <w:t>★支持一对多分享云课件，用户可在软件中通过生成课件链接/二维码，将课件快速分享给其他用户，可通过网页方式直接打开课件，方便快捷。（权威机构出具的检测报告扫描件）</w:t>
            </w:r>
          </w:p>
          <w:p>
            <w:pPr>
              <w:numPr>
                <w:ilvl w:val="0"/>
                <w:numId w:val="12"/>
              </w:numPr>
              <w:rPr>
                <w:rFonts w:ascii="宋体" w:hAnsi="宋体"/>
                <w:color w:val="000000" w:themeColor="text1"/>
                <w:szCs w:val="21"/>
              </w:rPr>
            </w:pPr>
            <w:r>
              <w:rPr>
                <w:rFonts w:ascii="宋体" w:hAnsi="宋体"/>
                <w:color w:val="000000" w:themeColor="text1"/>
                <w:szCs w:val="21"/>
              </w:rPr>
              <w:t>互动图表：可在软件中柱状图、扇形图、折线图等互动图表，柱状图、折线图可一键转置互换坐标轴类别；图表支持三维模式旋转展示，生动形象。</w:t>
            </w:r>
          </w:p>
          <w:p>
            <w:pPr>
              <w:numPr>
                <w:ilvl w:val="0"/>
                <w:numId w:val="12"/>
              </w:numPr>
              <w:rPr>
                <w:rFonts w:ascii="宋体" w:hAnsi="宋体"/>
                <w:color w:val="000000" w:themeColor="text1"/>
                <w:szCs w:val="21"/>
              </w:rPr>
            </w:pPr>
            <w:r>
              <w:rPr>
                <w:rFonts w:ascii="宋体" w:hAnsi="宋体"/>
                <w:color w:val="000000" w:themeColor="text1"/>
                <w:szCs w:val="21"/>
              </w:rPr>
              <w:t>多学科题库：提供涵盖小学、初中、高中的知识点及试题，中学题库需包含语文、数学、英语、物理、化学、生物、政治、历史、地理等多个学科，包含选择、填空、判断、诗歌阅读、完形填空、阅读理解、辨析题、材料题、实验题、作图题等丰富题型；可批量选择试题以交互试题卡的形式插入课件，试题卡包含题干、答案和解析，并可一键展开收起答案和解析。</w:t>
            </w:r>
          </w:p>
          <w:p>
            <w:pPr>
              <w:numPr>
                <w:ilvl w:val="0"/>
                <w:numId w:val="12"/>
              </w:numPr>
              <w:rPr>
                <w:rFonts w:ascii="宋体" w:hAnsi="宋体"/>
                <w:color w:val="000000" w:themeColor="text1"/>
                <w:szCs w:val="21"/>
              </w:rPr>
            </w:pPr>
            <w:r>
              <w:rPr>
                <w:rFonts w:ascii="宋体" w:hAnsi="宋体"/>
                <w:color w:val="000000" w:themeColor="text1"/>
                <w:szCs w:val="21"/>
              </w:rPr>
              <w:t>多学科课件库：提供涵盖小学语文、数学、英语全部教学章节的交互式课件，课件支持直接预览并下载，预览时支持拖动课堂活动、形状、几何、文本等元素；下载时课件可同步至教师个人云课件存储空间；课件支持教师在线评分。</w:t>
            </w:r>
          </w:p>
          <w:p>
            <w:pPr>
              <w:numPr>
                <w:ilvl w:val="0"/>
                <w:numId w:val="12"/>
              </w:numPr>
              <w:rPr>
                <w:rFonts w:ascii="宋体" w:hAnsi="宋体"/>
                <w:color w:val="000000" w:themeColor="text1"/>
                <w:szCs w:val="21"/>
              </w:rPr>
            </w:pPr>
            <w:r>
              <w:rPr>
                <w:rFonts w:ascii="宋体" w:hAnsi="宋体"/>
                <w:color w:val="000000" w:themeColor="text1"/>
                <w:szCs w:val="21"/>
              </w:rPr>
              <w:t>微课视频：提供涵盖小学、初中、高中微课程视频，每个学段的微课视频内容应不少于三个主要学科；微课视频支持视频关键帧打点标记，播放过程中可一键跳转至标记位置，同时支持一键对视频内容进行截图插入课件。</w:t>
            </w:r>
          </w:p>
          <w:p>
            <w:pPr>
              <w:numPr>
                <w:ilvl w:val="0"/>
                <w:numId w:val="12"/>
              </w:numPr>
              <w:rPr>
                <w:rFonts w:ascii="宋体" w:hAnsi="宋体"/>
                <w:color w:val="000000" w:themeColor="text1"/>
                <w:szCs w:val="21"/>
              </w:rPr>
            </w:pPr>
            <w:r>
              <w:rPr>
                <w:rFonts w:ascii="宋体" w:hAnsi="宋体"/>
                <w:color w:val="000000" w:themeColor="text1"/>
                <w:szCs w:val="21"/>
              </w:rPr>
              <w:t>语文工具</w:t>
            </w:r>
          </w:p>
          <w:p>
            <w:pPr>
              <w:rPr>
                <w:rFonts w:ascii="宋体" w:hAnsi="宋体"/>
                <w:color w:val="000000" w:themeColor="text1"/>
                <w:szCs w:val="21"/>
              </w:rPr>
            </w:pPr>
            <w:r>
              <w:rPr>
                <w:rFonts w:ascii="宋体" w:hAnsi="宋体"/>
                <w:color w:val="000000" w:themeColor="text1"/>
                <w:szCs w:val="21"/>
              </w:rPr>
              <w:t>（1）具备汉字生字卡，直观展示汉字部首、笔画数量，笔画书写支持分步展示和连续展示，教师可一次性生成多个汉字生字卡，同步生成数量不少于5个。</w:t>
            </w:r>
          </w:p>
          <w:p>
            <w:pPr>
              <w:rPr>
                <w:rFonts w:ascii="宋体" w:hAnsi="宋体"/>
                <w:color w:val="000000" w:themeColor="text1"/>
                <w:szCs w:val="21"/>
              </w:rPr>
            </w:pPr>
            <w:r>
              <w:rPr>
                <w:rFonts w:ascii="宋体" w:hAnsi="宋体"/>
                <w:color w:val="000000" w:themeColor="text1"/>
                <w:szCs w:val="21"/>
              </w:rPr>
              <w:t>（2）提供覆盖初中、高中的古诗词、古文教学资源：包含原文、翻译、背景介绍、作者介绍、朗诵音频。支持教师自由添加古诗词教学资源，教师可使用模板创建古诗词内容和翻译自主创建的古诗词，并自动保存至云端供教学复用。</w:t>
            </w:r>
          </w:p>
          <w:p>
            <w:pPr>
              <w:numPr>
                <w:ilvl w:val="0"/>
                <w:numId w:val="12"/>
              </w:numPr>
              <w:rPr>
                <w:rFonts w:ascii="宋体" w:hAnsi="宋体"/>
                <w:color w:val="000000" w:themeColor="text1"/>
                <w:szCs w:val="21"/>
              </w:rPr>
            </w:pPr>
            <w:r>
              <w:rPr>
                <w:rFonts w:ascii="宋体" w:hAnsi="宋体"/>
                <w:color w:val="000000" w:themeColor="text1"/>
                <w:szCs w:val="21"/>
              </w:rPr>
              <w:t>数学工具</w:t>
            </w:r>
            <w:r>
              <w:rPr>
                <w:rFonts w:hint="eastAsia" w:ascii="宋体" w:hAnsi="宋体"/>
                <w:color w:val="000000" w:themeColor="text1"/>
                <w:szCs w:val="21"/>
              </w:rPr>
              <w:t>：</w:t>
            </w:r>
            <w:r>
              <w:rPr>
                <w:rFonts w:ascii="宋体" w:hAnsi="宋体"/>
                <w:color w:val="000000" w:themeColor="text1"/>
                <w:szCs w:val="21"/>
              </w:rPr>
              <w:t>支持为长方体、圆柱体、圆锥等几何体的各面、棱分别填涂颜色，并且可通过360°旋转观察涂色面与未涂色面；几何体支持平面展开，预置长方体、立方体“141、132、222、33”型展开方式，展开后可对涂色面进行查看，有助于学生的空间想象。</w:t>
            </w:r>
          </w:p>
          <w:p>
            <w:pPr>
              <w:numPr>
                <w:ilvl w:val="0"/>
                <w:numId w:val="12"/>
              </w:numPr>
              <w:rPr>
                <w:rFonts w:ascii="宋体" w:hAnsi="宋体"/>
                <w:color w:val="000000" w:themeColor="text1"/>
                <w:szCs w:val="21"/>
              </w:rPr>
            </w:pPr>
            <w:r>
              <w:rPr>
                <w:rFonts w:ascii="宋体" w:hAnsi="宋体"/>
                <w:color w:val="000000" w:themeColor="text1"/>
                <w:szCs w:val="21"/>
              </w:rPr>
              <w:t>英语工具</w:t>
            </w:r>
            <w:r>
              <w:rPr>
                <w:rFonts w:hint="eastAsia" w:ascii="宋体" w:hAnsi="宋体"/>
                <w:color w:val="000000" w:themeColor="text1"/>
                <w:szCs w:val="21"/>
              </w:rPr>
              <w:t>：</w:t>
            </w:r>
            <w:r>
              <w:rPr>
                <w:rFonts w:ascii="宋体" w:hAnsi="宋体"/>
                <w:color w:val="000000" w:themeColor="text1"/>
                <w:szCs w:val="21"/>
              </w:rPr>
              <w:t>支持输入英文单词生成单词卡和详解页，包含单词的释义、读音、例句、词组、近义词等，可插入多个单词卡，同时支持教师自定义编辑单词释义、创建未收录的生僻单词供授课使用。</w:t>
            </w:r>
          </w:p>
          <w:p>
            <w:pPr>
              <w:numPr>
                <w:ilvl w:val="0"/>
                <w:numId w:val="12"/>
              </w:numPr>
              <w:rPr>
                <w:rFonts w:ascii="宋体" w:hAnsi="宋体"/>
                <w:color w:val="000000" w:themeColor="text1"/>
                <w:szCs w:val="21"/>
              </w:rPr>
            </w:pPr>
            <w:r>
              <w:rPr>
                <w:rFonts w:ascii="宋体" w:hAnsi="宋体"/>
                <w:color w:val="000000" w:themeColor="text1"/>
                <w:szCs w:val="21"/>
              </w:rPr>
              <w:t>化学工具</w:t>
            </w:r>
            <w:r>
              <w:rPr>
                <w:rFonts w:hint="eastAsia" w:ascii="宋体" w:hAnsi="宋体"/>
                <w:color w:val="000000" w:themeColor="text1"/>
                <w:szCs w:val="21"/>
              </w:rPr>
              <w:t>：</w:t>
            </w:r>
            <w:r>
              <w:rPr>
                <w:rFonts w:ascii="宋体" w:hAnsi="宋体"/>
                <w:color w:val="000000" w:themeColor="text1"/>
                <w:szCs w:val="21"/>
              </w:rPr>
              <w:t>化学方程式编辑器：提供化学方程式快速编辑工具，当输入一个化学元素时，软件界面将自动显示出和该元素相关的多个常用化学反应方程式，可直接选择使用。插入后的化学方程式可重新编辑。</w:t>
            </w:r>
          </w:p>
          <w:p>
            <w:pPr>
              <w:numPr>
                <w:ilvl w:val="0"/>
                <w:numId w:val="12"/>
              </w:numPr>
              <w:rPr>
                <w:rFonts w:ascii="宋体" w:hAnsi="宋体"/>
                <w:color w:val="000000" w:themeColor="text1"/>
                <w:szCs w:val="21"/>
              </w:rPr>
            </w:pPr>
            <w:r>
              <w:rPr>
                <w:rFonts w:ascii="宋体" w:hAnsi="宋体"/>
                <w:color w:val="000000" w:themeColor="text1"/>
                <w:szCs w:val="21"/>
              </w:rPr>
              <w:t>地理工具</w:t>
            </w:r>
            <w:r>
              <w:rPr>
                <w:rFonts w:hint="eastAsia" w:ascii="宋体" w:hAnsi="宋体"/>
                <w:color w:val="000000" w:themeColor="text1"/>
                <w:szCs w:val="21"/>
              </w:rPr>
              <w:t>：</w:t>
            </w:r>
            <w:r>
              <w:rPr>
                <w:rFonts w:ascii="宋体" w:hAnsi="宋体"/>
                <w:color w:val="000000" w:themeColor="text1"/>
                <w:szCs w:val="21"/>
              </w:rPr>
              <w:t>提供丰富的地理教学图集，可查看行星的详细数据信息（包括名称、赤道直径、质量、自转周期、日心轨道周期、表面重力、温度等）和内部结构信息（地壳、地幔、外核、内核等），支持地球模型直接进行平面/立体转换，清晰展现地球表面的六大板块、降水分布、气温分布、气候分布、人口分布、表层洋流、陆地自然带、海平面等压线等内容，方便教学。</w:t>
            </w:r>
          </w:p>
          <w:p>
            <w:pPr>
              <w:numPr>
                <w:ilvl w:val="0"/>
                <w:numId w:val="12"/>
              </w:numPr>
              <w:rPr>
                <w:rFonts w:ascii="宋体" w:hAnsi="宋体"/>
                <w:color w:val="000000" w:themeColor="text1"/>
                <w:szCs w:val="21"/>
              </w:rPr>
            </w:pPr>
            <w:r>
              <w:rPr>
                <w:rFonts w:ascii="宋体" w:hAnsi="宋体"/>
                <w:color w:val="000000" w:themeColor="text1"/>
                <w:szCs w:val="21"/>
              </w:rPr>
              <w:t>美术工具：内置专用美术画板工具，提供铅笔、毛笔、油画笔等笔触，具备符合绘画调色教学需求的模拟调色盘，可选择不同颜色混合调色，便于学生理解调色合成过程。</w:t>
            </w:r>
          </w:p>
          <w:p>
            <w:pPr>
              <w:numPr>
                <w:ilvl w:val="0"/>
                <w:numId w:val="12"/>
              </w:numPr>
              <w:rPr>
                <w:rFonts w:ascii="宋体" w:hAnsi="宋体"/>
                <w:color w:val="000000" w:themeColor="text1"/>
                <w:szCs w:val="21"/>
              </w:rPr>
            </w:pPr>
            <w:r>
              <w:rPr>
                <w:rFonts w:ascii="宋体" w:hAnsi="宋体"/>
                <w:color w:val="000000" w:themeColor="text1"/>
                <w:szCs w:val="21"/>
              </w:rPr>
              <w:t>教学软件应为教师提供微课录制工具。为方便调取各项功能，微课工具内置于教学软件中，支持通过教学一体机、老师个人手机、电脑等终端快速录制微课，微课可录制保存音频和课件的互动操作。</w:t>
            </w:r>
          </w:p>
          <w:p>
            <w:pPr>
              <w:numPr>
                <w:ilvl w:val="0"/>
                <w:numId w:val="12"/>
              </w:numPr>
              <w:rPr>
                <w:rFonts w:ascii="Calibri" w:hAnsi="Calibri"/>
                <w:color w:val="000000" w:themeColor="text1"/>
                <w:szCs w:val="21"/>
              </w:rPr>
            </w:pPr>
            <w:r>
              <w:rPr>
                <w:rFonts w:ascii="宋体" w:hAnsi="宋体"/>
                <w:color w:val="000000" w:themeColor="text1"/>
                <w:szCs w:val="21"/>
              </w:rPr>
              <w:t>管理者后台登录即可查看学校的信息化教学应用情况，综合评估出信息化指数，每日更新，并与月均值、全省均值进行对比，方便管理者快速了解信息化教学进展。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036" w:type="dxa"/>
            <w:vMerge w:val="restart"/>
            <w:vAlign w:val="center"/>
          </w:tcPr>
          <w:p>
            <w:pPr>
              <w:jc w:val="center"/>
              <w:rPr>
                <w:rFonts w:ascii="Calibri" w:hAnsi="Calibri"/>
                <w:color w:val="000000" w:themeColor="text1"/>
                <w:szCs w:val="22"/>
              </w:rPr>
            </w:pPr>
            <w:r>
              <w:rPr>
                <w:rFonts w:hint="eastAsia" w:ascii="Calibri" w:hAnsi="Calibri"/>
                <w:color w:val="000000" w:themeColor="text1"/>
                <w:szCs w:val="22"/>
              </w:rPr>
              <w:t>质保服务</w:t>
            </w:r>
          </w:p>
        </w:tc>
        <w:tc>
          <w:tcPr>
            <w:tcW w:w="7428" w:type="dxa"/>
          </w:tcPr>
          <w:p>
            <w:pPr>
              <w:rPr>
                <w:rFonts w:ascii="Calibri" w:hAnsi="Calibri"/>
                <w:color w:val="000000" w:themeColor="text1"/>
                <w:szCs w:val="21"/>
              </w:rPr>
            </w:pPr>
            <w:r>
              <w:rPr>
                <w:rFonts w:hint="eastAsia" w:ascii="Calibri" w:hAnsi="Calibri"/>
                <w:color w:val="000000" w:themeColor="text1"/>
                <w:szCs w:val="21"/>
              </w:rPr>
              <w:t>提供原厂商3年免费服务，在售后服务期内，电话响应、现场支持、故障备件更换、软件升级等不需另行付费；要求设备原厂商工程师提供现场产品培训。</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25" w:hRule="atLeast"/>
        </w:trPr>
        <w:tc>
          <w:tcPr>
            <w:tcW w:w="2036" w:type="dxa"/>
            <w:vMerge w:val="continue"/>
          </w:tcPr>
          <w:p>
            <w:pPr>
              <w:rPr>
                <w:rFonts w:ascii="Calibri" w:hAnsi="Calibri"/>
                <w:color w:val="000000" w:themeColor="text1"/>
                <w:szCs w:val="22"/>
              </w:rPr>
            </w:pPr>
          </w:p>
        </w:tc>
        <w:tc>
          <w:tcPr>
            <w:tcW w:w="7428" w:type="dxa"/>
          </w:tcPr>
          <w:p>
            <w:pPr>
              <w:rPr>
                <w:rFonts w:ascii="Calibri" w:hAnsi="Calibri"/>
                <w:color w:val="000000" w:themeColor="text1"/>
                <w:szCs w:val="21"/>
              </w:rPr>
            </w:pPr>
            <w:r>
              <w:rPr>
                <w:rFonts w:hint="eastAsia" w:ascii="Calibri" w:hAnsi="Calibri"/>
                <w:color w:val="000000" w:themeColor="text1"/>
                <w:szCs w:val="21"/>
              </w:rPr>
              <w:t>▲中标后签定合同前提供原厂商针对本项目的质保函原件</w:t>
            </w:r>
          </w:p>
        </w:tc>
      </w:tr>
    </w:tbl>
    <w:p>
      <w:pPr>
        <w:rPr>
          <w:color w:val="000000" w:themeColor="text1"/>
          <w:szCs w:val="21"/>
        </w:rPr>
      </w:pPr>
    </w:p>
    <w:p>
      <w:pPr>
        <w:numPr>
          <w:ilvl w:val="0"/>
          <w:numId w:val="14"/>
        </w:numPr>
        <w:rPr>
          <w:color w:val="000000" w:themeColor="text1"/>
          <w:szCs w:val="21"/>
        </w:rPr>
      </w:pPr>
      <w:r>
        <w:rPr>
          <w:rFonts w:hint="eastAsia"/>
          <w:color w:val="000000" w:themeColor="text1"/>
          <w:szCs w:val="21"/>
        </w:rPr>
        <w:t>多功能讲台桌</w:t>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987"/>
        <w:gridCol w:w="729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009" w:type="dxa"/>
            <w:vAlign w:val="center"/>
          </w:tcPr>
          <w:p>
            <w:pPr>
              <w:jc w:val="center"/>
              <w:rPr>
                <w:color w:val="000000" w:themeColor="text1"/>
              </w:rPr>
            </w:pPr>
            <w:r>
              <w:rPr>
                <w:rFonts w:hint="eastAsia" w:ascii="宋体" w:hAnsi="宋体" w:cs="宋体"/>
                <w:color w:val="000000" w:themeColor="text1"/>
                <w:sz w:val="18"/>
                <w:szCs w:val="18"/>
              </w:rPr>
              <w:t>项目</w:t>
            </w:r>
          </w:p>
        </w:tc>
        <w:tc>
          <w:tcPr>
            <w:tcW w:w="7387" w:type="dxa"/>
            <w:vAlign w:val="center"/>
          </w:tcPr>
          <w:p>
            <w:pPr>
              <w:spacing w:line="440" w:lineRule="exact"/>
              <w:jc w:val="center"/>
              <w:rPr>
                <w:rFonts w:ascii="宋体" w:hAnsi="宋体" w:cs="宋体"/>
                <w:color w:val="000000" w:themeColor="text1"/>
                <w:sz w:val="18"/>
                <w:szCs w:val="18"/>
              </w:rPr>
            </w:pPr>
            <w:r>
              <w:rPr>
                <w:rFonts w:hint="eastAsia" w:ascii="宋体" w:hAnsi="宋体" w:cs="宋体"/>
                <w:color w:val="000000" w:themeColor="text1"/>
                <w:sz w:val="18"/>
                <w:szCs w:val="18"/>
              </w:rPr>
              <w:t>参数要求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009" w:type="dxa"/>
          </w:tcPr>
          <w:p>
            <w:pPr>
              <w:rPr>
                <w:rFonts w:ascii="宋体" w:hAnsi="宋体" w:cs="宋体"/>
                <w:color w:val="000000" w:themeColor="text1"/>
                <w:sz w:val="18"/>
                <w:szCs w:val="18"/>
              </w:rPr>
            </w:pPr>
            <w:r>
              <w:rPr>
                <w:rFonts w:hint="eastAsia" w:ascii="宋体" w:hAnsi="宋体" w:cs="宋体"/>
                <w:color w:val="000000" w:themeColor="text1"/>
                <w:sz w:val="18"/>
                <w:szCs w:val="18"/>
              </w:rPr>
              <w:t>整体结构及要求</w:t>
            </w:r>
          </w:p>
        </w:tc>
        <w:tc>
          <w:tcPr>
            <w:tcW w:w="7387" w:type="dxa"/>
          </w:tcPr>
          <w:p>
            <w:pPr>
              <w:spacing w:line="440" w:lineRule="exact"/>
              <w:jc w:val="left"/>
              <w:rPr>
                <w:rFonts w:ascii="宋体" w:hAnsi="宋体" w:cs="宋体"/>
                <w:color w:val="000000" w:themeColor="text1"/>
                <w:sz w:val="18"/>
                <w:szCs w:val="18"/>
              </w:rPr>
            </w:pPr>
            <w:r>
              <w:rPr>
                <w:rFonts w:hint="eastAsia" w:ascii="宋体" w:hAnsi="宋体" w:cs="宋体"/>
                <w:color w:val="000000" w:themeColor="text1"/>
                <w:sz w:val="18"/>
                <w:szCs w:val="18"/>
              </w:rPr>
              <w:t>（1）材料采用优质冷轧板，钢板厚度支架为净厚≥1.5mm，其他钢板为≥1.0mm，台面25mm厚，采用优质E1级名牌防火板贴面；</w:t>
            </w:r>
          </w:p>
          <w:p>
            <w:pPr>
              <w:spacing w:line="440" w:lineRule="exact"/>
              <w:jc w:val="left"/>
              <w:rPr>
                <w:rFonts w:ascii="宋体" w:hAnsi="宋体" w:cs="宋体"/>
                <w:color w:val="000000" w:themeColor="text1"/>
                <w:sz w:val="18"/>
                <w:szCs w:val="18"/>
              </w:rPr>
            </w:pPr>
            <w:r>
              <w:rPr>
                <w:rFonts w:hint="eastAsia" w:ascii="宋体" w:hAnsi="宋体" w:cs="宋体"/>
                <w:color w:val="000000" w:themeColor="text1"/>
                <w:sz w:val="18"/>
                <w:szCs w:val="18"/>
              </w:rPr>
              <w:t>（2）讲台采用一钥匙通用，方便设备的操作和维护；</w:t>
            </w:r>
          </w:p>
          <w:p>
            <w:pPr>
              <w:spacing w:line="440" w:lineRule="exact"/>
              <w:jc w:val="left"/>
              <w:rPr>
                <w:rFonts w:ascii="宋体" w:hAnsi="宋体" w:cs="宋体"/>
                <w:color w:val="000000" w:themeColor="text1"/>
                <w:sz w:val="18"/>
                <w:szCs w:val="18"/>
              </w:rPr>
            </w:pPr>
            <w:r>
              <w:rPr>
                <w:rFonts w:hint="eastAsia" w:ascii="宋体" w:hAnsi="宋体" w:cs="宋体"/>
                <w:color w:val="000000" w:themeColor="text1"/>
                <w:sz w:val="18"/>
                <w:szCs w:val="18"/>
              </w:rPr>
              <w:t>（</w:t>
            </w:r>
            <w:r>
              <w:rPr>
                <w:rFonts w:ascii="宋体" w:hAnsi="宋体" w:cs="宋体"/>
                <w:color w:val="000000" w:themeColor="text1"/>
                <w:sz w:val="18"/>
                <w:szCs w:val="18"/>
              </w:rPr>
              <w:t>3</w:t>
            </w:r>
            <w:r>
              <w:rPr>
                <w:rFonts w:hint="eastAsia" w:ascii="宋体" w:hAnsi="宋体" w:cs="宋体"/>
                <w:color w:val="000000" w:themeColor="text1"/>
                <w:sz w:val="18"/>
                <w:szCs w:val="18"/>
              </w:rPr>
              <w:t>）讲台采用全隐藏式消声精密钢珠滑轨（“DTC”三级加厚滑轨、缓冲铰链），确保足够的承重；</w:t>
            </w:r>
          </w:p>
          <w:p>
            <w:pPr>
              <w:spacing w:line="440" w:lineRule="exact"/>
              <w:jc w:val="left"/>
              <w:rPr>
                <w:rFonts w:ascii="宋体" w:hAnsi="宋体" w:cs="宋体"/>
                <w:color w:val="000000" w:themeColor="text1"/>
                <w:sz w:val="18"/>
                <w:szCs w:val="18"/>
              </w:rPr>
            </w:pPr>
            <w:r>
              <w:rPr>
                <w:rFonts w:hint="eastAsia" w:ascii="宋体" w:hAnsi="宋体" w:cs="宋体"/>
                <w:color w:val="000000" w:themeColor="text1"/>
                <w:sz w:val="18"/>
                <w:szCs w:val="18"/>
              </w:rPr>
              <w:t>（4）桌边、角采用平滑过渡，去毛刺，防止学员碰撞；</w:t>
            </w:r>
          </w:p>
          <w:p>
            <w:pPr>
              <w:spacing w:line="440" w:lineRule="exact"/>
              <w:jc w:val="left"/>
              <w:rPr>
                <w:rFonts w:ascii="宋体" w:hAnsi="宋体" w:cs="宋体"/>
                <w:color w:val="000000" w:themeColor="text1"/>
                <w:sz w:val="18"/>
                <w:szCs w:val="18"/>
              </w:rPr>
            </w:pPr>
            <w:r>
              <w:rPr>
                <w:rFonts w:hint="eastAsia" w:ascii="宋体" w:hAnsi="宋体" w:cs="宋体"/>
                <w:color w:val="000000" w:themeColor="text1"/>
                <w:sz w:val="18"/>
                <w:szCs w:val="18"/>
              </w:rPr>
              <w:t>（5）采用整体磷化及静电喷塑处理符合国家环保要求。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jc w:val="center"/>
        </w:trPr>
        <w:tc>
          <w:tcPr>
            <w:tcW w:w="2009" w:type="dxa"/>
          </w:tcPr>
          <w:p>
            <w:pPr>
              <w:rPr>
                <w:color w:val="000000" w:themeColor="text1"/>
              </w:rPr>
            </w:pPr>
            <w:r>
              <w:rPr>
                <w:rFonts w:hint="eastAsia" w:ascii="宋体" w:hAnsi="宋体" w:cs="宋体"/>
                <w:color w:val="000000" w:themeColor="text1"/>
                <w:sz w:val="18"/>
                <w:szCs w:val="18"/>
              </w:rPr>
              <w:t>基本尺寸</w:t>
            </w:r>
          </w:p>
        </w:tc>
        <w:tc>
          <w:tcPr>
            <w:tcW w:w="7387" w:type="dxa"/>
          </w:tcPr>
          <w:p>
            <w:pPr>
              <w:snapToGrid w:val="0"/>
              <w:spacing w:line="330" w:lineRule="exact"/>
              <w:rPr>
                <w:rFonts w:ascii="宋体" w:hAnsi="宋体" w:cs="宋体"/>
                <w:color w:val="000000" w:themeColor="text1"/>
                <w:sz w:val="18"/>
                <w:szCs w:val="18"/>
              </w:rPr>
            </w:pPr>
            <w:r>
              <w:rPr>
                <w:rFonts w:hint="eastAsia" w:ascii="宋体" w:hAnsi="宋体" w:cs="宋体"/>
                <w:color w:val="000000" w:themeColor="text1"/>
                <w:sz w:val="18"/>
                <w:szCs w:val="18"/>
              </w:rPr>
              <w:t>定制1600*740*900mm钢木结构全封闭，</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jc w:val="center"/>
        </w:trPr>
        <w:tc>
          <w:tcPr>
            <w:tcW w:w="2009" w:type="dxa"/>
          </w:tcPr>
          <w:p>
            <w:pPr>
              <w:rPr>
                <w:color w:val="000000" w:themeColor="text1"/>
              </w:rPr>
            </w:pPr>
            <w:r>
              <w:rPr>
                <w:rFonts w:hint="eastAsia" w:ascii="宋体" w:hAnsi="宋体" w:cs="宋体"/>
                <w:color w:val="000000" w:themeColor="text1"/>
                <w:sz w:val="18"/>
                <w:szCs w:val="18"/>
              </w:rPr>
              <w:t>讲台桌图片中须更改的配置（图片附后）</w:t>
            </w:r>
          </w:p>
        </w:tc>
        <w:tc>
          <w:tcPr>
            <w:tcW w:w="7387" w:type="dxa"/>
          </w:tcPr>
          <w:p>
            <w:pPr>
              <w:snapToGrid w:val="0"/>
              <w:spacing w:line="330" w:lineRule="exact"/>
              <w:rPr>
                <w:rFonts w:ascii="宋体" w:hAnsi="宋体" w:cs="宋体"/>
                <w:color w:val="000000" w:themeColor="text1"/>
                <w:sz w:val="18"/>
                <w:szCs w:val="18"/>
              </w:rPr>
            </w:pPr>
            <w:r>
              <w:rPr>
                <w:rFonts w:hint="eastAsia" w:ascii="宋体" w:hAnsi="宋体" w:cs="宋体"/>
                <w:color w:val="000000" w:themeColor="text1"/>
                <w:sz w:val="18"/>
                <w:szCs w:val="18"/>
              </w:rPr>
              <w:t>（1）讲台硬原木左右扶手和硬原木后护框；</w:t>
            </w:r>
          </w:p>
          <w:p>
            <w:pPr>
              <w:snapToGrid w:val="0"/>
              <w:spacing w:line="330" w:lineRule="exact"/>
              <w:rPr>
                <w:rFonts w:ascii="宋体" w:hAnsi="宋体" w:cs="宋体"/>
                <w:color w:val="000000" w:themeColor="text1"/>
                <w:sz w:val="18"/>
                <w:szCs w:val="18"/>
              </w:rPr>
            </w:pPr>
            <w:r>
              <w:rPr>
                <w:rFonts w:hint="eastAsia" w:ascii="宋体" w:hAnsi="宋体" w:cs="宋体"/>
                <w:color w:val="000000" w:themeColor="text1"/>
                <w:sz w:val="18"/>
                <w:szCs w:val="18"/>
              </w:rPr>
              <w:t>（2）讲台右下侧配置2套19寸机柜安装架，左边配档板1张,右边配档板2张，8位pdu插座1套；</w:t>
            </w:r>
          </w:p>
          <w:p>
            <w:pPr>
              <w:snapToGrid w:val="0"/>
              <w:spacing w:line="330" w:lineRule="exact"/>
              <w:rPr>
                <w:rFonts w:ascii="宋体" w:hAnsi="宋体" w:cs="宋体"/>
                <w:color w:val="000000" w:themeColor="text1"/>
                <w:sz w:val="18"/>
                <w:szCs w:val="18"/>
              </w:rPr>
            </w:pPr>
            <w:r>
              <w:rPr>
                <w:rFonts w:hint="eastAsia" w:ascii="宋体" w:hAnsi="宋体" w:cs="宋体"/>
                <w:color w:val="000000" w:themeColor="text1"/>
                <w:sz w:val="18"/>
                <w:szCs w:val="18"/>
              </w:rPr>
              <w:t>（3）取消显示器位置及视频展示台结构；</w:t>
            </w:r>
          </w:p>
          <w:p>
            <w:pPr>
              <w:snapToGrid w:val="0"/>
              <w:spacing w:line="330" w:lineRule="exact"/>
              <w:rPr>
                <w:rFonts w:ascii="宋体" w:hAnsi="宋体" w:cs="宋体"/>
                <w:color w:val="000000" w:themeColor="text1"/>
                <w:sz w:val="18"/>
                <w:szCs w:val="18"/>
              </w:rPr>
            </w:pPr>
            <w:r>
              <w:rPr>
                <w:rFonts w:hint="eastAsia" w:ascii="宋体" w:hAnsi="宋体" w:cs="宋体"/>
                <w:color w:val="000000" w:themeColor="text1"/>
                <w:sz w:val="18"/>
                <w:szCs w:val="18"/>
              </w:rPr>
              <w:t>（4）中控的盒子安装位置更改为讲台左上角，中控的盒子选择全铝合金翻盖式毛刷多功能/多媒体桌面插座（两个5孔电源，一个VGA接口，一个HDMI接口，一个3.5音频接口，一个2.0USB接口，一个网口），具体见图片，其中的5孔插座为新国标（孔内带防儿童挡板）。讲台台面外选择合适的位置安装一套施耐德天鑫系列Easy9系列全金属8位配电箱1套，配施耐德MGNEA9C45C1630C、EA9X310与EA9X210各1个，安装位置应满足方便操作和维护；</w:t>
            </w:r>
          </w:p>
          <w:p>
            <w:pPr>
              <w:snapToGrid w:val="0"/>
              <w:spacing w:line="330" w:lineRule="exact"/>
              <w:rPr>
                <w:rFonts w:ascii="宋体" w:hAnsi="宋体" w:cs="宋体"/>
                <w:color w:val="000000" w:themeColor="text1"/>
                <w:sz w:val="18"/>
                <w:szCs w:val="18"/>
              </w:rPr>
            </w:pPr>
            <w:r>
              <w:rPr>
                <w:rFonts w:hint="eastAsia" w:ascii="宋体" w:hAnsi="宋体" w:cs="宋体"/>
                <w:color w:val="000000" w:themeColor="text1"/>
                <w:sz w:val="18"/>
                <w:szCs w:val="18"/>
              </w:rPr>
              <w:t>（5）在桌面的合适位置安装镶嵌入录播交互控制面板</w:t>
            </w:r>
          </w:p>
          <w:p>
            <w:pPr>
              <w:snapToGrid w:val="0"/>
              <w:spacing w:line="330" w:lineRule="exact"/>
              <w:rPr>
                <w:rFonts w:ascii="宋体" w:hAnsi="宋体" w:cs="宋体"/>
                <w:color w:val="000000" w:themeColor="text1"/>
                <w:sz w:val="18"/>
                <w:szCs w:val="18"/>
              </w:rPr>
            </w:pPr>
            <w:r>
              <w:rPr>
                <w:rFonts w:hint="eastAsia" w:ascii="宋体" w:hAnsi="宋体" w:cs="宋体"/>
                <w:color w:val="000000" w:themeColor="text1"/>
                <w:sz w:val="18"/>
                <w:szCs w:val="18"/>
              </w:rPr>
              <w:t>（6）机柜门改对开门和单扇门；</w:t>
            </w:r>
          </w:p>
          <w:p>
            <w:pPr>
              <w:snapToGrid w:val="0"/>
              <w:spacing w:line="330" w:lineRule="exact"/>
              <w:rPr>
                <w:rFonts w:ascii="宋体" w:hAnsi="宋体" w:cs="宋体"/>
                <w:color w:val="000000" w:themeColor="text1"/>
                <w:sz w:val="18"/>
                <w:szCs w:val="18"/>
              </w:rPr>
            </w:pPr>
            <w:r>
              <w:rPr>
                <w:rFonts w:hint="eastAsia" w:ascii="宋体" w:hAnsi="宋体" w:cs="宋体"/>
                <w:color w:val="000000" w:themeColor="text1"/>
                <w:sz w:val="18"/>
                <w:szCs w:val="18"/>
              </w:rPr>
              <w:t>（7）柜体靠门这边缩进150mm，柜体宽度为590mm；</w:t>
            </w:r>
          </w:p>
          <w:p>
            <w:pPr>
              <w:snapToGrid w:val="0"/>
              <w:spacing w:line="330" w:lineRule="exact"/>
              <w:rPr>
                <w:color w:val="000000" w:themeColor="text1"/>
              </w:rPr>
            </w:pPr>
            <w:r>
              <w:rPr>
                <w:rFonts w:hint="eastAsia" w:ascii="宋体" w:hAnsi="宋体" w:cs="宋体"/>
                <w:color w:val="000000" w:themeColor="text1"/>
                <w:sz w:val="18"/>
                <w:szCs w:val="18"/>
              </w:rPr>
              <w:t>（8）部分参考下面设计图纸</w:t>
            </w:r>
          </w:p>
        </w:tc>
      </w:tr>
    </w:tbl>
    <w:p>
      <w:pPr>
        <w:ind w:firstLine="201" w:firstLineChars="100"/>
        <w:jc w:val="center"/>
        <w:rPr>
          <w:rFonts w:ascii="宋体" w:hAnsi="宋体" w:cs="仿宋"/>
          <w:b/>
          <w:bCs/>
          <w:color w:val="000000" w:themeColor="text1"/>
          <w:sz w:val="24"/>
        </w:rPr>
      </w:pPr>
      <w:r>
        <w:rPr>
          <w:rFonts w:hint="eastAsia" w:ascii="宋体" w:hAnsi="宋体" w:cs="仿宋"/>
          <w:b/>
          <w:bCs/>
          <w:color w:val="000000" w:themeColor="text1"/>
          <w:kern w:val="0"/>
          <w:sz w:val="20"/>
          <w:szCs w:val="20"/>
        </w:rPr>
        <w:t>讲台参考图片</w:t>
      </w:r>
    </w:p>
    <w:p>
      <w:pPr>
        <w:ind w:firstLine="241" w:firstLineChars="100"/>
        <w:rPr>
          <w:rFonts w:ascii="仿宋" w:hAnsi="仿宋" w:eastAsia="仿宋" w:cs="仿宋"/>
          <w:b/>
          <w:color w:val="000000" w:themeColor="text1"/>
          <w:sz w:val="24"/>
        </w:rPr>
      </w:pPr>
      <w:r>
        <w:rPr>
          <w:rFonts w:ascii="仿宋" w:hAnsi="仿宋" w:eastAsia="仿宋" w:cs="仿宋"/>
          <w:b/>
          <w:color w:val="000000" w:themeColor="text1"/>
          <w:sz w:val="24"/>
        </w:rPr>
        <w:drawing>
          <wp:inline distT="0" distB="0" distL="0" distR="0">
            <wp:extent cx="5335270" cy="4039235"/>
            <wp:effectExtent l="19050" t="0" r="0" b="0"/>
            <wp:docPr id="57" name="图片 1" descr="d0f5cbc4875d7ffda80f5b799540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d0f5cbc4875d7ffda80f5b7995400e1"/>
                    <pic:cNvPicPr>
                      <a:picLocks noChangeAspect="1" noChangeArrowheads="1"/>
                    </pic:cNvPicPr>
                  </pic:nvPicPr>
                  <pic:blipFill>
                    <a:blip r:embed="rId139"/>
                    <a:srcRect l="16171" b="-967"/>
                    <a:stretch>
                      <a:fillRect/>
                    </a:stretch>
                  </pic:blipFill>
                  <pic:spPr>
                    <a:xfrm>
                      <a:off x="0" y="0"/>
                      <a:ext cx="5335270" cy="4039235"/>
                    </a:xfrm>
                    <a:prstGeom prst="rect">
                      <a:avLst/>
                    </a:prstGeom>
                    <a:noFill/>
                    <a:ln w="9525" cmpd="sng">
                      <a:noFill/>
                      <a:miter lim="800000"/>
                      <a:headEnd/>
                      <a:tailEnd/>
                    </a:ln>
                  </pic:spPr>
                </pic:pic>
              </a:graphicData>
            </a:graphic>
          </wp:inline>
        </w:drawing>
      </w:r>
    </w:p>
    <w:p>
      <w:pPr>
        <w:ind w:firstLine="201" w:firstLineChars="100"/>
        <w:jc w:val="center"/>
        <w:rPr>
          <w:rFonts w:ascii="宋体" w:hAnsi="宋体" w:cs="仿宋"/>
          <w:b/>
          <w:bCs/>
          <w:color w:val="000000" w:themeColor="text1"/>
          <w:kern w:val="0"/>
          <w:sz w:val="20"/>
          <w:szCs w:val="20"/>
        </w:rPr>
      </w:pPr>
    </w:p>
    <w:p>
      <w:pPr>
        <w:ind w:firstLine="201" w:firstLineChars="100"/>
        <w:jc w:val="center"/>
        <w:rPr>
          <w:rFonts w:ascii="宋体" w:hAnsi="宋体" w:cs="仿宋"/>
          <w:b/>
          <w:bCs/>
          <w:color w:val="000000" w:themeColor="text1"/>
          <w:kern w:val="0"/>
          <w:sz w:val="20"/>
          <w:szCs w:val="20"/>
        </w:rPr>
      </w:pPr>
      <w:r>
        <w:rPr>
          <w:rFonts w:hint="eastAsia" w:ascii="宋体" w:hAnsi="宋体" w:cs="仿宋"/>
          <w:b/>
          <w:bCs/>
          <w:color w:val="000000" w:themeColor="text1"/>
          <w:kern w:val="0"/>
          <w:sz w:val="20"/>
          <w:szCs w:val="20"/>
        </w:rPr>
        <w:t>多媒体桌面插座参考图片</w:t>
      </w:r>
    </w:p>
    <w:p>
      <w:pPr>
        <w:ind w:firstLine="201" w:firstLineChars="100"/>
        <w:jc w:val="center"/>
        <w:rPr>
          <w:rFonts w:ascii="宋体" w:hAnsi="宋体" w:cs="仿宋"/>
          <w:b/>
          <w:bCs/>
          <w:color w:val="000000" w:themeColor="text1"/>
          <w:kern w:val="0"/>
          <w:sz w:val="20"/>
          <w:szCs w:val="20"/>
        </w:rPr>
      </w:pPr>
    </w:p>
    <w:p>
      <w:pPr>
        <w:ind w:firstLine="241" w:firstLineChars="100"/>
        <w:rPr>
          <w:rFonts w:ascii="仿宋" w:hAnsi="仿宋" w:eastAsia="仿宋" w:cs="仿宋"/>
          <w:b/>
          <w:color w:val="000000" w:themeColor="text1"/>
          <w:sz w:val="24"/>
        </w:rPr>
      </w:pPr>
      <w:r>
        <w:rPr>
          <w:rFonts w:hint="eastAsia" w:ascii="仿宋" w:hAnsi="仿宋" w:eastAsia="仿宋" w:cs="仿宋"/>
          <w:b/>
          <w:color w:val="000000" w:themeColor="text1"/>
          <w:sz w:val="24"/>
        </w:rPr>
        <w:drawing>
          <wp:inline distT="0" distB="0" distL="0" distR="0">
            <wp:extent cx="5756910" cy="3585845"/>
            <wp:effectExtent l="19050" t="0" r="0" b="0"/>
            <wp:docPr id="58" name="图片 10" descr="7a6260785434780c19743e7639a5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descr="7a6260785434780c19743e7639a5fe9"/>
                    <pic:cNvPicPr>
                      <a:picLocks noChangeAspect="1" noChangeArrowheads="1"/>
                    </pic:cNvPicPr>
                  </pic:nvPicPr>
                  <pic:blipFill>
                    <a:blip r:embed="rId140"/>
                    <a:srcRect/>
                    <a:stretch>
                      <a:fillRect/>
                    </a:stretch>
                  </pic:blipFill>
                  <pic:spPr>
                    <a:xfrm>
                      <a:off x="0" y="0"/>
                      <a:ext cx="5756910" cy="3585845"/>
                    </a:xfrm>
                    <a:prstGeom prst="rect">
                      <a:avLst/>
                    </a:prstGeom>
                    <a:noFill/>
                    <a:ln w="9525" cmpd="sng">
                      <a:noFill/>
                      <a:miter lim="800000"/>
                      <a:headEnd/>
                      <a:tailEnd/>
                    </a:ln>
                  </pic:spPr>
                </pic:pic>
              </a:graphicData>
            </a:graphic>
          </wp:inline>
        </w:drawing>
      </w:r>
    </w:p>
    <w:p>
      <w:pPr>
        <w:pStyle w:val="3"/>
        <w:ind w:left="5250"/>
        <w:rPr>
          <w:color w:val="000000" w:themeColor="text1"/>
        </w:rPr>
      </w:pPr>
    </w:p>
    <w:p>
      <w:pPr>
        <w:ind w:firstLine="200" w:firstLineChars="100"/>
        <w:rPr>
          <w:rFonts w:ascii="宋体" w:hAnsi="宋体" w:cs="宋体"/>
          <w:color w:val="000000" w:themeColor="text1"/>
          <w:kern w:val="0"/>
          <w:sz w:val="20"/>
          <w:szCs w:val="20"/>
        </w:rPr>
      </w:pPr>
      <w:r>
        <w:rPr>
          <w:rFonts w:hint="eastAsia" w:ascii="宋体" w:hAnsi="宋体" w:cs="宋体"/>
          <w:color w:val="000000" w:themeColor="text1"/>
          <w:kern w:val="0"/>
          <w:sz w:val="20"/>
          <w:szCs w:val="20"/>
        </w:rPr>
        <w:t>（</w:t>
      </w:r>
      <w:r>
        <w:rPr>
          <w:rFonts w:ascii="宋体" w:hAnsi="宋体" w:cs="宋体"/>
          <w:color w:val="000000" w:themeColor="text1"/>
          <w:kern w:val="0"/>
          <w:sz w:val="20"/>
          <w:szCs w:val="20"/>
        </w:rPr>
        <w:t>3</w:t>
      </w:r>
      <w:r>
        <w:rPr>
          <w:rFonts w:hint="eastAsia" w:ascii="宋体" w:hAnsi="宋体" w:cs="宋体"/>
          <w:color w:val="000000" w:themeColor="text1"/>
          <w:kern w:val="0"/>
          <w:sz w:val="20"/>
          <w:szCs w:val="20"/>
        </w:rPr>
        <w:t>）教师电脑</w:t>
      </w:r>
    </w:p>
    <w:tbl>
      <w:tblPr>
        <w:tblStyle w:val="36"/>
        <w:tblW w:w="9585" w:type="dxa"/>
        <w:tblInd w:w="84" w:type="dxa"/>
        <w:tblLayout w:type="fixed"/>
        <w:tblCellMar>
          <w:top w:w="0" w:type="dxa"/>
          <w:left w:w="108" w:type="dxa"/>
          <w:bottom w:w="0" w:type="dxa"/>
          <w:right w:w="108" w:type="dxa"/>
        </w:tblCellMar>
      </w:tblPr>
      <w:tblGrid>
        <w:gridCol w:w="2009"/>
        <w:gridCol w:w="7576"/>
      </w:tblGrid>
      <w:tr>
        <w:tblPrEx>
          <w:tblCellMar>
            <w:top w:w="0" w:type="dxa"/>
            <w:left w:w="108" w:type="dxa"/>
            <w:bottom w:w="0" w:type="dxa"/>
            <w:right w:w="108" w:type="dxa"/>
          </w:tblCellMar>
        </w:tblPrEx>
        <w:trPr>
          <w:trHeight w:val="290" w:hRule="atLeast"/>
        </w:trPr>
        <w:tc>
          <w:tcPr>
            <w:tcW w:w="20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rPr>
            </w:pPr>
            <w:r>
              <w:rPr>
                <w:rFonts w:hint="eastAsia" w:ascii="宋体" w:hAnsi="宋体" w:cs="宋体"/>
                <w:color w:val="000000" w:themeColor="text1"/>
                <w:szCs w:val="21"/>
              </w:rPr>
              <w:t>项目</w:t>
            </w:r>
          </w:p>
        </w:tc>
        <w:tc>
          <w:tcPr>
            <w:tcW w:w="75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rPr>
            </w:pPr>
            <w:r>
              <w:rPr>
                <w:rFonts w:hint="eastAsia" w:ascii="宋体" w:hAnsi="宋体" w:cs="宋体"/>
                <w:color w:val="000000" w:themeColor="text1"/>
                <w:szCs w:val="21"/>
              </w:rPr>
              <w:t>参数要求</w:t>
            </w:r>
          </w:p>
        </w:tc>
      </w:tr>
      <w:tr>
        <w:tblPrEx>
          <w:tblCellMar>
            <w:top w:w="0" w:type="dxa"/>
            <w:left w:w="108" w:type="dxa"/>
            <w:bottom w:w="0" w:type="dxa"/>
            <w:right w:w="108" w:type="dxa"/>
          </w:tblCellMar>
        </w:tblPrEx>
        <w:trPr>
          <w:trHeight w:val="29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主板</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color w:val="000000" w:themeColor="text1"/>
                <w:szCs w:val="21"/>
              </w:rPr>
            </w:pPr>
            <w:r>
              <w:rPr>
                <w:rFonts w:hint="eastAsia" w:ascii="宋体" w:hAnsi="宋体" w:cs="宋体"/>
                <w:color w:val="000000" w:themeColor="text1"/>
                <w:szCs w:val="21"/>
              </w:rPr>
              <w:t xml:space="preserve">Intel </w:t>
            </w:r>
            <w:r>
              <w:rPr>
                <w:rFonts w:hint="eastAsia" w:ascii="宋体" w:hAnsi="宋体"/>
                <w:color w:val="000000" w:themeColor="text1"/>
                <w:szCs w:val="21"/>
              </w:rPr>
              <w:t>460主板及以上</w:t>
            </w:r>
          </w:p>
        </w:tc>
      </w:tr>
      <w:tr>
        <w:tblPrEx>
          <w:tblCellMar>
            <w:top w:w="0" w:type="dxa"/>
            <w:left w:w="108" w:type="dxa"/>
            <w:bottom w:w="0" w:type="dxa"/>
            <w:right w:w="108" w:type="dxa"/>
          </w:tblCellMar>
        </w:tblPrEx>
        <w:trPr>
          <w:trHeight w:val="29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▲处理器</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color w:val="000000" w:themeColor="text1"/>
                <w:szCs w:val="21"/>
              </w:rPr>
            </w:pPr>
            <w:r>
              <w:rPr>
                <w:rFonts w:hint="eastAsia" w:ascii="宋体" w:hAnsi="宋体" w:cs="宋体"/>
                <w:color w:val="000000" w:themeColor="text1"/>
                <w:szCs w:val="21"/>
              </w:rPr>
              <w:t>≥New Core i</w:t>
            </w:r>
            <w:r>
              <w:rPr>
                <w:rFonts w:ascii="宋体" w:hAnsi="宋体" w:cs="宋体"/>
                <w:color w:val="000000" w:themeColor="text1"/>
                <w:szCs w:val="21"/>
              </w:rPr>
              <w:t>5</w:t>
            </w:r>
            <w:r>
              <w:rPr>
                <w:rFonts w:hint="eastAsia" w:ascii="宋体" w:hAnsi="宋体" w:cs="宋体"/>
                <w:color w:val="000000" w:themeColor="text1"/>
                <w:szCs w:val="21"/>
              </w:rPr>
              <w:t>-10</w:t>
            </w:r>
            <w:r>
              <w:rPr>
                <w:rFonts w:ascii="宋体" w:hAnsi="宋体" w:cs="宋体"/>
                <w:color w:val="000000" w:themeColor="text1"/>
                <w:szCs w:val="21"/>
              </w:rPr>
              <w:t>5</w:t>
            </w:r>
            <w:r>
              <w:rPr>
                <w:rFonts w:hint="eastAsia" w:ascii="宋体" w:hAnsi="宋体" w:cs="宋体"/>
                <w:color w:val="000000" w:themeColor="text1"/>
                <w:szCs w:val="21"/>
              </w:rPr>
              <w:t>00处理器</w:t>
            </w:r>
          </w:p>
        </w:tc>
      </w:tr>
      <w:tr>
        <w:tblPrEx>
          <w:tblCellMar>
            <w:top w:w="0" w:type="dxa"/>
            <w:left w:w="108" w:type="dxa"/>
            <w:bottom w:w="0" w:type="dxa"/>
            <w:right w:w="108" w:type="dxa"/>
          </w:tblCellMar>
        </w:tblPrEx>
        <w:trPr>
          <w:trHeight w:val="29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▲系统内存</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color w:val="000000" w:themeColor="text1"/>
                <w:szCs w:val="21"/>
              </w:rPr>
            </w:pPr>
            <w:r>
              <w:rPr>
                <w:rFonts w:hint="eastAsia" w:ascii="宋体" w:hAnsi="宋体" w:cs="宋体"/>
                <w:color w:val="000000" w:themeColor="text1"/>
                <w:szCs w:val="21"/>
              </w:rPr>
              <w:t>≥8GB DDR4-2400，内存</w:t>
            </w:r>
          </w:p>
        </w:tc>
      </w:tr>
      <w:tr>
        <w:tblPrEx>
          <w:tblCellMar>
            <w:top w:w="0" w:type="dxa"/>
            <w:left w:w="108" w:type="dxa"/>
            <w:bottom w:w="0" w:type="dxa"/>
            <w:right w:w="108" w:type="dxa"/>
          </w:tblCellMar>
        </w:tblPrEx>
        <w:trPr>
          <w:trHeight w:val="29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▲硬盘</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color w:val="000000" w:themeColor="text1"/>
                <w:szCs w:val="21"/>
              </w:rPr>
            </w:pPr>
            <w:r>
              <w:rPr>
                <w:rFonts w:hint="eastAsia" w:ascii="宋体" w:hAnsi="宋体" w:cs="宋体"/>
                <w:color w:val="000000" w:themeColor="text1"/>
                <w:szCs w:val="21"/>
              </w:rPr>
              <w:t>≥256GB M.2 2280 PCIe NVMe SSD ，预留一个机械盘位</w:t>
            </w:r>
          </w:p>
        </w:tc>
      </w:tr>
      <w:tr>
        <w:tblPrEx>
          <w:tblCellMar>
            <w:top w:w="0" w:type="dxa"/>
            <w:left w:w="108" w:type="dxa"/>
            <w:bottom w:w="0" w:type="dxa"/>
            <w:right w:w="108" w:type="dxa"/>
          </w:tblCellMar>
        </w:tblPrEx>
        <w:trPr>
          <w:trHeight w:val="29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鼠标</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color w:val="000000" w:themeColor="text1"/>
                <w:szCs w:val="21"/>
              </w:rPr>
            </w:pPr>
            <w:r>
              <w:rPr>
                <w:rFonts w:hint="eastAsia" w:ascii="宋体" w:hAnsi="宋体" w:cs="宋体"/>
                <w:color w:val="000000" w:themeColor="text1"/>
                <w:szCs w:val="21"/>
              </w:rPr>
              <w:t>原厂抗菌键盘鼠标</w:t>
            </w:r>
          </w:p>
        </w:tc>
      </w:tr>
      <w:tr>
        <w:tblPrEx>
          <w:tblCellMar>
            <w:top w:w="0" w:type="dxa"/>
            <w:left w:w="108" w:type="dxa"/>
            <w:bottom w:w="0" w:type="dxa"/>
            <w:right w:w="108" w:type="dxa"/>
          </w:tblCellMar>
        </w:tblPrEx>
        <w:trPr>
          <w:trHeight w:val="29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显卡</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color w:val="000000" w:themeColor="text1"/>
                <w:szCs w:val="21"/>
              </w:rPr>
            </w:pPr>
            <w:r>
              <w:rPr>
                <w:rFonts w:hint="eastAsia" w:ascii="宋体" w:hAnsi="宋体" w:cs="宋体"/>
                <w:color w:val="000000" w:themeColor="text1"/>
                <w:szCs w:val="21"/>
              </w:rPr>
              <w:t>集成</w:t>
            </w:r>
          </w:p>
        </w:tc>
      </w:tr>
      <w:tr>
        <w:tblPrEx>
          <w:tblCellMar>
            <w:top w:w="0" w:type="dxa"/>
            <w:left w:w="108" w:type="dxa"/>
            <w:bottom w:w="0" w:type="dxa"/>
            <w:right w:w="108" w:type="dxa"/>
          </w:tblCellMar>
        </w:tblPrEx>
        <w:trPr>
          <w:trHeight w:val="29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I/O接口</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color w:val="000000" w:themeColor="text1"/>
                <w:szCs w:val="21"/>
              </w:rPr>
            </w:pPr>
            <w:r>
              <w:rPr>
                <w:rFonts w:hint="eastAsia" w:ascii="宋体" w:hAnsi="宋体" w:cs="宋体"/>
                <w:color w:val="000000" w:themeColor="text1"/>
                <w:szCs w:val="21"/>
              </w:rPr>
              <w:t>10个USB接口(前置6个USB 3.2 G1，后置4个USB 2.0)、1组PS/2接口、1个串口、VGA+HDMI接口（VGA非转接）； </w:t>
            </w:r>
          </w:p>
        </w:tc>
      </w:tr>
      <w:tr>
        <w:tblPrEx>
          <w:tblCellMar>
            <w:top w:w="0" w:type="dxa"/>
            <w:left w:w="108" w:type="dxa"/>
            <w:bottom w:w="0" w:type="dxa"/>
            <w:right w:w="108" w:type="dxa"/>
          </w:tblCellMar>
        </w:tblPrEx>
        <w:trPr>
          <w:trHeight w:val="52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扩展槽</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hd w:val="clear" w:color="auto" w:fill="FFFFFF"/>
              <w:spacing w:line="360" w:lineRule="auto"/>
              <w:jc w:val="left"/>
              <w:rPr>
                <w:rFonts w:ascii="宋体" w:hAnsi="宋体" w:cs="宋体"/>
                <w:color w:val="000000" w:themeColor="text1"/>
                <w:szCs w:val="21"/>
              </w:rPr>
            </w:pPr>
            <w:r>
              <w:rPr>
                <w:rFonts w:hint="eastAsia" w:ascii="宋体" w:hAnsi="宋体" w:cs="宋体"/>
                <w:color w:val="000000" w:themeColor="text1"/>
                <w:szCs w:val="21"/>
              </w:rPr>
              <w:t>1个PCI-E*16、2个PCI-E*1</w:t>
            </w:r>
          </w:p>
        </w:tc>
      </w:tr>
      <w:tr>
        <w:tblPrEx>
          <w:tblCellMar>
            <w:top w:w="0" w:type="dxa"/>
            <w:left w:w="108" w:type="dxa"/>
            <w:bottom w:w="0" w:type="dxa"/>
            <w:right w:w="108" w:type="dxa"/>
          </w:tblCellMar>
        </w:tblPrEx>
        <w:trPr>
          <w:trHeight w:val="747"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同品牌商用显示器</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hd w:val="clear" w:color="auto" w:fill="FFFFFF"/>
              <w:spacing w:line="360" w:lineRule="auto"/>
              <w:jc w:val="left"/>
              <w:rPr>
                <w:rFonts w:ascii="宋体" w:hAnsi="宋体" w:cs="宋体"/>
                <w:color w:val="000000" w:themeColor="text1"/>
                <w:szCs w:val="21"/>
              </w:rPr>
            </w:pPr>
            <w:r>
              <w:rPr>
                <w:rFonts w:hint="eastAsia" w:ascii="宋体" w:hAnsi="宋体" w:cs="宋体"/>
                <w:color w:val="000000" w:themeColor="text1"/>
                <w:szCs w:val="21"/>
              </w:rPr>
              <w:t>与主机同品牌</w:t>
            </w:r>
            <w:r>
              <w:rPr>
                <w:rFonts w:ascii="宋体" w:hAnsi="宋体" w:cs="宋体"/>
                <w:color w:val="000000" w:themeColor="text1"/>
                <w:szCs w:val="21"/>
              </w:rPr>
              <w:t>23</w:t>
            </w:r>
            <w:r>
              <w:rPr>
                <w:rFonts w:hint="eastAsia" w:ascii="宋体" w:hAnsi="宋体" w:cs="宋体"/>
                <w:color w:val="000000" w:themeColor="text1"/>
                <w:szCs w:val="21"/>
              </w:rPr>
              <w:t>.</w:t>
            </w:r>
            <w:r>
              <w:rPr>
                <w:rFonts w:ascii="宋体" w:hAnsi="宋体" w:cs="宋体"/>
                <w:color w:val="000000" w:themeColor="text1"/>
                <w:szCs w:val="21"/>
              </w:rPr>
              <w:t>8</w:t>
            </w:r>
            <w:r>
              <w:rPr>
                <w:rFonts w:hint="eastAsia" w:ascii="宋体" w:hAnsi="宋体" w:cs="宋体"/>
                <w:color w:val="000000" w:themeColor="text1"/>
                <w:szCs w:val="21"/>
              </w:rPr>
              <w:t>寸"宽屏显示器</w:t>
            </w:r>
          </w:p>
        </w:tc>
      </w:tr>
      <w:tr>
        <w:tblPrEx>
          <w:tblCellMar>
            <w:top w:w="0" w:type="dxa"/>
            <w:left w:w="108" w:type="dxa"/>
            <w:bottom w:w="0" w:type="dxa"/>
            <w:right w:w="108" w:type="dxa"/>
          </w:tblCellMar>
        </w:tblPrEx>
        <w:trPr>
          <w:trHeight w:val="29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操作系统</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color w:val="000000" w:themeColor="text1"/>
                <w:szCs w:val="21"/>
              </w:rPr>
            </w:pPr>
            <w:r>
              <w:rPr>
                <w:rFonts w:hint="eastAsia" w:ascii="宋体" w:hAnsi="宋体" w:cs="宋体"/>
                <w:color w:val="000000" w:themeColor="text1"/>
                <w:szCs w:val="21"/>
              </w:rPr>
              <w:t>正版操作系统</w:t>
            </w:r>
          </w:p>
        </w:tc>
      </w:tr>
      <w:tr>
        <w:tblPrEx>
          <w:tblCellMar>
            <w:top w:w="0" w:type="dxa"/>
            <w:left w:w="108" w:type="dxa"/>
            <w:bottom w:w="0" w:type="dxa"/>
            <w:right w:w="108" w:type="dxa"/>
          </w:tblCellMar>
        </w:tblPrEx>
        <w:trPr>
          <w:trHeight w:val="52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先进设计</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color w:val="000000" w:themeColor="text1"/>
                <w:szCs w:val="21"/>
              </w:rPr>
            </w:pPr>
            <w:r>
              <w:rPr>
                <w:rFonts w:hint="eastAsia" w:ascii="宋体" w:hAnsi="宋体" w:cs="宋体"/>
                <w:color w:val="000000" w:themeColor="text1"/>
                <w:szCs w:val="21"/>
              </w:rPr>
              <w:t>标准MATX立式机箱，采用蜂窝结构，散热更为有效；</w:t>
            </w:r>
          </w:p>
          <w:p>
            <w:pPr>
              <w:spacing w:line="360" w:lineRule="auto"/>
              <w:jc w:val="left"/>
              <w:rPr>
                <w:rFonts w:ascii="宋体" w:hAnsi="宋体" w:cs="宋体"/>
                <w:color w:val="000000" w:themeColor="text1"/>
                <w:szCs w:val="21"/>
              </w:rPr>
            </w:pPr>
            <w:r>
              <w:rPr>
                <w:rFonts w:hint="eastAsia" w:ascii="宋体" w:hAnsi="宋体" w:cs="宋体"/>
                <w:color w:val="000000" w:themeColor="text1"/>
                <w:szCs w:val="21"/>
              </w:rPr>
              <w:t>强力散热风扇，能够达到有效去除细菌、降解甲醛、净化空气的效果（投标时时提供第三方检测机构的证明文件并加盖厂商公章或投标专用章）； </w:t>
            </w:r>
          </w:p>
          <w:p>
            <w:pPr>
              <w:spacing w:line="360" w:lineRule="auto"/>
              <w:jc w:val="left"/>
              <w:rPr>
                <w:rFonts w:ascii="宋体" w:hAnsi="宋体" w:cs="宋体"/>
                <w:color w:val="000000" w:themeColor="text1"/>
                <w:szCs w:val="21"/>
              </w:rPr>
            </w:pPr>
            <w:r>
              <w:rPr>
                <w:rFonts w:hint="eastAsia" w:ascii="宋体" w:hAnsi="宋体" w:cs="宋体"/>
                <w:color w:val="000000" w:themeColor="text1"/>
                <w:szCs w:val="21"/>
              </w:rPr>
              <w:t>机箱17L，免工具拆卸，顶置提手，方便搬运，顶置电源开关键，方便使用；</w:t>
            </w:r>
          </w:p>
        </w:tc>
      </w:tr>
      <w:tr>
        <w:tblPrEx>
          <w:tblCellMar>
            <w:top w:w="0" w:type="dxa"/>
            <w:left w:w="108" w:type="dxa"/>
            <w:bottom w:w="0" w:type="dxa"/>
            <w:right w:w="108" w:type="dxa"/>
          </w:tblCellMar>
        </w:tblPrEx>
        <w:trPr>
          <w:trHeight w:val="29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安全认证</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left"/>
              <w:rPr>
                <w:rFonts w:ascii="宋体" w:hAnsi="宋体" w:cs="宋体"/>
                <w:color w:val="000000" w:themeColor="text1"/>
                <w:szCs w:val="21"/>
              </w:rPr>
            </w:pPr>
            <w:r>
              <w:rPr>
                <w:rFonts w:hint="eastAsia" w:ascii="宋体" w:hAnsi="宋体" w:cs="宋体"/>
                <w:color w:val="000000" w:themeColor="text1"/>
                <w:szCs w:val="21"/>
              </w:rPr>
              <w:t>★USB屏蔽技术，仅识别USB键盘、鼠标，无法识别USB读取设备，有效防止数据泄露（投标时提供功能性截屏）；</w:t>
            </w:r>
          </w:p>
        </w:tc>
      </w:tr>
      <w:tr>
        <w:tblPrEx>
          <w:tblCellMar>
            <w:top w:w="0" w:type="dxa"/>
            <w:left w:w="108" w:type="dxa"/>
            <w:bottom w:w="0" w:type="dxa"/>
            <w:right w:w="108" w:type="dxa"/>
          </w:tblCellMar>
        </w:tblPrEx>
        <w:trPr>
          <w:trHeight w:val="52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教学辅助软件</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olor w:val="000000" w:themeColor="text1"/>
                <w:szCs w:val="21"/>
              </w:rPr>
            </w:pPr>
            <w:r>
              <w:rPr>
                <w:rFonts w:hint="eastAsia" w:ascii="宋体" w:hAnsi="宋体"/>
                <w:color w:val="000000" w:themeColor="text1"/>
                <w:szCs w:val="21"/>
              </w:rPr>
              <w:t>1、支持本地PPT备课和云端备课两种方式。教师可在本地PPT中使用智能PPT插件登录进入教师云平台，一键调取题库、错题集、微课、素材等云端资源；支持在线插入试题、视频、录制并插入微课、网站链接、思维导图、视频音频、网络画板等，课件完成可同步至云端存储。</w:t>
            </w:r>
          </w:p>
          <w:p>
            <w:pPr>
              <w:spacing w:line="360" w:lineRule="auto"/>
              <w:jc w:val="left"/>
              <w:rPr>
                <w:rFonts w:ascii="宋体" w:hAnsi="宋体" w:cs="宋体"/>
                <w:color w:val="000000" w:themeColor="text1"/>
                <w:szCs w:val="21"/>
              </w:rPr>
            </w:pPr>
            <w:r>
              <w:rPr>
                <w:rFonts w:hint="eastAsia" w:ascii="宋体" w:hAnsi="宋体"/>
                <w:color w:val="000000" w:themeColor="text1"/>
                <w:szCs w:val="21"/>
              </w:rPr>
              <w:t>2、</w:t>
            </w:r>
            <w:r>
              <w:rPr>
                <w:rFonts w:hint="eastAsia" w:ascii="宋体" w:hAnsi="宋体" w:cs="宋体"/>
                <w:color w:val="000000" w:themeColor="text1"/>
                <w:szCs w:val="21"/>
              </w:rPr>
              <w:t>★</w:t>
            </w:r>
            <w:r>
              <w:rPr>
                <w:rFonts w:hint="eastAsia" w:ascii="宋体" w:hAnsi="宋体"/>
                <w:color w:val="000000" w:themeColor="text1"/>
                <w:szCs w:val="21"/>
              </w:rPr>
              <w:t xml:space="preserve">授课点评：a、支持课堂和课后根据学生和小组的表现进行评价； b、支持按学期查看各小组及成员的积分排行榜及详情。（需提供功能界面截图）                                                                                                                                   3、支持学生进行英语口语听说练习并可自动进行评测和分析，并可将每个学生分析情况汇总形成班级报告。学生作答后可即时对学生作答的流畅度、完整度、发音准确度、语速进行打分，跟读部分可将学生读的内容中有问题的单词通过不同颜色进行标识，指出学生薄弱点便于学生提升英语听说能力。（如客户有疑问需要在中标后签订合同前需提供样机演示）                                                                                                                                   4、智慧错题本：通过系统题库组卷先阅后扫，将批阅后的试卷通过高速扫描仪变成扫描件，系统可自动切分试题，识别每个学生的错题并关联知识点，错题自动汇总到班级错题集，支持选择错题进行组卷复习。         </w:t>
            </w:r>
          </w:p>
        </w:tc>
      </w:tr>
      <w:tr>
        <w:tblPrEx>
          <w:tblCellMar>
            <w:top w:w="0" w:type="dxa"/>
            <w:left w:w="108" w:type="dxa"/>
            <w:bottom w:w="0" w:type="dxa"/>
            <w:right w:w="108" w:type="dxa"/>
          </w:tblCellMar>
        </w:tblPrEx>
        <w:trPr>
          <w:trHeight w:val="52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电源</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s="宋体"/>
                <w:color w:val="000000" w:themeColor="text1"/>
                <w:szCs w:val="21"/>
              </w:rPr>
            </w:pPr>
            <w:r>
              <w:rPr>
                <w:rFonts w:hint="eastAsia" w:ascii="宋体" w:hAnsi="宋体" w:cs="宋体"/>
                <w:color w:val="000000" w:themeColor="text1"/>
                <w:szCs w:val="21"/>
              </w:rPr>
              <w:t>≥180w节能电源认证</w:t>
            </w:r>
          </w:p>
        </w:tc>
      </w:tr>
      <w:tr>
        <w:tblPrEx>
          <w:tblCellMar>
            <w:top w:w="0" w:type="dxa"/>
            <w:left w:w="108" w:type="dxa"/>
            <w:bottom w:w="0" w:type="dxa"/>
            <w:right w:w="108" w:type="dxa"/>
          </w:tblCellMar>
        </w:tblPrEx>
        <w:trPr>
          <w:trHeight w:val="136" w:hRule="atLeast"/>
        </w:trPr>
        <w:tc>
          <w:tcPr>
            <w:tcW w:w="200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教育应用</w:t>
            </w:r>
          </w:p>
        </w:tc>
        <w:tc>
          <w:tcPr>
            <w:tcW w:w="7576" w:type="dxa"/>
            <w:tcBorders>
              <w:top w:val="single" w:color="auto" w:sz="4" w:space="0"/>
              <w:left w:val="single" w:color="auto" w:sz="4" w:space="0"/>
              <w:bottom w:val="single" w:color="auto" w:sz="4" w:space="0"/>
              <w:right w:val="single" w:color="auto" w:sz="4" w:space="0"/>
            </w:tcBorders>
            <w:vAlign w:val="center"/>
          </w:tcPr>
          <w:p>
            <w:pPr>
              <w:spacing w:line="240" w:lineRule="atLeast"/>
              <w:jc w:val="left"/>
              <w:rPr>
                <w:rFonts w:ascii="宋体" w:hAnsi="宋体"/>
                <w:color w:val="000000" w:themeColor="text1"/>
                <w:szCs w:val="21"/>
              </w:rPr>
            </w:pPr>
            <w:r>
              <w:rPr>
                <w:rFonts w:hint="eastAsia" w:ascii="宋体" w:hAnsi="宋体"/>
                <w:color w:val="000000" w:themeColor="text1"/>
                <w:szCs w:val="21"/>
              </w:rPr>
              <w:t xml:space="preserve">1、无缝兼容最新版的UEFI启动模式，支持Windows全系列操作系统的各种还原模式。                                          </w:t>
            </w:r>
            <w:r>
              <w:rPr>
                <w:rFonts w:hint="eastAsia" w:ascii="宋体" w:hAnsi="宋体"/>
                <w:color w:val="000000" w:themeColor="text1"/>
                <w:szCs w:val="21"/>
              </w:rPr>
              <w:cr/>
            </w:r>
            <w:r>
              <w:rPr>
                <w:rFonts w:hint="eastAsia" w:ascii="宋体" w:hAnsi="宋体"/>
                <w:color w:val="000000" w:themeColor="text1"/>
                <w:szCs w:val="21"/>
              </w:rPr>
              <w:t>2、支持固态盘与机械盘混装模式下，多块硬盘的同时保护和数据同传。</w:t>
            </w:r>
          </w:p>
          <w:p>
            <w:pPr>
              <w:spacing w:line="240" w:lineRule="atLeast"/>
              <w:jc w:val="left"/>
              <w:rPr>
                <w:rFonts w:ascii="宋体" w:hAnsi="宋体"/>
                <w:color w:val="000000" w:themeColor="text1"/>
                <w:szCs w:val="21"/>
              </w:rPr>
            </w:pPr>
            <w:r>
              <w:rPr>
                <w:rFonts w:hint="eastAsia" w:ascii="宋体" w:hAnsi="宋体"/>
                <w:color w:val="000000" w:themeColor="text1"/>
                <w:szCs w:val="21"/>
              </w:rPr>
              <w:t>3、支持硬盘数据差异拷贝，且支持所有分区同时拷贝，1000M网络下传输速度可达7GB/s。</w:t>
            </w:r>
          </w:p>
          <w:p>
            <w:pPr>
              <w:spacing w:line="240" w:lineRule="atLeast"/>
              <w:jc w:val="left"/>
              <w:rPr>
                <w:rFonts w:ascii="宋体" w:hAnsi="宋体"/>
                <w:color w:val="000000" w:themeColor="text1"/>
                <w:szCs w:val="21"/>
              </w:rPr>
            </w:pPr>
            <w:r>
              <w:rPr>
                <w:rFonts w:hint="eastAsia" w:ascii="宋体" w:hAnsi="宋体"/>
                <w:color w:val="000000" w:themeColor="text1"/>
                <w:szCs w:val="21"/>
              </w:rPr>
              <w:t>4、支持系统快照功能，可快速生成桌面，满足各种教学、考试、培训等环境的需求。</w:t>
            </w:r>
          </w:p>
          <w:p>
            <w:pPr>
              <w:spacing w:line="240" w:lineRule="atLeast"/>
              <w:jc w:val="left"/>
              <w:rPr>
                <w:rFonts w:ascii="宋体" w:hAnsi="宋体"/>
                <w:color w:val="000000" w:themeColor="text1"/>
                <w:szCs w:val="21"/>
              </w:rPr>
            </w:pPr>
            <w:r>
              <w:rPr>
                <w:rFonts w:hint="eastAsia" w:ascii="宋体" w:hAnsi="宋体"/>
                <w:color w:val="000000" w:themeColor="text1"/>
                <w:szCs w:val="21"/>
              </w:rPr>
              <w:t xml:space="preserve">5、可以对学生电脑U盘、光驱、网络、软件等的使用权限和时间进行限制。                                                          </w:t>
            </w:r>
          </w:p>
        </w:tc>
      </w:tr>
      <w:tr>
        <w:tblPrEx>
          <w:tblCellMar>
            <w:top w:w="0" w:type="dxa"/>
            <w:left w:w="108" w:type="dxa"/>
            <w:bottom w:w="0" w:type="dxa"/>
            <w:right w:w="108" w:type="dxa"/>
          </w:tblCellMar>
        </w:tblPrEx>
        <w:trPr>
          <w:trHeight w:val="564" w:hRule="atLeast"/>
        </w:trPr>
        <w:tc>
          <w:tcPr>
            <w:tcW w:w="200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应用管理软件</w:t>
            </w:r>
          </w:p>
        </w:tc>
        <w:tc>
          <w:tcPr>
            <w:tcW w:w="7576" w:type="dxa"/>
            <w:tcBorders>
              <w:top w:val="single" w:color="auto" w:sz="4" w:space="0"/>
              <w:left w:val="single" w:color="auto" w:sz="4" w:space="0"/>
              <w:bottom w:val="single" w:color="auto" w:sz="4" w:space="0"/>
              <w:right w:val="single" w:color="auto" w:sz="4" w:space="0"/>
            </w:tcBorders>
            <w:vAlign w:val="center"/>
          </w:tcPr>
          <w:p>
            <w:pPr>
              <w:spacing w:line="240" w:lineRule="atLeast"/>
              <w:jc w:val="left"/>
              <w:rPr>
                <w:rFonts w:ascii="宋体" w:hAnsi="宋体"/>
                <w:color w:val="000000" w:themeColor="text1"/>
                <w:szCs w:val="21"/>
              </w:rPr>
            </w:pPr>
            <w:r>
              <w:rPr>
                <w:rFonts w:hint="eastAsia" w:ascii="宋体" w:hAnsi="宋体"/>
                <w:color w:val="000000" w:themeColor="text1"/>
                <w:szCs w:val="21"/>
              </w:rPr>
              <w:t>同一品牌电脑管理软件（提供如下截图并加盖厂商公章或投标专用章）：</w:t>
            </w:r>
          </w:p>
          <w:p>
            <w:pPr>
              <w:jc w:val="left"/>
              <w:rPr>
                <w:rFonts w:ascii="宋体" w:hAnsi="宋体"/>
                <w:color w:val="000000" w:themeColor="text1"/>
                <w:szCs w:val="21"/>
              </w:rPr>
            </w:pPr>
            <w:r>
              <w:rPr>
                <w:rFonts w:hint="eastAsia" w:ascii="宋体" w:hAnsi="宋体"/>
                <w:color w:val="000000" w:themeColor="text1"/>
                <w:szCs w:val="21"/>
              </w:rPr>
              <w:t>1、能够实时检测</w:t>
            </w:r>
            <w:r>
              <w:rPr>
                <w:rFonts w:ascii="宋体" w:hAnsi="宋体"/>
                <w:color w:val="000000" w:themeColor="text1"/>
                <w:szCs w:val="21"/>
              </w:rPr>
              <w:t xml:space="preserve"> CPU 温度、内存使用情况、网速使用情况、并且能够</w:t>
            </w:r>
            <w:r>
              <w:rPr>
                <w:rFonts w:hint="eastAsia" w:ascii="宋体" w:hAnsi="宋体"/>
                <w:color w:val="000000" w:themeColor="text1"/>
                <w:szCs w:val="21"/>
              </w:rPr>
              <w:t>实时查看到主机编号以及保修信息；</w:t>
            </w:r>
          </w:p>
          <w:p>
            <w:pPr>
              <w:jc w:val="left"/>
              <w:rPr>
                <w:rFonts w:ascii="宋体" w:hAnsi="宋体"/>
                <w:color w:val="000000" w:themeColor="text1"/>
                <w:szCs w:val="21"/>
              </w:rPr>
            </w:pPr>
            <w:r>
              <w:rPr>
                <w:rFonts w:hint="eastAsia" w:ascii="宋体" w:hAnsi="宋体"/>
                <w:color w:val="000000" w:themeColor="text1"/>
                <w:szCs w:val="21"/>
              </w:rPr>
              <w:t>2、能够对计算机进行软硬件一体化综合体检，主动发现电脑中存在的问题，并提供一键的自动化解决方案；</w:t>
            </w:r>
          </w:p>
          <w:p>
            <w:pPr>
              <w:jc w:val="left"/>
              <w:rPr>
                <w:rFonts w:ascii="宋体" w:hAnsi="宋体"/>
                <w:color w:val="000000" w:themeColor="text1"/>
                <w:szCs w:val="21"/>
              </w:rPr>
            </w:pPr>
            <w:r>
              <w:rPr>
                <w:rFonts w:hint="eastAsia" w:ascii="宋体" w:hAnsi="宋体"/>
                <w:color w:val="000000" w:themeColor="text1"/>
                <w:szCs w:val="21"/>
              </w:rPr>
              <w:t>3、能够在线对计算机提供自动解决、人工服务等多种解决方案，</w:t>
            </w:r>
            <w:r>
              <w:rPr>
                <w:rFonts w:ascii="宋体" w:hAnsi="宋体"/>
                <w:color w:val="000000" w:themeColor="text1"/>
                <w:szCs w:val="21"/>
              </w:rPr>
              <w:t xml:space="preserve"> 可快</w:t>
            </w:r>
            <w:r>
              <w:rPr>
                <w:rFonts w:hint="eastAsia" w:ascii="宋体" w:hAnsi="宋体"/>
                <w:color w:val="000000" w:themeColor="text1"/>
                <w:szCs w:val="21"/>
              </w:rPr>
              <w:t>捷方便解决在电脑使用过程中遇到的常见问题；</w:t>
            </w:r>
          </w:p>
          <w:p>
            <w:pPr>
              <w:autoSpaceDE w:val="0"/>
              <w:autoSpaceDN w:val="0"/>
              <w:adjustRightInd w:val="0"/>
              <w:spacing w:line="360" w:lineRule="auto"/>
              <w:jc w:val="left"/>
              <w:rPr>
                <w:rFonts w:ascii="宋体" w:hAnsi="宋体"/>
                <w:color w:val="000000" w:themeColor="text1"/>
                <w:szCs w:val="21"/>
              </w:rPr>
            </w:pPr>
            <w:r>
              <w:rPr>
                <w:rFonts w:hint="eastAsia" w:ascii="宋体" w:hAnsi="宋体" w:cs="微软雅黑"/>
                <w:color w:val="000000" w:themeColor="text1"/>
                <w:kern w:val="0"/>
                <w:szCs w:val="21"/>
              </w:rPr>
              <w:t>4、能够智能驱动功能，快捷完成驱动程序的检测、下载、安装全流程</w:t>
            </w:r>
          </w:p>
        </w:tc>
      </w:tr>
      <w:tr>
        <w:tblPrEx>
          <w:tblCellMar>
            <w:top w:w="0" w:type="dxa"/>
            <w:left w:w="108" w:type="dxa"/>
            <w:bottom w:w="0" w:type="dxa"/>
            <w:right w:w="108" w:type="dxa"/>
          </w:tblCellMar>
        </w:tblPrEx>
        <w:trPr>
          <w:trHeight w:val="564" w:hRule="atLeast"/>
        </w:trPr>
        <w:tc>
          <w:tcPr>
            <w:tcW w:w="200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售后服务</w:t>
            </w:r>
            <w:r>
              <w:rPr>
                <w:rFonts w:hint="eastAsia" w:ascii="宋体" w:hAnsi="宋体" w:cs="宋体"/>
                <w:color w:val="000000" w:themeColor="text1"/>
                <w:szCs w:val="21"/>
              </w:rPr>
              <w:tab/>
            </w:r>
          </w:p>
        </w:tc>
        <w:tc>
          <w:tcPr>
            <w:tcW w:w="757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机器通过序列号可查询原厂三年上门保修服务。</w:t>
            </w:r>
          </w:p>
          <w:p>
            <w:pPr>
              <w:spacing w:line="240" w:lineRule="atLeast"/>
              <w:jc w:val="left"/>
              <w:rPr>
                <w:rFonts w:ascii="宋体" w:hAnsi="宋体"/>
                <w:color w:val="000000" w:themeColor="text1"/>
                <w:szCs w:val="21"/>
              </w:rPr>
            </w:pPr>
            <w:r>
              <w:rPr>
                <w:rFonts w:hint="eastAsia" w:ascii="宋体" w:hAnsi="宋体" w:cs="宋体"/>
                <w:color w:val="000000" w:themeColor="text1"/>
                <w:szCs w:val="21"/>
              </w:rPr>
              <w:t>供应商中标后签定合同前提供原厂商针对本项目的质保函原件。</w:t>
            </w:r>
          </w:p>
        </w:tc>
      </w:tr>
    </w:tbl>
    <w:p>
      <w:pPr>
        <w:ind w:firstLine="241" w:firstLineChars="100"/>
        <w:rPr>
          <w:rFonts w:ascii="FangSong_GB2312" w:hAnsi="Courier New" w:eastAsia="FangSong_GB2312"/>
          <w:b/>
          <w:color w:val="000000" w:themeColor="text1"/>
          <w:sz w:val="24"/>
        </w:rPr>
      </w:pPr>
    </w:p>
    <w:p>
      <w:pPr>
        <w:ind w:firstLine="200" w:firstLineChars="100"/>
        <w:rPr>
          <w:rFonts w:ascii="FangSong_GB2312" w:hAnsi="Courier New" w:eastAsia="FangSong_GB2312"/>
          <w:b/>
          <w:color w:val="000000" w:themeColor="text1"/>
          <w:sz w:val="24"/>
        </w:rPr>
      </w:pPr>
      <w:r>
        <w:rPr>
          <w:rFonts w:hint="eastAsia" w:ascii="宋体" w:hAnsi="宋体" w:cs="宋体"/>
          <w:color w:val="000000" w:themeColor="text1"/>
          <w:kern w:val="0"/>
          <w:sz w:val="20"/>
          <w:szCs w:val="20"/>
        </w:rPr>
        <w:t>（</w:t>
      </w:r>
      <w:r>
        <w:rPr>
          <w:rFonts w:ascii="宋体" w:hAnsi="宋体" w:cs="宋体"/>
          <w:color w:val="000000" w:themeColor="text1"/>
          <w:kern w:val="0"/>
          <w:sz w:val="20"/>
          <w:szCs w:val="20"/>
        </w:rPr>
        <w:t>4</w:t>
      </w:r>
      <w:r>
        <w:rPr>
          <w:rFonts w:hint="eastAsia" w:ascii="宋体" w:hAnsi="宋体" w:cs="宋体"/>
          <w:color w:val="000000" w:themeColor="text1"/>
          <w:kern w:val="0"/>
          <w:sz w:val="20"/>
          <w:szCs w:val="20"/>
        </w:rPr>
        <w:t>）学生电脑</w:t>
      </w:r>
    </w:p>
    <w:tbl>
      <w:tblPr>
        <w:tblStyle w:val="36"/>
        <w:tblW w:w="9585" w:type="dxa"/>
        <w:tblInd w:w="84" w:type="dxa"/>
        <w:tblLayout w:type="fixed"/>
        <w:tblCellMar>
          <w:top w:w="0" w:type="dxa"/>
          <w:left w:w="108" w:type="dxa"/>
          <w:bottom w:w="0" w:type="dxa"/>
          <w:right w:w="108" w:type="dxa"/>
        </w:tblCellMar>
      </w:tblPr>
      <w:tblGrid>
        <w:gridCol w:w="2009"/>
        <w:gridCol w:w="7576"/>
      </w:tblGrid>
      <w:tr>
        <w:tblPrEx>
          <w:tblCellMar>
            <w:top w:w="0" w:type="dxa"/>
            <w:left w:w="108" w:type="dxa"/>
            <w:bottom w:w="0" w:type="dxa"/>
            <w:right w:w="108" w:type="dxa"/>
          </w:tblCellMar>
        </w:tblPrEx>
        <w:trPr>
          <w:trHeight w:val="290" w:hRule="atLeast"/>
        </w:trPr>
        <w:tc>
          <w:tcPr>
            <w:tcW w:w="20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rPr>
            </w:pPr>
            <w:r>
              <w:rPr>
                <w:rFonts w:hint="eastAsia" w:ascii="宋体" w:hAnsi="宋体" w:cs="宋体"/>
                <w:color w:val="000000" w:themeColor="text1"/>
                <w:szCs w:val="21"/>
              </w:rPr>
              <w:t>项目</w:t>
            </w:r>
          </w:p>
        </w:tc>
        <w:tc>
          <w:tcPr>
            <w:tcW w:w="75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szCs w:val="21"/>
              </w:rPr>
            </w:pPr>
            <w:r>
              <w:rPr>
                <w:rFonts w:hint="eastAsia" w:ascii="宋体" w:hAnsi="宋体" w:cs="宋体"/>
                <w:color w:val="000000" w:themeColor="text1"/>
                <w:szCs w:val="21"/>
              </w:rPr>
              <w:t>参数要求</w:t>
            </w:r>
          </w:p>
        </w:tc>
      </w:tr>
      <w:tr>
        <w:tblPrEx>
          <w:tblCellMar>
            <w:top w:w="0" w:type="dxa"/>
            <w:left w:w="108" w:type="dxa"/>
            <w:bottom w:w="0" w:type="dxa"/>
            <w:right w:w="108" w:type="dxa"/>
          </w:tblCellMar>
        </w:tblPrEx>
        <w:trPr>
          <w:trHeight w:val="29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主板</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 xml:space="preserve">Intel </w:t>
            </w:r>
            <w:r>
              <w:rPr>
                <w:rFonts w:hint="eastAsia" w:ascii="宋体" w:hAnsi="宋体"/>
                <w:color w:val="000000" w:themeColor="text1"/>
                <w:szCs w:val="21"/>
              </w:rPr>
              <w:t>460主板及以上</w:t>
            </w:r>
          </w:p>
        </w:tc>
      </w:tr>
      <w:tr>
        <w:tblPrEx>
          <w:tblCellMar>
            <w:top w:w="0" w:type="dxa"/>
            <w:left w:w="108" w:type="dxa"/>
            <w:bottom w:w="0" w:type="dxa"/>
            <w:right w:w="108" w:type="dxa"/>
          </w:tblCellMar>
        </w:tblPrEx>
        <w:trPr>
          <w:trHeight w:val="29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▲处理器</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≥New Core i3-10100处理器</w:t>
            </w:r>
          </w:p>
        </w:tc>
      </w:tr>
      <w:tr>
        <w:tblPrEx>
          <w:tblCellMar>
            <w:top w:w="0" w:type="dxa"/>
            <w:left w:w="108" w:type="dxa"/>
            <w:bottom w:w="0" w:type="dxa"/>
            <w:right w:w="108" w:type="dxa"/>
          </w:tblCellMar>
        </w:tblPrEx>
        <w:trPr>
          <w:trHeight w:val="29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▲系统内存</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≥8GB DDR4-2400，内存</w:t>
            </w:r>
          </w:p>
        </w:tc>
      </w:tr>
      <w:tr>
        <w:tblPrEx>
          <w:tblCellMar>
            <w:top w:w="0" w:type="dxa"/>
            <w:left w:w="108" w:type="dxa"/>
            <w:bottom w:w="0" w:type="dxa"/>
            <w:right w:w="108" w:type="dxa"/>
          </w:tblCellMar>
        </w:tblPrEx>
        <w:trPr>
          <w:trHeight w:val="29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▲硬盘</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≥256GB M.2 2280 PCIe NVMe SSD ，预留一个机械盘位</w:t>
            </w:r>
          </w:p>
        </w:tc>
      </w:tr>
      <w:tr>
        <w:tblPrEx>
          <w:tblCellMar>
            <w:top w:w="0" w:type="dxa"/>
            <w:left w:w="108" w:type="dxa"/>
            <w:bottom w:w="0" w:type="dxa"/>
            <w:right w:w="108" w:type="dxa"/>
          </w:tblCellMar>
        </w:tblPrEx>
        <w:trPr>
          <w:trHeight w:val="29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鼠标</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原厂抗菌键盘鼠标</w:t>
            </w:r>
          </w:p>
        </w:tc>
      </w:tr>
      <w:tr>
        <w:tblPrEx>
          <w:tblCellMar>
            <w:top w:w="0" w:type="dxa"/>
            <w:left w:w="108" w:type="dxa"/>
            <w:bottom w:w="0" w:type="dxa"/>
            <w:right w:w="108" w:type="dxa"/>
          </w:tblCellMar>
        </w:tblPrEx>
        <w:trPr>
          <w:trHeight w:val="29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显卡</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集成</w:t>
            </w:r>
          </w:p>
        </w:tc>
      </w:tr>
      <w:tr>
        <w:tblPrEx>
          <w:tblCellMar>
            <w:top w:w="0" w:type="dxa"/>
            <w:left w:w="108" w:type="dxa"/>
            <w:bottom w:w="0" w:type="dxa"/>
            <w:right w:w="108" w:type="dxa"/>
          </w:tblCellMar>
        </w:tblPrEx>
        <w:trPr>
          <w:trHeight w:val="29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I/O接口</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10个USB接口(前置6个USB 3.2 G1，后置4个USB 2.0)、1组PS/2接口、1个串口、VGA+HDMI接口（VGA非转接）； </w:t>
            </w:r>
          </w:p>
        </w:tc>
      </w:tr>
      <w:tr>
        <w:tblPrEx>
          <w:tblCellMar>
            <w:top w:w="0" w:type="dxa"/>
            <w:left w:w="108" w:type="dxa"/>
            <w:bottom w:w="0" w:type="dxa"/>
            <w:right w:w="108" w:type="dxa"/>
          </w:tblCellMar>
        </w:tblPrEx>
        <w:trPr>
          <w:trHeight w:val="52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扩展槽</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hd w:val="clear" w:color="auto" w:fill="FFFFFF"/>
              <w:spacing w:line="360" w:lineRule="auto"/>
              <w:rPr>
                <w:rFonts w:ascii="宋体" w:hAnsi="宋体" w:cs="宋体"/>
                <w:color w:val="000000" w:themeColor="text1"/>
                <w:szCs w:val="21"/>
              </w:rPr>
            </w:pPr>
            <w:r>
              <w:rPr>
                <w:rFonts w:hint="eastAsia" w:ascii="宋体" w:hAnsi="宋体" w:cs="宋体"/>
                <w:color w:val="000000" w:themeColor="text1"/>
                <w:szCs w:val="21"/>
              </w:rPr>
              <w:t>1个PCI-E*16、2个PCI-E*1</w:t>
            </w:r>
          </w:p>
        </w:tc>
      </w:tr>
      <w:tr>
        <w:tblPrEx>
          <w:tblCellMar>
            <w:top w:w="0" w:type="dxa"/>
            <w:left w:w="108" w:type="dxa"/>
            <w:bottom w:w="0" w:type="dxa"/>
            <w:right w:w="108" w:type="dxa"/>
          </w:tblCellMar>
        </w:tblPrEx>
        <w:trPr>
          <w:trHeight w:val="29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同品牌商用显示器</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hd w:val="clear" w:color="auto" w:fill="FFFFFF"/>
              <w:spacing w:line="360" w:lineRule="auto"/>
              <w:rPr>
                <w:rFonts w:ascii="宋体" w:hAnsi="宋体" w:cs="宋体"/>
                <w:color w:val="000000" w:themeColor="text1"/>
                <w:szCs w:val="21"/>
              </w:rPr>
            </w:pPr>
            <w:r>
              <w:rPr>
                <w:rFonts w:hint="eastAsia" w:ascii="宋体" w:hAnsi="宋体" w:cs="宋体"/>
                <w:color w:val="000000" w:themeColor="text1"/>
                <w:szCs w:val="21"/>
              </w:rPr>
              <w:t>与主机同品牌</w:t>
            </w:r>
            <w:r>
              <w:rPr>
                <w:rFonts w:ascii="宋体" w:hAnsi="宋体" w:cs="宋体"/>
                <w:color w:val="000000" w:themeColor="text1"/>
                <w:szCs w:val="21"/>
              </w:rPr>
              <w:t>21</w:t>
            </w:r>
            <w:r>
              <w:rPr>
                <w:rFonts w:hint="eastAsia" w:ascii="宋体" w:hAnsi="宋体" w:cs="宋体"/>
                <w:color w:val="000000" w:themeColor="text1"/>
                <w:szCs w:val="21"/>
              </w:rPr>
              <w:t>.</w:t>
            </w:r>
            <w:r>
              <w:rPr>
                <w:rFonts w:ascii="宋体" w:hAnsi="宋体" w:cs="宋体"/>
                <w:color w:val="000000" w:themeColor="text1"/>
                <w:szCs w:val="21"/>
              </w:rPr>
              <w:t>5</w:t>
            </w:r>
            <w:r>
              <w:rPr>
                <w:rFonts w:hint="eastAsia" w:ascii="宋体" w:hAnsi="宋体" w:cs="宋体"/>
                <w:color w:val="000000" w:themeColor="text1"/>
                <w:szCs w:val="21"/>
              </w:rPr>
              <w:t>寸"宽屏显示器</w:t>
            </w:r>
          </w:p>
        </w:tc>
      </w:tr>
      <w:tr>
        <w:tblPrEx>
          <w:tblCellMar>
            <w:top w:w="0" w:type="dxa"/>
            <w:left w:w="108" w:type="dxa"/>
            <w:bottom w:w="0" w:type="dxa"/>
            <w:right w:w="108" w:type="dxa"/>
          </w:tblCellMar>
        </w:tblPrEx>
        <w:trPr>
          <w:trHeight w:val="29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操作系统</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正版操作系统</w:t>
            </w:r>
          </w:p>
        </w:tc>
      </w:tr>
      <w:tr>
        <w:tblPrEx>
          <w:tblCellMar>
            <w:top w:w="0" w:type="dxa"/>
            <w:left w:w="108" w:type="dxa"/>
            <w:bottom w:w="0" w:type="dxa"/>
            <w:right w:w="108" w:type="dxa"/>
          </w:tblCellMar>
        </w:tblPrEx>
        <w:trPr>
          <w:trHeight w:val="52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先进设计</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标准MATX立式机箱，采用蜂窝结构，散热更为有效；</w:t>
            </w:r>
          </w:p>
          <w:p>
            <w:pPr>
              <w:spacing w:line="360" w:lineRule="auto"/>
              <w:rPr>
                <w:rFonts w:ascii="宋体" w:hAnsi="宋体" w:cs="宋体"/>
                <w:color w:val="000000" w:themeColor="text1"/>
                <w:szCs w:val="21"/>
              </w:rPr>
            </w:pPr>
            <w:r>
              <w:rPr>
                <w:rFonts w:hint="eastAsia" w:ascii="宋体" w:hAnsi="宋体" w:cs="宋体"/>
                <w:color w:val="000000" w:themeColor="text1"/>
                <w:szCs w:val="21"/>
              </w:rPr>
              <w:t>★强力散热风扇，能够达到有效去除细菌、降解甲醛、净化空气的效果（投标时时提供第三方检测机构的证明文件</w:t>
            </w:r>
            <w:r>
              <w:rPr>
                <w:rFonts w:hint="eastAsia" w:ascii="宋体" w:hAnsi="宋体" w:cs="宋体"/>
                <w:color w:val="000000" w:themeColor="text1"/>
                <w:kern w:val="0"/>
                <w:szCs w:val="21"/>
              </w:rPr>
              <w:t>并加盖厂商公章或投标专用章</w:t>
            </w:r>
            <w:r>
              <w:rPr>
                <w:rFonts w:hint="eastAsia" w:ascii="宋体" w:hAnsi="宋体" w:cs="宋体"/>
                <w:color w:val="000000" w:themeColor="text1"/>
                <w:szCs w:val="21"/>
              </w:rPr>
              <w:t>）；</w:t>
            </w:r>
          </w:p>
          <w:p>
            <w:pPr>
              <w:spacing w:line="360" w:lineRule="auto"/>
              <w:rPr>
                <w:rFonts w:ascii="宋体" w:hAnsi="宋体" w:cs="宋体"/>
                <w:color w:val="000000" w:themeColor="text1"/>
                <w:szCs w:val="21"/>
              </w:rPr>
            </w:pPr>
            <w:r>
              <w:rPr>
                <w:rFonts w:hint="eastAsia" w:ascii="宋体" w:hAnsi="宋体" w:cs="宋体"/>
                <w:color w:val="000000" w:themeColor="text1"/>
                <w:szCs w:val="21"/>
              </w:rPr>
              <w:t>机箱17L，免工具拆卸，顶置提手，方便搬运，顶置电源开关键，方便使用；</w:t>
            </w:r>
          </w:p>
        </w:tc>
      </w:tr>
      <w:tr>
        <w:tblPrEx>
          <w:tblCellMar>
            <w:top w:w="0" w:type="dxa"/>
            <w:left w:w="108" w:type="dxa"/>
            <w:bottom w:w="0" w:type="dxa"/>
            <w:right w:w="108" w:type="dxa"/>
          </w:tblCellMar>
        </w:tblPrEx>
        <w:trPr>
          <w:trHeight w:val="29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安全认证</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ascii="宋体" w:hAnsi="宋体" w:cs="宋体"/>
                <w:color w:val="000000" w:themeColor="text1"/>
                <w:szCs w:val="21"/>
              </w:rPr>
            </w:pPr>
            <w:r>
              <w:rPr>
                <w:rFonts w:hint="eastAsia" w:ascii="宋体" w:hAnsi="宋体" w:cs="宋体"/>
                <w:color w:val="000000" w:themeColor="text1"/>
                <w:szCs w:val="21"/>
              </w:rPr>
              <w:t>★USB屏蔽技术，仅识别USB键盘、鼠标，无法识别USB读取设备，有效防止数据泄露（投标时提供功能性截屏）；</w:t>
            </w:r>
          </w:p>
        </w:tc>
      </w:tr>
      <w:tr>
        <w:tblPrEx>
          <w:tblCellMar>
            <w:top w:w="0" w:type="dxa"/>
            <w:left w:w="108" w:type="dxa"/>
            <w:bottom w:w="0" w:type="dxa"/>
            <w:right w:w="108" w:type="dxa"/>
          </w:tblCellMar>
        </w:tblPrEx>
        <w:trPr>
          <w:trHeight w:val="52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教学辅助软件</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jc w:val="left"/>
              <w:rPr>
                <w:rFonts w:ascii="宋体" w:hAnsi="宋体"/>
                <w:color w:val="000000" w:themeColor="text1"/>
                <w:szCs w:val="21"/>
              </w:rPr>
            </w:pPr>
            <w:r>
              <w:rPr>
                <w:rFonts w:hint="eastAsia" w:ascii="宋体" w:hAnsi="宋体"/>
                <w:color w:val="000000" w:themeColor="text1"/>
                <w:szCs w:val="21"/>
              </w:rPr>
              <w:t>1、支持本地PPT备课和云端备课两种方式。教师可在本地PPT中使用智能PPT插件登录进入教师云平台，一键调取题库、错题集、微课、素材等云端资源；支持在线插入试题、视频、录制并插入微课、网站链接、思维导图、视频音频、网络画板等，课件完成可同步至云端存储。</w:t>
            </w:r>
          </w:p>
          <w:p>
            <w:pPr>
              <w:spacing w:line="360" w:lineRule="auto"/>
              <w:jc w:val="left"/>
              <w:rPr>
                <w:rFonts w:ascii="宋体" w:hAnsi="宋体" w:cs="宋体"/>
                <w:color w:val="000000" w:themeColor="text1"/>
                <w:szCs w:val="21"/>
              </w:rPr>
            </w:pPr>
            <w:r>
              <w:rPr>
                <w:rFonts w:hint="eastAsia" w:ascii="宋体" w:hAnsi="宋体"/>
                <w:color w:val="000000" w:themeColor="text1"/>
                <w:szCs w:val="21"/>
              </w:rPr>
              <w:t>2、</w:t>
            </w:r>
            <w:r>
              <w:rPr>
                <w:rFonts w:hint="eastAsia" w:ascii="宋体" w:hAnsi="宋体" w:cs="宋体"/>
                <w:color w:val="000000" w:themeColor="text1"/>
                <w:szCs w:val="21"/>
              </w:rPr>
              <w:t>★</w:t>
            </w:r>
            <w:r>
              <w:rPr>
                <w:rFonts w:hint="eastAsia" w:ascii="宋体" w:hAnsi="宋体"/>
                <w:color w:val="000000" w:themeColor="text1"/>
                <w:szCs w:val="21"/>
              </w:rPr>
              <w:t xml:space="preserve">授课点评：a、支持课堂和课后根据学生和小组的表现进行评价； b、支持按学期查看各小组及成员的积分排行榜及详情。（需提供功能界面截图）                                                                                                                                   3、支持学生进行英语口语听说练习并可自动进行评测和分析，并可将每个学生分析情况汇总形成班级报告。学生作答后可即时对学生作答的流畅度、完整度、发音准确度、语速进行打分，跟读部分可将学生读的内容中有问题的单词通过不同颜色进行标识，指出学生薄弱点便于学生提升英语听说能力。（如客户有疑问需要在中标后签订合同前需提供样机演示）                                                                                                                                   4、智慧错题本：通过系统题库组卷先阅后扫，将批阅后的试卷通过高速扫描仪变成扫描件，系统可自动切分试题，识别每个学生的错题并关联知识点，错题自动汇总到班级错题集，支持选择错题进行组卷复习。         </w:t>
            </w:r>
          </w:p>
        </w:tc>
      </w:tr>
      <w:tr>
        <w:tblPrEx>
          <w:tblCellMar>
            <w:top w:w="0" w:type="dxa"/>
            <w:left w:w="108" w:type="dxa"/>
            <w:bottom w:w="0" w:type="dxa"/>
            <w:right w:w="108" w:type="dxa"/>
          </w:tblCellMar>
        </w:tblPrEx>
        <w:trPr>
          <w:trHeight w:val="520" w:hRule="atLeast"/>
        </w:trPr>
        <w:tc>
          <w:tcPr>
            <w:tcW w:w="200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电源</w:t>
            </w:r>
          </w:p>
        </w:tc>
        <w:tc>
          <w:tcPr>
            <w:tcW w:w="757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≥180w节能电源认证</w:t>
            </w:r>
          </w:p>
        </w:tc>
      </w:tr>
      <w:tr>
        <w:tblPrEx>
          <w:tblCellMar>
            <w:top w:w="0" w:type="dxa"/>
            <w:left w:w="108" w:type="dxa"/>
            <w:bottom w:w="0" w:type="dxa"/>
            <w:right w:w="108" w:type="dxa"/>
          </w:tblCellMar>
        </w:tblPrEx>
        <w:trPr>
          <w:trHeight w:val="564" w:hRule="atLeast"/>
        </w:trPr>
        <w:tc>
          <w:tcPr>
            <w:tcW w:w="200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教育应用</w:t>
            </w:r>
          </w:p>
        </w:tc>
        <w:tc>
          <w:tcPr>
            <w:tcW w:w="7576" w:type="dxa"/>
            <w:tcBorders>
              <w:top w:val="single" w:color="auto" w:sz="4" w:space="0"/>
              <w:left w:val="single" w:color="auto" w:sz="4" w:space="0"/>
              <w:bottom w:val="single" w:color="auto" w:sz="4" w:space="0"/>
              <w:right w:val="single" w:color="auto" w:sz="4" w:space="0"/>
            </w:tcBorders>
            <w:vAlign w:val="center"/>
          </w:tcPr>
          <w:p>
            <w:pPr>
              <w:spacing w:line="240" w:lineRule="atLeast"/>
              <w:jc w:val="left"/>
              <w:rPr>
                <w:rFonts w:ascii="宋体" w:hAnsi="宋体"/>
                <w:color w:val="000000" w:themeColor="text1"/>
                <w:szCs w:val="21"/>
              </w:rPr>
            </w:pPr>
            <w:r>
              <w:rPr>
                <w:rFonts w:hint="eastAsia" w:ascii="宋体" w:hAnsi="宋体"/>
                <w:color w:val="000000" w:themeColor="text1"/>
                <w:szCs w:val="21"/>
              </w:rPr>
              <w:t xml:space="preserve">1、无缝兼容最新版的UEFI启动模式，支持Windows全系列操作系统的各种还原模式。                                          </w:t>
            </w:r>
            <w:r>
              <w:rPr>
                <w:rFonts w:hint="eastAsia" w:ascii="宋体" w:hAnsi="宋体"/>
                <w:color w:val="000000" w:themeColor="text1"/>
                <w:szCs w:val="21"/>
              </w:rPr>
              <w:cr/>
            </w:r>
            <w:r>
              <w:rPr>
                <w:rFonts w:hint="eastAsia" w:ascii="宋体" w:hAnsi="宋体"/>
                <w:color w:val="000000" w:themeColor="text1"/>
                <w:szCs w:val="21"/>
              </w:rPr>
              <w:t>2、支持固态盘与机械盘混装模式下，多块硬盘的同时保护和数据同传。</w:t>
            </w:r>
          </w:p>
          <w:p>
            <w:pPr>
              <w:spacing w:line="240" w:lineRule="atLeast"/>
              <w:jc w:val="left"/>
              <w:rPr>
                <w:rFonts w:ascii="宋体" w:hAnsi="宋体"/>
                <w:color w:val="000000" w:themeColor="text1"/>
                <w:szCs w:val="21"/>
              </w:rPr>
            </w:pPr>
            <w:r>
              <w:rPr>
                <w:rFonts w:hint="eastAsia" w:ascii="宋体" w:hAnsi="宋体"/>
                <w:color w:val="000000" w:themeColor="text1"/>
                <w:szCs w:val="21"/>
              </w:rPr>
              <w:t>3、支持硬盘数据差异拷贝，且支持所有分区同时拷贝，1000M网络下传输速度可达7GB/s。</w:t>
            </w:r>
          </w:p>
          <w:p>
            <w:pPr>
              <w:spacing w:line="240" w:lineRule="atLeast"/>
              <w:jc w:val="left"/>
              <w:rPr>
                <w:rFonts w:ascii="宋体" w:hAnsi="宋体"/>
                <w:color w:val="000000" w:themeColor="text1"/>
                <w:szCs w:val="21"/>
              </w:rPr>
            </w:pPr>
            <w:r>
              <w:rPr>
                <w:rFonts w:hint="eastAsia" w:ascii="宋体" w:hAnsi="宋体"/>
                <w:color w:val="000000" w:themeColor="text1"/>
                <w:szCs w:val="21"/>
              </w:rPr>
              <w:t>4、支持系统快照功能，可快速生成桌面，满足各种教学、考试、培训等环境的需求。</w:t>
            </w:r>
          </w:p>
          <w:p>
            <w:pPr>
              <w:spacing w:line="240" w:lineRule="atLeast"/>
              <w:jc w:val="left"/>
              <w:rPr>
                <w:rFonts w:ascii="宋体" w:hAnsi="宋体"/>
                <w:color w:val="000000" w:themeColor="text1"/>
                <w:szCs w:val="21"/>
              </w:rPr>
            </w:pPr>
            <w:r>
              <w:rPr>
                <w:rFonts w:hint="eastAsia" w:ascii="宋体" w:hAnsi="宋体"/>
                <w:color w:val="000000" w:themeColor="text1"/>
                <w:szCs w:val="21"/>
              </w:rPr>
              <w:t>5、可以对学生电脑U盘、光驱、网络、软件等的使用权限和时间进行限制。</w:t>
            </w:r>
          </w:p>
        </w:tc>
      </w:tr>
      <w:tr>
        <w:tblPrEx>
          <w:tblCellMar>
            <w:top w:w="0" w:type="dxa"/>
            <w:left w:w="108" w:type="dxa"/>
            <w:bottom w:w="0" w:type="dxa"/>
            <w:right w:w="108" w:type="dxa"/>
          </w:tblCellMar>
        </w:tblPrEx>
        <w:trPr>
          <w:trHeight w:val="564" w:hRule="atLeast"/>
        </w:trPr>
        <w:tc>
          <w:tcPr>
            <w:tcW w:w="200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应用管理软件</w:t>
            </w:r>
          </w:p>
        </w:tc>
        <w:tc>
          <w:tcPr>
            <w:tcW w:w="7576" w:type="dxa"/>
            <w:tcBorders>
              <w:top w:val="single" w:color="auto" w:sz="4" w:space="0"/>
              <w:left w:val="single" w:color="auto" w:sz="4" w:space="0"/>
              <w:bottom w:val="single" w:color="auto" w:sz="4" w:space="0"/>
              <w:right w:val="single" w:color="auto" w:sz="4" w:space="0"/>
            </w:tcBorders>
            <w:vAlign w:val="center"/>
          </w:tcPr>
          <w:p>
            <w:pPr>
              <w:spacing w:line="240" w:lineRule="atLeast"/>
              <w:jc w:val="left"/>
              <w:rPr>
                <w:rFonts w:ascii="宋体" w:hAnsi="宋体"/>
                <w:color w:val="000000" w:themeColor="text1"/>
                <w:szCs w:val="21"/>
              </w:rPr>
            </w:pPr>
            <w:r>
              <w:rPr>
                <w:rFonts w:hint="eastAsia" w:ascii="宋体" w:hAnsi="宋体"/>
                <w:color w:val="000000" w:themeColor="text1"/>
                <w:szCs w:val="21"/>
              </w:rPr>
              <w:t>同一品牌电脑管理软件（提供如下截图并加盖厂商公章或投标专用章）：</w:t>
            </w:r>
          </w:p>
          <w:p>
            <w:pPr>
              <w:jc w:val="left"/>
              <w:rPr>
                <w:rFonts w:ascii="宋体" w:hAnsi="宋体"/>
                <w:color w:val="000000" w:themeColor="text1"/>
                <w:szCs w:val="21"/>
              </w:rPr>
            </w:pPr>
            <w:r>
              <w:rPr>
                <w:rFonts w:hint="eastAsia" w:ascii="宋体" w:hAnsi="宋体"/>
                <w:color w:val="000000" w:themeColor="text1"/>
                <w:szCs w:val="21"/>
              </w:rPr>
              <w:t>1、能够实时检测</w:t>
            </w:r>
            <w:r>
              <w:rPr>
                <w:rFonts w:ascii="宋体" w:hAnsi="宋体"/>
                <w:color w:val="000000" w:themeColor="text1"/>
                <w:szCs w:val="21"/>
              </w:rPr>
              <w:t xml:space="preserve"> CPU 温度、内存使用情况、网速使用情况、并且能够</w:t>
            </w:r>
            <w:r>
              <w:rPr>
                <w:rFonts w:hint="eastAsia" w:ascii="宋体" w:hAnsi="宋体"/>
                <w:color w:val="000000" w:themeColor="text1"/>
                <w:szCs w:val="21"/>
              </w:rPr>
              <w:t>实时查看到主机编号以及保修信息；</w:t>
            </w:r>
          </w:p>
          <w:p>
            <w:pPr>
              <w:jc w:val="left"/>
              <w:rPr>
                <w:rFonts w:ascii="宋体" w:hAnsi="宋体"/>
                <w:color w:val="000000" w:themeColor="text1"/>
                <w:szCs w:val="21"/>
              </w:rPr>
            </w:pPr>
            <w:r>
              <w:rPr>
                <w:rFonts w:hint="eastAsia" w:ascii="宋体" w:hAnsi="宋体"/>
                <w:color w:val="000000" w:themeColor="text1"/>
                <w:szCs w:val="21"/>
              </w:rPr>
              <w:t>2、能够对计算机进行软硬件一体化综合体检，主动发现电脑中存在的问题，并提供一键的自动化解决方案；</w:t>
            </w:r>
          </w:p>
          <w:p>
            <w:pPr>
              <w:jc w:val="left"/>
              <w:rPr>
                <w:rFonts w:ascii="宋体" w:hAnsi="宋体"/>
                <w:color w:val="000000" w:themeColor="text1"/>
                <w:szCs w:val="21"/>
              </w:rPr>
            </w:pPr>
            <w:r>
              <w:rPr>
                <w:rFonts w:hint="eastAsia" w:ascii="宋体" w:hAnsi="宋体"/>
                <w:color w:val="000000" w:themeColor="text1"/>
                <w:szCs w:val="21"/>
              </w:rPr>
              <w:t>3、能够在线对计算机提供自动解决、人工服务等多种解决方案，</w:t>
            </w:r>
            <w:r>
              <w:rPr>
                <w:rFonts w:ascii="宋体" w:hAnsi="宋体"/>
                <w:color w:val="000000" w:themeColor="text1"/>
                <w:szCs w:val="21"/>
              </w:rPr>
              <w:t xml:space="preserve"> 可快</w:t>
            </w:r>
            <w:r>
              <w:rPr>
                <w:rFonts w:hint="eastAsia" w:ascii="宋体" w:hAnsi="宋体"/>
                <w:color w:val="000000" w:themeColor="text1"/>
                <w:szCs w:val="21"/>
              </w:rPr>
              <w:t>捷方便解决在电脑使用过程中遇到的常见问题；</w:t>
            </w:r>
          </w:p>
          <w:p>
            <w:pPr>
              <w:autoSpaceDE w:val="0"/>
              <w:autoSpaceDN w:val="0"/>
              <w:adjustRightInd w:val="0"/>
              <w:spacing w:line="360" w:lineRule="auto"/>
              <w:jc w:val="left"/>
              <w:rPr>
                <w:rFonts w:ascii="宋体" w:hAnsi="宋体"/>
                <w:color w:val="000000" w:themeColor="text1"/>
                <w:szCs w:val="21"/>
              </w:rPr>
            </w:pPr>
            <w:r>
              <w:rPr>
                <w:rFonts w:hint="eastAsia" w:ascii="宋体" w:hAnsi="宋体" w:cs="微软雅黑"/>
                <w:color w:val="000000" w:themeColor="text1"/>
                <w:kern w:val="0"/>
                <w:szCs w:val="21"/>
              </w:rPr>
              <w:t>4、能够智能驱动功能，快捷完成驱动程序的检测、下载、安装全流程。</w:t>
            </w:r>
          </w:p>
        </w:tc>
      </w:tr>
      <w:tr>
        <w:tblPrEx>
          <w:tblCellMar>
            <w:top w:w="0" w:type="dxa"/>
            <w:left w:w="108" w:type="dxa"/>
            <w:bottom w:w="0" w:type="dxa"/>
            <w:right w:w="108" w:type="dxa"/>
          </w:tblCellMar>
        </w:tblPrEx>
        <w:trPr>
          <w:trHeight w:val="564" w:hRule="atLeast"/>
        </w:trPr>
        <w:tc>
          <w:tcPr>
            <w:tcW w:w="200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售后服务</w:t>
            </w:r>
            <w:r>
              <w:rPr>
                <w:rFonts w:hint="eastAsia" w:ascii="宋体" w:hAnsi="宋体" w:cs="宋体"/>
                <w:color w:val="000000" w:themeColor="text1"/>
                <w:szCs w:val="21"/>
              </w:rPr>
              <w:tab/>
            </w:r>
          </w:p>
        </w:tc>
        <w:tc>
          <w:tcPr>
            <w:tcW w:w="757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机器通过序列号可查询原厂三年上门保修服务。</w:t>
            </w:r>
          </w:p>
          <w:p>
            <w:pPr>
              <w:spacing w:line="240" w:lineRule="atLeast"/>
              <w:jc w:val="left"/>
              <w:rPr>
                <w:rFonts w:ascii="宋体" w:hAnsi="宋体"/>
                <w:color w:val="000000" w:themeColor="text1"/>
                <w:szCs w:val="21"/>
              </w:rPr>
            </w:pPr>
            <w:r>
              <w:rPr>
                <w:rFonts w:hint="eastAsia" w:ascii="宋体" w:hAnsi="宋体" w:cs="宋体"/>
                <w:color w:val="000000" w:themeColor="text1"/>
                <w:szCs w:val="21"/>
              </w:rPr>
              <w:t>供应商中标后签定合同前提供原厂商针对本项目的质保函原件。</w:t>
            </w:r>
          </w:p>
        </w:tc>
      </w:tr>
    </w:tbl>
    <w:p>
      <w:pPr>
        <w:pStyle w:val="62"/>
        <w:ind w:left="273" w:firstLine="0" w:firstLineChars="0"/>
        <w:rPr>
          <w:rFonts w:ascii="FangSong_GB2312" w:hAnsi="Courier New" w:eastAsia="FangSong_GB2312"/>
          <w:b/>
          <w:color w:val="000000" w:themeColor="text1"/>
          <w:sz w:val="32"/>
        </w:rPr>
      </w:pPr>
    </w:p>
    <w:p>
      <w:pPr>
        <w:pStyle w:val="62"/>
        <w:ind w:left="273" w:firstLine="0" w:firstLineChars="0"/>
        <w:rPr>
          <w:rFonts w:ascii="FangSong_GB2312" w:hAnsi="Courier New" w:eastAsia="FangSong_GB2312"/>
          <w:b/>
          <w:color w:val="000000" w:themeColor="text1"/>
          <w:sz w:val="32"/>
        </w:rPr>
      </w:pPr>
    </w:p>
    <w:p>
      <w:pPr>
        <w:pStyle w:val="62"/>
        <w:ind w:left="273" w:firstLine="0" w:firstLineChars="0"/>
        <w:rPr>
          <w:rFonts w:ascii="FangSong_GB2312" w:hAnsi="Courier New" w:eastAsia="FangSong_GB2312"/>
          <w:b/>
          <w:color w:val="000000" w:themeColor="text1"/>
          <w:sz w:val="32"/>
        </w:rPr>
      </w:pPr>
    </w:p>
    <w:p>
      <w:pPr>
        <w:pStyle w:val="62"/>
        <w:ind w:left="273" w:firstLine="0" w:firstLineChars="0"/>
        <w:rPr>
          <w:rFonts w:ascii="FangSong_GB2312" w:hAnsi="Courier New" w:eastAsia="FangSong_GB2312"/>
          <w:b/>
          <w:color w:val="000000" w:themeColor="text1"/>
          <w:sz w:val="32"/>
        </w:rPr>
      </w:pPr>
    </w:p>
    <w:p>
      <w:pPr>
        <w:pStyle w:val="62"/>
        <w:ind w:left="273" w:firstLine="0" w:firstLineChars="0"/>
        <w:rPr>
          <w:rFonts w:ascii="FangSong_GB2312" w:hAnsi="Courier New" w:eastAsia="FangSong_GB2312"/>
          <w:b/>
          <w:color w:val="000000" w:themeColor="text1"/>
          <w:sz w:val="32"/>
        </w:rPr>
      </w:pPr>
    </w:p>
    <w:p>
      <w:pPr>
        <w:pStyle w:val="62"/>
        <w:ind w:left="273" w:firstLine="0" w:firstLineChars="0"/>
        <w:rPr>
          <w:rFonts w:ascii="FangSong_GB2312" w:hAnsi="Courier New" w:eastAsia="FangSong_GB2312"/>
          <w:b/>
          <w:color w:val="000000" w:themeColor="text1"/>
          <w:sz w:val="32"/>
        </w:rPr>
      </w:pPr>
    </w:p>
    <w:p>
      <w:pPr>
        <w:pStyle w:val="62"/>
        <w:ind w:left="273" w:firstLine="0" w:firstLineChars="0"/>
        <w:rPr>
          <w:rFonts w:ascii="FangSong_GB2312" w:hAnsi="Courier New" w:eastAsia="FangSong_GB2312"/>
          <w:b/>
          <w:color w:val="000000" w:themeColor="text1"/>
          <w:sz w:val="32"/>
          <w:szCs w:val="24"/>
        </w:rPr>
      </w:pPr>
      <w:r>
        <w:rPr>
          <w:rFonts w:hint="eastAsia" w:ascii="FangSong_GB2312" w:hAnsi="Courier New" w:eastAsia="FangSong_GB2312"/>
          <w:b/>
          <w:color w:val="000000" w:themeColor="text1"/>
          <w:sz w:val="32"/>
        </w:rPr>
        <w:t>二、</w:t>
      </w:r>
      <w:r>
        <w:rPr>
          <w:rFonts w:hint="eastAsia" w:ascii="FangSong_GB2312" w:hAnsi="Courier New" w:eastAsia="FangSong_GB2312"/>
          <w:b/>
          <w:color w:val="000000" w:themeColor="text1"/>
          <w:sz w:val="32"/>
          <w:szCs w:val="24"/>
        </w:rPr>
        <w:t>商务需求</w:t>
      </w:r>
    </w:p>
    <w:tbl>
      <w:tblPr>
        <w:tblStyle w:val="3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7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980" w:type="dxa"/>
            <w:vAlign w:val="center"/>
          </w:tcPr>
          <w:p>
            <w:pPr>
              <w:jc w:val="center"/>
              <w:rPr>
                <w:color w:val="000000" w:themeColor="text1"/>
                <w:sz w:val="24"/>
              </w:rPr>
            </w:pPr>
            <w:r>
              <w:rPr>
                <w:rFonts w:hint="eastAsia"/>
                <w:color w:val="000000" w:themeColor="text1"/>
                <w:sz w:val="24"/>
              </w:rPr>
              <w:t>质量要求</w:t>
            </w:r>
          </w:p>
        </w:tc>
        <w:tc>
          <w:tcPr>
            <w:tcW w:w="7234" w:type="dxa"/>
          </w:tcPr>
          <w:p>
            <w:pPr>
              <w:jc w:val="left"/>
              <w:rPr>
                <w:color w:val="000000" w:themeColor="text1"/>
                <w:sz w:val="24"/>
              </w:rPr>
            </w:pPr>
            <w:r>
              <w:rPr>
                <w:rFonts w:hint="eastAsia"/>
                <w:color w:val="000000" w:themeColor="text1"/>
                <w:sz w:val="24"/>
              </w:rPr>
              <w:t>产品必须是符合国家技术规格和质量标准的全新的原厂原包装合格产品。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980" w:type="dxa"/>
            <w:vAlign w:val="center"/>
          </w:tcPr>
          <w:p>
            <w:pPr>
              <w:jc w:val="center"/>
              <w:rPr>
                <w:color w:val="000000" w:themeColor="text1"/>
                <w:sz w:val="24"/>
              </w:rPr>
            </w:pPr>
            <w:r>
              <w:rPr>
                <w:rFonts w:hint="eastAsia"/>
                <w:color w:val="000000" w:themeColor="text1"/>
                <w:sz w:val="24"/>
              </w:rPr>
              <w:t>保修期</w:t>
            </w:r>
          </w:p>
        </w:tc>
        <w:tc>
          <w:tcPr>
            <w:tcW w:w="7234" w:type="dxa"/>
          </w:tcPr>
          <w:p>
            <w:pPr>
              <w:jc w:val="left"/>
              <w:rPr>
                <w:color w:val="000000" w:themeColor="text1"/>
                <w:sz w:val="24"/>
              </w:rPr>
            </w:pPr>
            <w:r>
              <w:rPr>
                <w:rFonts w:ascii="宋体" w:hAnsi="宋体"/>
                <w:color w:val="000000" w:themeColor="text1"/>
                <w:sz w:val="24"/>
                <w:szCs w:val="21"/>
              </w:rPr>
              <w:t>验收合格</w:t>
            </w:r>
            <w:r>
              <w:rPr>
                <w:rFonts w:hint="eastAsia" w:ascii="宋体" w:hAnsi="宋体"/>
                <w:color w:val="000000" w:themeColor="text1"/>
                <w:sz w:val="24"/>
                <w:szCs w:val="21"/>
              </w:rPr>
              <w:t>后，整体质保期为3年。（具体产品保修期见招标需求）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980" w:type="dxa"/>
            <w:vAlign w:val="center"/>
          </w:tcPr>
          <w:p>
            <w:pPr>
              <w:jc w:val="center"/>
              <w:rPr>
                <w:color w:val="000000" w:themeColor="text1"/>
                <w:sz w:val="24"/>
              </w:rPr>
            </w:pPr>
            <w:r>
              <w:rPr>
                <w:rFonts w:hint="eastAsia"/>
                <w:color w:val="000000" w:themeColor="text1"/>
                <w:sz w:val="24"/>
              </w:rPr>
              <w:t>售后服务要求</w:t>
            </w:r>
          </w:p>
        </w:tc>
        <w:tc>
          <w:tcPr>
            <w:tcW w:w="7234" w:type="dxa"/>
          </w:tcPr>
          <w:p>
            <w:pPr>
              <w:ind w:firstLine="480" w:firstLineChars="200"/>
              <w:jc w:val="left"/>
              <w:rPr>
                <w:color w:val="000000" w:themeColor="text1"/>
                <w:sz w:val="24"/>
              </w:rPr>
            </w:pPr>
            <w:r>
              <w:rPr>
                <w:rFonts w:hint="eastAsia"/>
                <w:color w:val="000000" w:themeColor="text1"/>
                <w:sz w:val="24"/>
              </w:rPr>
              <w:t>三年内免费上门服务；其他按国家有关要求执行。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980" w:type="dxa"/>
            <w:vAlign w:val="center"/>
          </w:tcPr>
          <w:p>
            <w:pPr>
              <w:jc w:val="center"/>
              <w:rPr>
                <w:color w:val="000000" w:themeColor="text1"/>
                <w:sz w:val="24"/>
              </w:rPr>
            </w:pPr>
            <w:r>
              <w:rPr>
                <w:rFonts w:hint="eastAsia"/>
                <w:color w:val="000000" w:themeColor="text1"/>
                <w:sz w:val="24"/>
              </w:rPr>
              <w:t>验收标准</w:t>
            </w:r>
          </w:p>
        </w:tc>
        <w:tc>
          <w:tcPr>
            <w:tcW w:w="7234" w:type="dxa"/>
          </w:tcPr>
          <w:p>
            <w:pPr>
              <w:jc w:val="left"/>
              <w:rPr>
                <w:color w:val="000000" w:themeColor="text1"/>
                <w:sz w:val="24"/>
              </w:rPr>
            </w:pPr>
            <w:r>
              <w:rPr>
                <w:color w:val="000000" w:themeColor="text1"/>
                <w:sz w:val="24"/>
              </w:rPr>
              <w:t xml:space="preserve">1. </w:t>
            </w:r>
            <w:r>
              <w:rPr>
                <w:rFonts w:hint="eastAsia"/>
                <w:color w:val="000000" w:themeColor="text1"/>
                <w:sz w:val="24"/>
              </w:rPr>
              <w:t>供货方应提供货物的有效检验材料，经采购人认可后，与招标文件的技术指标一起作为验收标准。采购人组织专家组对货物验收，验收中发现达不到验收标准或招标文件规定的技术指标，卖方必须更换，并负担由此给用户造成的损失，直到验收合格为止。</w:t>
            </w:r>
          </w:p>
          <w:p>
            <w:pPr>
              <w:jc w:val="left"/>
              <w:rPr>
                <w:color w:val="000000" w:themeColor="text1"/>
                <w:sz w:val="24"/>
              </w:rPr>
            </w:pPr>
            <w:r>
              <w:rPr>
                <w:color w:val="000000" w:themeColor="text1"/>
                <w:sz w:val="24"/>
              </w:rPr>
              <w:t xml:space="preserve">2. </w:t>
            </w:r>
            <w:r>
              <w:rPr>
                <w:rFonts w:hint="eastAsia"/>
                <w:color w:val="000000" w:themeColor="text1"/>
                <w:sz w:val="24"/>
              </w:rPr>
              <w:t>投标方应于投标书中提供验收标准和检测办法，并在验收中提供买方认可的相应检测手段，验收标准应符合中国有关的国家、地方、行业的标准，如若中标，经买方确认后作为验收的依据。</w:t>
            </w:r>
          </w:p>
          <w:p>
            <w:pPr>
              <w:jc w:val="left"/>
              <w:rPr>
                <w:color w:val="000000" w:themeColor="text1"/>
                <w:sz w:val="24"/>
              </w:rPr>
            </w:pPr>
            <w:r>
              <w:rPr>
                <w:color w:val="000000" w:themeColor="text1"/>
                <w:sz w:val="24"/>
              </w:rPr>
              <w:t xml:space="preserve">3. </w:t>
            </w:r>
            <w:r>
              <w:rPr>
                <w:rFonts w:hint="eastAsia"/>
                <w:color w:val="000000" w:themeColor="text1"/>
                <w:sz w:val="24"/>
              </w:rPr>
              <w:t>检测费用及验收专家费用由中标供应商承担。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980" w:type="dxa"/>
          </w:tcPr>
          <w:p>
            <w:pPr>
              <w:jc w:val="center"/>
              <w:rPr>
                <w:color w:val="000000" w:themeColor="text1"/>
                <w:sz w:val="24"/>
              </w:rPr>
            </w:pPr>
            <w:r>
              <w:rPr>
                <w:rFonts w:hint="eastAsia"/>
                <w:color w:val="000000" w:themeColor="text1"/>
                <w:sz w:val="24"/>
              </w:rPr>
              <w:t>交货时间</w:t>
            </w:r>
          </w:p>
        </w:tc>
        <w:tc>
          <w:tcPr>
            <w:tcW w:w="7234" w:type="dxa"/>
          </w:tcPr>
          <w:p>
            <w:pPr>
              <w:jc w:val="left"/>
              <w:rPr>
                <w:color w:val="000000" w:themeColor="text1"/>
                <w:sz w:val="24"/>
              </w:rPr>
            </w:pPr>
            <w:r>
              <w:rPr>
                <w:rFonts w:hint="eastAsia"/>
                <w:color w:val="000000" w:themeColor="text1"/>
                <w:sz w:val="24"/>
              </w:rPr>
              <w:t>普通教室智能交互大屏及配套设备在2</w:t>
            </w:r>
            <w:r>
              <w:rPr>
                <w:color w:val="000000" w:themeColor="text1"/>
                <w:sz w:val="24"/>
              </w:rPr>
              <w:t>022</w:t>
            </w:r>
            <w:r>
              <w:rPr>
                <w:rFonts w:hint="eastAsia"/>
                <w:color w:val="000000" w:themeColor="text1"/>
                <w:sz w:val="24"/>
              </w:rPr>
              <w:t>年暑假期间由学校指定的连续或者断续不超过20天自然日且在8月25日前完成，不影响学校开课；其它所有项目要求在合同签订后5</w:t>
            </w:r>
            <w:r>
              <w:rPr>
                <w:color w:val="000000" w:themeColor="text1"/>
                <w:sz w:val="24"/>
              </w:rPr>
              <w:t>0</w:t>
            </w:r>
            <w:r>
              <w:rPr>
                <w:rFonts w:hint="eastAsia"/>
                <w:color w:val="000000" w:themeColor="text1"/>
                <w:sz w:val="24"/>
              </w:rPr>
              <w:t>天内竣工。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980" w:type="dxa"/>
          </w:tcPr>
          <w:p>
            <w:pPr>
              <w:jc w:val="center"/>
              <w:rPr>
                <w:color w:val="000000" w:themeColor="text1"/>
                <w:sz w:val="24"/>
              </w:rPr>
            </w:pPr>
            <w:r>
              <w:rPr>
                <w:rFonts w:hint="eastAsia"/>
                <w:color w:val="000000" w:themeColor="text1"/>
                <w:sz w:val="24"/>
              </w:rPr>
              <w:t>交货地点</w:t>
            </w:r>
          </w:p>
        </w:tc>
        <w:tc>
          <w:tcPr>
            <w:tcW w:w="7234" w:type="dxa"/>
          </w:tcPr>
          <w:p>
            <w:pPr>
              <w:jc w:val="left"/>
              <w:rPr>
                <w:color w:val="000000" w:themeColor="text1"/>
                <w:sz w:val="24"/>
              </w:rPr>
            </w:pPr>
            <w:r>
              <w:rPr>
                <w:rFonts w:hint="eastAsia"/>
                <w:color w:val="000000" w:themeColor="text1"/>
                <w:sz w:val="24"/>
              </w:rPr>
              <w:t>天台中学指定地点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1980" w:type="dxa"/>
          </w:tcPr>
          <w:p>
            <w:pPr>
              <w:jc w:val="center"/>
              <w:rPr>
                <w:color w:val="000000" w:themeColor="text1"/>
                <w:sz w:val="24"/>
              </w:rPr>
            </w:pPr>
            <w:r>
              <w:rPr>
                <w:rFonts w:hint="eastAsia"/>
                <w:color w:val="000000" w:themeColor="text1"/>
                <w:sz w:val="24"/>
              </w:rPr>
              <w:t>安装调试</w:t>
            </w:r>
          </w:p>
        </w:tc>
        <w:tc>
          <w:tcPr>
            <w:tcW w:w="7234" w:type="dxa"/>
          </w:tcPr>
          <w:p>
            <w:pPr>
              <w:jc w:val="left"/>
              <w:rPr>
                <w:color w:val="000000" w:themeColor="text1"/>
                <w:sz w:val="24"/>
              </w:rPr>
            </w:pPr>
            <w:r>
              <w:rPr>
                <w:rFonts w:hint="eastAsia" w:ascii="宋体" w:hAnsi="宋体"/>
                <w:color w:val="000000" w:themeColor="text1"/>
                <w:sz w:val="24"/>
                <w:szCs w:val="21"/>
              </w:rPr>
              <w:t>安装标准：符合我国国家有关技术规范要求和技术标准。中标方免费提供安装调试服务。中标方应在投标文件中应提供供货计划、对交货场地和环境的要求。在安装调试过程中不得影响校方正常教学，保证校方能够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980" w:type="dxa"/>
          </w:tcPr>
          <w:p>
            <w:pPr>
              <w:jc w:val="center"/>
              <w:rPr>
                <w:color w:val="000000" w:themeColor="text1"/>
                <w:sz w:val="24"/>
              </w:rPr>
            </w:pPr>
            <w:r>
              <w:rPr>
                <w:rFonts w:hint="eastAsia"/>
                <w:color w:val="000000" w:themeColor="text1"/>
                <w:sz w:val="24"/>
              </w:rPr>
              <w:t>培训</w:t>
            </w:r>
          </w:p>
        </w:tc>
        <w:tc>
          <w:tcPr>
            <w:tcW w:w="7234" w:type="dxa"/>
          </w:tcPr>
          <w:p>
            <w:pPr>
              <w:ind w:firstLine="480" w:firstLineChars="200"/>
              <w:jc w:val="left"/>
              <w:rPr>
                <w:color w:val="000000" w:themeColor="text1"/>
                <w:sz w:val="24"/>
              </w:rPr>
            </w:pPr>
            <w:r>
              <w:rPr>
                <w:rFonts w:hint="eastAsia"/>
                <w:color w:val="000000" w:themeColor="text1"/>
                <w:sz w:val="24"/>
              </w:rPr>
              <w:t>对管理人员进行培训，保证用户能独立操作为止。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980" w:type="dxa"/>
          </w:tcPr>
          <w:p>
            <w:pPr>
              <w:jc w:val="center"/>
              <w:rPr>
                <w:color w:val="000000" w:themeColor="text1"/>
                <w:sz w:val="24"/>
              </w:rPr>
            </w:pPr>
            <w:r>
              <w:rPr>
                <w:rFonts w:hint="eastAsia"/>
                <w:color w:val="000000" w:themeColor="text1"/>
                <w:sz w:val="24"/>
              </w:rPr>
              <w:t>货款支付方式</w:t>
            </w:r>
          </w:p>
        </w:tc>
        <w:tc>
          <w:tcPr>
            <w:tcW w:w="7234" w:type="dxa"/>
          </w:tcPr>
          <w:p>
            <w:pPr>
              <w:ind w:firstLine="480" w:firstLineChars="200"/>
              <w:jc w:val="left"/>
              <w:rPr>
                <w:rFonts w:ascii="宋体" w:hAnsi="宋体"/>
                <w:color w:val="000000" w:themeColor="text1"/>
                <w:sz w:val="24"/>
              </w:rPr>
            </w:pPr>
            <w:r>
              <w:rPr>
                <w:rFonts w:hint="eastAsia" w:ascii="宋体" w:hAnsi="宋体"/>
                <w:color w:val="000000" w:themeColor="text1"/>
                <w:sz w:val="24"/>
              </w:rPr>
              <w:t>▲采购合同生效及具备实施条件后15日内支付合同总额的40%预付款，安装调试完毕、验收合格后一个月内支付至合同总额的98%，余款在质保期满后一次性付清。</w:t>
            </w:r>
          </w:p>
          <w:p>
            <w:pPr>
              <w:ind w:firstLine="480" w:firstLineChars="200"/>
              <w:jc w:val="left"/>
              <w:rPr>
                <w:color w:val="000000" w:themeColor="text1"/>
                <w:sz w:val="24"/>
              </w:rPr>
            </w:pPr>
            <w:r>
              <w:rPr>
                <w:rFonts w:hint="eastAsia" w:ascii="宋体" w:hAnsi="宋体"/>
                <w:color w:val="000000" w:themeColor="text1"/>
                <w:sz w:val="24"/>
              </w:rPr>
              <w:t>注:若中标供应商明确表示无需预付款或者主动要求降低预付款比例的，采购人可不适用前述规定。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980" w:type="dxa"/>
          </w:tcPr>
          <w:p>
            <w:pPr>
              <w:jc w:val="center"/>
              <w:rPr>
                <w:color w:val="000000" w:themeColor="text1"/>
                <w:sz w:val="24"/>
              </w:rPr>
            </w:pPr>
            <w:r>
              <w:rPr>
                <w:rFonts w:hint="eastAsia"/>
                <w:color w:val="000000" w:themeColor="text1"/>
                <w:sz w:val="24"/>
              </w:rPr>
              <w:t>核心产品</w:t>
            </w:r>
          </w:p>
        </w:tc>
        <w:tc>
          <w:tcPr>
            <w:tcW w:w="7234" w:type="dxa"/>
          </w:tcPr>
          <w:p>
            <w:pPr>
              <w:ind w:firstLine="480" w:firstLineChars="200"/>
              <w:jc w:val="left"/>
              <w:rPr>
                <w:color w:val="000000" w:themeColor="text1"/>
                <w:sz w:val="24"/>
              </w:rPr>
            </w:pPr>
            <w:r>
              <w:rPr>
                <w:rFonts w:hint="eastAsia"/>
                <w:color w:val="000000" w:themeColor="text1"/>
                <w:sz w:val="24"/>
              </w:rPr>
              <w:t xml:space="preserve"> 86寸智能交互平板</w:t>
            </w:r>
          </w:p>
        </w:tc>
      </w:tr>
    </w:tbl>
    <w:p>
      <w:pPr>
        <w:rPr>
          <w:color w:val="000000" w:themeColor="text1"/>
        </w:rPr>
      </w:pPr>
    </w:p>
    <w:p>
      <w:pPr>
        <w:pStyle w:val="20"/>
        <w:snapToGrid w:val="0"/>
        <w:jc w:val="center"/>
        <w:rPr>
          <w:rFonts w:ascii="仿宋" w:hAnsi="仿宋" w:eastAsia="仿宋"/>
          <w:b/>
          <w:color w:val="000000" w:themeColor="text1"/>
          <w:sz w:val="36"/>
          <w:szCs w:val="36"/>
        </w:rPr>
      </w:pPr>
    </w:p>
    <w:p>
      <w:pPr>
        <w:pStyle w:val="20"/>
        <w:snapToGrid w:val="0"/>
        <w:jc w:val="center"/>
        <w:rPr>
          <w:rFonts w:ascii="仿宋" w:hAnsi="仿宋" w:eastAsia="仿宋"/>
          <w:b/>
          <w:color w:val="000000" w:themeColor="text1"/>
          <w:sz w:val="36"/>
          <w:szCs w:val="36"/>
        </w:rPr>
      </w:pPr>
    </w:p>
    <w:p>
      <w:pPr>
        <w:pStyle w:val="20"/>
        <w:snapToGrid w:val="0"/>
        <w:jc w:val="center"/>
        <w:rPr>
          <w:rFonts w:ascii="仿宋" w:hAnsi="仿宋" w:eastAsia="仿宋"/>
          <w:b/>
          <w:color w:val="000000" w:themeColor="text1"/>
          <w:sz w:val="36"/>
          <w:szCs w:val="36"/>
        </w:rPr>
      </w:pPr>
    </w:p>
    <w:p>
      <w:pPr>
        <w:pStyle w:val="20"/>
        <w:snapToGrid w:val="0"/>
        <w:jc w:val="center"/>
        <w:rPr>
          <w:rFonts w:ascii="仿宋" w:hAnsi="仿宋" w:eastAsia="仿宋"/>
          <w:b/>
          <w:color w:val="000000" w:themeColor="text1"/>
          <w:sz w:val="36"/>
          <w:szCs w:val="36"/>
        </w:rPr>
      </w:pPr>
    </w:p>
    <w:p>
      <w:pPr>
        <w:pStyle w:val="20"/>
        <w:snapToGrid w:val="0"/>
        <w:jc w:val="center"/>
        <w:rPr>
          <w:rFonts w:ascii="仿宋" w:hAnsi="仿宋" w:eastAsia="仿宋"/>
          <w:b/>
          <w:color w:val="000000" w:themeColor="text1"/>
          <w:sz w:val="36"/>
          <w:szCs w:val="36"/>
        </w:rPr>
      </w:pPr>
    </w:p>
    <w:p>
      <w:pPr>
        <w:pStyle w:val="20"/>
        <w:snapToGrid w:val="0"/>
        <w:jc w:val="center"/>
        <w:rPr>
          <w:rFonts w:ascii="仿宋" w:hAnsi="仿宋" w:eastAsia="仿宋"/>
          <w:b/>
          <w:color w:val="000000" w:themeColor="text1"/>
          <w:sz w:val="36"/>
          <w:szCs w:val="36"/>
        </w:rPr>
      </w:pPr>
    </w:p>
    <w:p>
      <w:pPr>
        <w:pStyle w:val="20"/>
        <w:snapToGrid w:val="0"/>
        <w:jc w:val="center"/>
        <w:rPr>
          <w:rFonts w:ascii="仿宋" w:hAnsi="仿宋" w:eastAsia="仿宋"/>
          <w:b/>
          <w:color w:val="000000" w:themeColor="text1"/>
          <w:sz w:val="36"/>
          <w:szCs w:val="36"/>
        </w:rPr>
      </w:pPr>
    </w:p>
    <w:p>
      <w:pPr>
        <w:pStyle w:val="20"/>
        <w:snapToGrid w:val="0"/>
        <w:jc w:val="center"/>
        <w:rPr>
          <w:rFonts w:ascii="仿宋" w:hAnsi="仿宋" w:eastAsia="仿宋"/>
          <w:b/>
          <w:color w:val="000000" w:themeColor="text1"/>
          <w:sz w:val="36"/>
          <w:szCs w:val="36"/>
        </w:rPr>
      </w:pPr>
    </w:p>
    <w:p>
      <w:pPr>
        <w:pStyle w:val="20"/>
        <w:snapToGrid w:val="0"/>
        <w:jc w:val="center"/>
        <w:rPr>
          <w:rFonts w:ascii="仿宋" w:hAnsi="仿宋" w:eastAsia="仿宋"/>
          <w:b/>
          <w:color w:val="000000" w:themeColor="text1"/>
          <w:sz w:val="36"/>
          <w:szCs w:val="36"/>
        </w:rPr>
      </w:pPr>
    </w:p>
    <w:p>
      <w:pPr>
        <w:pStyle w:val="20"/>
        <w:snapToGrid w:val="0"/>
        <w:jc w:val="center"/>
        <w:rPr>
          <w:rFonts w:ascii="仿宋" w:hAnsi="仿宋" w:eastAsia="仿宋"/>
          <w:b/>
          <w:color w:val="000000" w:themeColor="text1"/>
          <w:sz w:val="36"/>
          <w:szCs w:val="36"/>
        </w:rPr>
      </w:pPr>
    </w:p>
    <w:p>
      <w:pPr>
        <w:pStyle w:val="20"/>
        <w:snapToGrid w:val="0"/>
        <w:jc w:val="center"/>
        <w:rPr>
          <w:rFonts w:ascii="仿宋" w:hAnsi="仿宋" w:eastAsia="仿宋"/>
          <w:b/>
          <w:color w:val="000000" w:themeColor="text1"/>
          <w:sz w:val="36"/>
          <w:szCs w:val="36"/>
        </w:rPr>
      </w:pPr>
      <w:r>
        <w:rPr>
          <w:rFonts w:ascii="仿宋" w:hAnsi="仿宋" w:eastAsia="仿宋"/>
          <w:b/>
          <w:color w:val="000000" w:themeColor="text1"/>
          <w:sz w:val="36"/>
          <w:szCs w:val="36"/>
        </w:rPr>
        <w:t>第五章 评标办法及评分标准</w:t>
      </w:r>
    </w:p>
    <w:p>
      <w:pPr>
        <w:pStyle w:val="20"/>
        <w:snapToGrid w:val="0"/>
        <w:spacing w:beforeLines="50" w:afterLines="50"/>
        <w:rPr>
          <w:rFonts w:ascii="仿宋" w:hAnsi="仿宋" w:eastAsia="仿宋"/>
          <w:b/>
          <w:color w:val="000000" w:themeColor="text1"/>
          <w:sz w:val="28"/>
          <w:szCs w:val="28"/>
        </w:rPr>
      </w:pPr>
      <w:r>
        <w:rPr>
          <w:rFonts w:ascii="仿宋" w:hAnsi="仿宋" w:eastAsia="仿宋"/>
          <w:b/>
          <w:color w:val="000000" w:themeColor="text1"/>
          <w:sz w:val="28"/>
          <w:szCs w:val="28"/>
        </w:rPr>
        <w:t>一、评标原则</w:t>
      </w:r>
    </w:p>
    <w:p>
      <w:pPr>
        <w:pStyle w:val="20"/>
        <w:snapToGrid w:val="0"/>
        <w:ind w:firstLine="240" w:firstLineChars="100"/>
        <w:rPr>
          <w:rFonts w:ascii="仿宋" w:hAnsi="仿宋" w:eastAsia="仿宋"/>
          <w:color w:val="000000" w:themeColor="text1"/>
          <w:sz w:val="24"/>
        </w:rPr>
      </w:pPr>
      <w:r>
        <w:rPr>
          <w:rFonts w:ascii="仿宋" w:hAnsi="仿宋" w:eastAsia="仿宋"/>
          <w:color w:val="000000" w:themeColor="text1"/>
          <w:sz w:val="24"/>
        </w:rPr>
        <w:t>评标委员会必须公平、公正、客观，不带任何倾向性和启发性，不得向外界透露任何与评标有关的内容；任何单位和个人不得干扰、影响评标的正常进行；评标委员会及有关工作人员不得私下与投标人接触。</w:t>
      </w:r>
    </w:p>
    <w:p>
      <w:pPr>
        <w:pStyle w:val="20"/>
        <w:snapToGrid w:val="0"/>
        <w:spacing w:beforeLines="50"/>
        <w:rPr>
          <w:rFonts w:ascii="仿宋" w:hAnsi="仿宋" w:eastAsia="仿宋"/>
          <w:b/>
          <w:color w:val="000000" w:themeColor="text1"/>
          <w:sz w:val="28"/>
          <w:szCs w:val="28"/>
        </w:rPr>
      </w:pPr>
      <w:r>
        <w:rPr>
          <w:rFonts w:ascii="仿宋" w:hAnsi="仿宋" w:eastAsia="仿宋"/>
          <w:b/>
          <w:color w:val="000000" w:themeColor="text1"/>
          <w:sz w:val="28"/>
          <w:szCs w:val="28"/>
        </w:rPr>
        <w:t>二、评标办法：采用综合评分法总得分为100分，其中技术得分</w:t>
      </w:r>
      <w:r>
        <w:rPr>
          <w:rFonts w:hint="eastAsia" w:ascii="仿宋" w:hAnsi="仿宋" w:eastAsia="仿宋"/>
          <w:b/>
          <w:color w:val="000000" w:themeColor="text1"/>
          <w:sz w:val="28"/>
          <w:szCs w:val="28"/>
        </w:rPr>
        <w:t>7</w:t>
      </w:r>
      <w:r>
        <w:rPr>
          <w:rFonts w:ascii="仿宋" w:hAnsi="仿宋" w:eastAsia="仿宋"/>
          <w:b/>
          <w:color w:val="000000" w:themeColor="text1"/>
          <w:sz w:val="28"/>
          <w:szCs w:val="28"/>
        </w:rPr>
        <w:t>0分，价格得分</w:t>
      </w:r>
      <w:r>
        <w:rPr>
          <w:rFonts w:hint="eastAsia" w:ascii="仿宋" w:hAnsi="仿宋" w:eastAsia="仿宋"/>
          <w:b/>
          <w:color w:val="000000" w:themeColor="text1"/>
          <w:sz w:val="28"/>
          <w:szCs w:val="28"/>
        </w:rPr>
        <w:t>3</w:t>
      </w:r>
      <w:r>
        <w:rPr>
          <w:rFonts w:ascii="仿宋" w:hAnsi="仿宋" w:eastAsia="仿宋"/>
          <w:b/>
          <w:color w:val="000000" w:themeColor="text1"/>
          <w:sz w:val="28"/>
          <w:szCs w:val="28"/>
        </w:rPr>
        <w:t>0分</w:t>
      </w:r>
    </w:p>
    <w:p>
      <w:pPr>
        <w:autoSpaceDE w:val="0"/>
        <w:autoSpaceDN w:val="0"/>
        <w:adjustRightInd w:val="0"/>
        <w:spacing w:before="156"/>
        <w:rPr>
          <w:rFonts w:ascii="仿宋" w:hAnsi="仿宋" w:eastAsia="仿宋" w:cs="FangSong_GB2312"/>
          <w:b/>
          <w:bCs/>
          <w:color w:val="000000" w:themeColor="text1"/>
          <w:sz w:val="24"/>
          <w:lang w:val="zh-CN"/>
        </w:rPr>
      </w:pPr>
      <w:r>
        <w:rPr>
          <w:rFonts w:hint="eastAsia" w:ascii="仿宋" w:hAnsi="仿宋" w:eastAsia="仿宋" w:cs="FangSong_GB2312"/>
          <w:b/>
          <w:bCs/>
          <w:color w:val="000000" w:themeColor="text1"/>
          <w:sz w:val="24"/>
          <w:lang w:val="zh-CN"/>
        </w:rPr>
        <w:t>（一）评标要求</w:t>
      </w:r>
    </w:p>
    <w:p>
      <w:pPr>
        <w:autoSpaceDE w:val="0"/>
        <w:autoSpaceDN w:val="0"/>
        <w:adjustRightInd w:val="0"/>
        <w:spacing w:before="156"/>
        <w:ind w:firstLine="235" w:firstLineChars="98"/>
        <w:rPr>
          <w:rFonts w:ascii="仿宋" w:hAnsi="仿宋" w:eastAsia="仿宋" w:cs="FangSong_GB2312"/>
          <w:color w:val="000000" w:themeColor="text1"/>
          <w:sz w:val="24"/>
          <w:lang w:val="zh-CN"/>
        </w:rPr>
      </w:pPr>
      <w:r>
        <w:rPr>
          <w:rFonts w:hint="eastAsia" w:ascii="仿宋" w:hAnsi="仿宋" w:eastAsia="仿宋" w:cs="FangSong_GB2312"/>
          <w:bCs/>
          <w:color w:val="000000" w:themeColor="text1"/>
          <w:sz w:val="24"/>
          <w:lang w:val="zh-CN"/>
        </w:rPr>
        <w:t>1、</w:t>
      </w:r>
      <w:r>
        <w:rPr>
          <w:rFonts w:hint="eastAsia" w:ascii="仿宋" w:hAnsi="仿宋" w:eastAsia="仿宋" w:cs="FangSong_GB2312"/>
          <w:color w:val="000000" w:themeColor="text1"/>
          <w:sz w:val="24"/>
          <w:lang w:val="zh-CN"/>
        </w:rPr>
        <w:t>评标委员会将对投标文件的内容进行评审，凡投标文件实质性内容不响应招标文件要求和关键格式不符合招标文件规定的，经评标委员会认定作为无效标处理。评标委员会经过审标、询标，在对各投标人及其投标文件进行充分分析、评议的基础上进行打分。</w:t>
      </w:r>
    </w:p>
    <w:p>
      <w:pPr>
        <w:autoSpaceDE w:val="0"/>
        <w:autoSpaceDN w:val="0"/>
        <w:adjustRightInd w:val="0"/>
        <w:spacing w:before="156"/>
        <w:ind w:firstLine="240" w:firstLineChars="100"/>
        <w:rPr>
          <w:rFonts w:ascii="仿宋" w:hAnsi="仿宋" w:eastAsia="仿宋" w:cs="FangSong_GB2312"/>
          <w:color w:val="000000" w:themeColor="text1"/>
          <w:sz w:val="24"/>
          <w:lang w:val="zh-CN"/>
        </w:rPr>
      </w:pPr>
      <w:r>
        <w:rPr>
          <w:rFonts w:hint="eastAsia" w:ascii="仿宋" w:hAnsi="仿宋" w:eastAsia="仿宋" w:cs="FangSong_GB2312"/>
          <w:color w:val="000000" w:themeColor="text1"/>
          <w:sz w:val="24"/>
          <w:lang w:val="zh-CN"/>
        </w:rPr>
        <w:t>2、总得分为100分。在规定的分值范围内由评委自行评定打分。</w:t>
      </w:r>
    </w:p>
    <w:p>
      <w:pPr>
        <w:autoSpaceDE w:val="0"/>
        <w:autoSpaceDN w:val="0"/>
        <w:adjustRightInd w:val="0"/>
        <w:spacing w:before="156"/>
        <w:ind w:firstLine="240" w:firstLineChars="100"/>
        <w:rPr>
          <w:rFonts w:ascii="仿宋" w:hAnsi="仿宋" w:eastAsia="仿宋" w:cs="FangSong_GB2312"/>
          <w:color w:val="000000" w:themeColor="text1"/>
          <w:sz w:val="24"/>
          <w:lang w:val="zh-CN"/>
        </w:rPr>
      </w:pPr>
      <w:r>
        <w:rPr>
          <w:rFonts w:hint="eastAsia" w:ascii="仿宋" w:hAnsi="仿宋" w:eastAsia="仿宋" w:cs="FangSong_GB2312"/>
          <w:color w:val="000000" w:themeColor="text1"/>
          <w:sz w:val="24"/>
          <w:lang w:val="zh-CN"/>
        </w:rPr>
        <w:t>3、根据评委打分累计后再取平均分作为投标人的最终得分。</w:t>
      </w:r>
    </w:p>
    <w:p>
      <w:pPr>
        <w:autoSpaceDE w:val="0"/>
        <w:autoSpaceDN w:val="0"/>
        <w:adjustRightInd w:val="0"/>
        <w:spacing w:before="156"/>
        <w:ind w:firstLine="240" w:firstLineChars="100"/>
        <w:rPr>
          <w:rFonts w:ascii="仿宋" w:hAnsi="仿宋" w:eastAsia="仿宋" w:cs="FangSong_GB2312"/>
          <w:color w:val="000000" w:themeColor="text1"/>
          <w:sz w:val="24"/>
          <w:lang w:val="zh-CN"/>
        </w:rPr>
      </w:pPr>
      <w:r>
        <w:rPr>
          <w:rFonts w:hint="eastAsia" w:ascii="仿宋" w:hAnsi="仿宋" w:eastAsia="仿宋" w:cs="FangSong_GB2312"/>
          <w:color w:val="000000" w:themeColor="text1"/>
          <w:sz w:val="24"/>
          <w:lang w:val="zh-CN"/>
        </w:rPr>
        <w:t>4、所有计算结果小数点后保留2位，第3位四舍五入。</w:t>
      </w:r>
    </w:p>
    <w:p>
      <w:pPr>
        <w:spacing w:line="440" w:lineRule="exact"/>
        <w:rPr>
          <w:rFonts w:ascii="仿宋" w:hAnsi="仿宋" w:eastAsia="仿宋"/>
          <w:b/>
          <w:color w:val="000000" w:themeColor="text1"/>
          <w:sz w:val="24"/>
        </w:rPr>
      </w:pPr>
      <w:r>
        <w:rPr>
          <w:rFonts w:hint="eastAsia" w:ascii="仿宋" w:hAnsi="仿宋" w:eastAsia="仿宋"/>
          <w:b/>
          <w:color w:val="000000" w:themeColor="text1"/>
          <w:sz w:val="24"/>
        </w:rPr>
        <w:t>（二）评标</w:t>
      </w:r>
    </w:p>
    <w:p>
      <w:pPr>
        <w:spacing w:afterLines="50" w:line="440" w:lineRule="exact"/>
        <w:ind w:firstLine="236" w:firstLineChars="98"/>
        <w:rPr>
          <w:rFonts w:ascii="仿宋" w:hAnsi="仿宋" w:eastAsia="仿宋"/>
          <w:color w:val="000000" w:themeColor="text1"/>
          <w:sz w:val="24"/>
        </w:rPr>
      </w:pPr>
      <w:r>
        <w:rPr>
          <w:rFonts w:ascii="仿宋" w:hAnsi="仿宋" w:eastAsia="仿宋"/>
          <w:b/>
          <w:color w:val="000000" w:themeColor="text1"/>
          <w:sz w:val="24"/>
        </w:rPr>
        <w:t>1</w:t>
      </w:r>
      <w:r>
        <w:rPr>
          <w:rFonts w:hint="eastAsia" w:ascii="仿宋" w:hAnsi="仿宋" w:eastAsia="仿宋"/>
          <w:b/>
          <w:color w:val="000000" w:themeColor="text1"/>
          <w:sz w:val="24"/>
        </w:rPr>
        <w:t>、资格文件评审</w:t>
      </w:r>
    </w:p>
    <w:p>
      <w:pPr>
        <w:snapToGrid w:val="0"/>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评标委员会对投标人的资格文件的完整性、合法性、资格条件等进行审查。合格的进入商务技术文件评审，不合格的按无效标处理不再进入商务技术文件评审。</w:t>
      </w:r>
    </w:p>
    <w:p>
      <w:pPr>
        <w:spacing w:afterLines="50" w:line="440" w:lineRule="exact"/>
        <w:rPr>
          <w:rFonts w:ascii="仿宋" w:hAnsi="仿宋" w:eastAsia="仿宋"/>
          <w:color w:val="000000" w:themeColor="text1"/>
          <w:sz w:val="24"/>
        </w:rPr>
      </w:pPr>
      <w:r>
        <w:rPr>
          <w:rFonts w:hint="eastAsia" w:ascii="仿宋" w:hAnsi="仿宋" w:eastAsia="仿宋"/>
          <w:b/>
          <w:color w:val="000000" w:themeColor="text1"/>
          <w:sz w:val="24"/>
        </w:rPr>
        <w:t xml:space="preserve">  2、商务技术文件评审</w:t>
      </w:r>
    </w:p>
    <w:p>
      <w:pPr>
        <w:snapToGrid w:val="0"/>
        <w:spacing w:line="4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2.1评标委员会审查各投标人商务技术文件中</w:t>
      </w:r>
      <w:r>
        <w:rPr>
          <w:rFonts w:hint="eastAsia" w:ascii="FangSong_GB2312" w:hAnsi="Courier New" w:eastAsia="FangSong_GB2312"/>
          <w:color w:val="000000" w:themeColor="text1"/>
          <w:sz w:val="24"/>
        </w:rPr>
        <w:t>产品性能和技术指标</w:t>
      </w:r>
      <w:r>
        <w:rPr>
          <w:rFonts w:hint="eastAsia" w:ascii="仿宋" w:hAnsi="仿宋" w:eastAsia="仿宋"/>
          <w:color w:val="000000" w:themeColor="text1"/>
          <w:sz w:val="24"/>
        </w:rPr>
        <w:t>等是否响应招标文件要求。如果商务技术文件实质上不响应招标文件各项要求，评标委员会将按无效标处理。</w:t>
      </w:r>
    </w:p>
    <w:p>
      <w:pPr>
        <w:spacing w:afterLines="50" w:line="440" w:lineRule="exact"/>
        <w:ind w:firstLine="236" w:firstLineChars="98"/>
        <w:rPr>
          <w:rFonts w:ascii="仿宋" w:hAnsi="仿宋" w:eastAsia="仿宋"/>
          <w:color w:val="000000" w:themeColor="text1"/>
          <w:sz w:val="24"/>
        </w:rPr>
      </w:pPr>
      <w:r>
        <w:rPr>
          <w:rFonts w:hint="eastAsia" w:ascii="仿宋" w:hAnsi="仿宋" w:eastAsia="仿宋"/>
          <w:b/>
          <w:color w:val="000000" w:themeColor="text1"/>
          <w:sz w:val="24"/>
        </w:rPr>
        <w:t>2.2技术得分计算方法如下</w:t>
      </w:r>
      <w:r>
        <w:rPr>
          <w:rFonts w:hint="eastAsia" w:ascii="仿宋" w:hAnsi="仿宋" w:eastAsia="仿宋"/>
          <w:color w:val="000000" w:themeColor="text1"/>
          <w:sz w:val="24"/>
        </w:rPr>
        <w:t xml:space="preserve">： </w:t>
      </w:r>
    </w:p>
    <w:p>
      <w:pPr>
        <w:ind w:firstLine="240" w:firstLineChars="100"/>
        <w:rPr>
          <w:rFonts w:ascii="仿宋" w:hAnsi="仿宋" w:eastAsia="仿宋"/>
          <w:color w:val="000000" w:themeColor="text1"/>
          <w:sz w:val="24"/>
        </w:rPr>
      </w:pPr>
      <w:r>
        <w:rPr>
          <w:rFonts w:hint="eastAsia" w:ascii="仿宋" w:hAnsi="仿宋" w:eastAsia="仿宋"/>
          <w:color w:val="000000" w:themeColor="text1"/>
          <w:sz w:val="24"/>
        </w:rPr>
        <w:t>①技术评定分值为</w:t>
      </w:r>
      <w:r>
        <w:rPr>
          <w:rFonts w:hint="eastAsia" w:ascii="仿宋" w:hAnsi="仿宋" w:eastAsia="仿宋"/>
          <w:b/>
          <w:color w:val="000000" w:themeColor="text1"/>
          <w:sz w:val="24"/>
        </w:rPr>
        <w:t>7</w:t>
      </w:r>
      <w:r>
        <w:rPr>
          <w:rFonts w:ascii="仿宋" w:hAnsi="仿宋" w:eastAsia="仿宋"/>
          <w:b/>
          <w:color w:val="000000" w:themeColor="text1"/>
          <w:sz w:val="24"/>
        </w:rPr>
        <w:t>0</w:t>
      </w:r>
      <w:r>
        <w:rPr>
          <w:rFonts w:hint="eastAsia" w:ascii="仿宋" w:hAnsi="仿宋" w:eastAsia="仿宋"/>
          <w:color w:val="000000" w:themeColor="text1"/>
          <w:sz w:val="24"/>
        </w:rPr>
        <w:t>分。</w:t>
      </w:r>
    </w:p>
    <w:p>
      <w:pPr>
        <w:ind w:firstLine="240" w:firstLineChars="100"/>
        <w:rPr>
          <w:rFonts w:ascii="仿宋" w:hAnsi="仿宋" w:eastAsia="仿宋"/>
          <w:color w:val="000000" w:themeColor="text1"/>
          <w:sz w:val="24"/>
        </w:rPr>
      </w:pPr>
      <w:r>
        <w:rPr>
          <w:rFonts w:hint="eastAsia" w:ascii="仿宋" w:hAnsi="仿宋" w:eastAsia="仿宋"/>
          <w:color w:val="000000" w:themeColor="text1"/>
          <w:sz w:val="24"/>
        </w:rPr>
        <w:t>②评标委员会按评分标准（详见表）中的内容，进行评审打分，合计得出各投标人的技术得分。</w:t>
      </w:r>
    </w:p>
    <w:p>
      <w:pPr>
        <w:ind w:firstLine="240" w:firstLineChars="100"/>
        <w:rPr>
          <w:rFonts w:ascii="仿宋" w:hAnsi="仿宋" w:eastAsia="仿宋"/>
          <w:color w:val="000000" w:themeColor="text1"/>
          <w:sz w:val="24"/>
        </w:rPr>
      </w:pPr>
      <w:r>
        <w:rPr>
          <w:rFonts w:hint="eastAsia" w:ascii="仿宋" w:hAnsi="仿宋" w:eastAsia="仿宋"/>
          <w:color w:val="000000" w:themeColor="text1"/>
          <w:sz w:val="24"/>
        </w:rPr>
        <w:t>③各投标人的技术得分由评委自行评议，技术得分评分的最终得分为所有评委评分的平均值。</w:t>
      </w:r>
    </w:p>
    <w:p>
      <w:pPr>
        <w:pStyle w:val="35"/>
        <w:ind w:left="0" w:leftChars="0" w:firstLine="0"/>
        <w:rPr>
          <w:rFonts w:ascii="仿宋" w:hAnsi="仿宋" w:eastAsia="仿宋"/>
          <w:color w:val="000000" w:themeColor="text1"/>
        </w:rPr>
      </w:pPr>
    </w:p>
    <w:p>
      <w:pPr>
        <w:pStyle w:val="34"/>
        <w:rPr>
          <w:rFonts w:ascii="仿宋" w:hAnsi="仿宋" w:eastAsia="仿宋"/>
          <w:color w:val="000000" w:themeColor="text1"/>
        </w:rPr>
      </w:pPr>
    </w:p>
    <w:p>
      <w:pPr>
        <w:pStyle w:val="2"/>
        <w:rPr>
          <w:rFonts w:ascii="仿宋" w:hAnsi="仿宋" w:eastAsia="仿宋"/>
          <w:color w:val="000000" w:themeColor="text1"/>
          <w:kern w:val="2"/>
          <w:sz w:val="24"/>
        </w:rPr>
      </w:pPr>
    </w:p>
    <w:p>
      <w:pPr>
        <w:pStyle w:val="2"/>
        <w:rPr>
          <w:rFonts w:ascii="仿宋" w:hAnsi="仿宋" w:eastAsia="仿宋"/>
          <w:color w:val="000000" w:themeColor="text1"/>
          <w:kern w:val="2"/>
          <w:sz w:val="24"/>
        </w:rPr>
      </w:pPr>
    </w:p>
    <w:p>
      <w:pPr>
        <w:pStyle w:val="2"/>
        <w:rPr>
          <w:rFonts w:ascii="仿宋" w:hAnsi="仿宋" w:eastAsia="仿宋"/>
          <w:color w:val="000000" w:themeColor="text1"/>
          <w:kern w:val="2"/>
          <w:sz w:val="24"/>
        </w:rPr>
      </w:pPr>
    </w:p>
    <w:p>
      <w:pPr>
        <w:pStyle w:val="2"/>
        <w:rPr>
          <w:color w:val="000000" w:themeColor="text1"/>
        </w:rPr>
      </w:pPr>
      <w:r>
        <w:rPr>
          <w:rFonts w:hint="eastAsia" w:ascii="仿宋" w:hAnsi="仿宋" w:eastAsia="仿宋"/>
          <w:color w:val="000000" w:themeColor="text1"/>
          <w:kern w:val="2"/>
          <w:sz w:val="24"/>
        </w:rPr>
        <w:t>标项一评分标准：</w:t>
      </w:r>
    </w:p>
    <w:tbl>
      <w:tblPr>
        <w:tblStyle w:val="36"/>
        <w:tblW w:w="495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367"/>
        <w:gridCol w:w="6399"/>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316" w:type="pct"/>
            <w:tcBorders>
              <w:top w:val="single" w:color="auto" w:sz="4" w:space="0"/>
              <w:left w:val="single" w:color="auto" w:sz="4" w:space="0"/>
              <w:bottom w:val="single" w:color="auto" w:sz="4" w:space="0"/>
              <w:right w:val="single" w:color="auto" w:sz="4" w:space="0"/>
            </w:tcBorders>
            <w:vAlign w:val="center"/>
          </w:tcPr>
          <w:p>
            <w:pPr>
              <w:ind w:left="-67" w:leftChars="-32" w:right="-59" w:rightChars="-28"/>
              <w:jc w:val="center"/>
              <w:rPr>
                <w:rFonts w:ascii="仿宋" w:hAnsi="仿宋" w:eastAsia="仿宋" w:cs="仿宋"/>
                <w:b/>
                <w:color w:val="000000" w:themeColor="text1"/>
                <w:sz w:val="24"/>
              </w:rPr>
            </w:pPr>
            <w:r>
              <w:rPr>
                <w:rFonts w:hint="eastAsia" w:ascii="仿宋" w:hAnsi="仿宋" w:eastAsia="仿宋" w:cs="仿宋"/>
                <w:b/>
                <w:color w:val="000000" w:themeColor="text1"/>
                <w:sz w:val="24"/>
              </w:rPr>
              <w:t>序号</w:t>
            </w:r>
          </w:p>
        </w:tc>
        <w:tc>
          <w:tcPr>
            <w:tcW w:w="743"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color w:val="000000" w:themeColor="text1"/>
                <w:sz w:val="24"/>
              </w:rPr>
            </w:pPr>
            <w:r>
              <w:rPr>
                <w:rFonts w:hint="eastAsia" w:ascii="仿宋" w:hAnsi="仿宋" w:eastAsia="仿宋" w:cs="仿宋"/>
                <w:b/>
                <w:color w:val="000000" w:themeColor="text1"/>
                <w:sz w:val="24"/>
              </w:rPr>
              <w:t>评标项目</w:t>
            </w:r>
          </w:p>
        </w:tc>
        <w:tc>
          <w:tcPr>
            <w:tcW w:w="3477"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color w:val="000000" w:themeColor="text1"/>
                <w:sz w:val="24"/>
              </w:rPr>
            </w:pPr>
            <w:r>
              <w:rPr>
                <w:rFonts w:hint="eastAsia" w:ascii="仿宋" w:hAnsi="仿宋" w:eastAsia="仿宋" w:cs="仿宋"/>
                <w:b/>
                <w:color w:val="000000" w:themeColor="text1"/>
                <w:sz w:val="24"/>
              </w:rPr>
              <w:t>评分说明</w:t>
            </w:r>
          </w:p>
        </w:tc>
        <w:tc>
          <w:tcPr>
            <w:tcW w:w="463"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color w:val="000000" w:themeColor="text1"/>
                <w:sz w:val="24"/>
              </w:rPr>
            </w:pPr>
            <w:r>
              <w:rPr>
                <w:rFonts w:hint="eastAsia" w:ascii="仿宋" w:hAnsi="仿宋" w:eastAsia="仿宋" w:cs="仿宋"/>
                <w:b/>
                <w:color w:val="000000" w:themeColor="text1"/>
                <w:sz w:val="24"/>
              </w:rPr>
              <w:t>分值（分）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316" w:type="pct"/>
            <w:tcBorders>
              <w:top w:val="single" w:color="auto" w:sz="4" w:space="0"/>
              <w:left w:val="single" w:color="auto" w:sz="4" w:space="0"/>
              <w:right w:val="single" w:color="auto" w:sz="4" w:space="0"/>
            </w:tcBorders>
            <w:vAlign w:val="center"/>
          </w:tcPr>
          <w:p>
            <w:pPr>
              <w:ind w:left="-67" w:leftChars="-32" w:right="-59" w:rightChars="-28"/>
              <w:jc w:val="center"/>
              <w:rPr>
                <w:rFonts w:ascii="仿宋" w:hAnsi="仿宋" w:eastAsia="仿宋" w:cs="仿宋"/>
                <w:color w:val="000000" w:themeColor="text1"/>
                <w:sz w:val="24"/>
              </w:rPr>
            </w:pPr>
            <w:r>
              <w:rPr>
                <w:rFonts w:hint="eastAsia" w:ascii="仿宋" w:hAnsi="仿宋" w:eastAsia="仿宋" w:cs="仿宋"/>
                <w:color w:val="000000" w:themeColor="text1"/>
                <w:sz w:val="24"/>
              </w:rPr>
              <w:t>1</w:t>
            </w:r>
          </w:p>
        </w:tc>
        <w:tc>
          <w:tcPr>
            <w:tcW w:w="743" w:type="pct"/>
            <w:tcBorders>
              <w:top w:val="single" w:color="auto" w:sz="4" w:space="0"/>
              <w:left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设备参数响应程度</w:t>
            </w:r>
          </w:p>
        </w:tc>
        <w:tc>
          <w:tcPr>
            <w:tcW w:w="3477" w:type="pct"/>
            <w:tcBorders>
              <w:top w:val="single" w:color="auto" w:sz="4" w:space="0"/>
              <w:left w:val="single" w:color="auto" w:sz="4" w:space="0"/>
              <w:right w:val="single" w:color="auto" w:sz="4" w:space="0"/>
            </w:tcBorders>
            <w:vAlign w:val="center"/>
          </w:tcPr>
          <w:p>
            <w:pPr>
              <w:jc w:val="left"/>
              <w:rPr>
                <w:rFonts w:ascii="仿宋" w:hAnsi="仿宋" w:eastAsia="仿宋" w:cs="仿宋"/>
                <w:color w:val="000000" w:themeColor="text1"/>
                <w:sz w:val="24"/>
              </w:rPr>
            </w:pPr>
            <w:r>
              <w:rPr>
                <w:rFonts w:hint="eastAsia" w:ascii="仿宋" w:hAnsi="仿宋" w:eastAsia="仿宋" w:cs="仿宋"/>
                <w:color w:val="000000" w:themeColor="text1"/>
                <w:sz w:val="24"/>
              </w:rPr>
              <w:t>参数中带“★”的条款是重要性条款，参数负偏离的每项扣3分。其他条款技术参数负偏离的每项扣1分，扣完为止。</w:t>
            </w:r>
          </w:p>
          <w:p>
            <w:pPr>
              <w:pStyle w:val="2"/>
              <w:rPr>
                <w:rFonts w:eastAsia="仿宋"/>
                <w:color w:val="000000" w:themeColor="text1"/>
              </w:rPr>
            </w:pPr>
            <w:r>
              <w:rPr>
                <w:rFonts w:hint="eastAsia" w:ascii="仿宋" w:hAnsi="仿宋" w:eastAsia="仿宋" w:cs="仿宋"/>
                <w:color w:val="000000" w:themeColor="text1"/>
                <w:kern w:val="2"/>
                <w:sz w:val="24"/>
              </w:rPr>
              <w:t>注：相同参数不重复扣分。</w:t>
            </w:r>
          </w:p>
        </w:tc>
        <w:tc>
          <w:tcPr>
            <w:tcW w:w="463" w:type="pct"/>
            <w:tcBorders>
              <w:top w:val="single" w:color="auto" w:sz="4" w:space="0"/>
              <w:left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22分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16" w:type="pct"/>
            <w:vMerge w:val="restart"/>
            <w:tcBorders>
              <w:top w:val="single" w:color="auto" w:sz="4" w:space="0"/>
              <w:left w:val="single" w:color="auto" w:sz="4" w:space="0"/>
              <w:right w:val="single" w:color="auto" w:sz="4" w:space="0"/>
            </w:tcBorders>
            <w:vAlign w:val="center"/>
          </w:tcPr>
          <w:p>
            <w:pPr>
              <w:ind w:left="-67" w:leftChars="-32" w:right="-59" w:rightChars="-28"/>
              <w:jc w:val="center"/>
              <w:rPr>
                <w:rFonts w:ascii="仿宋" w:hAnsi="仿宋" w:eastAsia="仿宋" w:cs="仿宋"/>
                <w:color w:val="000000" w:themeColor="text1"/>
                <w:sz w:val="24"/>
              </w:rPr>
            </w:pPr>
            <w:r>
              <w:rPr>
                <w:rFonts w:hint="eastAsia" w:ascii="仿宋" w:hAnsi="仿宋" w:eastAsia="仿宋" w:cs="仿宋"/>
                <w:color w:val="000000" w:themeColor="text1"/>
                <w:sz w:val="24"/>
              </w:rPr>
              <w:t>2</w:t>
            </w:r>
          </w:p>
        </w:tc>
        <w:tc>
          <w:tcPr>
            <w:tcW w:w="743" w:type="pct"/>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实物样品视频演示及整体规划与设计效果评分</w:t>
            </w:r>
          </w:p>
          <w:p>
            <w:pPr>
              <w:jc w:val="center"/>
              <w:rPr>
                <w:rFonts w:ascii="仿宋" w:hAnsi="仿宋" w:eastAsia="仿宋" w:cs="仿宋"/>
                <w:color w:val="000000" w:themeColor="text1"/>
                <w:sz w:val="24"/>
              </w:rPr>
            </w:pPr>
          </w:p>
        </w:tc>
        <w:tc>
          <w:tcPr>
            <w:tcW w:w="3477" w:type="pct"/>
            <w:tcBorders>
              <w:top w:val="single" w:color="auto" w:sz="4" w:space="0"/>
              <w:left w:val="single" w:color="auto" w:sz="4" w:space="0"/>
              <w:right w:val="single" w:color="auto" w:sz="4" w:space="0"/>
            </w:tcBorders>
            <w:vAlign w:val="center"/>
          </w:tcPr>
          <w:p>
            <w:pPr>
              <w:pStyle w:val="62"/>
              <w:numPr>
                <w:ilvl w:val="0"/>
                <w:numId w:val="15"/>
              </w:numPr>
              <w:ind w:firstLineChars="0"/>
              <w:jc w:val="left"/>
              <w:rPr>
                <w:rFonts w:ascii="仿宋" w:hAnsi="仿宋" w:eastAsia="仿宋" w:cs="仿宋"/>
                <w:b/>
                <w:color w:val="000000" w:themeColor="text1"/>
                <w:sz w:val="24"/>
                <w:szCs w:val="24"/>
              </w:rPr>
            </w:pPr>
            <w:r>
              <w:rPr>
                <w:rFonts w:hint="eastAsia" w:ascii="仿宋" w:hAnsi="仿宋" w:eastAsia="仿宋" w:cs="仿宋"/>
                <w:b/>
                <w:color w:val="000000" w:themeColor="text1"/>
                <w:sz w:val="24"/>
                <w:szCs w:val="24"/>
              </w:rPr>
              <w:t>有关系统视频演示（0-4分）：</w:t>
            </w:r>
          </w:p>
          <w:p>
            <w:pPr>
              <w:jc w:val="left"/>
              <w:rPr>
                <w:rFonts w:ascii="仿宋" w:hAnsi="仿宋" w:eastAsia="仿宋" w:cs="仿宋"/>
                <w:b/>
                <w:color w:val="000000" w:themeColor="text1"/>
                <w:sz w:val="24"/>
              </w:rPr>
            </w:pPr>
            <w:r>
              <w:rPr>
                <w:rFonts w:hint="eastAsia" w:ascii="仿宋" w:hAnsi="仿宋" w:eastAsia="仿宋" w:cs="仿宋"/>
                <w:b/>
                <w:color w:val="000000" w:themeColor="text1"/>
                <w:sz w:val="24"/>
              </w:rPr>
              <w:t>1、物理智能吊装系统演示（0-2分）：</w:t>
            </w:r>
          </w:p>
          <w:p>
            <w:pPr>
              <w:jc w:val="left"/>
              <w:rPr>
                <w:rFonts w:ascii="仿宋" w:hAnsi="仿宋" w:eastAsia="仿宋" w:cs="仿宋"/>
                <w:color w:val="000000" w:themeColor="text1"/>
                <w:sz w:val="24"/>
              </w:rPr>
            </w:pPr>
            <w:r>
              <w:rPr>
                <w:rFonts w:hint="eastAsia" w:ascii="仿宋" w:hAnsi="仿宋" w:eastAsia="仿宋" w:cs="仿宋"/>
                <w:color w:val="000000" w:themeColor="text1"/>
                <w:sz w:val="24"/>
              </w:rPr>
              <w:t>（1）智能升降机构实现自由悬停功能的得1分；</w:t>
            </w:r>
          </w:p>
          <w:p>
            <w:pPr>
              <w:jc w:val="left"/>
              <w:rPr>
                <w:rFonts w:ascii="仿宋" w:hAnsi="仿宋" w:eastAsia="仿宋" w:cs="仿宋"/>
                <w:color w:val="000000" w:themeColor="text1"/>
                <w:sz w:val="24"/>
              </w:rPr>
            </w:pPr>
            <w:r>
              <w:rPr>
                <w:rFonts w:hint="eastAsia" w:ascii="仿宋" w:hAnsi="仿宋" w:eastAsia="仿宋" w:cs="仿宋"/>
                <w:color w:val="000000" w:themeColor="text1"/>
                <w:sz w:val="24"/>
              </w:rPr>
              <w:t>（2）智能升降机构上下升降顺畅，上升到顶部时是缓冲嵌入，而非直接撞入（0-1分）；</w:t>
            </w:r>
          </w:p>
          <w:p>
            <w:pPr>
              <w:pStyle w:val="2"/>
              <w:rPr>
                <w:rFonts w:ascii="仿宋" w:hAnsi="仿宋" w:eastAsia="仿宋" w:cs="仿宋"/>
                <w:color w:val="000000" w:themeColor="text1"/>
                <w:sz w:val="24"/>
              </w:rPr>
            </w:pPr>
            <w:r>
              <w:rPr>
                <w:rFonts w:hint="eastAsia" w:ascii="仿宋" w:hAnsi="仿宋" w:eastAsia="仿宋" w:cs="仿宋"/>
                <w:color w:val="000000" w:themeColor="text1"/>
                <w:sz w:val="24"/>
              </w:rPr>
              <w:t>2、显微镜互动系统演示（0-2分）</w:t>
            </w:r>
          </w:p>
          <w:p>
            <w:pPr>
              <w:pStyle w:val="62"/>
              <w:spacing w:line="400" w:lineRule="exact"/>
              <w:ind w:firstLine="0" w:firstLineChars="0"/>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（1）智能环形指示灯可指示光源亮度和工作及休眠状态（0-0.5分）；</w:t>
            </w:r>
          </w:p>
          <w:p>
            <w:pPr>
              <w:pStyle w:val="62"/>
              <w:spacing w:line="400" w:lineRule="exact"/>
              <w:ind w:firstLine="0" w:firstLineChars="0"/>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（2）多功能操作旋钮可实现调节照明亮度和休眠功能（0-0.5分）；</w:t>
            </w:r>
          </w:p>
          <w:p>
            <w:pPr>
              <w:pStyle w:val="62"/>
              <w:spacing w:line="400" w:lineRule="exact"/>
              <w:ind w:firstLine="0" w:firstLineChars="0"/>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（3）采用抽屉式光源更换盒,</w:t>
            </w:r>
            <w:r>
              <w:rPr>
                <w:rFonts w:hint="eastAsia" w:ascii="仿宋" w:hAnsi="仿宋" w:eastAsia="仿宋" w:cs="仿宋"/>
                <w:bCs/>
                <w:color w:val="000000" w:themeColor="text1"/>
                <w:sz w:val="24"/>
                <w:szCs w:val="24"/>
              </w:rPr>
              <w:t xml:space="preserve"> LED光源模组和卤素灯光源模组可以在不断电的状态下直接更换</w:t>
            </w:r>
            <w:r>
              <w:rPr>
                <w:rFonts w:hint="eastAsia" w:ascii="仿宋" w:hAnsi="仿宋" w:eastAsia="仿宋" w:cs="仿宋"/>
                <w:color w:val="000000" w:themeColor="text1"/>
                <w:sz w:val="24"/>
                <w:szCs w:val="24"/>
              </w:rPr>
              <w:t>（0-0.5分）</w:t>
            </w:r>
            <w:r>
              <w:rPr>
                <w:rFonts w:hint="eastAsia" w:ascii="仿宋" w:hAnsi="仿宋" w:eastAsia="仿宋" w:cs="仿宋"/>
                <w:bCs/>
                <w:color w:val="000000" w:themeColor="text1"/>
                <w:sz w:val="24"/>
                <w:szCs w:val="24"/>
              </w:rPr>
              <w:t>；</w:t>
            </w:r>
          </w:p>
          <w:p>
            <w:pPr>
              <w:rPr>
                <w:rFonts w:ascii="仿宋" w:hAnsi="仿宋" w:eastAsia="仿宋" w:cs="仿宋"/>
                <w:b/>
                <w:color w:val="000000" w:themeColor="text1"/>
                <w:sz w:val="24"/>
              </w:rPr>
            </w:pPr>
            <w:r>
              <w:rPr>
                <w:rFonts w:hint="eastAsia" w:ascii="仿宋" w:hAnsi="仿宋" w:eastAsia="仿宋" w:cs="仿宋"/>
                <w:color w:val="000000" w:themeColor="text1"/>
                <w:sz w:val="24"/>
              </w:rPr>
              <w:t>（4）</w:t>
            </w:r>
            <w:r>
              <w:rPr>
                <w:rFonts w:hint="eastAsia" w:ascii="仿宋" w:hAnsi="仿宋" w:eastAsia="仿宋" w:cs="仿宋"/>
                <w:bCs/>
                <w:color w:val="000000" w:themeColor="text1"/>
                <w:sz w:val="24"/>
              </w:rPr>
              <w:t>显微镜机身自带二维码，可以扫描下载软件,实时成像。</w:t>
            </w:r>
            <w:r>
              <w:rPr>
                <w:rFonts w:hint="eastAsia" w:ascii="仿宋" w:hAnsi="仿宋" w:eastAsia="仿宋" w:cs="仿宋"/>
                <w:color w:val="000000" w:themeColor="text1"/>
                <w:sz w:val="24"/>
              </w:rPr>
              <w:t>（0-0.5分）</w:t>
            </w:r>
            <w:r>
              <w:rPr>
                <w:rFonts w:hint="eastAsia" w:ascii="仿宋" w:hAnsi="仿宋" w:eastAsia="仿宋" w:cs="仿宋"/>
                <w:bCs/>
                <w:color w:val="000000" w:themeColor="text1"/>
                <w:sz w:val="24"/>
              </w:rPr>
              <w:t>；</w:t>
            </w:r>
          </w:p>
          <w:p>
            <w:pPr>
              <w:pStyle w:val="62"/>
              <w:numPr>
                <w:ilvl w:val="0"/>
                <w:numId w:val="15"/>
              </w:numPr>
              <w:ind w:firstLineChars="0"/>
              <w:jc w:val="left"/>
              <w:rPr>
                <w:rFonts w:ascii="仿宋" w:hAnsi="仿宋" w:eastAsia="仿宋" w:cs="仿宋"/>
                <w:b/>
                <w:color w:val="000000" w:themeColor="text1"/>
                <w:sz w:val="24"/>
                <w:szCs w:val="24"/>
              </w:rPr>
            </w:pPr>
            <w:r>
              <w:rPr>
                <w:rFonts w:hint="eastAsia" w:ascii="仿宋" w:hAnsi="仿宋" w:eastAsia="仿宋" w:cs="仿宋"/>
                <w:b/>
                <w:color w:val="000000" w:themeColor="text1"/>
                <w:sz w:val="24"/>
                <w:szCs w:val="24"/>
              </w:rPr>
              <w:t>整体规划与设计效果（0-9分）：</w:t>
            </w:r>
          </w:p>
          <w:p>
            <w:pPr>
              <w:spacing w:line="400" w:lineRule="exact"/>
              <w:jc w:val="left"/>
              <w:rPr>
                <w:color w:val="000000" w:themeColor="text1"/>
              </w:rPr>
            </w:pPr>
            <w:r>
              <w:rPr>
                <w:rFonts w:hint="eastAsia" w:ascii="仿宋" w:hAnsi="仿宋" w:eastAsia="仿宋" w:cs="仿宋"/>
                <w:color w:val="000000" w:themeColor="text1"/>
                <w:sz w:val="24"/>
              </w:rPr>
              <w:t>1、投标人根据原始结构图与采购需求进行整体规划设计，根据投标人对招标范围内的空间所提供的平面布置图及布置说明方案与现场条件的匹配性、实用性、科学性进行评分（0-3分），演示视频中无此项内容的不得分。</w:t>
            </w:r>
          </w:p>
          <w:p>
            <w:pPr>
              <w:rPr>
                <w:rFonts w:ascii="仿宋" w:hAnsi="仿宋" w:eastAsia="仿宋" w:cs="仿宋"/>
                <w:color w:val="000000" w:themeColor="text1"/>
                <w:sz w:val="24"/>
              </w:rPr>
            </w:pPr>
            <w:r>
              <w:rPr>
                <w:rFonts w:hint="eastAsia" w:ascii="仿宋" w:hAnsi="仿宋" w:eastAsia="仿宋" w:cs="仿宋"/>
                <w:color w:val="000000" w:themeColor="text1"/>
                <w:sz w:val="24"/>
              </w:rPr>
              <w:t>2、投标人根据规划设计，提供招标范围内的空间配套的水、电、通风图纸，根据投标人提供图纸的规范性、专业性、完整性等进行评分（0-3分），演示视频中无此项内容的不得分。</w:t>
            </w:r>
          </w:p>
          <w:p>
            <w:pPr>
              <w:spacing w:line="400" w:lineRule="exact"/>
              <w:rPr>
                <w:rFonts w:ascii="仿宋" w:hAnsi="仿宋" w:eastAsia="仿宋" w:cs="仿宋"/>
                <w:b/>
                <w:bCs/>
                <w:color w:val="000000" w:themeColor="text1"/>
                <w:sz w:val="24"/>
              </w:rPr>
            </w:pPr>
            <w:r>
              <w:rPr>
                <w:rFonts w:hint="eastAsia" w:ascii="仿宋" w:hAnsi="仿宋" w:eastAsia="仿宋" w:cs="仿宋"/>
                <w:color w:val="000000" w:themeColor="text1"/>
                <w:sz w:val="24"/>
              </w:rPr>
              <w:t>3、投标人需对学科教室的文化窗帘、有关背景墙、学科教室空间布置等，提供招标范围内的空间的效果图纸等配套资料，根据投标人专项设计主题定位、效果示意的科学性、美观性、色彩创新性进行评分（0-3分）</w:t>
            </w:r>
            <w:r>
              <w:rPr>
                <w:rFonts w:ascii="仿宋" w:hAnsi="仿宋" w:eastAsia="仿宋" w:cs="仿宋"/>
                <w:color w:val="000000" w:themeColor="text1"/>
                <w:sz w:val="24"/>
              </w:rPr>
              <w:t>，</w:t>
            </w:r>
            <w:r>
              <w:rPr>
                <w:rFonts w:hint="eastAsia" w:ascii="仿宋" w:hAnsi="仿宋" w:eastAsia="仿宋" w:cs="仿宋"/>
                <w:color w:val="000000" w:themeColor="text1"/>
                <w:sz w:val="24"/>
              </w:rPr>
              <w:t>演示视频中无此项内容的不得分。</w:t>
            </w:r>
          </w:p>
          <w:p>
            <w:pPr>
              <w:rPr>
                <w:color w:val="000000" w:themeColor="text1"/>
              </w:rPr>
            </w:pPr>
            <w:r>
              <w:rPr>
                <w:rFonts w:hint="eastAsia" w:ascii="仿宋" w:hAnsi="仿宋" w:eastAsia="仿宋" w:cs="仿宋"/>
                <w:b/>
                <w:color w:val="000000" w:themeColor="text1"/>
                <w:sz w:val="24"/>
              </w:rPr>
              <w:t>注：投标人需提供以上系统演示视频及整体设计方案的视频演示文件（建议采用MP4格式），按以上顺序进行现场实物讲解并录制演示视频文件，总时长不得超过15分钟，演示文件媒介为U盘二个（其中一个为备份U盘，U盘均贴上投标人标识的防水标签）并密封为一袋，通过顺丰快递在2022年 5月 19日 11:00前寄达（联系地址：浙江天台县西演茅村14巷39号，接收人：庞雅晴，电话：18257632485），未提供视频演示视频文件的，该项不得分。</w:t>
            </w:r>
          </w:p>
        </w:tc>
        <w:tc>
          <w:tcPr>
            <w:tcW w:w="463"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3" w:hRule="atLeast"/>
        </w:trPr>
        <w:tc>
          <w:tcPr>
            <w:tcW w:w="316" w:type="pct"/>
            <w:vMerge w:val="restart"/>
            <w:tcBorders>
              <w:top w:val="single" w:color="auto" w:sz="4" w:space="0"/>
              <w:left w:val="single" w:color="auto" w:sz="4" w:space="0"/>
              <w:right w:val="single" w:color="auto" w:sz="4" w:space="0"/>
            </w:tcBorders>
            <w:vAlign w:val="center"/>
          </w:tcPr>
          <w:p>
            <w:pPr>
              <w:ind w:left="-67" w:leftChars="-32" w:right="-59" w:rightChars="-28"/>
              <w:jc w:val="center"/>
              <w:rPr>
                <w:rFonts w:ascii="仿宋" w:hAnsi="仿宋" w:eastAsia="仿宋" w:cs="仿宋"/>
                <w:color w:val="000000" w:themeColor="text1"/>
                <w:sz w:val="24"/>
              </w:rPr>
            </w:pPr>
            <w:r>
              <w:rPr>
                <w:rFonts w:hint="eastAsia" w:ascii="仿宋" w:hAnsi="仿宋" w:eastAsia="仿宋" w:cs="仿宋"/>
                <w:color w:val="000000" w:themeColor="text1"/>
                <w:sz w:val="24"/>
              </w:rPr>
              <w:t>3</w:t>
            </w:r>
          </w:p>
        </w:tc>
        <w:tc>
          <w:tcPr>
            <w:tcW w:w="743" w:type="pct"/>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重要产品综合评分（8分）</w:t>
            </w:r>
          </w:p>
        </w:tc>
        <w:tc>
          <w:tcPr>
            <w:tcW w:w="3477"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000000" w:themeColor="text1"/>
                <w:sz w:val="24"/>
              </w:rPr>
            </w:pPr>
            <w:r>
              <w:rPr>
                <w:rFonts w:hint="eastAsia" w:ascii="仿宋" w:hAnsi="仿宋" w:eastAsia="仿宋" w:cs="仿宋"/>
                <w:color w:val="000000" w:themeColor="text1"/>
                <w:sz w:val="24"/>
              </w:rPr>
              <w:t>对投标人选用的智能交互平板及视频展台进行评分：</w:t>
            </w:r>
          </w:p>
          <w:p>
            <w:pPr>
              <w:jc w:val="left"/>
              <w:rPr>
                <w:rFonts w:ascii="仿宋" w:hAnsi="仿宋" w:eastAsia="仿宋" w:cs="仿宋"/>
                <w:color w:val="000000" w:themeColor="text1"/>
                <w:sz w:val="24"/>
              </w:rPr>
            </w:pPr>
            <w:r>
              <w:rPr>
                <w:rFonts w:hint="eastAsia" w:ascii="仿宋" w:hAnsi="仿宋" w:eastAsia="仿宋" w:cs="仿宋"/>
                <w:color w:val="000000" w:themeColor="text1"/>
                <w:sz w:val="24"/>
              </w:rPr>
              <w:t>1、提供国家强制性CCC证书得2分。提供证书复印件并加盖厂商公章；</w:t>
            </w:r>
          </w:p>
          <w:p>
            <w:pPr>
              <w:jc w:val="left"/>
              <w:rPr>
                <w:rFonts w:ascii="仿宋" w:hAnsi="仿宋" w:eastAsia="仿宋" w:cs="仿宋"/>
                <w:color w:val="000000" w:themeColor="text1"/>
                <w:sz w:val="24"/>
              </w:rPr>
            </w:pPr>
            <w:r>
              <w:rPr>
                <w:rFonts w:hint="eastAsia" w:ascii="仿宋" w:hAnsi="仿宋" w:eastAsia="仿宋" w:cs="仿宋"/>
                <w:color w:val="000000" w:themeColor="text1"/>
                <w:sz w:val="24"/>
              </w:rPr>
              <w:t>2、所投智能交互平板生产厂家需具有一定的软件能力成熟度，并通过SPCA评估5级及以上认证的得3分,3级及以上的得1分，其他不得分。</w:t>
            </w:r>
          </w:p>
          <w:p>
            <w:pPr>
              <w:jc w:val="left"/>
              <w:rPr>
                <w:rFonts w:ascii="仿宋" w:hAnsi="仿宋" w:eastAsia="仿宋" w:cs="仿宋"/>
                <w:color w:val="000000" w:themeColor="text1"/>
                <w:sz w:val="24"/>
              </w:rPr>
            </w:pPr>
            <w:r>
              <w:rPr>
                <w:rFonts w:hint="eastAsia" w:ascii="仿宋" w:hAnsi="仿宋" w:eastAsia="仿宋" w:cs="仿宋"/>
                <w:b/>
                <w:color w:val="000000" w:themeColor="text1"/>
                <w:sz w:val="24"/>
              </w:rPr>
              <w:t>提供国家认可的认证机构出具的认证证书复印件及国家认可认证机构官网查询截图并加盖厂家公章。</w:t>
            </w:r>
          </w:p>
        </w:tc>
        <w:tc>
          <w:tcPr>
            <w:tcW w:w="463"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316" w:type="pct"/>
            <w:vMerge w:val="continue"/>
            <w:tcBorders>
              <w:left w:val="single" w:color="auto" w:sz="4" w:space="0"/>
              <w:right w:val="single" w:color="auto" w:sz="4" w:space="0"/>
            </w:tcBorders>
            <w:vAlign w:val="center"/>
          </w:tcPr>
          <w:p>
            <w:pPr>
              <w:ind w:left="-67" w:leftChars="-32" w:right="-59" w:rightChars="-28"/>
              <w:jc w:val="center"/>
              <w:rPr>
                <w:rFonts w:ascii="仿宋" w:hAnsi="仿宋" w:eastAsia="仿宋" w:cs="仿宋"/>
                <w:color w:val="000000" w:themeColor="text1"/>
                <w:sz w:val="24"/>
              </w:rPr>
            </w:pPr>
          </w:p>
        </w:tc>
        <w:tc>
          <w:tcPr>
            <w:tcW w:w="743" w:type="pct"/>
            <w:vMerge w:val="continue"/>
            <w:tcBorders>
              <w:left w:val="single" w:color="auto" w:sz="4" w:space="0"/>
              <w:right w:val="single" w:color="auto" w:sz="4" w:space="0"/>
            </w:tcBorders>
            <w:vAlign w:val="center"/>
          </w:tcPr>
          <w:p>
            <w:pPr>
              <w:jc w:val="center"/>
              <w:rPr>
                <w:rFonts w:ascii="仿宋" w:hAnsi="仿宋" w:eastAsia="仿宋" w:cs="仿宋"/>
                <w:color w:val="000000" w:themeColor="text1"/>
                <w:sz w:val="24"/>
              </w:rPr>
            </w:pPr>
          </w:p>
        </w:tc>
        <w:tc>
          <w:tcPr>
            <w:tcW w:w="3477"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b/>
                <w:color w:val="000000" w:themeColor="text1"/>
                <w:sz w:val="24"/>
              </w:rPr>
            </w:pPr>
            <w:r>
              <w:rPr>
                <w:rFonts w:hint="eastAsia" w:ascii="仿宋" w:hAnsi="仿宋" w:eastAsia="仿宋" w:cs="仿宋"/>
                <w:color w:val="000000" w:themeColor="text1"/>
                <w:sz w:val="24"/>
              </w:rPr>
              <w:t>实验室产品生产厂家具有质保有效期内的吊装系统产品智能摇臂供应装置（化学通风及物理吊装）购买产品责任险的赔偿限额达到500万及以上的得0.5分，达到800万及以上的得1分。</w:t>
            </w:r>
            <w:r>
              <w:rPr>
                <w:rFonts w:hint="eastAsia" w:ascii="仿宋" w:hAnsi="仿宋" w:eastAsia="仿宋" w:cs="仿宋"/>
                <w:b/>
                <w:color w:val="000000" w:themeColor="text1"/>
                <w:sz w:val="24"/>
              </w:rPr>
              <w:t>提供保险合同复印件并加盖厂商公章。</w:t>
            </w:r>
          </w:p>
        </w:tc>
        <w:tc>
          <w:tcPr>
            <w:tcW w:w="463"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7" w:hRule="atLeast"/>
        </w:trPr>
        <w:tc>
          <w:tcPr>
            <w:tcW w:w="316" w:type="pct"/>
            <w:vMerge w:val="continue"/>
            <w:tcBorders>
              <w:left w:val="single" w:color="auto" w:sz="4" w:space="0"/>
              <w:right w:val="single" w:color="auto" w:sz="4" w:space="0"/>
            </w:tcBorders>
            <w:vAlign w:val="center"/>
          </w:tcPr>
          <w:p>
            <w:pPr>
              <w:ind w:left="-67" w:leftChars="-32" w:right="-59" w:rightChars="-28"/>
              <w:jc w:val="center"/>
              <w:rPr>
                <w:rFonts w:ascii="仿宋" w:hAnsi="仿宋" w:eastAsia="仿宋" w:cs="仿宋"/>
                <w:color w:val="000000" w:themeColor="text1"/>
                <w:sz w:val="24"/>
              </w:rPr>
            </w:pPr>
          </w:p>
        </w:tc>
        <w:tc>
          <w:tcPr>
            <w:tcW w:w="743" w:type="pct"/>
            <w:vMerge w:val="continue"/>
            <w:tcBorders>
              <w:left w:val="single" w:color="auto" w:sz="4" w:space="0"/>
              <w:right w:val="single" w:color="auto" w:sz="4" w:space="0"/>
            </w:tcBorders>
            <w:vAlign w:val="center"/>
          </w:tcPr>
          <w:p>
            <w:pPr>
              <w:jc w:val="center"/>
              <w:rPr>
                <w:rFonts w:ascii="仿宋" w:hAnsi="仿宋" w:eastAsia="仿宋" w:cs="仿宋"/>
                <w:color w:val="000000" w:themeColor="text1"/>
                <w:sz w:val="24"/>
              </w:rPr>
            </w:pPr>
          </w:p>
        </w:tc>
        <w:tc>
          <w:tcPr>
            <w:tcW w:w="3477"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000000" w:themeColor="text1"/>
                <w:sz w:val="24"/>
              </w:rPr>
            </w:pPr>
            <w:r>
              <w:rPr>
                <w:rFonts w:hint="eastAsia" w:ascii="仿宋" w:hAnsi="仿宋" w:eastAsia="仿宋" w:cs="仿宋"/>
                <w:color w:val="000000" w:themeColor="text1"/>
                <w:sz w:val="24"/>
              </w:rPr>
              <w:t>对投标人选用的数码生物显微镜进行评分：</w:t>
            </w:r>
          </w:p>
          <w:p>
            <w:pPr>
              <w:jc w:val="left"/>
              <w:rPr>
                <w:rFonts w:ascii="仿宋" w:hAnsi="仿宋" w:eastAsia="仿宋" w:cs="仿宋"/>
                <w:color w:val="000000" w:themeColor="text1"/>
                <w:sz w:val="24"/>
              </w:rPr>
            </w:pPr>
            <w:r>
              <w:rPr>
                <w:rFonts w:hint="eastAsia" w:ascii="仿宋" w:hAnsi="仿宋" w:eastAsia="仿宋" w:cs="仿宋"/>
                <w:color w:val="000000" w:themeColor="text1"/>
                <w:sz w:val="24"/>
              </w:rPr>
              <w:t>1、显微镜生产厂商提供关于博士后科研工作站证明材料复印件加盖厂家公章,得1分；</w:t>
            </w:r>
          </w:p>
          <w:p>
            <w:pPr>
              <w:ind w:left="17" w:hanging="16" w:hangingChars="7"/>
              <w:jc w:val="left"/>
              <w:rPr>
                <w:rFonts w:ascii="仿宋" w:hAnsi="仿宋" w:eastAsia="仿宋" w:cs="仿宋"/>
                <w:color w:val="000000" w:themeColor="text1"/>
                <w:sz w:val="24"/>
              </w:rPr>
            </w:pPr>
            <w:r>
              <w:rPr>
                <w:rFonts w:hint="eastAsia" w:ascii="仿宋" w:hAnsi="仿宋" w:eastAsia="仿宋" w:cs="仿宋"/>
                <w:color w:val="000000" w:themeColor="text1"/>
                <w:sz w:val="24"/>
              </w:rPr>
              <w:t>2、教师数码生物显微镜提供制造厂家盖章的“国家光学仪器质量监督检验中心”检测报告复印件证明所投产品具有‘光源可选’、‘智能环形指示灯’、‘多功能操作旋钮’等功能,得1分，缺少不得分。</w:t>
            </w:r>
          </w:p>
        </w:tc>
        <w:tc>
          <w:tcPr>
            <w:tcW w:w="463"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316" w:type="pct"/>
            <w:vMerge w:val="restart"/>
            <w:tcBorders>
              <w:left w:val="single" w:color="auto" w:sz="4" w:space="0"/>
              <w:right w:val="single" w:color="auto" w:sz="4" w:space="0"/>
            </w:tcBorders>
            <w:vAlign w:val="center"/>
          </w:tcPr>
          <w:p>
            <w:pPr>
              <w:ind w:left="-67" w:leftChars="-32" w:right="-59" w:rightChars="-28"/>
              <w:jc w:val="center"/>
              <w:rPr>
                <w:rFonts w:ascii="仿宋" w:hAnsi="仿宋" w:eastAsia="仿宋" w:cs="仿宋"/>
                <w:color w:val="000000" w:themeColor="text1"/>
                <w:sz w:val="24"/>
              </w:rPr>
            </w:pPr>
            <w:r>
              <w:rPr>
                <w:rFonts w:hint="eastAsia" w:ascii="仿宋" w:hAnsi="仿宋" w:eastAsia="仿宋" w:cs="仿宋"/>
                <w:color w:val="000000" w:themeColor="text1"/>
                <w:sz w:val="24"/>
              </w:rPr>
              <w:t>4</w:t>
            </w:r>
          </w:p>
        </w:tc>
        <w:tc>
          <w:tcPr>
            <w:tcW w:w="743" w:type="pct"/>
            <w:vMerge w:val="restart"/>
            <w:tcBorders>
              <w:left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投标公司实力及成功案例（19分）</w:t>
            </w:r>
          </w:p>
        </w:tc>
        <w:tc>
          <w:tcPr>
            <w:tcW w:w="3477" w:type="pc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000000" w:themeColor="text1"/>
                <w:sz w:val="24"/>
              </w:rPr>
            </w:pPr>
            <w:r>
              <w:rPr>
                <w:rFonts w:hint="eastAsia" w:ascii="仿宋" w:hAnsi="仿宋" w:eastAsia="仿宋" w:cs="仿宋"/>
                <w:color w:val="000000" w:themeColor="text1"/>
                <w:sz w:val="24"/>
              </w:rPr>
              <w:t>1、投标人具有有效期内的音视频集成工程企业资质一级证书的得1分。</w:t>
            </w:r>
          </w:p>
          <w:p>
            <w:pPr>
              <w:rPr>
                <w:rFonts w:ascii="仿宋" w:hAnsi="仿宋" w:eastAsia="仿宋" w:cs="仿宋"/>
                <w:color w:val="000000" w:themeColor="text1"/>
                <w:sz w:val="24"/>
              </w:rPr>
            </w:pPr>
            <w:r>
              <w:rPr>
                <w:rFonts w:hint="eastAsia" w:ascii="仿宋" w:hAnsi="仿宋" w:eastAsia="仿宋" w:cs="仿宋"/>
                <w:color w:val="000000" w:themeColor="text1"/>
                <w:sz w:val="24"/>
              </w:rPr>
              <w:t>2、投标人具有A级或以上“守合同重信用”企业证书的得1分。</w:t>
            </w:r>
          </w:p>
          <w:p>
            <w:pPr>
              <w:rPr>
                <w:rFonts w:ascii="仿宋" w:hAnsi="仿宋" w:eastAsia="仿宋" w:cs="仿宋"/>
                <w:color w:val="000000" w:themeColor="text1"/>
                <w:sz w:val="24"/>
              </w:rPr>
            </w:pPr>
            <w:r>
              <w:rPr>
                <w:rFonts w:hint="eastAsia" w:ascii="仿宋" w:hAnsi="仿宋" w:eastAsia="仿宋" w:cs="仿宋"/>
                <w:color w:val="000000" w:themeColor="text1"/>
                <w:sz w:val="24"/>
              </w:rPr>
              <w:t>3、投标人通过信息系统建设和服务能力认证的得1分。</w:t>
            </w:r>
          </w:p>
          <w:p>
            <w:pPr>
              <w:jc w:val="left"/>
              <w:rPr>
                <w:rFonts w:ascii="仿宋" w:hAnsi="仿宋" w:eastAsia="仿宋" w:cs="仿宋"/>
                <w:color w:val="000000" w:themeColor="text1"/>
                <w:sz w:val="24"/>
              </w:rPr>
            </w:pPr>
            <w:r>
              <w:rPr>
                <w:rFonts w:hint="eastAsia" w:ascii="仿宋" w:hAnsi="仿宋" w:eastAsia="仿宋" w:cs="仿宋"/>
                <w:color w:val="000000" w:themeColor="text1"/>
                <w:sz w:val="24"/>
              </w:rPr>
              <w:t>4、投标人的电子与智能化工程专业承包资质壹级或以上的得1分。</w:t>
            </w:r>
          </w:p>
          <w:p>
            <w:pPr>
              <w:rPr>
                <w:rFonts w:ascii="仿宋" w:hAnsi="仿宋" w:eastAsia="仿宋" w:cs="仿宋"/>
                <w:color w:val="000000" w:themeColor="text1"/>
                <w:sz w:val="24"/>
              </w:rPr>
            </w:pPr>
            <w:r>
              <w:rPr>
                <w:rFonts w:hint="eastAsia" w:ascii="仿宋" w:hAnsi="仿宋" w:eastAsia="仿宋" w:cs="仿宋"/>
                <w:color w:val="000000" w:themeColor="text1"/>
                <w:sz w:val="24"/>
              </w:rPr>
              <w:t>5、投标人的信息技术服务运行维护标准符合性资质贰级及以上的得1分。</w:t>
            </w:r>
          </w:p>
          <w:p>
            <w:pPr>
              <w:rPr>
                <w:rFonts w:ascii="仿宋" w:hAnsi="仿宋" w:eastAsia="仿宋" w:cs="仿宋"/>
                <w:color w:val="000000" w:themeColor="text1"/>
                <w:sz w:val="24"/>
              </w:rPr>
            </w:pPr>
            <w:r>
              <w:rPr>
                <w:rFonts w:hint="eastAsia" w:ascii="仿宋" w:hAnsi="仿宋" w:eastAsia="仿宋" w:cs="仿宋"/>
                <w:color w:val="000000" w:themeColor="text1"/>
                <w:sz w:val="24"/>
              </w:rPr>
              <w:t>6、投标人具有省级安全技术防范行业资信等级一级及以上的得1分。</w:t>
            </w:r>
          </w:p>
          <w:p>
            <w:pPr>
              <w:rPr>
                <w:rFonts w:ascii="仿宋" w:hAnsi="仿宋" w:eastAsia="仿宋" w:cs="仿宋"/>
                <w:color w:val="000000" w:themeColor="text1"/>
                <w:sz w:val="24"/>
              </w:rPr>
            </w:pPr>
            <w:r>
              <w:rPr>
                <w:rFonts w:hint="eastAsia" w:ascii="仿宋" w:hAnsi="仿宋" w:eastAsia="仿宋" w:cs="仿宋"/>
                <w:color w:val="000000" w:themeColor="text1"/>
                <w:sz w:val="24"/>
              </w:rPr>
              <w:t>7、投标人为全国教育装备行业协会会员单的得1分。</w:t>
            </w:r>
          </w:p>
          <w:p>
            <w:pPr>
              <w:jc w:val="left"/>
              <w:rPr>
                <w:rFonts w:ascii="仿宋" w:hAnsi="仿宋" w:eastAsia="仿宋" w:cs="仿宋"/>
                <w:color w:val="000000" w:themeColor="text1"/>
                <w:sz w:val="24"/>
              </w:rPr>
            </w:pPr>
            <w:r>
              <w:rPr>
                <w:rFonts w:hint="eastAsia" w:ascii="仿宋" w:hAnsi="仿宋" w:eastAsia="仿宋" w:cs="仿宋"/>
                <w:b/>
                <w:bCs/>
                <w:color w:val="000000" w:themeColor="text1"/>
                <w:sz w:val="24"/>
              </w:rPr>
              <w:t>注：（以上需提供相关证明材料扫描件加盖电子章，否则不得分）</w:t>
            </w:r>
          </w:p>
        </w:tc>
        <w:tc>
          <w:tcPr>
            <w:tcW w:w="463"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316" w:type="pct"/>
            <w:vMerge w:val="continue"/>
            <w:tcBorders>
              <w:left w:val="single" w:color="auto" w:sz="4" w:space="0"/>
              <w:right w:val="single" w:color="auto" w:sz="4" w:space="0"/>
            </w:tcBorders>
            <w:vAlign w:val="center"/>
          </w:tcPr>
          <w:p>
            <w:pPr>
              <w:ind w:left="-67" w:leftChars="-32" w:right="-59" w:rightChars="-28"/>
              <w:jc w:val="center"/>
              <w:rPr>
                <w:rFonts w:ascii="仿宋" w:hAnsi="仿宋" w:eastAsia="仿宋" w:cs="仿宋"/>
                <w:color w:val="000000" w:themeColor="text1"/>
                <w:sz w:val="24"/>
              </w:rPr>
            </w:pPr>
          </w:p>
        </w:tc>
        <w:tc>
          <w:tcPr>
            <w:tcW w:w="743" w:type="pct"/>
            <w:vMerge w:val="continue"/>
            <w:tcBorders>
              <w:left w:val="single" w:color="auto" w:sz="4" w:space="0"/>
              <w:right w:val="single" w:color="auto" w:sz="4" w:space="0"/>
            </w:tcBorders>
            <w:vAlign w:val="center"/>
          </w:tcPr>
          <w:p>
            <w:pPr>
              <w:jc w:val="center"/>
              <w:rPr>
                <w:rFonts w:ascii="仿宋" w:hAnsi="仿宋" w:eastAsia="仿宋" w:cs="仿宋"/>
                <w:color w:val="000000" w:themeColor="text1"/>
                <w:sz w:val="24"/>
              </w:rPr>
            </w:pPr>
          </w:p>
        </w:tc>
        <w:tc>
          <w:tcPr>
            <w:tcW w:w="3477"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b/>
                <w:bCs/>
                <w:color w:val="000000" w:themeColor="text1"/>
                <w:sz w:val="24"/>
              </w:rPr>
            </w:pPr>
            <w:r>
              <w:rPr>
                <w:rFonts w:hint="eastAsia" w:ascii="仿宋" w:hAnsi="仿宋" w:eastAsia="仿宋" w:cs="仿宋"/>
                <w:b/>
                <w:bCs/>
                <w:color w:val="000000" w:themeColor="text1"/>
                <w:sz w:val="24"/>
              </w:rPr>
              <w:t>项目实施人员能力</w:t>
            </w:r>
          </w:p>
          <w:p>
            <w:pPr>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1、项目经理同时具有机电工程一级注册建造师证书、高级项目经理证书、高级工程师职称证书，得3分；</w:t>
            </w:r>
          </w:p>
          <w:p>
            <w:pPr>
              <w:ind w:firstLine="480" w:firstLineChars="200"/>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只具有其中2项证书得2分；</w:t>
            </w:r>
          </w:p>
          <w:p>
            <w:pPr>
              <w:ind w:firstLine="480" w:firstLineChars="200"/>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只具有其中1项证书得1分，</w:t>
            </w:r>
          </w:p>
          <w:p>
            <w:pPr>
              <w:ind w:firstLine="480" w:firstLineChars="200"/>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没有不得分；</w:t>
            </w:r>
            <w:r>
              <w:rPr>
                <w:rFonts w:hint="eastAsia" w:ascii="仿宋" w:hAnsi="仿宋" w:eastAsia="仿宋" w:cs="仿宋"/>
                <w:color w:val="000000" w:themeColor="text1"/>
                <w:kern w:val="0"/>
                <w:sz w:val="24"/>
              </w:rPr>
              <w:cr/>
            </w:r>
            <w:r>
              <w:rPr>
                <w:rFonts w:hint="eastAsia" w:ascii="仿宋" w:hAnsi="仿宋" w:eastAsia="仿宋" w:cs="仿宋"/>
                <w:color w:val="000000" w:themeColor="text1"/>
                <w:kern w:val="0"/>
                <w:sz w:val="24"/>
              </w:rPr>
              <w:t>2、项目技术负责人同时具有机电工程一级注册建造师证书、高级项目经理证书、高级信息系统项目管理师证书，得3分；</w:t>
            </w:r>
          </w:p>
          <w:p>
            <w:pPr>
              <w:ind w:firstLine="480" w:firstLineChars="200"/>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只具有其中2项证书2分；</w:t>
            </w:r>
          </w:p>
          <w:p>
            <w:pPr>
              <w:ind w:firstLine="480" w:firstLineChars="200"/>
              <w:rPr>
                <w:rFonts w:ascii="仿宋" w:hAnsi="仿宋" w:eastAsia="仿宋" w:cs="仿宋"/>
                <w:color w:val="000000" w:themeColor="text1"/>
                <w:sz w:val="24"/>
              </w:rPr>
            </w:pPr>
            <w:r>
              <w:rPr>
                <w:rFonts w:hint="eastAsia" w:ascii="仿宋" w:hAnsi="仿宋" w:eastAsia="仿宋" w:cs="仿宋"/>
                <w:color w:val="000000" w:themeColor="text1"/>
                <w:kern w:val="0"/>
                <w:sz w:val="24"/>
              </w:rPr>
              <w:t>只具有其中1项证书1分；</w:t>
            </w:r>
          </w:p>
          <w:p>
            <w:pPr>
              <w:ind w:firstLine="480" w:firstLineChars="200"/>
              <w:rPr>
                <w:rFonts w:ascii="仿宋" w:hAnsi="仿宋" w:eastAsia="仿宋" w:cs="仿宋"/>
                <w:color w:val="000000" w:themeColor="text1"/>
                <w:spacing w:val="-2"/>
                <w:kern w:val="0"/>
                <w:sz w:val="24"/>
              </w:rPr>
            </w:pPr>
            <w:r>
              <w:rPr>
                <w:rFonts w:hint="eastAsia" w:ascii="仿宋" w:hAnsi="仿宋" w:eastAsia="仿宋" w:cs="仿宋"/>
                <w:color w:val="000000" w:themeColor="text1"/>
                <w:kern w:val="0"/>
                <w:sz w:val="24"/>
              </w:rPr>
              <w:t>没有不得分。</w:t>
            </w:r>
          </w:p>
          <w:p>
            <w:pPr>
              <w:rPr>
                <w:rFonts w:ascii="仿宋" w:hAnsi="仿宋" w:eastAsia="仿宋" w:cs="仿宋"/>
                <w:color w:val="000000" w:themeColor="text1"/>
                <w:spacing w:val="-2"/>
                <w:kern w:val="0"/>
                <w:sz w:val="24"/>
              </w:rPr>
            </w:pPr>
            <w:r>
              <w:rPr>
                <w:rFonts w:hint="eastAsia" w:ascii="仿宋" w:hAnsi="仿宋" w:eastAsia="仿宋" w:cs="仿宋"/>
                <w:color w:val="000000" w:themeColor="text1"/>
                <w:spacing w:val="-2"/>
                <w:kern w:val="0"/>
                <w:sz w:val="24"/>
              </w:rPr>
              <w:t>3、项目实施小组：</w:t>
            </w:r>
          </w:p>
          <w:p>
            <w:pPr>
              <w:rPr>
                <w:rFonts w:ascii="仿宋" w:hAnsi="仿宋" w:eastAsia="仿宋" w:cs="仿宋"/>
                <w:color w:val="000000" w:themeColor="text1"/>
                <w:spacing w:val="-2"/>
                <w:kern w:val="0"/>
                <w:sz w:val="24"/>
              </w:rPr>
            </w:pPr>
            <w:r>
              <w:rPr>
                <w:rFonts w:hint="eastAsia" w:ascii="仿宋" w:hAnsi="仿宋" w:eastAsia="仿宋" w:cs="仿宋"/>
                <w:color w:val="000000" w:themeColor="text1"/>
                <w:spacing w:val="-2"/>
                <w:kern w:val="0"/>
                <w:sz w:val="24"/>
              </w:rPr>
              <w:t>（1）、具有2名及以上CISP信息安全认证工程师，得1分，其他不得分；</w:t>
            </w:r>
          </w:p>
          <w:p>
            <w:pPr>
              <w:rPr>
                <w:rFonts w:ascii="仿宋" w:hAnsi="仿宋" w:eastAsia="仿宋" w:cs="仿宋"/>
                <w:color w:val="000000" w:themeColor="text1"/>
                <w:spacing w:val="-2"/>
                <w:kern w:val="0"/>
                <w:sz w:val="24"/>
              </w:rPr>
            </w:pPr>
            <w:r>
              <w:rPr>
                <w:rFonts w:hint="eastAsia" w:ascii="仿宋" w:hAnsi="仿宋" w:eastAsia="仿宋" w:cs="仿宋"/>
                <w:color w:val="000000" w:themeColor="text1"/>
                <w:spacing w:val="-2"/>
                <w:kern w:val="0"/>
                <w:sz w:val="24"/>
              </w:rPr>
              <w:t>（2）、具有2名及以上CCIE网络认证工程师，得1分，其他不得分；</w:t>
            </w:r>
          </w:p>
          <w:p>
            <w:pPr>
              <w:pStyle w:val="2"/>
              <w:rPr>
                <w:rFonts w:ascii="仿宋" w:hAnsi="仿宋" w:eastAsia="仿宋" w:cs="仿宋"/>
                <w:color w:val="000000" w:themeColor="text1"/>
                <w:sz w:val="24"/>
              </w:rPr>
            </w:pPr>
            <w:r>
              <w:rPr>
                <w:rFonts w:hint="eastAsia" w:ascii="仿宋" w:hAnsi="仿宋" w:eastAsia="仿宋" w:cs="仿宋"/>
                <w:color w:val="000000" w:themeColor="text1"/>
                <w:spacing w:val="-2"/>
                <w:kern w:val="0"/>
                <w:sz w:val="24"/>
              </w:rPr>
              <w:t>（以上人员投标时提供近3个月的社保缴费证明及资质证书扫描件加盖电子章，否则不得分）</w:t>
            </w:r>
          </w:p>
        </w:tc>
        <w:tc>
          <w:tcPr>
            <w:tcW w:w="463"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316" w:type="pct"/>
            <w:vMerge w:val="continue"/>
            <w:tcBorders>
              <w:left w:val="single" w:color="auto" w:sz="4" w:space="0"/>
              <w:bottom w:val="single" w:color="auto" w:sz="4" w:space="0"/>
              <w:right w:val="single" w:color="auto" w:sz="4" w:space="0"/>
            </w:tcBorders>
            <w:vAlign w:val="center"/>
          </w:tcPr>
          <w:p>
            <w:pPr>
              <w:ind w:left="-67" w:leftChars="-32" w:right="-59" w:rightChars="-28"/>
              <w:jc w:val="center"/>
              <w:rPr>
                <w:rFonts w:ascii="仿宋" w:hAnsi="仿宋" w:eastAsia="仿宋" w:cs="仿宋"/>
                <w:color w:val="000000" w:themeColor="text1"/>
                <w:sz w:val="24"/>
              </w:rPr>
            </w:pPr>
          </w:p>
        </w:tc>
        <w:tc>
          <w:tcPr>
            <w:tcW w:w="743" w:type="pct"/>
            <w:vMerge w:val="continue"/>
            <w:tcBorders>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p>
        </w:tc>
        <w:tc>
          <w:tcPr>
            <w:tcW w:w="3477"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000000" w:themeColor="text1"/>
                <w:sz w:val="24"/>
              </w:rPr>
            </w:pPr>
            <w:r>
              <w:rPr>
                <w:rFonts w:hint="eastAsia" w:ascii="仿宋" w:hAnsi="仿宋" w:eastAsia="仿宋" w:cs="仿宋"/>
                <w:color w:val="000000" w:themeColor="text1"/>
                <w:sz w:val="24"/>
              </w:rPr>
              <w:t>投标人自2019年1月1日（以合同签订时间为准）以来承担类似项目的成功案例，每提供一份完整项目资料得1分，最多得3分。</w:t>
            </w:r>
          </w:p>
          <w:p>
            <w:pPr>
              <w:jc w:val="left"/>
              <w:rPr>
                <w:rFonts w:ascii="仿宋" w:hAnsi="仿宋" w:eastAsia="仿宋" w:cs="仿宋"/>
                <w:b/>
                <w:color w:val="000000" w:themeColor="text1"/>
                <w:sz w:val="24"/>
              </w:rPr>
            </w:pPr>
            <w:r>
              <w:rPr>
                <w:rFonts w:hint="eastAsia" w:ascii="仿宋" w:hAnsi="仿宋" w:eastAsia="仿宋" w:cs="仿宋"/>
                <w:b/>
                <w:color w:val="000000" w:themeColor="text1"/>
                <w:sz w:val="24"/>
              </w:rPr>
              <w:t>注：</w:t>
            </w:r>
          </w:p>
          <w:p>
            <w:pPr>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类似项目是指同类信息化项目、弱电项目、理化生验室或学科专用教室设施设备、分析仪器、家具等工程项目或设备采购项目均可；</w:t>
            </w:r>
          </w:p>
          <w:p>
            <w:pPr>
              <w:jc w:val="left"/>
              <w:rPr>
                <w:rFonts w:ascii="仿宋" w:hAnsi="仿宋" w:eastAsia="仿宋" w:cs="仿宋"/>
                <w:b/>
                <w:color w:val="000000" w:themeColor="text1"/>
                <w:sz w:val="24"/>
              </w:rPr>
            </w:pPr>
            <w:r>
              <w:rPr>
                <w:rFonts w:hint="eastAsia" w:ascii="仿宋" w:hAnsi="仿宋" w:eastAsia="仿宋" w:cs="仿宋"/>
                <w:b/>
                <w:color w:val="000000" w:themeColor="text1"/>
                <w:sz w:val="24"/>
              </w:rPr>
              <w:t>（需提供合同扫描件加盖电子章，否则不得分）</w:t>
            </w:r>
          </w:p>
        </w:tc>
        <w:tc>
          <w:tcPr>
            <w:tcW w:w="463"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16" w:type="pct"/>
            <w:tcBorders>
              <w:top w:val="single" w:color="auto" w:sz="4" w:space="0"/>
              <w:left w:val="single" w:color="auto" w:sz="4" w:space="0"/>
              <w:bottom w:val="single" w:color="auto" w:sz="4" w:space="0"/>
              <w:right w:val="single" w:color="auto" w:sz="4" w:space="0"/>
            </w:tcBorders>
            <w:vAlign w:val="center"/>
          </w:tcPr>
          <w:p>
            <w:pPr>
              <w:ind w:left="-67" w:leftChars="-32" w:right="-59" w:rightChars="-28"/>
              <w:jc w:val="center"/>
              <w:rPr>
                <w:rFonts w:ascii="仿宋" w:hAnsi="仿宋" w:eastAsia="仿宋" w:cs="仿宋"/>
                <w:color w:val="000000" w:themeColor="text1"/>
                <w:sz w:val="24"/>
              </w:rPr>
            </w:pPr>
            <w:r>
              <w:rPr>
                <w:rFonts w:hint="eastAsia" w:ascii="仿宋" w:hAnsi="仿宋" w:eastAsia="仿宋" w:cs="仿宋"/>
                <w:color w:val="000000" w:themeColor="text1"/>
                <w:sz w:val="24"/>
              </w:rPr>
              <w:t>5</w:t>
            </w:r>
          </w:p>
        </w:tc>
        <w:tc>
          <w:tcPr>
            <w:tcW w:w="743"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组织实施方案</w:t>
            </w:r>
          </w:p>
        </w:tc>
        <w:tc>
          <w:tcPr>
            <w:tcW w:w="3477" w:type="pct"/>
            <w:tcBorders>
              <w:top w:val="single" w:color="auto" w:sz="4" w:space="0"/>
              <w:left w:val="single" w:color="auto" w:sz="4" w:space="0"/>
              <w:bottom w:val="single" w:color="auto" w:sz="4" w:space="0"/>
              <w:right w:val="single" w:color="auto" w:sz="4" w:space="0"/>
            </w:tcBorders>
          </w:tcPr>
          <w:p>
            <w:pPr>
              <w:rPr>
                <w:rFonts w:ascii="仿宋" w:hAnsi="仿宋" w:eastAsia="仿宋" w:cs="仿宋"/>
                <w:color w:val="000000" w:themeColor="text1"/>
                <w:sz w:val="24"/>
              </w:rPr>
            </w:pPr>
            <w:r>
              <w:rPr>
                <w:rFonts w:hint="eastAsia" w:ascii="仿宋" w:hAnsi="仿宋" w:eastAsia="仿宋" w:cs="仿宋"/>
                <w:color w:val="000000" w:themeColor="text1"/>
                <w:sz w:val="24"/>
              </w:rPr>
              <w:t>投标人组织实施方案的科学性、合理性、规范性和可操作性（包括系统集成、产品供货、验收、安装调试、试运行、测试、系统管理培训、系统运行维护培训等内容）；投标人的组织机构、人员素质、工作时间进度表、工作程序和步骤、管理和协调方法、关键步骤的思路和要点等进行打分。</w:t>
            </w:r>
          </w:p>
        </w:tc>
        <w:tc>
          <w:tcPr>
            <w:tcW w:w="463"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4" w:hRule="atLeast"/>
        </w:trPr>
        <w:tc>
          <w:tcPr>
            <w:tcW w:w="316" w:type="pct"/>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6</w:t>
            </w:r>
          </w:p>
        </w:tc>
        <w:tc>
          <w:tcPr>
            <w:tcW w:w="743" w:type="pct"/>
            <w:vMerge w:val="restart"/>
            <w:tcBorders>
              <w:top w:val="single" w:color="auto" w:sz="4" w:space="0"/>
              <w:left w:val="single" w:color="auto" w:sz="4" w:space="0"/>
              <w:right w:val="single" w:color="auto" w:sz="4" w:space="0"/>
            </w:tcBorders>
            <w:vAlign w:val="center"/>
          </w:tcPr>
          <w:p>
            <w:pPr>
              <w:rPr>
                <w:rFonts w:ascii="仿宋" w:hAnsi="仿宋" w:eastAsia="仿宋" w:cs="仿宋"/>
                <w:color w:val="000000" w:themeColor="text1"/>
                <w:sz w:val="24"/>
              </w:rPr>
            </w:pPr>
            <w:r>
              <w:rPr>
                <w:rFonts w:hint="eastAsia" w:ascii="仿宋" w:hAnsi="仿宋" w:eastAsia="仿宋" w:cs="仿宋"/>
                <w:color w:val="000000" w:themeColor="text1"/>
                <w:sz w:val="24"/>
              </w:rPr>
              <w:t>售后服务的措施及承诺、优惠内容、培训等</w:t>
            </w:r>
          </w:p>
        </w:tc>
        <w:tc>
          <w:tcPr>
            <w:tcW w:w="3477" w:type="pct"/>
            <w:tcBorders>
              <w:top w:val="single" w:color="auto" w:sz="4" w:space="0"/>
              <w:left w:val="single" w:color="auto" w:sz="4" w:space="0"/>
              <w:right w:val="single" w:color="auto" w:sz="4" w:space="0"/>
            </w:tcBorders>
            <w:vAlign w:val="center"/>
          </w:tcPr>
          <w:p>
            <w:pPr>
              <w:rPr>
                <w:rFonts w:ascii="仿宋" w:hAnsi="仿宋" w:eastAsia="仿宋" w:cs="仿宋"/>
                <w:color w:val="000000" w:themeColor="text1"/>
                <w:sz w:val="24"/>
              </w:rPr>
            </w:pPr>
            <w:r>
              <w:rPr>
                <w:rFonts w:hint="eastAsia" w:ascii="仿宋" w:hAnsi="仿宋" w:eastAsia="仿宋" w:cs="仿宋"/>
                <w:color w:val="000000" w:themeColor="text1"/>
                <w:sz w:val="24"/>
              </w:rPr>
              <w:t>根据投标人提供的售后维护机构和人员等情况，是否具有较强的售后服务能力以及较强的专业技术队伍；能提供快速的售后服务响应；服务承诺的可行性、完整性以及服务承诺落实的保障措施；质保期内外的后续技术支持和维护能力情况等；投标设备的配件、附件、备品备件的准备和保障措施情况，其它有关资料和材料的完整性、合理性和可操作性等情况进行打分。</w:t>
            </w:r>
          </w:p>
        </w:tc>
        <w:tc>
          <w:tcPr>
            <w:tcW w:w="463" w:type="pct"/>
            <w:tcBorders>
              <w:top w:val="single" w:color="auto" w:sz="4" w:space="0"/>
              <w:left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16" w:type="pct"/>
            <w:vMerge w:val="continue"/>
            <w:tcBorders>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p>
        </w:tc>
        <w:tc>
          <w:tcPr>
            <w:tcW w:w="743" w:type="pct"/>
            <w:vMerge w:val="continue"/>
            <w:tcBorders>
              <w:left w:val="single" w:color="auto" w:sz="4" w:space="0"/>
              <w:bottom w:val="single" w:color="auto" w:sz="4" w:space="0"/>
              <w:right w:val="single" w:color="auto" w:sz="4" w:space="0"/>
            </w:tcBorders>
            <w:vAlign w:val="center"/>
          </w:tcPr>
          <w:p>
            <w:pPr>
              <w:rPr>
                <w:rFonts w:ascii="仿宋" w:hAnsi="仿宋" w:eastAsia="仿宋" w:cs="仿宋"/>
                <w:color w:val="000000" w:themeColor="text1"/>
                <w:sz w:val="24"/>
              </w:rPr>
            </w:pPr>
          </w:p>
        </w:tc>
        <w:tc>
          <w:tcPr>
            <w:tcW w:w="3477" w:type="pct"/>
            <w:tcBorders>
              <w:top w:val="single" w:color="auto" w:sz="4" w:space="0"/>
              <w:left w:val="single" w:color="auto" w:sz="4" w:space="0"/>
              <w:bottom w:val="single" w:color="auto" w:sz="4" w:space="0"/>
              <w:right w:val="single" w:color="auto" w:sz="4" w:space="0"/>
            </w:tcBorders>
          </w:tcPr>
          <w:p>
            <w:pPr>
              <w:rPr>
                <w:rFonts w:ascii="仿宋" w:hAnsi="仿宋" w:eastAsia="仿宋" w:cs="仿宋"/>
                <w:color w:val="000000" w:themeColor="text1"/>
                <w:sz w:val="24"/>
              </w:rPr>
            </w:pPr>
            <w:r>
              <w:rPr>
                <w:rFonts w:hint="eastAsia" w:ascii="仿宋" w:hAnsi="仿宋" w:eastAsia="仿宋" w:cs="仿宋"/>
                <w:color w:val="000000" w:themeColor="text1"/>
                <w:sz w:val="24"/>
              </w:rPr>
              <w:t>在满足招标文件免费质保年限要求三年的基础上，所有设备整体质保期每延长免费质保期：承诺再增加1年，得1分；承诺再增加2年，得2分。没承诺不得分。</w:t>
            </w:r>
          </w:p>
          <w:p>
            <w:pPr>
              <w:rPr>
                <w:rFonts w:ascii="仿宋" w:hAnsi="仿宋" w:eastAsia="仿宋" w:cs="仿宋"/>
                <w:color w:val="000000" w:themeColor="text1"/>
                <w:sz w:val="24"/>
              </w:rPr>
            </w:pPr>
            <w:r>
              <w:rPr>
                <w:rFonts w:hint="eastAsia" w:ascii="仿宋" w:hAnsi="仿宋" w:eastAsia="仿宋" w:cs="仿宋"/>
                <w:color w:val="000000" w:themeColor="text1"/>
                <w:sz w:val="24"/>
              </w:rPr>
              <w:t>质保期年限不满足招标文件要求的，其投标无效。</w:t>
            </w:r>
          </w:p>
        </w:tc>
        <w:tc>
          <w:tcPr>
            <w:tcW w:w="463"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trPr>
        <w:tc>
          <w:tcPr>
            <w:tcW w:w="316" w:type="pct"/>
            <w:tcBorders>
              <w:top w:val="single" w:color="auto" w:sz="4" w:space="0"/>
              <w:left w:val="single" w:color="auto" w:sz="4" w:space="0"/>
              <w:bottom w:val="single" w:color="auto" w:sz="4" w:space="0"/>
              <w:right w:val="single" w:color="auto" w:sz="4" w:space="0"/>
            </w:tcBorders>
            <w:vAlign w:val="center"/>
          </w:tcPr>
          <w:p>
            <w:pPr>
              <w:ind w:left="-67" w:leftChars="-32" w:right="-59" w:rightChars="-28"/>
              <w:jc w:val="center"/>
              <w:rPr>
                <w:rFonts w:ascii="仿宋" w:hAnsi="仿宋" w:eastAsia="仿宋" w:cs="仿宋"/>
                <w:color w:val="000000" w:themeColor="text1"/>
                <w:sz w:val="24"/>
              </w:rPr>
            </w:pPr>
            <w:r>
              <w:rPr>
                <w:rFonts w:hint="eastAsia" w:ascii="仿宋" w:hAnsi="仿宋" w:eastAsia="仿宋" w:cs="仿宋"/>
                <w:color w:val="000000" w:themeColor="text1"/>
                <w:sz w:val="24"/>
              </w:rPr>
              <w:t>7</w:t>
            </w:r>
          </w:p>
        </w:tc>
        <w:tc>
          <w:tcPr>
            <w:tcW w:w="743"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节能环保</w:t>
            </w:r>
          </w:p>
        </w:tc>
        <w:tc>
          <w:tcPr>
            <w:tcW w:w="3477" w:type="pct"/>
            <w:tcBorders>
              <w:top w:val="single" w:color="auto" w:sz="4" w:space="0"/>
              <w:left w:val="single" w:color="auto" w:sz="4" w:space="0"/>
              <w:bottom w:val="single" w:color="auto" w:sz="4" w:space="0"/>
              <w:right w:val="single" w:color="auto" w:sz="4" w:space="0"/>
            </w:tcBorders>
            <w:vAlign w:val="center"/>
          </w:tcPr>
          <w:p>
            <w:pPr>
              <w:ind w:left="600" w:hanging="600" w:hangingChars="250"/>
              <w:jc w:val="left"/>
              <w:rPr>
                <w:rFonts w:ascii="仿宋" w:hAnsi="仿宋" w:eastAsia="仿宋" w:cs="仿宋"/>
                <w:color w:val="000000" w:themeColor="text1"/>
                <w:sz w:val="24"/>
              </w:rPr>
            </w:pPr>
            <w:r>
              <w:rPr>
                <w:rFonts w:hint="eastAsia" w:ascii="仿宋" w:hAnsi="仿宋" w:eastAsia="仿宋" w:cs="仿宋"/>
                <w:color w:val="000000" w:themeColor="text1"/>
                <w:sz w:val="24"/>
              </w:rPr>
              <w:t>1、投标产品取得有效的节能产品认证证书的，最多得0.5分；</w:t>
            </w:r>
          </w:p>
          <w:p>
            <w:pPr>
              <w:ind w:left="600" w:hanging="600" w:hangingChars="250"/>
              <w:jc w:val="left"/>
              <w:rPr>
                <w:rFonts w:ascii="仿宋" w:hAnsi="仿宋" w:eastAsia="仿宋" w:cs="仿宋"/>
                <w:color w:val="000000" w:themeColor="text1"/>
                <w:sz w:val="24"/>
              </w:rPr>
            </w:pPr>
            <w:r>
              <w:rPr>
                <w:rFonts w:hint="eastAsia" w:ascii="仿宋" w:hAnsi="仿宋" w:eastAsia="仿宋" w:cs="仿宋"/>
                <w:color w:val="000000" w:themeColor="text1"/>
                <w:sz w:val="24"/>
              </w:rPr>
              <w:t>2、投标产品取得有效的环境标志产品认证证书的，最多得0.5分。</w:t>
            </w:r>
          </w:p>
          <w:p>
            <w:pPr>
              <w:rPr>
                <w:rFonts w:ascii="仿宋" w:hAnsi="仿宋" w:eastAsia="仿宋" w:cs="仿宋"/>
                <w:b/>
                <w:color w:val="000000" w:themeColor="text1"/>
                <w:sz w:val="24"/>
              </w:rPr>
            </w:pPr>
            <w:r>
              <w:rPr>
                <w:rFonts w:hint="eastAsia" w:ascii="仿宋" w:hAnsi="仿宋" w:eastAsia="仿宋" w:cs="仿宋"/>
                <w:b/>
                <w:color w:val="000000" w:themeColor="text1"/>
                <w:sz w:val="24"/>
              </w:rPr>
              <w:t>须提供的证明材料：提供国家确定的认证机构出具的、处于有效期之内的认证证书或中国政府采购网相关清单查询结果截图扫描件（复印件，加盖产品生产厂家公章）。</w:t>
            </w:r>
          </w:p>
        </w:tc>
        <w:tc>
          <w:tcPr>
            <w:tcW w:w="463"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1</w:t>
            </w:r>
          </w:p>
        </w:tc>
      </w:tr>
    </w:tbl>
    <w:p>
      <w:pPr>
        <w:pStyle w:val="2"/>
        <w:rPr>
          <w:rFonts w:ascii="仿宋" w:hAnsi="仿宋" w:eastAsia="仿宋"/>
          <w:color w:val="000000" w:themeColor="text1"/>
          <w:kern w:val="2"/>
          <w:sz w:val="24"/>
        </w:rPr>
      </w:pPr>
    </w:p>
    <w:p>
      <w:pPr>
        <w:pStyle w:val="2"/>
        <w:rPr>
          <w:rFonts w:ascii="仿宋" w:hAnsi="仿宋" w:eastAsia="仿宋"/>
          <w:color w:val="000000" w:themeColor="text1"/>
          <w:kern w:val="2"/>
          <w:sz w:val="24"/>
        </w:rPr>
      </w:pPr>
    </w:p>
    <w:p>
      <w:pPr>
        <w:pStyle w:val="2"/>
        <w:rPr>
          <w:rFonts w:ascii="仿宋" w:hAnsi="仿宋" w:eastAsia="仿宋"/>
          <w:color w:val="000000" w:themeColor="text1"/>
          <w:kern w:val="2"/>
          <w:sz w:val="24"/>
        </w:rPr>
      </w:pPr>
    </w:p>
    <w:p>
      <w:pPr>
        <w:pStyle w:val="3"/>
        <w:ind w:left="5250"/>
        <w:rPr>
          <w:color w:val="000000" w:themeColor="text1"/>
        </w:rPr>
      </w:pPr>
    </w:p>
    <w:p>
      <w:pPr>
        <w:pStyle w:val="2"/>
        <w:rPr>
          <w:rFonts w:ascii="仿宋" w:hAnsi="仿宋" w:eastAsia="仿宋"/>
          <w:color w:val="000000" w:themeColor="text1"/>
          <w:kern w:val="2"/>
          <w:sz w:val="24"/>
        </w:rPr>
      </w:pPr>
    </w:p>
    <w:p>
      <w:pPr>
        <w:pStyle w:val="2"/>
        <w:rPr>
          <w:color w:val="000000" w:themeColor="text1"/>
        </w:rPr>
      </w:pPr>
      <w:r>
        <w:rPr>
          <w:rFonts w:hint="eastAsia" w:ascii="仿宋" w:hAnsi="仿宋" w:eastAsia="仿宋"/>
          <w:color w:val="000000" w:themeColor="text1"/>
          <w:kern w:val="2"/>
          <w:sz w:val="24"/>
        </w:rPr>
        <w:t>标项二评分标准：</w:t>
      </w:r>
    </w:p>
    <w:tbl>
      <w:tblPr>
        <w:tblStyle w:val="3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9"/>
        <w:gridCol w:w="1414"/>
        <w:gridCol w:w="6481"/>
        <w:gridCol w:w="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39" w:type="pct"/>
            <w:tcBorders>
              <w:top w:val="single" w:color="auto" w:sz="4" w:space="0"/>
              <w:left w:val="single" w:color="auto" w:sz="4" w:space="0"/>
              <w:bottom w:val="single" w:color="auto" w:sz="4" w:space="0"/>
              <w:right w:val="single" w:color="auto" w:sz="4" w:space="0"/>
            </w:tcBorders>
            <w:vAlign w:val="center"/>
          </w:tcPr>
          <w:p>
            <w:pPr>
              <w:ind w:left="-67" w:leftChars="-32" w:right="-59" w:rightChars="-28"/>
              <w:jc w:val="center"/>
              <w:rPr>
                <w:rFonts w:ascii="仿宋" w:hAnsi="仿宋" w:eastAsia="仿宋" w:cs="仿宋"/>
                <w:b/>
                <w:color w:val="000000" w:themeColor="text1"/>
                <w:sz w:val="24"/>
              </w:rPr>
            </w:pPr>
            <w:r>
              <w:rPr>
                <w:rFonts w:hint="eastAsia" w:ascii="仿宋" w:hAnsi="仿宋" w:eastAsia="仿宋" w:cs="仿宋"/>
                <w:b/>
                <w:color w:val="000000" w:themeColor="text1"/>
                <w:sz w:val="24"/>
              </w:rPr>
              <w:t>序号</w:t>
            </w:r>
          </w:p>
        </w:tc>
        <w:tc>
          <w:tcPr>
            <w:tcW w:w="762"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color w:val="000000" w:themeColor="text1"/>
                <w:sz w:val="24"/>
              </w:rPr>
            </w:pPr>
            <w:r>
              <w:rPr>
                <w:rFonts w:hint="eastAsia" w:ascii="仿宋" w:hAnsi="仿宋" w:eastAsia="仿宋" w:cs="仿宋"/>
                <w:b/>
                <w:color w:val="000000" w:themeColor="text1"/>
                <w:sz w:val="24"/>
              </w:rPr>
              <w:t>评标项目</w:t>
            </w:r>
          </w:p>
        </w:tc>
        <w:tc>
          <w:tcPr>
            <w:tcW w:w="3493"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color w:val="000000" w:themeColor="text1"/>
                <w:sz w:val="24"/>
              </w:rPr>
            </w:pPr>
            <w:r>
              <w:rPr>
                <w:rFonts w:hint="eastAsia" w:ascii="仿宋" w:hAnsi="仿宋" w:eastAsia="仿宋" w:cs="仿宋"/>
                <w:b/>
                <w:color w:val="000000" w:themeColor="text1"/>
                <w:sz w:val="24"/>
              </w:rPr>
              <w:t>评分说明</w:t>
            </w:r>
          </w:p>
        </w:tc>
        <w:tc>
          <w:tcPr>
            <w:tcW w:w="405"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color w:val="000000" w:themeColor="text1"/>
                <w:sz w:val="24"/>
              </w:rPr>
            </w:pPr>
            <w:r>
              <w:rPr>
                <w:rFonts w:hint="eastAsia" w:ascii="仿宋" w:hAnsi="仿宋" w:eastAsia="仿宋" w:cs="仿宋"/>
                <w:b/>
                <w:color w:val="000000" w:themeColor="text1"/>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339" w:type="pct"/>
            <w:tcBorders>
              <w:top w:val="single" w:color="auto" w:sz="4" w:space="0"/>
              <w:left w:val="single" w:color="auto" w:sz="4" w:space="0"/>
              <w:right w:val="single" w:color="auto" w:sz="4" w:space="0"/>
            </w:tcBorders>
            <w:vAlign w:val="center"/>
          </w:tcPr>
          <w:p>
            <w:pPr>
              <w:ind w:left="-67" w:leftChars="-32" w:right="-59" w:rightChars="-28"/>
              <w:jc w:val="center"/>
              <w:rPr>
                <w:rFonts w:ascii="仿宋" w:hAnsi="仿宋" w:eastAsia="仿宋" w:cs="仿宋"/>
                <w:color w:val="000000" w:themeColor="text1"/>
                <w:sz w:val="24"/>
              </w:rPr>
            </w:pPr>
            <w:r>
              <w:rPr>
                <w:rFonts w:hint="eastAsia" w:ascii="仿宋" w:hAnsi="仿宋" w:eastAsia="仿宋" w:cs="仿宋"/>
                <w:color w:val="000000" w:themeColor="text1"/>
                <w:sz w:val="24"/>
              </w:rPr>
              <w:t>1</w:t>
            </w:r>
          </w:p>
        </w:tc>
        <w:tc>
          <w:tcPr>
            <w:tcW w:w="762" w:type="pct"/>
            <w:tcBorders>
              <w:top w:val="single" w:color="auto" w:sz="4" w:space="0"/>
              <w:left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设备参数响应程度</w:t>
            </w:r>
          </w:p>
        </w:tc>
        <w:tc>
          <w:tcPr>
            <w:tcW w:w="3493" w:type="pct"/>
            <w:tcBorders>
              <w:top w:val="single" w:color="auto" w:sz="4" w:space="0"/>
              <w:left w:val="single" w:color="auto" w:sz="4" w:space="0"/>
              <w:right w:val="single" w:color="auto" w:sz="4" w:space="0"/>
            </w:tcBorders>
            <w:vAlign w:val="center"/>
          </w:tcPr>
          <w:p>
            <w:pPr>
              <w:rPr>
                <w:rFonts w:ascii="仿宋" w:hAnsi="仿宋" w:eastAsia="仿宋" w:cs="仿宋"/>
                <w:color w:val="000000" w:themeColor="text1"/>
                <w:sz w:val="24"/>
              </w:rPr>
            </w:pPr>
            <w:r>
              <w:rPr>
                <w:rFonts w:hint="eastAsia" w:ascii="仿宋" w:hAnsi="仿宋" w:eastAsia="仿宋" w:cs="仿宋"/>
                <w:color w:val="000000" w:themeColor="text1"/>
                <w:sz w:val="24"/>
              </w:rPr>
              <w:t>参数中带“▲”的条款是实质性条款，投标文件须作出实质性响应，否则作无效标处理；带“★”为重要条款，技术参数负偏离的每项扣2分，其他条款技术参数负偏离的每项扣1分，扣完为止。</w:t>
            </w:r>
          </w:p>
        </w:tc>
        <w:tc>
          <w:tcPr>
            <w:tcW w:w="405" w:type="pct"/>
            <w:tcBorders>
              <w:top w:val="single" w:color="auto" w:sz="4" w:space="0"/>
              <w:left w:val="single" w:color="auto" w:sz="4" w:space="0"/>
              <w:right w:val="single" w:color="auto" w:sz="4" w:space="0"/>
            </w:tcBorders>
            <w:vAlign w:val="center"/>
          </w:tcPr>
          <w:p>
            <w:pPr>
              <w:jc w:val="center"/>
              <w:rPr>
                <w:rFonts w:ascii="仿宋" w:hAnsi="仿宋" w:eastAsia="仿宋" w:cs="仿宋"/>
                <w:color w:val="000000" w:themeColor="text1"/>
                <w:sz w:val="24"/>
              </w:rPr>
            </w:pPr>
            <w:r>
              <w:rPr>
                <w:rFonts w:ascii="仿宋" w:hAnsi="仿宋" w:eastAsia="仿宋" w:cs="仿宋"/>
                <w:color w:val="000000" w:themeColor="text1"/>
                <w:sz w:val="24"/>
              </w:rPr>
              <w:t>23</w:t>
            </w:r>
            <w:r>
              <w:rPr>
                <w:rFonts w:hint="eastAsia" w:ascii="仿宋" w:hAnsi="仿宋" w:eastAsia="仿宋" w:cs="仿宋"/>
                <w:color w:val="000000" w:themeColor="text1"/>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339" w:type="pct"/>
            <w:vMerge w:val="restart"/>
            <w:tcBorders>
              <w:top w:val="single" w:color="auto" w:sz="4" w:space="0"/>
              <w:left w:val="single" w:color="auto" w:sz="4" w:space="0"/>
              <w:right w:val="single" w:color="auto" w:sz="4" w:space="0"/>
            </w:tcBorders>
            <w:vAlign w:val="center"/>
          </w:tcPr>
          <w:p>
            <w:pPr>
              <w:ind w:left="-67" w:leftChars="-32" w:right="-59" w:rightChars="-28"/>
              <w:jc w:val="center"/>
              <w:rPr>
                <w:rFonts w:ascii="仿宋" w:hAnsi="仿宋" w:eastAsia="仿宋" w:cs="仿宋"/>
                <w:color w:val="000000" w:themeColor="text1"/>
                <w:sz w:val="24"/>
              </w:rPr>
            </w:pPr>
            <w:r>
              <w:rPr>
                <w:rFonts w:hint="eastAsia" w:ascii="仿宋" w:hAnsi="仿宋" w:eastAsia="仿宋" w:cs="仿宋"/>
                <w:color w:val="000000" w:themeColor="text1"/>
                <w:sz w:val="24"/>
              </w:rPr>
              <w:t>2</w:t>
            </w:r>
          </w:p>
        </w:tc>
        <w:tc>
          <w:tcPr>
            <w:tcW w:w="762" w:type="pct"/>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重要产品综合评分</w:t>
            </w:r>
          </w:p>
        </w:tc>
        <w:tc>
          <w:tcPr>
            <w:tcW w:w="3493" w:type="pct"/>
            <w:tcBorders>
              <w:top w:val="single" w:color="auto" w:sz="4" w:space="0"/>
              <w:left w:val="single" w:color="auto" w:sz="4" w:space="0"/>
              <w:bottom w:val="single" w:color="auto" w:sz="4" w:space="0"/>
              <w:right w:val="single" w:color="auto" w:sz="4" w:space="0"/>
            </w:tcBorders>
            <w:vAlign w:val="center"/>
          </w:tcPr>
          <w:p>
            <w:pPr>
              <w:ind w:left="-78"/>
              <w:rPr>
                <w:rFonts w:ascii="仿宋" w:hAnsi="仿宋" w:eastAsia="仿宋" w:cs="仿宋"/>
                <w:color w:val="000000" w:themeColor="text1"/>
                <w:sz w:val="24"/>
              </w:rPr>
            </w:pPr>
            <w:r>
              <w:rPr>
                <w:rFonts w:hint="eastAsia" w:ascii="仿宋" w:hAnsi="仿宋" w:eastAsia="仿宋" w:cs="仿宋"/>
                <w:color w:val="000000" w:themeColor="text1"/>
                <w:sz w:val="24"/>
              </w:rPr>
              <w:t>投标人选用的智能交互平板及视频展台进行评分：</w:t>
            </w:r>
          </w:p>
          <w:p>
            <w:pPr>
              <w:widowControl/>
              <w:jc w:val="left"/>
              <w:rPr>
                <w:rFonts w:ascii="仿宋" w:hAnsi="仿宋" w:eastAsia="仿宋" w:cs="仿宋"/>
                <w:color w:val="000000" w:themeColor="text1"/>
                <w:sz w:val="24"/>
              </w:rPr>
            </w:pPr>
            <w:r>
              <w:rPr>
                <w:rFonts w:hint="eastAsia" w:ascii="仿宋" w:hAnsi="仿宋" w:eastAsia="仿宋" w:cs="仿宋"/>
                <w:color w:val="000000" w:themeColor="text1"/>
                <w:sz w:val="24"/>
              </w:rPr>
              <w:t>1</w:t>
            </w:r>
            <w:r>
              <w:rPr>
                <w:rFonts w:ascii="仿宋" w:hAnsi="仿宋" w:eastAsia="仿宋" w:cs="仿宋"/>
                <w:color w:val="000000" w:themeColor="text1"/>
                <w:sz w:val="24"/>
              </w:rPr>
              <w:t>.</w:t>
            </w:r>
            <w:r>
              <w:rPr>
                <w:rFonts w:hint="eastAsia" w:ascii="仿宋" w:hAnsi="仿宋" w:eastAsia="仿宋" w:cs="仿宋"/>
                <w:color w:val="000000" w:themeColor="text1"/>
                <w:sz w:val="24"/>
              </w:rPr>
              <w:t>为提供良好稳定的软件使用体验，所投智能交互平板生产厂家需具有一定的软件能力成熟度，并通过SPCA评估5级及以上认证的得</w:t>
            </w:r>
            <w:r>
              <w:rPr>
                <w:rFonts w:ascii="仿宋" w:hAnsi="仿宋" w:eastAsia="仿宋" w:cs="仿宋"/>
                <w:color w:val="000000" w:themeColor="text1"/>
                <w:sz w:val="24"/>
              </w:rPr>
              <w:t>3</w:t>
            </w:r>
            <w:r>
              <w:rPr>
                <w:rFonts w:hint="eastAsia" w:ascii="仿宋" w:hAnsi="仿宋" w:eastAsia="仿宋" w:cs="仿宋"/>
                <w:color w:val="000000" w:themeColor="text1"/>
                <w:sz w:val="24"/>
              </w:rPr>
              <w:t>分,3级及以上的得</w:t>
            </w:r>
            <w:r>
              <w:rPr>
                <w:rFonts w:ascii="仿宋" w:hAnsi="仿宋" w:eastAsia="仿宋" w:cs="仿宋"/>
                <w:color w:val="000000" w:themeColor="text1"/>
                <w:sz w:val="24"/>
              </w:rPr>
              <w:t>1</w:t>
            </w:r>
            <w:r>
              <w:rPr>
                <w:rFonts w:hint="eastAsia" w:ascii="仿宋" w:hAnsi="仿宋" w:eastAsia="仿宋" w:cs="仿宋"/>
                <w:color w:val="000000" w:themeColor="text1"/>
                <w:sz w:val="24"/>
              </w:rPr>
              <w:t>分。（提供国家认可认证机构出具的认证证书复印件及国家认可认证机构官网查询截图并加盖厂家公章）；</w:t>
            </w:r>
          </w:p>
          <w:p>
            <w:pPr>
              <w:widowControl/>
              <w:jc w:val="left"/>
              <w:rPr>
                <w:rFonts w:ascii="仿宋" w:hAnsi="仿宋" w:eastAsia="仿宋" w:cs="仿宋"/>
                <w:b/>
                <w:bCs/>
                <w:color w:val="000000" w:themeColor="text1"/>
                <w:sz w:val="24"/>
              </w:rPr>
            </w:pPr>
            <w:r>
              <w:rPr>
                <w:rFonts w:hint="eastAsia" w:ascii="仿宋" w:hAnsi="仿宋" w:eastAsia="仿宋" w:cs="仿宋"/>
                <w:color w:val="000000" w:themeColor="text1"/>
                <w:sz w:val="24"/>
              </w:rPr>
              <w:t>2.所投交互智能平板厂家需获得国际发明展览会金奖的得1分，</w:t>
            </w:r>
            <w:r>
              <w:rPr>
                <w:rFonts w:hint="eastAsia" w:ascii="仿宋" w:hAnsi="仿宋" w:eastAsia="仿宋" w:cs="仿宋"/>
                <w:b/>
                <w:bCs/>
                <w:color w:val="000000" w:themeColor="text1"/>
                <w:sz w:val="24"/>
              </w:rPr>
              <w:t>提供证书复印件并加盖厂家公章；</w:t>
            </w:r>
          </w:p>
          <w:p>
            <w:pPr>
              <w:widowControl/>
              <w:jc w:val="left"/>
              <w:rPr>
                <w:rFonts w:ascii="仿宋" w:hAnsi="仿宋" w:eastAsia="仿宋" w:cs="仿宋"/>
                <w:b/>
                <w:bCs/>
                <w:color w:val="000000" w:themeColor="text1"/>
                <w:sz w:val="24"/>
              </w:rPr>
            </w:pPr>
            <w:r>
              <w:rPr>
                <w:rFonts w:ascii="仿宋" w:hAnsi="仿宋" w:eastAsia="仿宋" w:cs="仿宋"/>
                <w:color w:val="000000" w:themeColor="text1"/>
                <w:sz w:val="24"/>
              </w:rPr>
              <w:t>3</w:t>
            </w:r>
            <w:r>
              <w:rPr>
                <w:rFonts w:hint="eastAsia" w:ascii="仿宋" w:hAnsi="仿宋" w:eastAsia="仿宋" w:cs="仿宋"/>
                <w:color w:val="000000" w:themeColor="text1"/>
                <w:sz w:val="24"/>
              </w:rPr>
              <w:t>.所投交互智能平板厂商为《多媒体教学环境工程建设规范》参与制定单位的得1分，</w:t>
            </w:r>
            <w:r>
              <w:rPr>
                <w:rFonts w:hint="eastAsia" w:ascii="仿宋" w:hAnsi="仿宋" w:eastAsia="仿宋" w:cs="仿宋"/>
                <w:b/>
                <w:bCs/>
                <w:color w:val="000000" w:themeColor="text1"/>
                <w:sz w:val="24"/>
              </w:rPr>
              <w:t>提供证书复印件并加盖厂家公章；</w:t>
            </w:r>
          </w:p>
          <w:p>
            <w:pPr>
              <w:adjustRightInd w:val="0"/>
              <w:snapToGrid w:val="0"/>
              <w:spacing w:line="320" w:lineRule="exact"/>
              <w:jc w:val="left"/>
              <w:rPr>
                <w:rFonts w:ascii="仿宋" w:hAnsi="仿宋" w:eastAsia="仿宋" w:cs="仿宋"/>
                <w:color w:val="000000" w:themeColor="text1"/>
                <w:sz w:val="24"/>
              </w:rPr>
            </w:pPr>
            <w:r>
              <w:rPr>
                <w:rFonts w:ascii="仿宋" w:hAnsi="仿宋" w:eastAsia="仿宋" w:cs="仿宋"/>
                <w:color w:val="000000" w:themeColor="text1"/>
                <w:sz w:val="24"/>
              </w:rPr>
              <w:t>4</w:t>
            </w:r>
            <w:r>
              <w:rPr>
                <w:rFonts w:hint="eastAsia" w:ascii="仿宋" w:hAnsi="仿宋" w:eastAsia="仿宋" w:cs="仿宋"/>
                <w:color w:val="000000" w:themeColor="text1"/>
                <w:sz w:val="24"/>
              </w:rPr>
              <w:t>.为保证学生视力，所投智能交互平板生产厂家通过视觉舒适度（VICO）体系认证，并达到视觉健康舒适度A 级或以上标准的得</w:t>
            </w:r>
            <w:r>
              <w:rPr>
                <w:rFonts w:ascii="仿宋" w:hAnsi="仿宋" w:eastAsia="仿宋" w:cs="仿宋"/>
                <w:color w:val="000000" w:themeColor="text1"/>
                <w:sz w:val="24"/>
              </w:rPr>
              <w:t>3</w:t>
            </w:r>
            <w:r>
              <w:rPr>
                <w:rFonts w:hint="eastAsia" w:ascii="仿宋" w:hAnsi="仿宋" w:eastAsia="仿宋" w:cs="仿宋"/>
                <w:color w:val="000000" w:themeColor="text1"/>
                <w:sz w:val="24"/>
              </w:rPr>
              <w:t>分，B级得</w:t>
            </w:r>
            <w:r>
              <w:rPr>
                <w:rFonts w:ascii="仿宋" w:hAnsi="仿宋" w:eastAsia="仿宋" w:cs="仿宋"/>
                <w:color w:val="000000" w:themeColor="text1"/>
                <w:sz w:val="24"/>
              </w:rPr>
              <w:t>1</w:t>
            </w:r>
            <w:r>
              <w:rPr>
                <w:rFonts w:hint="eastAsia" w:ascii="仿宋" w:hAnsi="仿宋" w:eastAsia="仿宋" w:cs="仿宋"/>
                <w:color w:val="000000" w:themeColor="text1"/>
                <w:sz w:val="24"/>
              </w:rPr>
              <w:t>分，</w:t>
            </w:r>
            <w:r>
              <w:rPr>
                <w:rFonts w:hint="eastAsia" w:ascii="仿宋" w:hAnsi="仿宋" w:eastAsia="仿宋" w:cs="仿宋"/>
                <w:b/>
                <w:bCs/>
                <w:color w:val="000000" w:themeColor="text1"/>
                <w:sz w:val="24"/>
              </w:rPr>
              <w:t>提供证明文件复印件并加盖厂商公章；</w:t>
            </w:r>
          </w:p>
          <w:p>
            <w:pPr>
              <w:ind w:left="-78"/>
              <w:rPr>
                <w:rFonts w:ascii="仿宋" w:hAnsi="仿宋" w:eastAsia="仿宋" w:cs="仿宋"/>
                <w:color w:val="000000" w:themeColor="text1"/>
                <w:sz w:val="24"/>
              </w:rPr>
            </w:pPr>
            <w:r>
              <w:rPr>
                <w:rFonts w:ascii="仿宋" w:hAnsi="仿宋" w:eastAsia="仿宋" w:cs="仿宋"/>
                <w:color w:val="000000" w:themeColor="text1"/>
                <w:sz w:val="24"/>
              </w:rPr>
              <w:t>5</w:t>
            </w:r>
            <w:r>
              <w:rPr>
                <w:rFonts w:hint="eastAsia" w:ascii="仿宋" w:hAnsi="仿宋" w:eastAsia="仿宋" w:cs="仿宋"/>
                <w:color w:val="000000" w:themeColor="text1"/>
                <w:sz w:val="24"/>
              </w:rPr>
              <w:t>.视频展台</w:t>
            </w:r>
            <w:r>
              <w:rPr>
                <w:rFonts w:ascii="仿宋" w:hAnsi="仿宋" w:eastAsia="仿宋" w:cs="仿宋"/>
                <w:color w:val="000000" w:themeColor="text1"/>
                <w:sz w:val="24"/>
              </w:rPr>
              <w:t>防护等级达到IP4X级别</w:t>
            </w:r>
            <w:r>
              <w:rPr>
                <w:rFonts w:hint="eastAsia" w:ascii="仿宋" w:hAnsi="仿宋" w:eastAsia="仿宋" w:cs="仿宋"/>
                <w:color w:val="000000" w:themeColor="text1"/>
                <w:sz w:val="24"/>
              </w:rPr>
              <w:t>及以上的，得</w:t>
            </w:r>
            <w:r>
              <w:rPr>
                <w:rFonts w:ascii="仿宋" w:hAnsi="仿宋" w:eastAsia="仿宋" w:cs="仿宋"/>
                <w:color w:val="000000" w:themeColor="text1"/>
                <w:sz w:val="24"/>
              </w:rPr>
              <w:t>1</w:t>
            </w:r>
            <w:r>
              <w:rPr>
                <w:rFonts w:hint="eastAsia" w:ascii="仿宋" w:hAnsi="仿宋" w:eastAsia="仿宋" w:cs="仿宋"/>
                <w:color w:val="000000" w:themeColor="text1"/>
                <w:sz w:val="24"/>
              </w:rPr>
              <w:t>分，</w:t>
            </w:r>
            <w:r>
              <w:rPr>
                <w:rFonts w:hint="eastAsia" w:ascii="仿宋" w:hAnsi="仿宋" w:eastAsia="仿宋" w:cs="仿宋"/>
                <w:b/>
                <w:bCs/>
                <w:color w:val="000000" w:themeColor="text1"/>
                <w:sz w:val="24"/>
              </w:rPr>
              <w:t>提供证书复印件并加盖厂商公章。</w:t>
            </w:r>
          </w:p>
        </w:tc>
        <w:tc>
          <w:tcPr>
            <w:tcW w:w="405"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ascii="仿宋" w:hAnsi="仿宋" w:eastAsia="仿宋" w:cs="仿宋"/>
                <w:color w:val="000000" w:themeColor="text1"/>
                <w:sz w:val="24"/>
              </w:rPr>
              <w:t>9</w:t>
            </w:r>
            <w:r>
              <w:rPr>
                <w:rFonts w:hint="eastAsia" w:ascii="仿宋" w:hAnsi="仿宋" w:eastAsia="仿宋" w:cs="仿宋"/>
                <w:color w:val="000000" w:themeColor="text1"/>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39" w:type="pct"/>
            <w:vMerge w:val="continue"/>
            <w:tcBorders>
              <w:left w:val="single" w:color="auto" w:sz="4" w:space="0"/>
              <w:right w:val="single" w:color="auto" w:sz="4" w:space="0"/>
            </w:tcBorders>
            <w:vAlign w:val="center"/>
          </w:tcPr>
          <w:p>
            <w:pPr>
              <w:ind w:left="-67" w:leftChars="-32" w:right="-59" w:rightChars="-28"/>
              <w:jc w:val="center"/>
              <w:rPr>
                <w:rFonts w:ascii="仿宋" w:hAnsi="仿宋" w:eastAsia="仿宋" w:cs="仿宋"/>
                <w:color w:val="000000" w:themeColor="text1"/>
                <w:sz w:val="24"/>
              </w:rPr>
            </w:pPr>
          </w:p>
        </w:tc>
        <w:tc>
          <w:tcPr>
            <w:tcW w:w="762" w:type="pct"/>
            <w:vMerge w:val="continue"/>
            <w:tcBorders>
              <w:left w:val="single" w:color="auto" w:sz="4" w:space="0"/>
              <w:right w:val="single" w:color="auto" w:sz="4" w:space="0"/>
            </w:tcBorders>
            <w:vAlign w:val="center"/>
          </w:tcPr>
          <w:p>
            <w:pPr>
              <w:jc w:val="center"/>
              <w:rPr>
                <w:rFonts w:ascii="仿宋" w:hAnsi="仿宋" w:eastAsia="仿宋" w:cs="仿宋"/>
                <w:color w:val="000000" w:themeColor="text1"/>
                <w:sz w:val="24"/>
              </w:rPr>
            </w:pPr>
          </w:p>
        </w:tc>
        <w:tc>
          <w:tcPr>
            <w:tcW w:w="3493" w:type="pct"/>
            <w:tcBorders>
              <w:top w:val="single" w:color="auto" w:sz="4" w:space="0"/>
              <w:left w:val="single" w:color="auto" w:sz="4" w:space="0"/>
              <w:bottom w:val="single" w:color="auto" w:sz="4" w:space="0"/>
              <w:right w:val="single" w:color="auto" w:sz="4" w:space="0"/>
            </w:tcBorders>
            <w:vAlign w:val="center"/>
          </w:tcPr>
          <w:p>
            <w:pPr>
              <w:ind w:left="-78"/>
              <w:rPr>
                <w:rFonts w:ascii="仿宋" w:hAnsi="仿宋" w:eastAsia="仿宋" w:cs="仿宋"/>
                <w:color w:val="000000" w:themeColor="text1"/>
                <w:sz w:val="24"/>
              </w:rPr>
            </w:pPr>
            <w:r>
              <w:rPr>
                <w:rFonts w:hint="eastAsia" w:ascii="仿宋" w:hAnsi="仿宋" w:eastAsia="仿宋" w:cs="仿宋"/>
                <w:color w:val="000000" w:themeColor="text1"/>
                <w:sz w:val="24"/>
              </w:rPr>
              <w:t>投标人选用的移动录播设备进行评分：</w:t>
            </w:r>
          </w:p>
          <w:p>
            <w:pPr>
              <w:ind w:left="-78"/>
              <w:rPr>
                <w:rFonts w:ascii="仿宋" w:hAnsi="仿宋" w:eastAsia="仿宋" w:cs="仿宋"/>
                <w:color w:val="000000" w:themeColor="text1"/>
                <w:sz w:val="24"/>
              </w:rPr>
            </w:pPr>
            <w:r>
              <w:rPr>
                <w:rFonts w:hint="eastAsia" w:ascii="仿宋" w:hAnsi="仿宋" w:eastAsia="仿宋" w:cs="仿宋"/>
                <w:color w:val="000000" w:themeColor="text1"/>
                <w:sz w:val="24"/>
              </w:rPr>
              <w:t>1.所投录播生产厂家连续五年获得瞪羚企业认定得2分，</w:t>
            </w:r>
            <w:r>
              <w:rPr>
                <w:rFonts w:hint="eastAsia" w:ascii="仿宋" w:hAnsi="仿宋" w:eastAsia="仿宋" w:cs="仿宋"/>
                <w:b/>
                <w:bCs/>
                <w:color w:val="000000" w:themeColor="text1"/>
                <w:sz w:val="24"/>
              </w:rPr>
              <w:t>提供证书复印件并加盖厂商公章；</w:t>
            </w:r>
          </w:p>
          <w:p>
            <w:pPr>
              <w:ind w:left="-78"/>
              <w:rPr>
                <w:rFonts w:ascii="仿宋" w:hAnsi="仿宋" w:eastAsia="仿宋" w:cs="仿宋"/>
                <w:color w:val="000000" w:themeColor="text1"/>
                <w:sz w:val="24"/>
              </w:rPr>
            </w:pPr>
            <w:r>
              <w:rPr>
                <w:rFonts w:hint="eastAsia" w:ascii="仿宋" w:hAnsi="仿宋" w:eastAsia="仿宋" w:cs="仿宋"/>
                <w:color w:val="000000" w:themeColor="text1"/>
                <w:sz w:val="24"/>
              </w:rPr>
              <w:t>2.提供录播主机厂家具有教育装备行业录播系统行业标准起草单位证书,得1分，</w:t>
            </w:r>
            <w:r>
              <w:rPr>
                <w:rFonts w:hint="eastAsia" w:ascii="仿宋" w:hAnsi="仿宋" w:eastAsia="仿宋" w:cs="仿宋"/>
                <w:b/>
                <w:bCs/>
                <w:color w:val="000000" w:themeColor="text1"/>
                <w:sz w:val="24"/>
              </w:rPr>
              <w:t>提供证书复印件并加盖厂商公章；</w:t>
            </w:r>
          </w:p>
          <w:p>
            <w:pPr>
              <w:ind w:left="-78"/>
              <w:rPr>
                <w:rFonts w:ascii="仿宋" w:hAnsi="仿宋" w:eastAsia="仿宋" w:cs="仿宋"/>
                <w:color w:val="000000" w:themeColor="text1"/>
                <w:sz w:val="24"/>
              </w:rPr>
            </w:pPr>
            <w:r>
              <w:rPr>
                <w:rFonts w:hint="eastAsia" w:ascii="仿宋" w:hAnsi="仿宋" w:eastAsia="仿宋" w:cs="仿宋"/>
                <w:color w:val="000000" w:themeColor="text1"/>
                <w:sz w:val="24"/>
              </w:rPr>
              <w:t>3.所投录播品牌为保证产品与互联网之间的交互安全性，提供公安机构出具的信息系统安全等级保护备案证明，得1分，</w:t>
            </w:r>
            <w:r>
              <w:rPr>
                <w:rFonts w:hint="eastAsia" w:ascii="仿宋" w:hAnsi="仿宋" w:eastAsia="仿宋" w:cs="仿宋"/>
                <w:b/>
                <w:bCs/>
                <w:color w:val="000000" w:themeColor="text1"/>
                <w:sz w:val="24"/>
              </w:rPr>
              <w:t>提供证书复印件并加盖厂商公章；</w:t>
            </w:r>
          </w:p>
          <w:p>
            <w:pPr>
              <w:ind w:left="-78"/>
              <w:rPr>
                <w:rFonts w:ascii="仿宋" w:hAnsi="仿宋" w:eastAsia="仿宋" w:cs="仿宋"/>
                <w:color w:val="000000" w:themeColor="text1"/>
                <w:sz w:val="24"/>
              </w:rPr>
            </w:pPr>
            <w:r>
              <w:rPr>
                <w:rFonts w:ascii="仿宋" w:hAnsi="仿宋" w:eastAsia="仿宋" w:cs="仿宋"/>
                <w:color w:val="000000" w:themeColor="text1"/>
                <w:sz w:val="24"/>
              </w:rPr>
              <w:t>4</w:t>
            </w:r>
            <w:r>
              <w:rPr>
                <w:rFonts w:hint="eastAsia" w:ascii="仿宋" w:hAnsi="仿宋" w:eastAsia="仿宋" w:cs="仿宋"/>
                <w:color w:val="000000" w:themeColor="text1"/>
                <w:sz w:val="24"/>
              </w:rPr>
              <w:t>.提供高清云台摄像机产品无故障时间≥120000小时的证书及检测报告并加盖投标单位公章，得1分，</w:t>
            </w:r>
            <w:r>
              <w:rPr>
                <w:rFonts w:hint="eastAsia" w:ascii="仿宋" w:hAnsi="仿宋" w:eastAsia="仿宋" w:cs="仿宋"/>
                <w:b/>
                <w:bCs/>
                <w:color w:val="000000" w:themeColor="text1"/>
                <w:sz w:val="24"/>
              </w:rPr>
              <w:t>提供证书复印件并加盖厂商公章；</w:t>
            </w:r>
          </w:p>
        </w:tc>
        <w:tc>
          <w:tcPr>
            <w:tcW w:w="405"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339" w:type="pct"/>
            <w:vMerge w:val="continue"/>
            <w:tcBorders>
              <w:left w:val="single" w:color="auto" w:sz="4" w:space="0"/>
              <w:right w:val="single" w:color="auto" w:sz="4" w:space="0"/>
            </w:tcBorders>
            <w:vAlign w:val="center"/>
          </w:tcPr>
          <w:p>
            <w:pPr>
              <w:ind w:left="-67" w:leftChars="-32" w:right="-59" w:rightChars="-28"/>
              <w:jc w:val="center"/>
              <w:rPr>
                <w:rFonts w:ascii="仿宋" w:hAnsi="仿宋" w:eastAsia="仿宋" w:cs="仿宋"/>
                <w:color w:val="000000" w:themeColor="text1"/>
                <w:sz w:val="24"/>
              </w:rPr>
            </w:pPr>
          </w:p>
        </w:tc>
        <w:tc>
          <w:tcPr>
            <w:tcW w:w="762" w:type="pct"/>
            <w:vMerge w:val="continue"/>
            <w:tcBorders>
              <w:left w:val="single" w:color="auto" w:sz="4" w:space="0"/>
              <w:right w:val="single" w:color="auto" w:sz="4" w:space="0"/>
            </w:tcBorders>
            <w:vAlign w:val="center"/>
          </w:tcPr>
          <w:p>
            <w:pPr>
              <w:jc w:val="center"/>
              <w:rPr>
                <w:rFonts w:ascii="仿宋" w:hAnsi="仿宋" w:eastAsia="仿宋" w:cs="仿宋"/>
                <w:color w:val="000000" w:themeColor="text1"/>
                <w:sz w:val="24"/>
              </w:rPr>
            </w:pPr>
          </w:p>
        </w:tc>
        <w:tc>
          <w:tcPr>
            <w:tcW w:w="3493" w:type="pct"/>
            <w:tcBorders>
              <w:top w:val="single" w:color="auto" w:sz="4" w:space="0"/>
              <w:left w:val="single" w:color="auto" w:sz="4" w:space="0"/>
              <w:bottom w:val="single" w:color="auto" w:sz="4" w:space="0"/>
              <w:right w:val="single" w:color="auto" w:sz="4" w:space="0"/>
            </w:tcBorders>
            <w:vAlign w:val="center"/>
          </w:tcPr>
          <w:p>
            <w:pPr>
              <w:ind w:left="-78"/>
              <w:rPr>
                <w:rFonts w:ascii="仿宋" w:hAnsi="仿宋" w:eastAsia="仿宋" w:cs="仿宋"/>
                <w:color w:val="000000" w:themeColor="text1"/>
                <w:sz w:val="24"/>
              </w:rPr>
            </w:pPr>
            <w:r>
              <w:rPr>
                <w:rFonts w:hint="eastAsia" w:ascii="仿宋" w:hAnsi="仿宋" w:eastAsia="仿宋" w:cs="仿宋"/>
                <w:color w:val="000000" w:themeColor="text1"/>
                <w:sz w:val="24"/>
              </w:rPr>
              <w:t>投标人选用的电脑进行评分：</w:t>
            </w:r>
          </w:p>
          <w:p>
            <w:pPr>
              <w:ind w:left="-78"/>
              <w:rPr>
                <w:rFonts w:ascii="仿宋" w:hAnsi="仿宋" w:eastAsia="仿宋" w:cs="仿宋"/>
                <w:color w:val="000000" w:themeColor="text1"/>
                <w:sz w:val="24"/>
              </w:rPr>
            </w:pPr>
            <w:bookmarkStart w:id="25" w:name="_Hlk77704032"/>
            <w:r>
              <w:rPr>
                <w:rFonts w:hint="eastAsia" w:ascii="仿宋" w:hAnsi="仿宋" w:eastAsia="仿宋" w:cs="仿宋"/>
                <w:color w:val="000000" w:themeColor="text1"/>
                <w:sz w:val="24"/>
              </w:rPr>
              <w:t>1.所投电脑制造商具备高新技术企业证书，</w:t>
            </w:r>
            <w:r>
              <w:rPr>
                <w:rFonts w:hint="eastAsia" w:ascii="仿宋" w:hAnsi="仿宋" w:eastAsia="仿宋" w:cs="仿宋"/>
                <w:b/>
                <w:bCs/>
                <w:color w:val="000000" w:themeColor="text1"/>
                <w:sz w:val="24"/>
              </w:rPr>
              <w:t>提供证书复印件并加盖厂商公章或投标专用章</w:t>
            </w:r>
            <w:r>
              <w:rPr>
                <w:rFonts w:hint="eastAsia" w:ascii="仿宋" w:hAnsi="仿宋" w:eastAsia="仿宋" w:cs="仿宋"/>
                <w:color w:val="000000" w:themeColor="text1"/>
                <w:sz w:val="24"/>
              </w:rPr>
              <w:t>，得</w:t>
            </w:r>
            <w:r>
              <w:rPr>
                <w:rFonts w:ascii="仿宋" w:hAnsi="仿宋" w:eastAsia="仿宋" w:cs="仿宋"/>
                <w:color w:val="000000" w:themeColor="text1"/>
                <w:sz w:val="24"/>
              </w:rPr>
              <w:t>1</w:t>
            </w:r>
            <w:r>
              <w:rPr>
                <w:rFonts w:hint="eastAsia" w:ascii="仿宋" w:hAnsi="仿宋" w:eastAsia="仿宋" w:cs="仿宋"/>
                <w:color w:val="000000" w:themeColor="text1"/>
                <w:sz w:val="24"/>
              </w:rPr>
              <w:t>分。</w:t>
            </w:r>
          </w:p>
          <w:p>
            <w:pPr>
              <w:ind w:left="-78"/>
              <w:rPr>
                <w:rFonts w:ascii="仿宋" w:hAnsi="仿宋" w:eastAsia="仿宋" w:cs="仿宋"/>
                <w:color w:val="000000" w:themeColor="text1"/>
                <w:sz w:val="24"/>
              </w:rPr>
            </w:pPr>
            <w:r>
              <w:rPr>
                <w:rFonts w:hint="eastAsia" w:ascii="仿宋" w:hAnsi="仿宋" w:eastAsia="仿宋" w:cs="仿宋"/>
                <w:color w:val="000000" w:themeColor="text1"/>
                <w:sz w:val="24"/>
              </w:rPr>
              <w:t>2.投标品牌取得教育行业信息化推荐品牌，</w:t>
            </w:r>
            <w:r>
              <w:rPr>
                <w:rFonts w:hint="eastAsia" w:ascii="仿宋" w:hAnsi="仿宋" w:eastAsia="仿宋" w:cs="仿宋"/>
                <w:b/>
                <w:bCs/>
                <w:color w:val="000000" w:themeColor="text1"/>
                <w:sz w:val="24"/>
              </w:rPr>
              <w:t>提供证明文件并加盖厂商公章或投标专用章</w:t>
            </w:r>
            <w:r>
              <w:rPr>
                <w:rFonts w:hint="eastAsia" w:ascii="仿宋" w:hAnsi="仿宋" w:eastAsia="仿宋" w:cs="仿宋"/>
                <w:color w:val="000000" w:themeColor="text1"/>
                <w:sz w:val="24"/>
              </w:rPr>
              <w:t>，得</w:t>
            </w:r>
            <w:r>
              <w:rPr>
                <w:rFonts w:ascii="仿宋" w:hAnsi="仿宋" w:eastAsia="仿宋" w:cs="仿宋"/>
                <w:color w:val="000000" w:themeColor="text1"/>
                <w:sz w:val="24"/>
              </w:rPr>
              <w:t>2</w:t>
            </w:r>
            <w:r>
              <w:rPr>
                <w:rFonts w:hint="eastAsia" w:ascii="仿宋" w:hAnsi="仿宋" w:eastAsia="仿宋" w:cs="仿宋"/>
                <w:color w:val="000000" w:themeColor="text1"/>
                <w:sz w:val="24"/>
              </w:rPr>
              <w:t>分</w:t>
            </w:r>
          </w:p>
          <w:p>
            <w:pPr>
              <w:ind w:left="-78"/>
              <w:rPr>
                <w:rFonts w:ascii="仿宋" w:hAnsi="仿宋" w:eastAsia="仿宋" w:cs="仿宋"/>
                <w:color w:val="000000" w:themeColor="text1"/>
                <w:sz w:val="24"/>
              </w:rPr>
            </w:pPr>
            <w:r>
              <w:rPr>
                <w:rFonts w:hint="eastAsia" w:ascii="仿宋" w:hAnsi="仿宋" w:eastAsia="仿宋" w:cs="仿宋"/>
                <w:color w:val="000000" w:themeColor="text1"/>
                <w:sz w:val="24"/>
              </w:rPr>
              <w:t>3.所投电脑制造商具备国家级工业设计中心名单，</w:t>
            </w:r>
            <w:r>
              <w:rPr>
                <w:rFonts w:hint="eastAsia" w:ascii="仿宋" w:hAnsi="仿宋" w:eastAsia="仿宋" w:cs="仿宋"/>
                <w:b/>
                <w:bCs/>
                <w:color w:val="000000" w:themeColor="text1"/>
                <w:sz w:val="24"/>
              </w:rPr>
              <w:t>提供证明文件并加盖厂商公章或投标专用章</w:t>
            </w:r>
            <w:r>
              <w:rPr>
                <w:rFonts w:hint="eastAsia" w:ascii="仿宋" w:hAnsi="仿宋" w:eastAsia="仿宋" w:cs="仿宋"/>
                <w:color w:val="000000" w:themeColor="text1"/>
                <w:sz w:val="24"/>
              </w:rPr>
              <w:t>，得</w:t>
            </w:r>
            <w:r>
              <w:rPr>
                <w:rFonts w:ascii="仿宋" w:hAnsi="仿宋" w:eastAsia="仿宋" w:cs="仿宋"/>
                <w:color w:val="000000" w:themeColor="text1"/>
                <w:sz w:val="24"/>
              </w:rPr>
              <w:t>2</w:t>
            </w:r>
            <w:r>
              <w:rPr>
                <w:rFonts w:hint="eastAsia" w:ascii="仿宋" w:hAnsi="仿宋" w:eastAsia="仿宋" w:cs="仿宋"/>
                <w:color w:val="000000" w:themeColor="text1"/>
                <w:sz w:val="24"/>
              </w:rPr>
              <w:t>分</w:t>
            </w:r>
            <w:bookmarkEnd w:id="25"/>
          </w:p>
        </w:tc>
        <w:tc>
          <w:tcPr>
            <w:tcW w:w="405"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339" w:type="pct"/>
            <w:vMerge w:val="continue"/>
            <w:tcBorders>
              <w:left w:val="single" w:color="auto" w:sz="4" w:space="0"/>
              <w:bottom w:val="single" w:color="auto" w:sz="4" w:space="0"/>
              <w:right w:val="single" w:color="auto" w:sz="4" w:space="0"/>
            </w:tcBorders>
            <w:vAlign w:val="center"/>
          </w:tcPr>
          <w:p>
            <w:pPr>
              <w:ind w:left="-67" w:leftChars="-32" w:right="-59" w:rightChars="-28"/>
              <w:jc w:val="center"/>
              <w:rPr>
                <w:rFonts w:ascii="仿宋" w:hAnsi="仿宋" w:eastAsia="仿宋" w:cs="仿宋"/>
                <w:color w:val="000000" w:themeColor="text1"/>
                <w:sz w:val="24"/>
              </w:rPr>
            </w:pPr>
          </w:p>
        </w:tc>
        <w:tc>
          <w:tcPr>
            <w:tcW w:w="762" w:type="pct"/>
            <w:vMerge w:val="continue"/>
            <w:tcBorders>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p>
        </w:tc>
        <w:tc>
          <w:tcPr>
            <w:tcW w:w="3493" w:type="pct"/>
            <w:tcBorders>
              <w:top w:val="single" w:color="auto" w:sz="4" w:space="0"/>
              <w:left w:val="single" w:color="auto" w:sz="4" w:space="0"/>
              <w:bottom w:val="single" w:color="auto" w:sz="4" w:space="0"/>
              <w:right w:val="single" w:color="auto" w:sz="4" w:space="0"/>
            </w:tcBorders>
            <w:vAlign w:val="center"/>
          </w:tcPr>
          <w:p>
            <w:pPr>
              <w:ind w:left="-78"/>
              <w:rPr>
                <w:rFonts w:ascii="仿宋" w:hAnsi="仿宋" w:eastAsia="仿宋" w:cs="仿宋"/>
                <w:color w:val="000000" w:themeColor="text1"/>
                <w:sz w:val="24"/>
              </w:rPr>
            </w:pPr>
            <w:r>
              <w:rPr>
                <w:rFonts w:hint="eastAsia" w:ascii="仿宋" w:hAnsi="仿宋" w:eastAsia="仿宋" w:cs="仿宋"/>
                <w:color w:val="000000" w:themeColor="text1"/>
                <w:sz w:val="24"/>
              </w:rPr>
              <w:t>投标人选用的L</w:t>
            </w:r>
            <w:r>
              <w:rPr>
                <w:rFonts w:ascii="仿宋" w:hAnsi="仿宋" w:eastAsia="仿宋" w:cs="仿宋"/>
                <w:color w:val="000000" w:themeColor="text1"/>
                <w:sz w:val="24"/>
              </w:rPr>
              <w:t>ED</w:t>
            </w:r>
            <w:r>
              <w:rPr>
                <w:rFonts w:hint="eastAsia" w:ascii="仿宋" w:hAnsi="仿宋" w:eastAsia="仿宋" w:cs="仿宋"/>
                <w:color w:val="000000" w:themeColor="text1"/>
                <w:sz w:val="24"/>
              </w:rPr>
              <w:t>显示屏进行评分：</w:t>
            </w:r>
          </w:p>
          <w:p>
            <w:pPr>
              <w:numPr>
                <w:ilvl w:val="0"/>
                <w:numId w:val="16"/>
              </w:numPr>
              <w:rPr>
                <w:rFonts w:ascii="仿宋" w:hAnsi="仿宋" w:eastAsia="仿宋" w:cs="仿宋"/>
                <w:color w:val="000000" w:themeColor="text1"/>
                <w:sz w:val="24"/>
              </w:rPr>
            </w:pPr>
            <w:r>
              <w:rPr>
                <w:rFonts w:hint="eastAsia" w:ascii="仿宋" w:hAnsi="仿宋" w:eastAsia="仿宋" w:cs="仿宋"/>
                <w:color w:val="000000" w:themeColor="text1"/>
                <w:sz w:val="24"/>
              </w:rPr>
              <w:t>具有先进的除亮、暗线功能，从软、硬两方面彻底改善困扰LED安装精度造成的亮、暗线问题，具有国家版权局颁发的“边缘亮暗线调节软件”的计算机软件著作权登记证书，</w:t>
            </w:r>
            <w:r>
              <w:rPr>
                <w:rFonts w:hint="eastAsia" w:ascii="仿宋" w:hAnsi="仿宋" w:eastAsia="仿宋" w:cs="仿宋"/>
                <w:b/>
                <w:bCs/>
                <w:color w:val="000000" w:themeColor="text1"/>
                <w:sz w:val="24"/>
              </w:rPr>
              <w:t>提供证书复印件并加盖厂商公章或投标人电子章</w:t>
            </w:r>
            <w:r>
              <w:rPr>
                <w:rFonts w:hint="eastAsia" w:ascii="仿宋" w:hAnsi="仿宋" w:eastAsia="仿宋" w:cs="仿宋"/>
                <w:color w:val="000000" w:themeColor="text1"/>
                <w:sz w:val="24"/>
              </w:rPr>
              <w:t>，得2分。</w:t>
            </w:r>
          </w:p>
          <w:p>
            <w:pPr>
              <w:numPr>
                <w:ilvl w:val="0"/>
                <w:numId w:val="16"/>
              </w:numPr>
              <w:rPr>
                <w:rFonts w:ascii="仿宋" w:hAnsi="仿宋" w:eastAsia="仿宋" w:cs="仿宋"/>
                <w:color w:val="000000" w:themeColor="text1"/>
                <w:sz w:val="24"/>
              </w:rPr>
            </w:pPr>
            <w:r>
              <w:rPr>
                <w:rFonts w:hint="eastAsia" w:ascii="仿宋" w:hAnsi="仿宋" w:eastAsia="仿宋" w:cs="仿宋"/>
                <w:color w:val="000000" w:themeColor="text1"/>
                <w:sz w:val="24"/>
              </w:rPr>
              <w:t>所投LED电子屏的生产商列入节能低碳技术产品及示范案例推荐目录并获得工业和信息部颁发的“国家技术创新示范企业”，</w:t>
            </w:r>
            <w:r>
              <w:rPr>
                <w:rFonts w:hint="eastAsia" w:ascii="仿宋" w:hAnsi="仿宋" w:eastAsia="仿宋" w:cs="仿宋"/>
                <w:b/>
                <w:bCs/>
                <w:color w:val="000000" w:themeColor="text1"/>
                <w:sz w:val="24"/>
              </w:rPr>
              <w:t>提供证明文件并加盖厂商公章或投标人电子章</w:t>
            </w:r>
            <w:r>
              <w:rPr>
                <w:rFonts w:hint="eastAsia" w:ascii="仿宋" w:hAnsi="仿宋" w:eastAsia="仿宋" w:cs="仿宋"/>
                <w:color w:val="000000" w:themeColor="text1"/>
                <w:sz w:val="24"/>
              </w:rPr>
              <w:t>，得</w:t>
            </w:r>
            <w:r>
              <w:rPr>
                <w:rFonts w:ascii="仿宋" w:hAnsi="仿宋" w:eastAsia="仿宋" w:cs="仿宋"/>
                <w:color w:val="000000" w:themeColor="text1"/>
                <w:sz w:val="24"/>
              </w:rPr>
              <w:t>1</w:t>
            </w:r>
            <w:r>
              <w:rPr>
                <w:rFonts w:hint="eastAsia" w:ascii="仿宋" w:hAnsi="仿宋" w:eastAsia="仿宋" w:cs="仿宋"/>
                <w:color w:val="000000" w:themeColor="text1"/>
                <w:sz w:val="24"/>
              </w:rPr>
              <w:t>分。</w:t>
            </w:r>
          </w:p>
        </w:tc>
        <w:tc>
          <w:tcPr>
            <w:tcW w:w="405"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ascii="仿宋" w:hAnsi="仿宋" w:eastAsia="仿宋" w:cs="仿宋"/>
                <w:color w:val="000000" w:themeColor="text1"/>
                <w:sz w:val="24"/>
              </w:rPr>
              <w:t>3</w:t>
            </w:r>
            <w:r>
              <w:rPr>
                <w:rFonts w:hint="eastAsia" w:ascii="仿宋" w:hAnsi="仿宋" w:eastAsia="仿宋" w:cs="仿宋"/>
                <w:color w:val="000000" w:themeColor="text1"/>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9" w:hRule="atLeast"/>
        </w:trPr>
        <w:tc>
          <w:tcPr>
            <w:tcW w:w="339" w:type="pct"/>
            <w:tcBorders>
              <w:left w:val="single" w:color="auto" w:sz="4" w:space="0"/>
              <w:bottom w:val="single" w:color="auto" w:sz="4" w:space="0"/>
              <w:right w:val="single" w:color="auto" w:sz="4" w:space="0"/>
            </w:tcBorders>
            <w:vAlign w:val="center"/>
          </w:tcPr>
          <w:p>
            <w:pPr>
              <w:ind w:left="-67" w:leftChars="-32" w:right="-59" w:rightChars="-28"/>
              <w:jc w:val="center"/>
              <w:rPr>
                <w:rFonts w:ascii="仿宋" w:hAnsi="仿宋" w:eastAsia="仿宋" w:cs="仿宋"/>
                <w:color w:val="000000" w:themeColor="text1"/>
                <w:sz w:val="24"/>
              </w:rPr>
            </w:pPr>
            <w:r>
              <w:rPr>
                <w:rFonts w:hint="eastAsia" w:ascii="仿宋" w:hAnsi="仿宋" w:eastAsia="仿宋" w:cs="仿宋"/>
                <w:color w:val="000000" w:themeColor="text1"/>
                <w:sz w:val="24"/>
              </w:rPr>
              <w:t>3</w:t>
            </w:r>
          </w:p>
        </w:tc>
        <w:tc>
          <w:tcPr>
            <w:tcW w:w="762" w:type="pct"/>
            <w:tcBorders>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智能交互平板演示</w:t>
            </w:r>
          </w:p>
        </w:tc>
        <w:tc>
          <w:tcPr>
            <w:tcW w:w="3493" w:type="pct"/>
            <w:vAlign w:val="center"/>
          </w:tcPr>
          <w:p>
            <w:pPr>
              <w:pStyle w:val="62"/>
              <w:widowControl/>
              <w:ind w:firstLine="0" w:firstLineChars="0"/>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1.具备智能手势识别功能，在任意信号源通道下可识别五指上、下、左、右方向手势滑动并调用响应功能，支持将各手势滑动方向自定义设置为无操作、熄屏、批注、桌面、半屏模式。（0-</w:t>
            </w:r>
            <w:r>
              <w:rPr>
                <w:rFonts w:hint="eastAsia" w:ascii="仿宋" w:hAnsi="仿宋" w:eastAsia="仿宋" w:cs="仿宋"/>
                <w:color w:val="000000" w:themeColor="text1"/>
                <w:sz w:val="24"/>
                <w:szCs w:val="24"/>
                <w:lang w:val="en-US" w:eastAsia="zh-CN"/>
              </w:rPr>
              <w:t>1</w:t>
            </w:r>
            <w:r>
              <w:rPr>
                <w:rFonts w:hint="eastAsia" w:ascii="仿宋" w:hAnsi="仿宋" w:eastAsia="仿宋" w:cs="仿宋"/>
                <w:color w:val="000000" w:themeColor="text1"/>
                <w:sz w:val="24"/>
                <w:szCs w:val="24"/>
              </w:rPr>
              <w:t xml:space="preserve">分） </w:t>
            </w:r>
          </w:p>
          <w:p>
            <w:pPr>
              <w:pStyle w:val="62"/>
              <w:widowControl/>
              <w:ind w:firstLine="0" w:firstLineChars="0"/>
              <w:jc w:val="left"/>
              <w:rPr>
                <w:rFonts w:ascii="仿宋" w:hAnsi="仿宋" w:eastAsia="仿宋" w:cs="仿宋"/>
                <w:color w:val="000000" w:themeColor="text1"/>
                <w:sz w:val="24"/>
                <w:szCs w:val="24"/>
              </w:rPr>
            </w:pPr>
            <w:r>
              <w:rPr>
                <w:rFonts w:ascii="仿宋" w:hAnsi="仿宋" w:eastAsia="仿宋" w:cs="仿宋"/>
                <w:color w:val="000000" w:themeColor="text1"/>
                <w:sz w:val="24"/>
                <w:szCs w:val="24"/>
              </w:rPr>
              <w:t xml:space="preserve">2. </w:t>
            </w:r>
            <w:r>
              <w:rPr>
                <w:rFonts w:hint="eastAsia" w:ascii="仿宋" w:hAnsi="仿宋" w:eastAsia="仿宋" w:cs="仿宋"/>
                <w:color w:val="000000" w:themeColor="text1"/>
                <w:sz w:val="24"/>
                <w:szCs w:val="24"/>
              </w:rPr>
              <w:t>学科工具：数学立体图形六面图不同颜色并可手动立体旋转及展开；化学方程式只需输入一个元素，将自动显示出和该元素相关的多个常用化学反应方程式供选用；语文支持诗词导入并配有电子朗读及注释；英语听写工具：支持自定义选择单词。自定义听写频率和次数，一键生成听写卡，一键开启听写朗读。（0-</w:t>
            </w:r>
            <w:r>
              <w:rPr>
                <w:rFonts w:ascii="仿宋" w:hAnsi="仿宋" w:eastAsia="仿宋" w:cs="仿宋"/>
                <w:color w:val="000000" w:themeColor="text1"/>
                <w:sz w:val="24"/>
                <w:szCs w:val="24"/>
              </w:rPr>
              <w:t>1</w:t>
            </w:r>
            <w:r>
              <w:rPr>
                <w:rFonts w:hint="eastAsia" w:ascii="仿宋" w:hAnsi="仿宋" w:eastAsia="仿宋" w:cs="仿宋"/>
                <w:color w:val="000000" w:themeColor="text1"/>
                <w:sz w:val="24"/>
                <w:szCs w:val="24"/>
              </w:rPr>
              <w:t>分）</w:t>
            </w:r>
          </w:p>
          <w:p>
            <w:pPr>
              <w:pStyle w:val="62"/>
              <w:widowControl/>
              <w:ind w:firstLine="0" w:firstLineChars="0"/>
              <w:jc w:val="left"/>
              <w:rPr>
                <w:rFonts w:ascii="仿宋" w:hAnsi="仿宋" w:eastAsia="仿宋" w:cs="仿宋"/>
                <w:color w:val="000000" w:themeColor="text1"/>
                <w:sz w:val="24"/>
                <w:szCs w:val="24"/>
              </w:rPr>
            </w:pPr>
            <w:r>
              <w:rPr>
                <w:rFonts w:ascii="仿宋" w:hAnsi="仿宋" w:eastAsia="仿宋" w:cs="仿宋"/>
                <w:color w:val="000000" w:themeColor="text1"/>
                <w:sz w:val="24"/>
                <w:szCs w:val="24"/>
              </w:rPr>
              <w:t xml:space="preserve">3. </w:t>
            </w:r>
            <w:r>
              <w:rPr>
                <w:rFonts w:hint="eastAsia" w:ascii="仿宋" w:hAnsi="仿宋" w:eastAsia="仿宋" w:cs="仿宋"/>
                <w:color w:val="000000" w:themeColor="text1"/>
                <w:sz w:val="24"/>
                <w:szCs w:val="24"/>
              </w:rPr>
              <w:t>学情分析：演示老师录制微课时设置答题板功能，学生在看微课时可即时答题；支持导出学情分析表，包括课程信息、学生基本信息、观看微课时间、答题数及正确率等。（0-</w:t>
            </w:r>
            <w:r>
              <w:rPr>
                <w:rFonts w:ascii="仿宋" w:hAnsi="仿宋" w:eastAsia="仿宋" w:cs="仿宋"/>
                <w:color w:val="000000" w:themeColor="text1"/>
                <w:sz w:val="24"/>
                <w:szCs w:val="24"/>
              </w:rPr>
              <w:t>1</w:t>
            </w:r>
            <w:r>
              <w:rPr>
                <w:rFonts w:hint="eastAsia" w:ascii="仿宋" w:hAnsi="仿宋" w:eastAsia="仿宋" w:cs="仿宋"/>
                <w:color w:val="000000" w:themeColor="text1"/>
                <w:sz w:val="24"/>
                <w:szCs w:val="24"/>
              </w:rPr>
              <w:t>）</w:t>
            </w:r>
          </w:p>
          <w:p>
            <w:pPr>
              <w:pStyle w:val="62"/>
              <w:widowControl/>
              <w:ind w:firstLine="0" w:firstLineChars="0"/>
              <w:jc w:val="left"/>
              <w:rPr>
                <w:rFonts w:ascii="仿宋" w:hAnsi="仿宋" w:eastAsia="仿宋" w:cs="仿宋"/>
                <w:color w:val="000000" w:themeColor="text1"/>
                <w:sz w:val="24"/>
                <w:szCs w:val="24"/>
              </w:rPr>
            </w:pPr>
            <w:r>
              <w:rPr>
                <w:rFonts w:ascii="仿宋" w:hAnsi="仿宋" w:eastAsia="仿宋" w:cs="仿宋"/>
                <w:color w:val="000000" w:themeColor="text1"/>
                <w:sz w:val="24"/>
                <w:szCs w:val="24"/>
              </w:rPr>
              <w:t xml:space="preserve">4. </w:t>
            </w:r>
            <w:r>
              <w:rPr>
                <w:rFonts w:hint="eastAsia" w:ascii="仿宋" w:hAnsi="仿宋" w:eastAsia="仿宋" w:cs="仿宋"/>
                <w:color w:val="000000" w:themeColor="text1"/>
                <w:sz w:val="24"/>
                <w:szCs w:val="24"/>
              </w:rPr>
              <w:t>支持对设备进行锁屏，具备一键下课锁定功能，教师点击下课按钮一键锁定设备，保证教学信息设备的使用秩序，提供无网解锁、有网解锁、密码解锁等多种认证解锁机制，适用于各类教学环境。有网情况下，可通过扫码验证身份解锁；无网情况下可通过扫码认证身份，获取临时解锁密码解锁；任何情况下均可支持6位数字密码解锁。（0-</w:t>
            </w:r>
            <w:r>
              <w:rPr>
                <w:rFonts w:ascii="仿宋" w:hAnsi="仿宋" w:eastAsia="仿宋" w:cs="仿宋"/>
                <w:color w:val="000000" w:themeColor="text1"/>
                <w:sz w:val="24"/>
                <w:szCs w:val="24"/>
              </w:rPr>
              <w:t>1</w:t>
            </w:r>
            <w:r>
              <w:rPr>
                <w:rFonts w:hint="eastAsia" w:ascii="仿宋" w:hAnsi="仿宋" w:eastAsia="仿宋" w:cs="仿宋"/>
                <w:color w:val="000000" w:themeColor="text1"/>
                <w:sz w:val="24"/>
                <w:szCs w:val="24"/>
              </w:rPr>
              <w:t>分）</w:t>
            </w:r>
          </w:p>
          <w:p>
            <w:pPr>
              <w:pStyle w:val="62"/>
              <w:widowControl/>
              <w:ind w:firstLine="0" w:firstLineChars="0"/>
              <w:jc w:val="left"/>
              <w:rPr>
                <w:rFonts w:ascii="仿宋" w:hAnsi="仿宋" w:eastAsia="仿宋" w:cs="仿宋"/>
                <w:color w:val="000000" w:themeColor="text1"/>
                <w:sz w:val="24"/>
                <w:szCs w:val="24"/>
              </w:rPr>
            </w:pPr>
            <w:r>
              <w:rPr>
                <w:rFonts w:ascii="仿宋" w:hAnsi="仿宋" w:eastAsia="仿宋" w:cs="仿宋"/>
                <w:color w:val="000000" w:themeColor="text1"/>
                <w:sz w:val="24"/>
                <w:szCs w:val="24"/>
              </w:rPr>
              <w:t xml:space="preserve">5. </w:t>
            </w:r>
            <w:r>
              <w:rPr>
                <w:rFonts w:hint="eastAsia" w:ascii="仿宋" w:hAnsi="仿宋" w:eastAsia="仿宋" w:cs="仿宋"/>
                <w:color w:val="000000" w:themeColor="text1"/>
                <w:sz w:val="24"/>
                <w:szCs w:val="24"/>
              </w:rPr>
              <w:t xml:space="preserve">阅读与护眼模式：分别展示整机的护眼模式与阅读模式，当切换至阅读模式时可实现类似电子墨水屏效果，提升文字内容展示的阅读观看体验，保护师生视力。具备以上功能的得2分，缺一不得分； </w:t>
            </w:r>
          </w:p>
          <w:p>
            <w:pPr>
              <w:pStyle w:val="62"/>
              <w:widowControl/>
              <w:ind w:firstLine="0" w:firstLineChars="0"/>
              <w:jc w:val="left"/>
              <w:rPr>
                <w:rFonts w:ascii="仿宋" w:hAnsi="仿宋" w:eastAsia="仿宋" w:cs="仿宋"/>
                <w:color w:val="000000" w:themeColor="text1"/>
                <w:sz w:val="24"/>
                <w:szCs w:val="24"/>
              </w:rPr>
            </w:pPr>
            <w:r>
              <w:rPr>
                <w:rFonts w:ascii="仿宋" w:hAnsi="仿宋" w:eastAsia="仿宋" w:cs="仿宋"/>
                <w:color w:val="000000" w:themeColor="text1"/>
                <w:sz w:val="24"/>
                <w:szCs w:val="24"/>
              </w:rPr>
              <w:t xml:space="preserve">6.  </w:t>
            </w:r>
            <w:r>
              <w:rPr>
                <w:rFonts w:hint="eastAsia" w:ascii="仿宋" w:hAnsi="仿宋" w:eastAsia="仿宋" w:cs="仿宋"/>
                <w:color w:val="000000" w:themeColor="text1"/>
                <w:sz w:val="24"/>
                <w:szCs w:val="24"/>
              </w:rPr>
              <w:t>AI智能纠错：演示白板软件自带的AI智能语义分析模块，可对输入的英文文本的拼写、句型、语法进行错误检查，并支持一键纠错。满足得2分，否则不得分；</w:t>
            </w:r>
          </w:p>
          <w:p>
            <w:pPr>
              <w:pStyle w:val="62"/>
              <w:widowControl/>
              <w:ind w:firstLine="0" w:firstLineChars="0"/>
              <w:jc w:val="left"/>
              <w:rPr>
                <w:rFonts w:ascii="仿宋" w:hAnsi="仿宋" w:eastAsia="仿宋" w:cs="仿宋"/>
                <w:color w:val="000000" w:themeColor="text1"/>
                <w:sz w:val="24"/>
                <w:szCs w:val="24"/>
              </w:rPr>
            </w:pPr>
            <w:r>
              <w:rPr>
                <w:rFonts w:ascii="仿宋" w:hAnsi="仿宋" w:eastAsia="仿宋" w:cs="仿宋"/>
                <w:color w:val="000000" w:themeColor="text1"/>
                <w:sz w:val="24"/>
                <w:szCs w:val="24"/>
              </w:rPr>
              <w:t xml:space="preserve">7. </w:t>
            </w:r>
            <w:r>
              <w:rPr>
                <w:rFonts w:hint="eastAsia" w:ascii="仿宋" w:hAnsi="仿宋" w:eastAsia="仿宋" w:cs="仿宋"/>
                <w:color w:val="000000" w:themeColor="text1"/>
                <w:sz w:val="24"/>
                <w:szCs w:val="24"/>
              </w:rPr>
              <w:t>演示便捷微课录制：演示通过前置物理按键一键启动录屏功能，可将屏幕中显示的课件、音频内容与人声同时录制，并在录制1分钟后，快速对录制内容播放（不接受通过软件实现）（0-</w:t>
            </w:r>
            <w:r>
              <w:rPr>
                <w:rFonts w:ascii="仿宋" w:hAnsi="仿宋" w:eastAsia="仿宋" w:cs="仿宋"/>
                <w:color w:val="000000" w:themeColor="text1"/>
                <w:sz w:val="24"/>
                <w:szCs w:val="24"/>
              </w:rPr>
              <w:t>1</w:t>
            </w:r>
            <w:r>
              <w:rPr>
                <w:rFonts w:hint="eastAsia" w:ascii="仿宋" w:hAnsi="仿宋" w:eastAsia="仿宋" w:cs="仿宋"/>
                <w:color w:val="000000" w:themeColor="text1"/>
                <w:sz w:val="24"/>
                <w:szCs w:val="24"/>
              </w:rPr>
              <w:t>分）</w:t>
            </w:r>
          </w:p>
          <w:p>
            <w:pPr>
              <w:rPr>
                <w:rFonts w:ascii="仿宋" w:hAnsi="仿宋" w:eastAsia="仿宋" w:cs="仿宋"/>
                <w:color w:val="000000" w:themeColor="text1"/>
                <w:sz w:val="24"/>
              </w:rPr>
            </w:pPr>
            <w:r>
              <w:rPr>
                <w:rFonts w:ascii="仿宋" w:hAnsi="仿宋" w:eastAsia="仿宋" w:cs="仿宋"/>
                <w:color w:val="000000" w:themeColor="text1"/>
                <w:sz w:val="24"/>
              </w:rPr>
              <w:t xml:space="preserve">8. </w:t>
            </w:r>
            <w:r>
              <w:rPr>
                <w:rFonts w:hint="eastAsia" w:ascii="仿宋" w:hAnsi="仿宋" w:eastAsia="仿宋" w:cs="仿宋"/>
                <w:color w:val="000000" w:themeColor="text1"/>
                <w:sz w:val="24"/>
              </w:rPr>
              <w:t>外部设备拓展：支持前置Type-C接口，通过Type-C接口实现音视频输入，外接电脑设备通过标准Type-C线连接至整机Type-C口，即可把外接电脑设备画面投到整机上，同时在整机上操作画面，可实现触摸电脑的操作，无需再连接触控USB线。（0-</w:t>
            </w:r>
            <w:r>
              <w:rPr>
                <w:rFonts w:ascii="仿宋" w:hAnsi="仿宋" w:eastAsia="仿宋" w:cs="仿宋"/>
                <w:color w:val="000000" w:themeColor="text1"/>
                <w:sz w:val="24"/>
              </w:rPr>
              <w:t>1</w:t>
            </w:r>
            <w:r>
              <w:rPr>
                <w:rFonts w:hint="eastAsia" w:ascii="仿宋" w:hAnsi="仿宋" w:eastAsia="仿宋" w:cs="仿宋"/>
                <w:color w:val="000000" w:themeColor="text1"/>
                <w:sz w:val="24"/>
              </w:rPr>
              <w:t>分）</w:t>
            </w:r>
          </w:p>
          <w:p>
            <w:pPr>
              <w:ind w:left="-78" w:firstLine="76" w:firstLineChars="32"/>
              <w:rPr>
                <w:rFonts w:ascii="仿宋" w:hAnsi="仿宋" w:eastAsia="仿宋" w:cs="仿宋"/>
                <w:color w:val="000000" w:themeColor="text1"/>
                <w:sz w:val="24"/>
              </w:rPr>
            </w:pPr>
          </w:p>
        </w:tc>
        <w:tc>
          <w:tcPr>
            <w:tcW w:w="405"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ascii="仿宋" w:hAnsi="仿宋" w:eastAsia="仿宋" w:cs="仿宋"/>
                <w:color w:val="000000" w:themeColor="text1"/>
                <w:sz w:val="24"/>
              </w:rPr>
              <w:t>10</w:t>
            </w:r>
            <w:r>
              <w:rPr>
                <w:rFonts w:hint="eastAsia" w:ascii="仿宋" w:hAnsi="仿宋" w:eastAsia="仿宋" w:cs="仿宋"/>
                <w:color w:val="000000" w:themeColor="text1"/>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39" w:type="pct"/>
            <w:tcBorders>
              <w:top w:val="single" w:color="auto" w:sz="4" w:space="0"/>
              <w:left w:val="single" w:color="auto" w:sz="4" w:space="0"/>
              <w:bottom w:val="single" w:color="auto" w:sz="4" w:space="0"/>
              <w:right w:val="single" w:color="auto" w:sz="4" w:space="0"/>
            </w:tcBorders>
            <w:vAlign w:val="center"/>
          </w:tcPr>
          <w:p>
            <w:pPr>
              <w:ind w:left="-67" w:leftChars="-32" w:right="-59" w:rightChars="-28"/>
              <w:jc w:val="center"/>
              <w:rPr>
                <w:rFonts w:ascii="仿宋" w:hAnsi="仿宋" w:eastAsia="仿宋" w:cs="仿宋"/>
                <w:color w:val="000000" w:themeColor="text1"/>
                <w:sz w:val="24"/>
              </w:rPr>
            </w:pPr>
            <w:r>
              <w:rPr>
                <w:rFonts w:ascii="仿宋" w:hAnsi="仿宋" w:eastAsia="仿宋" w:cs="仿宋"/>
                <w:color w:val="000000" w:themeColor="text1"/>
                <w:sz w:val="24"/>
              </w:rPr>
              <w:t>4</w:t>
            </w:r>
          </w:p>
        </w:tc>
        <w:tc>
          <w:tcPr>
            <w:tcW w:w="762"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投标公司实力及成功案例</w:t>
            </w:r>
          </w:p>
        </w:tc>
        <w:tc>
          <w:tcPr>
            <w:tcW w:w="3493" w:type="pct"/>
            <w:tcBorders>
              <w:top w:val="single" w:color="auto" w:sz="4" w:space="0"/>
              <w:left w:val="single" w:color="auto" w:sz="4" w:space="0"/>
              <w:bottom w:val="single" w:color="auto" w:sz="4" w:space="0"/>
              <w:right w:val="single" w:color="auto" w:sz="4" w:space="0"/>
            </w:tcBorders>
          </w:tcPr>
          <w:p>
            <w:pPr>
              <w:ind w:left="-78"/>
              <w:rPr>
                <w:rFonts w:ascii="仿宋" w:hAnsi="仿宋" w:eastAsia="仿宋" w:cs="仿宋"/>
                <w:color w:val="000000" w:themeColor="text1"/>
                <w:sz w:val="24"/>
              </w:rPr>
            </w:pPr>
            <w:r>
              <w:rPr>
                <w:rFonts w:hint="eastAsia" w:ascii="仿宋" w:hAnsi="仿宋" w:eastAsia="仿宋" w:cs="仿宋"/>
                <w:color w:val="000000" w:themeColor="text1"/>
                <w:sz w:val="24"/>
              </w:rPr>
              <w:t>投标供应商提供201</w:t>
            </w:r>
            <w:r>
              <w:rPr>
                <w:rFonts w:ascii="仿宋" w:hAnsi="仿宋" w:eastAsia="仿宋" w:cs="仿宋"/>
                <w:color w:val="000000" w:themeColor="text1"/>
                <w:sz w:val="24"/>
              </w:rPr>
              <w:t>9</w:t>
            </w:r>
            <w:r>
              <w:rPr>
                <w:rFonts w:hint="eastAsia" w:ascii="仿宋" w:hAnsi="仿宋" w:eastAsia="仿宋" w:cs="仿宋"/>
                <w:color w:val="000000" w:themeColor="text1"/>
                <w:sz w:val="24"/>
              </w:rPr>
              <w:t>年1月1日（以合同签订时间为准）至今的类似合同业绩，每个得1分，最高得3分。（要求提供完整合同扫描件加盖电子章，否则不得分）</w:t>
            </w:r>
          </w:p>
        </w:tc>
        <w:tc>
          <w:tcPr>
            <w:tcW w:w="405"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39" w:type="pct"/>
            <w:tcBorders>
              <w:top w:val="single" w:color="auto" w:sz="4" w:space="0"/>
              <w:left w:val="single" w:color="auto" w:sz="4" w:space="0"/>
              <w:bottom w:val="single" w:color="auto" w:sz="4" w:space="0"/>
              <w:right w:val="single" w:color="auto" w:sz="4" w:space="0"/>
            </w:tcBorders>
            <w:vAlign w:val="center"/>
          </w:tcPr>
          <w:p>
            <w:pPr>
              <w:ind w:left="-67" w:leftChars="-32" w:right="-59" w:rightChars="-28"/>
              <w:jc w:val="center"/>
              <w:rPr>
                <w:rFonts w:ascii="仿宋" w:hAnsi="仿宋" w:eastAsia="仿宋" w:cs="仿宋"/>
                <w:color w:val="000000" w:themeColor="text1"/>
                <w:sz w:val="24"/>
              </w:rPr>
            </w:pPr>
            <w:r>
              <w:rPr>
                <w:rFonts w:ascii="仿宋" w:hAnsi="仿宋" w:eastAsia="仿宋" w:cs="仿宋"/>
                <w:color w:val="000000" w:themeColor="text1"/>
                <w:sz w:val="24"/>
              </w:rPr>
              <w:t>5</w:t>
            </w:r>
          </w:p>
        </w:tc>
        <w:tc>
          <w:tcPr>
            <w:tcW w:w="762"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技术方案</w:t>
            </w:r>
          </w:p>
        </w:tc>
        <w:tc>
          <w:tcPr>
            <w:tcW w:w="3493" w:type="pct"/>
            <w:tcBorders>
              <w:top w:val="single" w:color="auto" w:sz="4" w:space="0"/>
              <w:left w:val="single" w:color="auto" w:sz="4" w:space="0"/>
              <w:bottom w:val="single" w:color="auto" w:sz="4" w:space="0"/>
              <w:right w:val="single" w:color="auto" w:sz="4" w:space="0"/>
            </w:tcBorders>
          </w:tcPr>
          <w:p>
            <w:pPr>
              <w:rPr>
                <w:rFonts w:ascii="仿宋" w:hAnsi="仿宋" w:eastAsia="仿宋" w:cs="仿宋"/>
                <w:b/>
                <w:color w:val="000000" w:themeColor="text1"/>
                <w:sz w:val="24"/>
              </w:rPr>
            </w:pPr>
            <w:r>
              <w:rPr>
                <w:rFonts w:hint="eastAsia" w:ascii="仿宋" w:hAnsi="仿宋" w:eastAsia="仿宋" w:cs="仿宋"/>
                <w:color w:val="000000" w:themeColor="text1"/>
                <w:sz w:val="24"/>
              </w:rPr>
              <w:t>根据投标人对本项目需求的理解，项目整体规划以及技术方案（包括安装调试、系统集成、验收方案等）的完整性、合理性、先进性；项目组织实施方案（包括项目工期、确保项目供货的措施或方案、项目实施进度安排、项目实施人员资质、培训方案等）的科学性、合理性等进行评分。</w:t>
            </w:r>
          </w:p>
        </w:tc>
        <w:tc>
          <w:tcPr>
            <w:tcW w:w="405"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339" w:type="pct"/>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color w:val="000000" w:themeColor="text1"/>
                <w:sz w:val="24"/>
              </w:rPr>
            </w:pPr>
            <w:r>
              <w:rPr>
                <w:rFonts w:ascii="仿宋" w:hAnsi="仿宋" w:eastAsia="仿宋" w:cs="仿宋"/>
                <w:color w:val="000000" w:themeColor="text1"/>
                <w:sz w:val="24"/>
              </w:rPr>
              <w:t>6</w:t>
            </w:r>
          </w:p>
        </w:tc>
        <w:tc>
          <w:tcPr>
            <w:tcW w:w="762" w:type="pct"/>
            <w:vMerge w:val="restart"/>
            <w:tcBorders>
              <w:top w:val="single" w:color="auto" w:sz="4" w:space="0"/>
              <w:left w:val="single" w:color="auto" w:sz="4" w:space="0"/>
              <w:right w:val="single" w:color="auto" w:sz="4" w:space="0"/>
            </w:tcBorders>
            <w:vAlign w:val="center"/>
          </w:tcPr>
          <w:p>
            <w:pPr>
              <w:rPr>
                <w:rFonts w:ascii="仿宋" w:hAnsi="仿宋" w:eastAsia="仿宋" w:cs="仿宋"/>
                <w:color w:val="000000" w:themeColor="text1"/>
                <w:sz w:val="24"/>
              </w:rPr>
            </w:pPr>
            <w:r>
              <w:rPr>
                <w:rFonts w:hint="eastAsia" w:ascii="仿宋" w:hAnsi="仿宋" w:eastAsia="仿宋" w:cs="仿宋"/>
                <w:color w:val="000000" w:themeColor="text1"/>
                <w:sz w:val="24"/>
              </w:rPr>
              <w:t>售后服务的措施及承诺、优惠内容、培训</w:t>
            </w:r>
          </w:p>
        </w:tc>
        <w:tc>
          <w:tcPr>
            <w:tcW w:w="3493" w:type="pc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000000" w:themeColor="text1"/>
                <w:sz w:val="24"/>
              </w:rPr>
            </w:pPr>
            <w:r>
              <w:rPr>
                <w:rFonts w:hint="eastAsia" w:ascii="仿宋" w:hAnsi="仿宋" w:eastAsia="仿宋" w:cs="仿宋"/>
                <w:color w:val="000000" w:themeColor="text1"/>
                <w:sz w:val="24"/>
              </w:rPr>
              <w:t>售后服务力量、服务方式、维护修复时间承诺，技术服务，安排合理性，可行性进行评分。</w:t>
            </w:r>
          </w:p>
        </w:tc>
        <w:tc>
          <w:tcPr>
            <w:tcW w:w="405"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339" w:type="pct"/>
            <w:vMerge w:val="continue"/>
            <w:tcBorders>
              <w:left w:val="single" w:color="auto" w:sz="4" w:space="0"/>
              <w:right w:val="single" w:color="auto" w:sz="4" w:space="0"/>
            </w:tcBorders>
            <w:vAlign w:val="center"/>
          </w:tcPr>
          <w:p>
            <w:pPr>
              <w:jc w:val="center"/>
              <w:rPr>
                <w:rFonts w:ascii="仿宋" w:hAnsi="仿宋" w:eastAsia="仿宋" w:cs="仿宋"/>
                <w:color w:val="000000" w:themeColor="text1"/>
                <w:sz w:val="24"/>
              </w:rPr>
            </w:pPr>
          </w:p>
        </w:tc>
        <w:tc>
          <w:tcPr>
            <w:tcW w:w="762" w:type="pct"/>
            <w:vMerge w:val="continue"/>
            <w:tcBorders>
              <w:left w:val="single" w:color="auto" w:sz="4" w:space="0"/>
              <w:right w:val="single" w:color="auto" w:sz="4" w:space="0"/>
            </w:tcBorders>
            <w:vAlign w:val="center"/>
          </w:tcPr>
          <w:p>
            <w:pPr>
              <w:rPr>
                <w:rFonts w:ascii="仿宋" w:hAnsi="仿宋" w:eastAsia="仿宋" w:cs="仿宋"/>
                <w:color w:val="000000" w:themeColor="text1"/>
                <w:sz w:val="24"/>
              </w:rPr>
            </w:pPr>
          </w:p>
        </w:tc>
        <w:tc>
          <w:tcPr>
            <w:tcW w:w="3493" w:type="pct"/>
            <w:tcBorders>
              <w:top w:val="single" w:color="auto" w:sz="4" w:space="0"/>
              <w:left w:val="single" w:color="auto" w:sz="4" w:space="0"/>
              <w:bottom w:val="single" w:color="auto" w:sz="4" w:space="0"/>
              <w:right w:val="single" w:color="auto" w:sz="4" w:space="0"/>
            </w:tcBorders>
          </w:tcPr>
          <w:p>
            <w:pPr>
              <w:rPr>
                <w:rFonts w:ascii="仿宋" w:hAnsi="仿宋" w:eastAsia="仿宋" w:cs="仿宋"/>
                <w:color w:val="000000" w:themeColor="text1"/>
                <w:sz w:val="24"/>
              </w:rPr>
            </w:pPr>
            <w:r>
              <w:rPr>
                <w:rFonts w:hint="eastAsia" w:ascii="仿宋" w:hAnsi="仿宋" w:eastAsia="仿宋" w:cs="仿宋"/>
                <w:color w:val="000000" w:themeColor="text1"/>
                <w:sz w:val="24"/>
              </w:rPr>
              <w:t>备品备件其它特色服务优惠条件承诺，一般优惠不得分，优惠条件明显进行评分。</w:t>
            </w:r>
          </w:p>
        </w:tc>
        <w:tc>
          <w:tcPr>
            <w:tcW w:w="405"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39" w:type="pct"/>
            <w:vMerge w:val="continue"/>
            <w:tcBorders>
              <w:left w:val="single" w:color="auto" w:sz="4" w:space="0"/>
              <w:right w:val="single" w:color="auto" w:sz="4" w:space="0"/>
            </w:tcBorders>
            <w:vAlign w:val="center"/>
          </w:tcPr>
          <w:p>
            <w:pPr>
              <w:jc w:val="center"/>
              <w:rPr>
                <w:rFonts w:ascii="仿宋" w:hAnsi="仿宋" w:eastAsia="仿宋" w:cs="仿宋"/>
                <w:color w:val="000000" w:themeColor="text1"/>
                <w:sz w:val="24"/>
              </w:rPr>
            </w:pPr>
          </w:p>
        </w:tc>
        <w:tc>
          <w:tcPr>
            <w:tcW w:w="762" w:type="pct"/>
            <w:vMerge w:val="continue"/>
            <w:tcBorders>
              <w:left w:val="single" w:color="auto" w:sz="4" w:space="0"/>
              <w:right w:val="single" w:color="auto" w:sz="4" w:space="0"/>
            </w:tcBorders>
            <w:vAlign w:val="center"/>
          </w:tcPr>
          <w:p>
            <w:pPr>
              <w:rPr>
                <w:rFonts w:ascii="仿宋" w:hAnsi="仿宋" w:eastAsia="仿宋" w:cs="仿宋"/>
                <w:color w:val="000000" w:themeColor="text1"/>
                <w:sz w:val="24"/>
              </w:rPr>
            </w:pPr>
          </w:p>
        </w:tc>
        <w:tc>
          <w:tcPr>
            <w:tcW w:w="3493" w:type="pct"/>
            <w:tcBorders>
              <w:top w:val="single" w:color="auto" w:sz="4" w:space="0"/>
              <w:left w:val="single" w:color="auto" w:sz="4" w:space="0"/>
              <w:bottom w:val="single" w:color="auto" w:sz="4" w:space="0"/>
              <w:right w:val="single" w:color="auto" w:sz="4" w:space="0"/>
            </w:tcBorders>
          </w:tcPr>
          <w:p>
            <w:pPr>
              <w:rPr>
                <w:rFonts w:ascii="仿宋" w:hAnsi="仿宋" w:eastAsia="仿宋" w:cs="仿宋"/>
                <w:color w:val="000000" w:themeColor="text1"/>
                <w:sz w:val="24"/>
              </w:rPr>
            </w:pPr>
            <w:r>
              <w:rPr>
                <w:rFonts w:hint="eastAsia" w:ascii="仿宋" w:hAnsi="仿宋" w:eastAsia="仿宋" w:cs="仿宋"/>
                <w:color w:val="000000" w:themeColor="text1"/>
                <w:sz w:val="24"/>
              </w:rPr>
              <w:t>本地化服务：在台州区域内设有办事处或分公司（以注册营业执照</w:t>
            </w:r>
            <w:r>
              <w:rPr>
                <w:rFonts w:hint="eastAsia" w:ascii="仿宋" w:hAnsi="仿宋" w:eastAsia="仿宋" w:cs="仿宋"/>
                <w:color w:val="000000" w:themeColor="text1"/>
                <w:sz w:val="24"/>
                <w:lang w:eastAsia="zh-CN"/>
              </w:rPr>
              <w:t>扫描件</w:t>
            </w:r>
            <w:r>
              <w:rPr>
                <w:rFonts w:hint="eastAsia" w:ascii="仿宋" w:hAnsi="仿宋" w:eastAsia="仿宋" w:cs="仿宋"/>
                <w:color w:val="000000" w:themeColor="text1"/>
                <w:sz w:val="24"/>
              </w:rPr>
              <w:t>为准），具有本项目设备供货、实施、安装和服务能力, 并有能力提供长期、快速及时的售后服务的供应商，得</w:t>
            </w:r>
            <w:r>
              <w:rPr>
                <w:rFonts w:ascii="仿宋" w:hAnsi="仿宋" w:eastAsia="仿宋" w:cs="仿宋"/>
                <w:color w:val="000000" w:themeColor="text1"/>
                <w:sz w:val="24"/>
              </w:rPr>
              <w:t>1</w:t>
            </w:r>
            <w:r>
              <w:rPr>
                <w:rFonts w:hint="eastAsia" w:ascii="仿宋" w:hAnsi="仿宋" w:eastAsia="仿宋" w:cs="仿宋"/>
                <w:color w:val="000000" w:themeColor="text1"/>
                <w:sz w:val="24"/>
              </w:rPr>
              <w:t>分，在台州外浙江省内得</w:t>
            </w:r>
            <w:r>
              <w:rPr>
                <w:rFonts w:ascii="仿宋" w:hAnsi="仿宋" w:eastAsia="仿宋" w:cs="仿宋"/>
                <w:color w:val="000000" w:themeColor="text1"/>
                <w:sz w:val="24"/>
              </w:rPr>
              <w:t>0.5</w:t>
            </w:r>
            <w:r>
              <w:rPr>
                <w:rFonts w:hint="eastAsia" w:ascii="仿宋" w:hAnsi="仿宋" w:eastAsia="仿宋" w:cs="仿宋"/>
                <w:color w:val="000000" w:themeColor="text1"/>
                <w:sz w:val="24"/>
              </w:rPr>
              <w:t>分，浙江省外不得分，最高得</w:t>
            </w:r>
            <w:r>
              <w:rPr>
                <w:rFonts w:ascii="仿宋" w:hAnsi="仿宋" w:eastAsia="仿宋" w:cs="仿宋"/>
                <w:color w:val="000000" w:themeColor="text1"/>
                <w:sz w:val="24"/>
              </w:rPr>
              <w:t>1</w:t>
            </w:r>
            <w:r>
              <w:rPr>
                <w:rFonts w:hint="eastAsia" w:ascii="仿宋" w:hAnsi="仿宋" w:eastAsia="仿宋" w:cs="仿宋"/>
                <w:color w:val="000000" w:themeColor="text1"/>
                <w:sz w:val="24"/>
              </w:rPr>
              <w:t>分。</w:t>
            </w:r>
            <w:r>
              <w:rPr>
                <w:rFonts w:hint="eastAsia" w:ascii="仿宋" w:hAnsi="仿宋" w:eastAsia="仿宋" w:cs="仿宋"/>
                <w:b/>
                <w:bCs/>
                <w:color w:val="000000" w:themeColor="text1"/>
                <w:sz w:val="24"/>
              </w:rPr>
              <w:t>提供营业执照复印件加盖电子章</w:t>
            </w:r>
            <w:r>
              <w:rPr>
                <w:rFonts w:hint="eastAsia" w:ascii="仿宋" w:hAnsi="仿宋" w:eastAsia="仿宋" w:cs="仿宋"/>
                <w:color w:val="000000" w:themeColor="text1"/>
                <w:sz w:val="24"/>
              </w:rPr>
              <w:t>。</w:t>
            </w:r>
          </w:p>
        </w:tc>
        <w:tc>
          <w:tcPr>
            <w:tcW w:w="405"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39" w:type="pct"/>
            <w:vMerge w:val="continue"/>
            <w:tcBorders>
              <w:left w:val="single" w:color="auto" w:sz="4" w:space="0"/>
              <w:right w:val="single" w:color="auto" w:sz="4" w:space="0"/>
            </w:tcBorders>
            <w:vAlign w:val="center"/>
          </w:tcPr>
          <w:p>
            <w:pPr>
              <w:jc w:val="center"/>
              <w:rPr>
                <w:rFonts w:ascii="仿宋" w:hAnsi="仿宋" w:eastAsia="仿宋" w:cs="仿宋"/>
                <w:color w:val="000000" w:themeColor="text1"/>
                <w:sz w:val="24"/>
              </w:rPr>
            </w:pPr>
          </w:p>
        </w:tc>
        <w:tc>
          <w:tcPr>
            <w:tcW w:w="762" w:type="pct"/>
            <w:vMerge w:val="continue"/>
            <w:tcBorders>
              <w:left w:val="single" w:color="auto" w:sz="4" w:space="0"/>
              <w:right w:val="single" w:color="auto" w:sz="4" w:space="0"/>
            </w:tcBorders>
            <w:vAlign w:val="center"/>
          </w:tcPr>
          <w:p>
            <w:pPr>
              <w:rPr>
                <w:rFonts w:ascii="仿宋" w:hAnsi="仿宋" w:eastAsia="仿宋" w:cs="仿宋"/>
                <w:color w:val="000000" w:themeColor="text1"/>
                <w:sz w:val="24"/>
              </w:rPr>
            </w:pPr>
          </w:p>
        </w:tc>
        <w:tc>
          <w:tcPr>
            <w:tcW w:w="3493" w:type="pct"/>
            <w:tcBorders>
              <w:top w:val="single" w:color="auto" w:sz="4" w:space="0"/>
              <w:left w:val="single" w:color="auto" w:sz="4" w:space="0"/>
              <w:bottom w:val="single" w:color="auto" w:sz="4" w:space="0"/>
              <w:right w:val="single" w:color="auto" w:sz="4" w:space="0"/>
            </w:tcBorders>
          </w:tcPr>
          <w:p>
            <w:pPr>
              <w:rPr>
                <w:rFonts w:ascii="仿宋" w:hAnsi="仿宋" w:eastAsia="仿宋" w:cs="仿宋"/>
                <w:color w:val="000000" w:themeColor="text1"/>
                <w:sz w:val="24"/>
              </w:rPr>
            </w:pPr>
            <w:bookmarkStart w:id="26" w:name="_Hlk77704138"/>
            <w:r>
              <w:rPr>
                <w:rFonts w:hint="eastAsia" w:ascii="仿宋" w:hAnsi="仿宋" w:eastAsia="仿宋" w:cs="仿宋"/>
                <w:color w:val="000000" w:themeColor="text1"/>
                <w:sz w:val="24"/>
              </w:rPr>
              <w:t>所投电脑制造商的原厂本地化服务能力：设备制造厂家在台州内设有原厂售后服务站的（以维修站门头、当地缴纳社保信息为准）得</w:t>
            </w:r>
            <w:r>
              <w:rPr>
                <w:rFonts w:ascii="仿宋" w:hAnsi="仿宋" w:eastAsia="仿宋" w:cs="仿宋"/>
                <w:color w:val="000000" w:themeColor="text1"/>
                <w:sz w:val="24"/>
              </w:rPr>
              <w:t>2</w:t>
            </w:r>
            <w:r>
              <w:rPr>
                <w:rFonts w:hint="eastAsia" w:ascii="仿宋" w:hAnsi="仿宋" w:eastAsia="仿宋" w:cs="仿宋"/>
                <w:color w:val="000000" w:themeColor="text1"/>
                <w:sz w:val="24"/>
              </w:rPr>
              <w:t>分，台州外不得分，</w:t>
            </w:r>
            <w:r>
              <w:rPr>
                <w:rFonts w:hint="eastAsia" w:ascii="仿宋" w:hAnsi="仿宋" w:eastAsia="仿宋" w:cs="仿宋"/>
                <w:b/>
                <w:bCs/>
                <w:color w:val="000000" w:themeColor="text1"/>
                <w:sz w:val="24"/>
              </w:rPr>
              <w:t>提供证明文件并加盖厂商公章或投标人电子章</w:t>
            </w:r>
            <w:r>
              <w:rPr>
                <w:rFonts w:hint="eastAsia" w:ascii="仿宋" w:hAnsi="仿宋" w:eastAsia="仿宋" w:cs="仿宋"/>
                <w:color w:val="000000" w:themeColor="text1"/>
                <w:sz w:val="24"/>
              </w:rPr>
              <w:t>。</w:t>
            </w:r>
            <w:bookmarkEnd w:id="26"/>
          </w:p>
        </w:tc>
        <w:tc>
          <w:tcPr>
            <w:tcW w:w="405"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ascii="仿宋" w:hAnsi="仿宋" w:eastAsia="仿宋" w:cs="仿宋"/>
                <w:color w:val="000000" w:themeColor="text1"/>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39" w:type="pct"/>
            <w:vMerge w:val="continue"/>
            <w:tcBorders>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p>
        </w:tc>
        <w:tc>
          <w:tcPr>
            <w:tcW w:w="762" w:type="pct"/>
            <w:vMerge w:val="continue"/>
            <w:tcBorders>
              <w:left w:val="single" w:color="auto" w:sz="4" w:space="0"/>
              <w:bottom w:val="single" w:color="auto" w:sz="4" w:space="0"/>
              <w:right w:val="single" w:color="auto" w:sz="4" w:space="0"/>
            </w:tcBorders>
            <w:vAlign w:val="center"/>
          </w:tcPr>
          <w:p>
            <w:pPr>
              <w:rPr>
                <w:rFonts w:ascii="仿宋" w:hAnsi="仿宋" w:eastAsia="仿宋" w:cs="仿宋"/>
                <w:color w:val="000000" w:themeColor="text1"/>
                <w:sz w:val="24"/>
              </w:rPr>
            </w:pPr>
          </w:p>
        </w:tc>
        <w:tc>
          <w:tcPr>
            <w:tcW w:w="3493" w:type="pct"/>
            <w:tcBorders>
              <w:top w:val="single" w:color="auto" w:sz="4" w:space="0"/>
              <w:left w:val="single" w:color="auto" w:sz="4" w:space="0"/>
              <w:bottom w:val="single" w:color="auto" w:sz="4" w:space="0"/>
              <w:right w:val="single" w:color="auto" w:sz="4" w:space="0"/>
            </w:tcBorders>
          </w:tcPr>
          <w:p>
            <w:pPr>
              <w:rPr>
                <w:rFonts w:ascii="仿宋" w:hAnsi="仿宋" w:eastAsia="仿宋" w:cs="仿宋"/>
                <w:color w:val="000000" w:themeColor="text1"/>
                <w:sz w:val="24"/>
              </w:rPr>
            </w:pPr>
            <w:r>
              <w:rPr>
                <w:rFonts w:hint="eastAsia" w:ascii="仿宋" w:hAnsi="仿宋" w:eastAsia="仿宋" w:cs="仿宋"/>
                <w:color w:val="000000" w:themeColor="text1"/>
                <w:sz w:val="24"/>
              </w:rPr>
              <w:t>为确保产品可获得本地化、体系化、全天候及时的售后服务，所投产品制造商通过GB/T27922商品售后服务评价认证，服务等级十星级得3分，服务等级十星级以下五星级以上得1分，低于五星级不得分（提供国家认可认证机构出具的认证证书复印件及国家认可认证机构官网查询截图并加盖生产厂家公章，否则不得分。）</w:t>
            </w:r>
          </w:p>
        </w:tc>
        <w:tc>
          <w:tcPr>
            <w:tcW w:w="405"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39" w:type="pct"/>
            <w:tcBorders>
              <w:top w:val="single" w:color="auto" w:sz="4" w:space="0"/>
              <w:left w:val="single" w:color="auto" w:sz="4" w:space="0"/>
              <w:bottom w:val="single" w:color="auto" w:sz="4" w:space="0"/>
              <w:right w:val="single" w:color="auto" w:sz="4" w:space="0"/>
            </w:tcBorders>
            <w:vAlign w:val="center"/>
          </w:tcPr>
          <w:p>
            <w:pPr>
              <w:ind w:left="-67" w:leftChars="-32" w:right="-59" w:rightChars="-28"/>
              <w:jc w:val="center"/>
              <w:rPr>
                <w:rFonts w:ascii="仿宋" w:hAnsi="仿宋" w:eastAsia="仿宋" w:cs="仿宋"/>
                <w:color w:val="000000" w:themeColor="text1"/>
                <w:sz w:val="24"/>
              </w:rPr>
            </w:pPr>
            <w:r>
              <w:rPr>
                <w:rFonts w:ascii="仿宋" w:hAnsi="仿宋" w:eastAsia="仿宋" w:cs="仿宋"/>
                <w:color w:val="000000" w:themeColor="text1"/>
                <w:sz w:val="24"/>
              </w:rPr>
              <w:t>7</w:t>
            </w:r>
          </w:p>
        </w:tc>
        <w:tc>
          <w:tcPr>
            <w:tcW w:w="762"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hint="eastAsia" w:ascii="仿宋" w:hAnsi="仿宋" w:eastAsia="仿宋" w:cs="仿宋"/>
                <w:color w:val="000000" w:themeColor="text1"/>
                <w:sz w:val="24"/>
              </w:rPr>
              <w:t>节能环保</w:t>
            </w:r>
          </w:p>
        </w:tc>
        <w:tc>
          <w:tcPr>
            <w:tcW w:w="3493" w:type="pc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color w:val="000000" w:themeColor="text1"/>
                <w:sz w:val="24"/>
              </w:rPr>
            </w:pPr>
            <w:r>
              <w:rPr>
                <w:rFonts w:hint="eastAsia" w:ascii="仿宋" w:hAnsi="仿宋" w:eastAsia="仿宋" w:cs="仿宋"/>
                <w:color w:val="000000" w:themeColor="text1"/>
                <w:sz w:val="24"/>
              </w:rPr>
              <w:t>投标主要产品获得政府采购节能产品认证（</w:t>
            </w:r>
            <w:r>
              <w:rPr>
                <w:rFonts w:ascii="仿宋" w:hAnsi="仿宋" w:eastAsia="仿宋" w:cs="仿宋"/>
                <w:color w:val="000000" w:themeColor="text1"/>
                <w:sz w:val="24"/>
              </w:rPr>
              <w:t>0.5</w:t>
            </w:r>
            <w:r>
              <w:rPr>
                <w:rFonts w:hint="eastAsia" w:ascii="仿宋" w:hAnsi="仿宋" w:eastAsia="仿宋" w:cs="仿宋"/>
                <w:color w:val="000000" w:themeColor="text1"/>
                <w:sz w:val="24"/>
              </w:rPr>
              <w:t>分），获得环境标志产品认证（</w:t>
            </w:r>
            <w:r>
              <w:rPr>
                <w:rFonts w:ascii="仿宋" w:hAnsi="仿宋" w:eastAsia="仿宋" w:cs="仿宋"/>
                <w:color w:val="000000" w:themeColor="text1"/>
                <w:sz w:val="24"/>
              </w:rPr>
              <w:t>0.5</w:t>
            </w:r>
            <w:r>
              <w:rPr>
                <w:rFonts w:hint="eastAsia" w:ascii="仿宋" w:hAnsi="仿宋" w:eastAsia="仿宋" w:cs="仿宋"/>
                <w:color w:val="000000" w:themeColor="text1"/>
                <w:sz w:val="24"/>
              </w:rPr>
              <w:t>分）。需提供“节能（环境标志）产品声明函”及投标产品节能、环境标志认证证书或证明（扫描件加盖投标人电子章）。认证机构以国家市场监管总局发布的参与实施政府采购节能产品、环境标志产品认证机构名录为准。</w:t>
            </w:r>
          </w:p>
        </w:tc>
        <w:tc>
          <w:tcPr>
            <w:tcW w:w="405"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themeColor="text1"/>
                <w:sz w:val="24"/>
              </w:rPr>
            </w:pPr>
            <w:r>
              <w:rPr>
                <w:rFonts w:ascii="仿宋" w:hAnsi="仿宋" w:eastAsia="仿宋" w:cs="仿宋"/>
                <w:color w:val="000000" w:themeColor="text1"/>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5000" w:type="pct"/>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b/>
                <w:color w:val="000000" w:themeColor="text1"/>
                <w:sz w:val="24"/>
              </w:rPr>
            </w:pPr>
            <w:r>
              <w:rPr>
                <w:rFonts w:hint="eastAsia" w:ascii="仿宋" w:hAnsi="仿宋" w:eastAsia="仿宋" w:cs="仿宋"/>
                <w:b/>
                <w:color w:val="000000" w:themeColor="text1"/>
                <w:sz w:val="24"/>
              </w:rPr>
              <w:t>特别说明：</w:t>
            </w:r>
          </w:p>
          <w:p>
            <w:pPr>
              <w:rPr>
                <w:rFonts w:ascii="仿宋" w:hAnsi="仿宋" w:eastAsia="仿宋" w:cs="仿宋"/>
                <w:b/>
                <w:color w:val="000000" w:themeColor="text1"/>
                <w:sz w:val="24"/>
              </w:rPr>
            </w:pPr>
            <w:r>
              <w:rPr>
                <w:rFonts w:hint="eastAsia" w:ascii="仿宋" w:hAnsi="仿宋" w:eastAsia="仿宋" w:cs="仿宋"/>
                <w:b/>
                <w:color w:val="000000" w:themeColor="text1"/>
                <w:sz w:val="24"/>
              </w:rPr>
              <w:t>1、投标人必须保证相关资料的真实性，采购人有权要求中标候选人在签订合同前提供相关检测报告、证书原件、案例的合同原件等证明文件进行核验。</w:t>
            </w:r>
          </w:p>
          <w:p>
            <w:pPr>
              <w:rPr>
                <w:rFonts w:ascii="仿宋" w:hAnsi="仿宋" w:eastAsia="仿宋" w:cs="仿宋"/>
                <w:b/>
                <w:color w:val="000000" w:themeColor="text1"/>
                <w:sz w:val="24"/>
              </w:rPr>
            </w:pPr>
            <w:r>
              <w:rPr>
                <w:rFonts w:ascii="仿宋" w:hAnsi="仿宋" w:eastAsia="仿宋" w:cs="仿宋"/>
                <w:b/>
                <w:color w:val="000000" w:themeColor="text1"/>
                <w:sz w:val="24"/>
              </w:rPr>
              <w:t>2</w:t>
            </w:r>
            <w:r>
              <w:rPr>
                <w:rFonts w:hint="eastAsia" w:ascii="仿宋" w:hAnsi="仿宋" w:eastAsia="仿宋" w:cs="仿宋"/>
                <w:b/>
                <w:color w:val="000000" w:themeColor="text1"/>
                <w:sz w:val="24"/>
              </w:rPr>
              <w:t>、本项目智能交互平板演示需要提供演示视频（建议采用MP4格式），提供演示视频需针对本项目，全场需要同时出现产品品牌、标识并提供时钟计时，要求连续录制不得剪辑，功能显示视频要清晰，时长不得超过15分钟，演示文件媒介为U盘二个（其中一个为备份U盘，U盘均贴上投标人标识的防水标签）并密封为一袋，通过顺丰快递在2022年 5月 19日11:00前寄达（联系地址：浙江天台县西演茅村14巷39号，接收人：庞雅晴，电话：18257632485），未提供视频演示文件的，该项不得分。</w:t>
            </w:r>
          </w:p>
          <w:p>
            <w:pPr>
              <w:rPr>
                <w:rFonts w:ascii="仿宋" w:hAnsi="仿宋" w:eastAsia="仿宋" w:cs="仿宋"/>
                <w:color w:val="000000" w:themeColor="text1"/>
                <w:sz w:val="24"/>
              </w:rPr>
            </w:pPr>
            <w:r>
              <w:rPr>
                <w:rFonts w:hint="eastAsia" w:ascii="仿宋" w:hAnsi="仿宋" w:eastAsia="仿宋" w:cs="仿宋"/>
                <w:b/>
                <w:color w:val="000000" w:themeColor="text1"/>
                <w:sz w:val="24"/>
              </w:rPr>
              <w:t>3、中标后签订合同前需提供样机现场演示，满足演示要求，样机封存，无法满足要求，取消中标资格。</w:t>
            </w:r>
          </w:p>
        </w:tc>
      </w:tr>
    </w:tbl>
    <w:p>
      <w:pPr>
        <w:spacing w:afterLines="50" w:line="500" w:lineRule="exact"/>
        <w:rPr>
          <w:rFonts w:ascii="仿宋" w:hAnsi="仿宋" w:eastAsia="仿宋"/>
          <w:b/>
          <w:color w:val="000000" w:themeColor="text1"/>
          <w:sz w:val="24"/>
        </w:rPr>
      </w:pPr>
      <w:r>
        <w:rPr>
          <w:rFonts w:hint="eastAsia" w:ascii="仿宋" w:hAnsi="仿宋" w:eastAsia="仿宋"/>
          <w:b/>
          <w:color w:val="000000" w:themeColor="text1"/>
          <w:sz w:val="24"/>
        </w:rPr>
        <w:t>3、报价文件评审</w:t>
      </w:r>
    </w:p>
    <w:p>
      <w:pPr>
        <w:spacing w:line="5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评标委员会对报价文件进行评审，如报价文件出现下列情形的按无效报价处理，该报价得分为零分，不予推荐为中标候选供应商。</w:t>
      </w:r>
    </w:p>
    <w:p>
      <w:pPr>
        <w:spacing w:line="5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A、投标函、报价表内容填写不完整的；</w:t>
      </w:r>
    </w:p>
    <w:p>
      <w:pPr>
        <w:spacing w:line="5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B、交货期等不符合招标文件要求的。</w:t>
      </w:r>
    </w:p>
    <w:p>
      <w:pPr>
        <w:spacing w:afterLines="50" w:line="500" w:lineRule="exact"/>
        <w:rPr>
          <w:rFonts w:ascii="仿宋" w:hAnsi="仿宋" w:eastAsia="仿宋"/>
          <w:b/>
          <w:color w:val="000000" w:themeColor="text1"/>
          <w:sz w:val="24"/>
        </w:rPr>
      </w:pPr>
      <w:r>
        <w:rPr>
          <w:rFonts w:hint="eastAsia" w:ascii="仿宋" w:hAnsi="仿宋" w:eastAsia="仿宋"/>
          <w:b/>
          <w:color w:val="000000" w:themeColor="text1"/>
          <w:sz w:val="24"/>
        </w:rPr>
        <w:t xml:space="preserve">3.1报价得分计算方法如下： </w:t>
      </w:r>
    </w:p>
    <w:p>
      <w:pPr>
        <w:spacing w:line="5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①价格评定分值为</w:t>
      </w:r>
      <w:r>
        <w:rPr>
          <w:rFonts w:hint="eastAsia" w:ascii="仿宋" w:hAnsi="仿宋" w:eastAsia="仿宋"/>
          <w:b/>
          <w:color w:val="000000" w:themeColor="text1"/>
          <w:sz w:val="24"/>
        </w:rPr>
        <w:t>3</w:t>
      </w:r>
      <w:r>
        <w:rPr>
          <w:rFonts w:ascii="仿宋" w:hAnsi="仿宋" w:eastAsia="仿宋"/>
          <w:b/>
          <w:color w:val="000000" w:themeColor="text1"/>
          <w:sz w:val="24"/>
        </w:rPr>
        <w:t>0</w:t>
      </w:r>
      <w:r>
        <w:rPr>
          <w:rFonts w:hint="eastAsia" w:ascii="仿宋" w:hAnsi="仿宋" w:eastAsia="仿宋"/>
          <w:color w:val="000000" w:themeColor="text1"/>
          <w:sz w:val="24"/>
        </w:rPr>
        <w:t>分。</w:t>
      </w:r>
    </w:p>
    <w:p>
      <w:pPr>
        <w:spacing w:line="5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②评标基准价的确定：</w:t>
      </w:r>
    </w:p>
    <w:p>
      <w:pPr>
        <w:spacing w:line="5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A、评标委员会认为投标人的报价明显低于其他通过符合性审查投标人的报价，而投标人不能在评标委员会要求的时间内作出合理书面说明且提供相关证明材料的，或者评标委员会认为其所作出的书面说明不合理的，该投标作无效标处理。</w:t>
      </w:r>
    </w:p>
    <w:p>
      <w:pPr>
        <w:spacing w:line="500" w:lineRule="exact"/>
        <w:ind w:firstLine="240" w:firstLineChars="100"/>
        <w:rPr>
          <w:rFonts w:ascii="仿宋" w:hAnsi="仿宋" w:eastAsia="仿宋"/>
          <w:color w:val="000000" w:themeColor="text1"/>
          <w:sz w:val="24"/>
        </w:rPr>
      </w:pPr>
      <w:r>
        <w:rPr>
          <w:rFonts w:hint="eastAsia" w:ascii="仿宋" w:hAnsi="仿宋" w:eastAsia="仿宋"/>
          <w:color w:val="000000" w:themeColor="text1"/>
          <w:sz w:val="24"/>
        </w:rPr>
        <w:t>B、价格分统一采用低价优先法计算,即满足招标文件要求且投标价格最低的有效投标报价为评标基准价,其价格分为满分。投标人的价格分按照下列公式计算:</w:t>
      </w:r>
    </w:p>
    <w:p>
      <w:pPr>
        <w:widowControl/>
        <w:spacing w:beforeLines="50" w:afterLines="50" w:line="500" w:lineRule="exact"/>
        <w:ind w:firstLine="241" w:firstLineChars="100"/>
        <w:jc w:val="left"/>
        <w:rPr>
          <w:rFonts w:ascii="仿宋" w:hAnsi="仿宋" w:eastAsia="仿宋"/>
          <w:b/>
          <w:color w:val="000000" w:themeColor="text1"/>
          <w:sz w:val="24"/>
        </w:rPr>
      </w:pPr>
      <w:r>
        <w:rPr>
          <w:rFonts w:hint="eastAsia" w:ascii="仿宋" w:hAnsi="仿宋" w:eastAsia="仿宋"/>
          <w:b/>
          <w:color w:val="000000" w:themeColor="text1"/>
          <w:sz w:val="24"/>
        </w:rPr>
        <w:t>报价得分=(评标基准价/投标报价)×3</w:t>
      </w:r>
      <w:r>
        <w:rPr>
          <w:rFonts w:ascii="仿宋" w:hAnsi="仿宋" w:eastAsia="仿宋"/>
          <w:b/>
          <w:color w:val="000000" w:themeColor="text1"/>
          <w:sz w:val="24"/>
        </w:rPr>
        <w:t>0</w:t>
      </w:r>
      <w:r>
        <w:rPr>
          <w:rFonts w:hint="eastAsia" w:ascii="仿宋" w:hAnsi="仿宋" w:eastAsia="仿宋"/>
          <w:b/>
          <w:color w:val="000000" w:themeColor="text1"/>
          <w:sz w:val="24"/>
        </w:rPr>
        <w:t>%×100</w:t>
      </w:r>
    </w:p>
    <w:p>
      <w:pPr>
        <w:widowControl/>
        <w:spacing w:beforeLines="50" w:afterLines="50" w:line="500" w:lineRule="exact"/>
        <w:ind w:firstLine="240" w:firstLineChars="100"/>
        <w:jc w:val="left"/>
        <w:rPr>
          <w:rFonts w:ascii="仿宋" w:hAnsi="仿宋" w:eastAsia="仿宋"/>
          <w:color w:val="000000" w:themeColor="text1"/>
          <w:sz w:val="24"/>
        </w:rPr>
      </w:pPr>
      <w:r>
        <w:rPr>
          <w:rFonts w:hint="eastAsia" w:ascii="仿宋" w:hAnsi="仿宋" w:eastAsia="仿宋"/>
          <w:color w:val="000000" w:themeColor="text1"/>
          <w:sz w:val="24"/>
        </w:rPr>
        <w:t>政府采购政策及优惠：</w:t>
      </w:r>
    </w:p>
    <w:p>
      <w:pPr>
        <w:widowControl/>
        <w:spacing w:beforeLines="50" w:afterLines="50" w:line="500" w:lineRule="exact"/>
        <w:ind w:firstLine="240" w:firstLineChars="100"/>
        <w:jc w:val="left"/>
        <w:rPr>
          <w:rFonts w:ascii="仿宋" w:hAnsi="仿宋" w:eastAsia="仿宋"/>
          <w:b/>
          <w:color w:val="000000" w:themeColor="text1"/>
          <w:sz w:val="24"/>
        </w:rPr>
      </w:pPr>
      <w:r>
        <w:rPr>
          <w:rFonts w:hint="eastAsia" w:ascii="仿宋" w:hAnsi="仿宋" w:eastAsia="仿宋"/>
          <w:color w:val="000000" w:themeColor="text1"/>
          <w:sz w:val="24"/>
        </w:rPr>
        <w:t>（1）节能环保要求：</w:t>
      </w:r>
      <w:r>
        <w:rPr>
          <w:rFonts w:ascii="仿宋" w:hAnsi="仿宋" w:eastAsia="仿宋"/>
          <w:color w:val="000000" w:themeColor="text1"/>
          <w:sz w:val="24"/>
        </w:rPr>
        <w:t>采购人拟采购的产品属于品目清单范围的，采购人及其委托的采购代理机构</w:t>
      </w:r>
      <w:r>
        <w:rPr>
          <w:rFonts w:hint="eastAsia" w:ascii="仿宋" w:hAnsi="仿宋" w:eastAsia="仿宋"/>
          <w:color w:val="000000" w:themeColor="text1"/>
          <w:sz w:val="24"/>
        </w:rPr>
        <w:t>将</w:t>
      </w:r>
      <w:r>
        <w:rPr>
          <w:rFonts w:ascii="仿宋" w:hAnsi="仿宋" w:eastAsia="仿宋"/>
          <w:color w:val="000000" w:themeColor="text1"/>
          <w:sz w:val="24"/>
        </w:rPr>
        <w:t>依据国家确定的认证机构出具的、处于有效期之内的节能产品、环境标志产品认证证书，对获得证书的产品实施政府优先采购或强制采购。</w:t>
      </w:r>
      <w:r>
        <w:rPr>
          <w:rFonts w:hint="eastAsia" w:ascii="仿宋" w:hAnsi="仿宋" w:eastAsia="仿宋"/>
          <w:color w:val="000000" w:themeColor="text1"/>
          <w:sz w:val="24"/>
        </w:rPr>
        <w:t>供应商须按采购文件要求提供相关产品认证证书；</w:t>
      </w:r>
      <w:r>
        <w:rPr>
          <w:rFonts w:ascii="仿宋" w:hAnsi="仿宋" w:eastAsia="仿宋"/>
          <w:b/>
          <w:color w:val="000000" w:themeColor="text1"/>
          <w:sz w:val="24"/>
        </w:rPr>
        <w:t>采购人拟采购的产品属于</w:t>
      </w:r>
      <w:r>
        <w:rPr>
          <w:rFonts w:hint="eastAsia" w:ascii="仿宋" w:hAnsi="仿宋" w:eastAsia="仿宋"/>
          <w:b/>
          <w:color w:val="000000" w:themeColor="text1"/>
          <w:sz w:val="24"/>
        </w:rPr>
        <w:t>政府强制采购的节能产品品目清单范围的，供应商未按采购文件要求提供国家确定的认证机构出具的、处于有效期之内的节能产品认证证书，投标无效。</w:t>
      </w:r>
    </w:p>
    <w:p>
      <w:pPr>
        <w:widowControl/>
        <w:spacing w:beforeLines="50" w:afterLines="50" w:line="500" w:lineRule="exact"/>
        <w:ind w:firstLine="240" w:firstLineChars="100"/>
        <w:jc w:val="left"/>
        <w:rPr>
          <w:rFonts w:ascii="仿宋" w:hAnsi="仿宋" w:eastAsia="仿宋"/>
          <w:color w:val="000000" w:themeColor="text1"/>
          <w:sz w:val="24"/>
          <w:lang w:val="zh-CN"/>
        </w:rPr>
      </w:pPr>
      <w:r>
        <w:rPr>
          <w:rFonts w:hint="eastAsia" w:ascii="仿宋" w:hAnsi="仿宋" w:eastAsia="仿宋"/>
          <w:color w:val="000000" w:themeColor="text1"/>
          <w:sz w:val="24"/>
        </w:rPr>
        <w:t>（2）</w:t>
      </w:r>
      <w:r>
        <w:rPr>
          <w:rFonts w:hint="eastAsia" w:ascii="仿宋" w:hAnsi="仿宋" w:eastAsia="仿宋"/>
          <w:color w:val="000000" w:themeColor="text1"/>
          <w:sz w:val="24"/>
          <w:lang w:val="zh-CN"/>
        </w:rPr>
        <w:t>根据财政部、工业和信息化部发布的《政府采购促进中小企业发展管理办法》【财库（2020）46号】规定，对于经主管预算单位统筹后未预留份额专门面向中小企业采购的采购项目，以及预留份额项目中的非预留部分采购包，采购人、采购代理机构应当对符合本办法规定的小微企业报价给予</w:t>
      </w:r>
      <w:r>
        <w:rPr>
          <w:rFonts w:hint="eastAsia" w:ascii="仿宋" w:hAnsi="仿宋" w:eastAsia="仿宋"/>
          <w:color w:val="000000" w:themeColor="text1"/>
          <w:sz w:val="24"/>
        </w:rPr>
        <w:t>10</w:t>
      </w:r>
      <w:r>
        <w:rPr>
          <w:rFonts w:hint="eastAsia" w:ascii="仿宋" w:hAnsi="仿宋" w:eastAsia="仿宋"/>
          <w:color w:val="000000" w:themeColor="text1"/>
          <w:sz w:val="24"/>
          <w:lang w:val="zh-CN"/>
        </w:rPr>
        <w:t>%的扣除，用扣除后的价格参加评审。</w:t>
      </w:r>
    </w:p>
    <w:p>
      <w:pPr>
        <w:widowControl/>
        <w:spacing w:beforeLines="50" w:afterLines="50" w:line="500" w:lineRule="exact"/>
        <w:ind w:firstLine="240" w:firstLineChars="100"/>
        <w:jc w:val="left"/>
        <w:rPr>
          <w:rFonts w:ascii="仿宋" w:hAnsi="仿宋" w:eastAsia="仿宋"/>
          <w:color w:val="000000" w:themeColor="text1"/>
          <w:sz w:val="24"/>
          <w:lang w:val="zh-CN"/>
        </w:rPr>
      </w:pPr>
      <w:r>
        <w:rPr>
          <w:rFonts w:hint="eastAsia" w:ascii="仿宋" w:hAnsi="仿宋" w:eastAsia="仿宋"/>
          <w:color w:val="000000" w:themeColor="text1"/>
          <w:sz w:val="24"/>
          <w:lang w:val="zh-CN"/>
        </w:rPr>
        <w:t>小型、微型企业以联合体参加投标的，联合体协议中约定，小型、微型企业产品的协议合同金额占到联合体协议合同总金额30%以上的，投标报价给予（2）%的扣除，并用扣除后的价格计算价格评分。组成联合体的大中型企业和其他自然人、法人或者其他组织，与小型、微型企业之间不得存在投资关系，否则不予价格扣除。</w:t>
      </w:r>
    </w:p>
    <w:p>
      <w:pPr>
        <w:widowControl/>
        <w:spacing w:beforeLines="50" w:afterLines="50" w:line="500" w:lineRule="exact"/>
        <w:ind w:firstLine="240" w:firstLineChars="100"/>
        <w:jc w:val="left"/>
        <w:rPr>
          <w:rFonts w:ascii="仿宋" w:hAnsi="仿宋" w:eastAsia="仿宋"/>
          <w:color w:val="000000" w:themeColor="text1"/>
          <w:sz w:val="24"/>
          <w:lang w:val="zh-CN"/>
        </w:rPr>
      </w:pPr>
      <w:r>
        <w:rPr>
          <w:rFonts w:hint="eastAsia" w:ascii="仿宋" w:hAnsi="仿宋" w:eastAsia="仿宋"/>
          <w:color w:val="000000" w:themeColor="text1"/>
          <w:sz w:val="24"/>
          <w:lang w:val="zh-CN"/>
        </w:rPr>
        <w:t>投标文件中须同时出具《政府采购促进中小企业发展管理办法》【财库（2020）46号】规定的《中小企业声明函》，否则不得享受价格扣除。</w:t>
      </w:r>
    </w:p>
    <w:p>
      <w:pPr>
        <w:widowControl/>
        <w:spacing w:beforeLines="50" w:afterLines="50" w:line="500" w:lineRule="exact"/>
        <w:ind w:firstLine="240" w:firstLineChars="100"/>
        <w:jc w:val="left"/>
        <w:rPr>
          <w:rFonts w:ascii="仿宋" w:hAnsi="仿宋" w:eastAsia="仿宋"/>
          <w:color w:val="000000" w:themeColor="text1"/>
          <w:sz w:val="24"/>
        </w:rPr>
      </w:pPr>
      <w:r>
        <w:rPr>
          <w:rFonts w:hint="eastAsia" w:ascii="仿宋" w:hAnsi="仿宋" w:eastAsia="仿宋"/>
          <w:color w:val="000000" w:themeColor="text1"/>
          <w:sz w:val="24"/>
        </w:rPr>
        <w:t>（3）关于中型、小型、微型企业（简称中小型企业）投标：中小型企业投标是指符合《中小企业划型标准规定》的投标人，通过投标提供本企业制造的货物、承担的工程或者服务，或者提供其他中小型企业制造的货物。本项所指货物不包括使用大、中型企业注册商标的货物。中小型企业投标应提供《中小型企业声明函》、国家企业信用信息公示系统——小微企业名录”页面查询结果（查询时间为投标前一周内，并加盖单位公章）等相关证明材料（评标委员会据此进行核查）、《产品适用政府采购政策情况表》（见附件），如投标人提供其他中小型企业制造的货物，应同时提供制造商的《中小型企业声明函》和国家企业信用信息公示系统——小微企业名录”页面查询结果（查询时间为投标前一周内，并加盖单位公章）等相关证明材料（评标委员会据此进行核查）；</w:t>
      </w:r>
    </w:p>
    <w:p>
      <w:pPr>
        <w:widowControl/>
        <w:spacing w:beforeLines="50" w:afterLines="50" w:line="500" w:lineRule="exact"/>
        <w:ind w:firstLine="240" w:firstLineChars="100"/>
        <w:jc w:val="left"/>
        <w:rPr>
          <w:rFonts w:ascii="仿宋" w:hAnsi="仿宋" w:eastAsia="仿宋"/>
          <w:color w:val="000000" w:themeColor="text1"/>
          <w:sz w:val="24"/>
        </w:rPr>
      </w:pPr>
      <w:r>
        <w:rPr>
          <w:rFonts w:hint="eastAsia" w:ascii="仿宋" w:hAnsi="仿宋" w:eastAsia="仿宋"/>
          <w:color w:val="000000" w:themeColor="text1"/>
          <w:sz w:val="24"/>
        </w:rPr>
        <w:t>（4）监狱企业参加政府采购活动时，应当提供由省级以上监狱管理局、戒毒管理局（含新疆生产建设兵团）出具的属于监狱企业的证明文件和《产品适用政府采购政策情况表》（见附件），视同中型、小型、微型企业，享受中小型企业政府采购优惠政策；</w:t>
      </w:r>
    </w:p>
    <w:p>
      <w:pPr>
        <w:widowControl/>
        <w:spacing w:beforeLines="50" w:afterLines="50" w:line="500" w:lineRule="exact"/>
        <w:ind w:firstLine="240" w:firstLineChars="100"/>
        <w:jc w:val="left"/>
        <w:rPr>
          <w:rFonts w:ascii="仿宋" w:hAnsi="仿宋" w:eastAsia="仿宋"/>
          <w:color w:val="000000" w:themeColor="text1"/>
          <w:sz w:val="24"/>
        </w:rPr>
      </w:pPr>
      <w:r>
        <w:rPr>
          <w:rFonts w:hint="eastAsia" w:ascii="仿宋" w:hAnsi="仿宋" w:eastAsia="仿宋"/>
          <w:color w:val="000000" w:themeColor="text1"/>
          <w:sz w:val="24"/>
        </w:rPr>
        <w:t>（5）残疾人福利性单位在参加政府采购活动时，应提供《残疾人福利性单位声明函》（见附件）和《产品适用政府采购政策情况表》（见附件），视同小型、微型企业，享受中小型企业政府采购优惠政策。</w:t>
      </w:r>
    </w:p>
    <w:p>
      <w:pPr>
        <w:widowControl/>
        <w:spacing w:beforeLines="50" w:afterLines="50" w:line="500" w:lineRule="exact"/>
        <w:ind w:firstLine="240" w:firstLineChars="100"/>
        <w:jc w:val="left"/>
        <w:rPr>
          <w:rFonts w:ascii="仿宋" w:hAnsi="仿宋" w:eastAsia="仿宋"/>
          <w:color w:val="000000" w:themeColor="text1"/>
          <w:sz w:val="24"/>
        </w:rPr>
      </w:pPr>
      <w:r>
        <w:rPr>
          <w:rFonts w:hint="eastAsia" w:ascii="仿宋" w:hAnsi="仿宋" w:eastAsia="仿宋"/>
          <w:color w:val="000000" w:themeColor="text1"/>
          <w:sz w:val="24"/>
        </w:rPr>
        <w:t>残疾人福利性单位应当同时满足以下条件：</w:t>
      </w:r>
    </w:p>
    <w:p>
      <w:pPr>
        <w:widowControl/>
        <w:spacing w:beforeLines="50" w:afterLines="50" w:line="500" w:lineRule="exact"/>
        <w:ind w:firstLine="240" w:firstLineChars="100"/>
        <w:jc w:val="left"/>
        <w:rPr>
          <w:rFonts w:ascii="仿宋" w:hAnsi="仿宋" w:eastAsia="仿宋"/>
          <w:color w:val="000000" w:themeColor="text1"/>
          <w:sz w:val="24"/>
        </w:rPr>
      </w:pPr>
      <w:r>
        <w:rPr>
          <w:rFonts w:hint="eastAsia" w:ascii="仿宋" w:hAnsi="仿宋" w:eastAsia="仿宋"/>
          <w:color w:val="000000" w:themeColor="text1"/>
          <w:sz w:val="24"/>
        </w:rPr>
        <w:t>1）安置的残疾人占本单位在职职工人数的比例不低于25%（含25%），并且安置的残疾人人数不少于10人（含10人）；</w:t>
      </w:r>
    </w:p>
    <w:p>
      <w:pPr>
        <w:widowControl/>
        <w:spacing w:beforeLines="50" w:afterLines="50" w:line="500" w:lineRule="exact"/>
        <w:ind w:firstLine="240" w:firstLineChars="100"/>
        <w:jc w:val="left"/>
        <w:rPr>
          <w:rFonts w:ascii="仿宋" w:hAnsi="仿宋" w:eastAsia="仿宋"/>
          <w:color w:val="000000" w:themeColor="text1"/>
          <w:sz w:val="24"/>
        </w:rPr>
      </w:pPr>
      <w:r>
        <w:rPr>
          <w:rFonts w:hint="eastAsia" w:ascii="仿宋" w:hAnsi="仿宋" w:eastAsia="仿宋"/>
          <w:color w:val="000000" w:themeColor="text1"/>
          <w:sz w:val="24"/>
        </w:rPr>
        <w:t>2）依法与安置的每位残疾人签订了一年以上（含一年）的劳动合同或服务协议；</w:t>
      </w:r>
    </w:p>
    <w:p>
      <w:pPr>
        <w:widowControl/>
        <w:spacing w:beforeLines="50" w:afterLines="50" w:line="500" w:lineRule="exact"/>
        <w:ind w:firstLine="240" w:firstLineChars="100"/>
        <w:jc w:val="left"/>
        <w:rPr>
          <w:rFonts w:ascii="仿宋" w:hAnsi="仿宋" w:eastAsia="仿宋"/>
          <w:color w:val="000000" w:themeColor="text1"/>
          <w:sz w:val="24"/>
        </w:rPr>
      </w:pPr>
      <w:r>
        <w:rPr>
          <w:rFonts w:hint="eastAsia" w:ascii="仿宋" w:hAnsi="仿宋" w:eastAsia="仿宋"/>
          <w:color w:val="000000" w:themeColor="text1"/>
          <w:sz w:val="24"/>
        </w:rPr>
        <w:t>3） 为安置的每位残疾人按月足额缴纳了基本养老保险、基本医疗保险、失业保险、工伤保险和生育保险等社会保险费；</w:t>
      </w:r>
    </w:p>
    <w:p>
      <w:pPr>
        <w:widowControl/>
        <w:spacing w:beforeLines="50" w:afterLines="50" w:line="500" w:lineRule="exact"/>
        <w:ind w:firstLine="240" w:firstLineChars="100"/>
        <w:jc w:val="left"/>
        <w:rPr>
          <w:rFonts w:ascii="仿宋" w:hAnsi="仿宋" w:eastAsia="仿宋"/>
          <w:color w:val="000000" w:themeColor="text1"/>
          <w:sz w:val="24"/>
        </w:rPr>
      </w:pPr>
      <w:r>
        <w:rPr>
          <w:rFonts w:hint="eastAsia" w:ascii="仿宋" w:hAnsi="仿宋" w:eastAsia="仿宋"/>
          <w:color w:val="000000" w:themeColor="text1"/>
          <w:sz w:val="24"/>
        </w:rPr>
        <w:t>4） 通过银行等金融机构向安置的每位残疾人，按月支付了不低于单位所在区县适用的经省级人民政府批准的月最低工资标准的工资；</w:t>
      </w:r>
    </w:p>
    <w:p>
      <w:pPr>
        <w:widowControl/>
        <w:spacing w:beforeLines="50" w:afterLines="50" w:line="500" w:lineRule="exact"/>
        <w:ind w:firstLine="240" w:firstLineChars="100"/>
        <w:jc w:val="left"/>
        <w:rPr>
          <w:rFonts w:ascii="仿宋" w:hAnsi="仿宋" w:eastAsia="仿宋"/>
          <w:color w:val="000000" w:themeColor="text1"/>
          <w:sz w:val="24"/>
        </w:rPr>
      </w:pPr>
      <w:r>
        <w:rPr>
          <w:rFonts w:hint="eastAsia" w:ascii="仿宋" w:hAnsi="仿宋" w:eastAsia="仿宋"/>
          <w:color w:val="000000" w:themeColor="text1"/>
          <w:sz w:val="24"/>
        </w:rPr>
        <w:t>5） 提供本单位制造的货物、承担的工程或者服务（以下简称产品），或者提供其他残疾人福利性单位制造的货物（不包括使用非残疾人福利性单位注册商标的货物）。</w:t>
      </w:r>
    </w:p>
    <w:p>
      <w:pPr>
        <w:widowControl/>
        <w:spacing w:beforeLines="50" w:afterLines="50" w:line="500" w:lineRule="exact"/>
        <w:ind w:firstLine="240" w:firstLineChars="100"/>
        <w:jc w:val="left"/>
        <w:rPr>
          <w:rFonts w:ascii="仿宋" w:hAnsi="仿宋" w:eastAsia="仿宋"/>
          <w:color w:val="000000" w:themeColor="text1"/>
          <w:sz w:val="24"/>
          <w:lang w:val="zh-CN"/>
        </w:rPr>
      </w:pPr>
      <w:r>
        <w:rPr>
          <w:rFonts w:hint="eastAsia" w:ascii="仿宋" w:hAnsi="仿宋" w:eastAsia="仿宋"/>
          <w:color w:val="000000" w:themeColor="text1"/>
          <w:sz w:val="24"/>
        </w:rPr>
        <w:t>提供《残疾人福利性单位声明函》的投标人被认定为残疾人福利性单位。具体优惠：</w:t>
      </w:r>
      <w:r>
        <w:rPr>
          <w:rFonts w:hint="eastAsia" w:ascii="仿宋" w:hAnsi="仿宋" w:eastAsia="仿宋"/>
          <w:color w:val="000000" w:themeColor="text1"/>
          <w:sz w:val="24"/>
          <w:lang w:val="zh-CN"/>
        </w:rPr>
        <w:t>本项目对符合规定的中小型企业（含小型企业）报价给予</w:t>
      </w:r>
      <w:r>
        <w:rPr>
          <w:rFonts w:hint="eastAsia" w:ascii="仿宋" w:hAnsi="仿宋" w:eastAsia="仿宋"/>
          <w:color w:val="000000" w:themeColor="text1"/>
          <w:sz w:val="24"/>
        </w:rPr>
        <w:t>10</w:t>
      </w:r>
      <w:r>
        <w:rPr>
          <w:rFonts w:hint="eastAsia" w:ascii="仿宋" w:hAnsi="仿宋" w:eastAsia="仿宋"/>
          <w:color w:val="000000" w:themeColor="text1"/>
          <w:sz w:val="24"/>
          <w:lang w:val="zh-CN"/>
        </w:rPr>
        <w:t>%的扣除</w:t>
      </w:r>
      <w:r>
        <w:rPr>
          <w:rFonts w:hint="eastAsia" w:ascii="仿宋" w:hAnsi="仿宋" w:eastAsia="仿宋"/>
          <w:color w:val="000000" w:themeColor="text1"/>
          <w:sz w:val="24"/>
        </w:rPr>
        <w:t>，用扣除后的价格计算评标基准价和投标报价。同一投标人（包括联合体），中小型企业、监狱企业、残疾人福利性单位价</w:t>
      </w:r>
      <w:r>
        <w:rPr>
          <w:rFonts w:hint="eastAsia" w:ascii="仿宋" w:hAnsi="仿宋" w:eastAsia="仿宋"/>
          <w:color w:val="000000" w:themeColor="text1"/>
          <w:sz w:val="24"/>
          <w:lang w:val="zh-CN"/>
        </w:rPr>
        <w:t>格扣除优惠只享受一次，不得重复享受。</w:t>
      </w:r>
    </w:p>
    <w:p>
      <w:pPr>
        <w:widowControl/>
        <w:spacing w:beforeLines="50" w:afterLines="50" w:line="500" w:lineRule="exact"/>
        <w:ind w:firstLine="240" w:firstLineChars="100"/>
        <w:jc w:val="left"/>
        <w:rPr>
          <w:rFonts w:ascii="仿宋" w:hAnsi="仿宋" w:eastAsia="仿宋"/>
          <w:color w:val="000000" w:themeColor="text1"/>
          <w:sz w:val="24"/>
          <w:lang w:val="zh-CN"/>
        </w:rPr>
      </w:pPr>
      <w:r>
        <w:rPr>
          <w:rFonts w:hint="eastAsia" w:ascii="仿宋" w:hAnsi="仿宋" w:eastAsia="仿宋"/>
          <w:color w:val="000000" w:themeColor="text1"/>
          <w:sz w:val="24"/>
          <w:lang w:val="zh-CN"/>
        </w:rPr>
        <w:t>（6）在货物采购项目中，供应商提供的货物既有中小企业制造货物，也有大型企业制造货物的，不享受本办法规定的中小企业扶持政策。</w:t>
      </w:r>
    </w:p>
    <w:p>
      <w:pPr>
        <w:widowControl/>
        <w:spacing w:beforeLines="50" w:afterLines="50" w:line="500" w:lineRule="exact"/>
        <w:ind w:firstLine="240" w:firstLineChars="100"/>
        <w:jc w:val="left"/>
        <w:rPr>
          <w:rFonts w:ascii="仿宋" w:hAnsi="仿宋" w:eastAsia="仿宋"/>
          <w:color w:val="000000" w:themeColor="text1"/>
          <w:sz w:val="24"/>
        </w:rPr>
      </w:pPr>
      <w:r>
        <w:rPr>
          <w:rFonts w:hint="eastAsia" w:ascii="仿宋" w:hAnsi="仿宋" w:eastAsia="仿宋"/>
          <w:color w:val="000000" w:themeColor="text1"/>
          <w:sz w:val="24"/>
          <w:lang w:val="zh-CN"/>
        </w:rPr>
        <w:t>（7）评标委员会评</w:t>
      </w:r>
      <w:r>
        <w:rPr>
          <w:rFonts w:hint="eastAsia" w:ascii="仿宋" w:hAnsi="仿宋" w:eastAsia="仿宋"/>
          <w:color w:val="000000" w:themeColor="text1"/>
          <w:sz w:val="24"/>
        </w:rPr>
        <w:t>审复核过程中发现存在投标人自身原因引起的计算或结转差错、笔误，每发现一处报价得分扣0.3分。如因一处差错引起的连锁差错，只按一处差错扣分。</w:t>
      </w:r>
    </w:p>
    <w:p>
      <w:pPr>
        <w:spacing w:line="500" w:lineRule="exact"/>
        <w:rPr>
          <w:rFonts w:ascii="仿宋" w:hAnsi="仿宋" w:eastAsia="仿宋"/>
          <w:b/>
          <w:color w:val="000000" w:themeColor="text1"/>
          <w:sz w:val="24"/>
        </w:rPr>
      </w:pPr>
      <w:r>
        <w:rPr>
          <w:rFonts w:hint="eastAsia" w:ascii="仿宋" w:hAnsi="仿宋" w:eastAsia="仿宋"/>
          <w:b/>
          <w:color w:val="000000" w:themeColor="text1"/>
          <w:sz w:val="24"/>
        </w:rPr>
        <w:t xml:space="preserve">  4、评委对各部分得分汇总,得出本项目各投标人的最终得分：</w:t>
      </w:r>
    </w:p>
    <w:p>
      <w:pPr>
        <w:spacing w:line="500" w:lineRule="exact"/>
        <w:rPr>
          <w:rFonts w:ascii="仿宋" w:hAnsi="仿宋" w:eastAsia="仿宋"/>
          <w:b/>
          <w:color w:val="000000" w:themeColor="text1"/>
          <w:sz w:val="24"/>
        </w:rPr>
      </w:pPr>
      <w:r>
        <w:rPr>
          <w:rFonts w:hint="eastAsia" w:ascii="仿宋" w:hAnsi="仿宋" w:eastAsia="仿宋"/>
          <w:b/>
          <w:color w:val="000000" w:themeColor="text1"/>
          <w:sz w:val="24"/>
        </w:rPr>
        <w:t xml:space="preserve">     投标人的总得分=技术得分+报价得分</w:t>
      </w:r>
    </w:p>
    <w:p>
      <w:pPr>
        <w:spacing w:afterLines="50" w:line="500" w:lineRule="exact"/>
        <w:ind w:firstLine="236" w:firstLineChars="98"/>
        <w:rPr>
          <w:rFonts w:ascii="仿宋" w:hAnsi="仿宋" w:eastAsia="仿宋"/>
          <w:b/>
          <w:color w:val="000000" w:themeColor="text1"/>
          <w:sz w:val="24"/>
        </w:rPr>
      </w:pPr>
      <w:r>
        <w:rPr>
          <w:rFonts w:hint="eastAsia" w:ascii="仿宋" w:hAnsi="仿宋" w:eastAsia="仿宋"/>
          <w:b/>
          <w:color w:val="000000" w:themeColor="text1"/>
          <w:sz w:val="24"/>
        </w:rPr>
        <w:t>5、中标候选供应商的确定：</w:t>
      </w:r>
    </w:p>
    <w:p>
      <w:pPr>
        <w:spacing w:line="500" w:lineRule="exact"/>
        <w:ind w:firstLine="236" w:firstLineChars="98"/>
        <w:rPr>
          <w:rFonts w:ascii="仿宋" w:hAnsi="仿宋" w:eastAsia="仿宋"/>
          <w:b/>
          <w:color w:val="000000" w:themeColor="text1"/>
          <w:sz w:val="24"/>
        </w:rPr>
      </w:pPr>
      <w:r>
        <w:rPr>
          <w:rFonts w:hint="eastAsia" w:ascii="仿宋" w:hAnsi="仿宋" w:eastAsia="仿宋"/>
          <w:b/>
          <w:color w:val="000000" w:themeColor="text1"/>
          <w:sz w:val="24"/>
        </w:rPr>
        <w:t>评标委员会按评标总得分由高到低顺序排列。推荐总得分最高的投标人为中标候选供应商；总得分相同的，取投标报价低者为中标候选供应商；总得分和投标报价都相同的，则抽签确定。</w:t>
      </w:r>
    </w:p>
    <w:p>
      <w:pPr>
        <w:spacing w:line="520" w:lineRule="exact"/>
        <w:jc w:val="center"/>
        <w:rPr>
          <w:rFonts w:ascii="仿宋" w:hAnsi="仿宋" w:eastAsia="仿宋"/>
          <w:b/>
          <w:color w:val="000000" w:themeColor="text1"/>
          <w:sz w:val="36"/>
          <w:szCs w:val="36"/>
        </w:rPr>
      </w:pPr>
    </w:p>
    <w:p>
      <w:pPr>
        <w:spacing w:line="520" w:lineRule="exact"/>
        <w:jc w:val="center"/>
        <w:rPr>
          <w:rFonts w:ascii="仿宋" w:hAnsi="仿宋" w:eastAsia="仿宋"/>
          <w:b/>
          <w:color w:val="000000" w:themeColor="text1"/>
          <w:sz w:val="36"/>
          <w:szCs w:val="36"/>
        </w:rPr>
      </w:pPr>
    </w:p>
    <w:p>
      <w:pPr>
        <w:spacing w:line="520" w:lineRule="exact"/>
        <w:jc w:val="center"/>
        <w:rPr>
          <w:rFonts w:ascii="仿宋" w:hAnsi="仿宋" w:eastAsia="仿宋"/>
          <w:b/>
          <w:color w:val="000000" w:themeColor="text1"/>
          <w:sz w:val="36"/>
          <w:szCs w:val="36"/>
        </w:rPr>
      </w:pPr>
    </w:p>
    <w:p>
      <w:pPr>
        <w:spacing w:line="520" w:lineRule="exact"/>
        <w:jc w:val="center"/>
        <w:rPr>
          <w:rFonts w:ascii="仿宋" w:hAnsi="仿宋" w:eastAsia="仿宋"/>
          <w:b/>
          <w:color w:val="000000" w:themeColor="text1"/>
          <w:sz w:val="36"/>
          <w:szCs w:val="36"/>
        </w:rPr>
      </w:pPr>
    </w:p>
    <w:p>
      <w:pPr>
        <w:spacing w:line="520" w:lineRule="exact"/>
        <w:jc w:val="center"/>
        <w:rPr>
          <w:rFonts w:ascii="仿宋" w:hAnsi="仿宋" w:eastAsia="仿宋"/>
          <w:b/>
          <w:color w:val="000000" w:themeColor="text1"/>
          <w:sz w:val="36"/>
          <w:szCs w:val="36"/>
        </w:rPr>
      </w:pPr>
    </w:p>
    <w:p>
      <w:pPr>
        <w:spacing w:line="520" w:lineRule="exact"/>
        <w:jc w:val="center"/>
        <w:rPr>
          <w:rFonts w:ascii="仿宋" w:hAnsi="仿宋" w:eastAsia="仿宋"/>
          <w:b/>
          <w:color w:val="000000" w:themeColor="text1"/>
          <w:sz w:val="36"/>
          <w:szCs w:val="36"/>
        </w:rPr>
      </w:pPr>
    </w:p>
    <w:p>
      <w:pPr>
        <w:spacing w:line="520" w:lineRule="exact"/>
        <w:jc w:val="center"/>
        <w:rPr>
          <w:rFonts w:ascii="仿宋" w:hAnsi="仿宋" w:eastAsia="仿宋"/>
          <w:b/>
          <w:color w:val="000000" w:themeColor="text1"/>
          <w:sz w:val="36"/>
          <w:szCs w:val="36"/>
        </w:rPr>
      </w:pPr>
    </w:p>
    <w:p>
      <w:pPr>
        <w:spacing w:line="520" w:lineRule="exact"/>
        <w:jc w:val="center"/>
        <w:rPr>
          <w:rFonts w:ascii="仿宋" w:hAnsi="仿宋" w:eastAsia="仿宋"/>
          <w:b/>
          <w:color w:val="000000" w:themeColor="text1"/>
          <w:sz w:val="36"/>
          <w:szCs w:val="36"/>
        </w:rPr>
      </w:pPr>
      <w:r>
        <w:rPr>
          <w:rFonts w:hint="eastAsia" w:ascii="仿宋" w:hAnsi="仿宋" w:eastAsia="仿宋"/>
          <w:b/>
          <w:color w:val="000000" w:themeColor="text1"/>
          <w:sz w:val="36"/>
          <w:szCs w:val="36"/>
        </w:rPr>
        <w:t>第六章  投标文件格式</w:t>
      </w:r>
    </w:p>
    <w:p>
      <w:pPr>
        <w:tabs>
          <w:tab w:val="left" w:pos="7530"/>
        </w:tabs>
        <w:spacing w:line="520" w:lineRule="exact"/>
        <w:rPr>
          <w:rFonts w:ascii="仿宋" w:hAnsi="仿宋" w:eastAsia="仿宋"/>
          <w:bCs/>
          <w:color w:val="000000" w:themeColor="text1"/>
          <w:highlight w:val="none"/>
        </w:rPr>
      </w:pPr>
      <w:r>
        <w:rPr>
          <w:rFonts w:hint="eastAsia" w:ascii="仿宋" w:hAnsi="仿宋" w:eastAsia="仿宋"/>
          <w:bCs/>
          <w:color w:val="000000" w:themeColor="text1"/>
          <w:highlight w:val="none"/>
        </w:rPr>
        <w:t>附件一：</w:t>
      </w:r>
      <w:r>
        <w:rPr>
          <w:rFonts w:hint="eastAsia" w:ascii="仿宋" w:hAnsi="仿宋" w:eastAsia="仿宋"/>
          <w:bCs/>
          <w:color w:val="000000" w:themeColor="text1"/>
          <w:highlight w:val="none"/>
        </w:rPr>
        <w:tab/>
      </w:r>
    </w:p>
    <w:p>
      <w:pPr>
        <w:spacing w:line="520" w:lineRule="exact"/>
        <w:jc w:val="center"/>
        <w:rPr>
          <w:rFonts w:ascii="仿宋" w:hAnsi="仿宋" w:eastAsia="仿宋"/>
          <w:bCs/>
          <w:color w:val="000000" w:themeColor="text1"/>
          <w:sz w:val="44"/>
          <w:szCs w:val="44"/>
          <w:highlight w:val="none"/>
        </w:rPr>
      </w:pPr>
      <w:r>
        <w:rPr>
          <w:rFonts w:hint="eastAsia" w:ascii="仿宋" w:hAnsi="仿宋" w:eastAsia="仿宋"/>
          <w:bCs/>
          <w:color w:val="000000" w:themeColor="text1"/>
          <w:sz w:val="44"/>
          <w:szCs w:val="44"/>
          <w:highlight w:val="none"/>
        </w:rPr>
        <w:t>法定代表人（负责人）资格证明书</w:t>
      </w:r>
    </w:p>
    <w:p>
      <w:pPr>
        <w:spacing w:line="520" w:lineRule="exact"/>
        <w:jc w:val="center"/>
        <w:rPr>
          <w:rFonts w:ascii="仿宋" w:hAnsi="仿宋" w:eastAsia="仿宋"/>
          <w:bCs/>
          <w:color w:val="000000" w:themeColor="text1"/>
          <w:sz w:val="44"/>
          <w:szCs w:val="44"/>
          <w:highlight w:val="none"/>
        </w:rPr>
      </w:pPr>
    </w:p>
    <w:p>
      <w:pPr>
        <w:spacing w:line="700" w:lineRule="exact"/>
        <w:rPr>
          <w:rFonts w:ascii="仿宋" w:hAnsi="仿宋" w:eastAsia="仿宋"/>
          <w:bCs/>
          <w:color w:val="000000" w:themeColor="text1"/>
          <w:sz w:val="28"/>
          <w:szCs w:val="28"/>
          <w:highlight w:val="none"/>
        </w:rPr>
      </w:pPr>
      <w:r>
        <w:rPr>
          <w:rFonts w:hint="eastAsia" w:ascii="仿宋" w:hAnsi="仿宋" w:eastAsia="仿宋"/>
          <w:bCs/>
          <w:color w:val="000000" w:themeColor="text1"/>
          <w:sz w:val="28"/>
          <w:szCs w:val="28"/>
          <w:highlight w:val="none"/>
        </w:rPr>
        <w:t>投标人名称：</w:t>
      </w:r>
      <w:r>
        <w:rPr>
          <w:rFonts w:hint="eastAsia" w:ascii="仿宋" w:hAnsi="仿宋" w:eastAsia="仿宋"/>
          <w:color w:val="000000" w:themeColor="text1"/>
          <w:sz w:val="28"/>
          <w:szCs w:val="28"/>
          <w:highlight w:val="none"/>
          <w:u w:val="single"/>
        </w:rPr>
        <w:t xml:space="preserve">                                               </w:t>
      </w:r>
    </w:p>
    <w:p>
      <w:pPr>
        <w:spacing w:line="700" w:lineRule="exact"/>
        <w:rPr>
          <w:rFonts w:ascii="仿宋" w:hAnsi="仿宋" w:eastAsia="仿宋"/>
          <w:bCs/>
          <w:color w:val="000000" w:themeColor="text1"/>
          <w:sz w:val="28"/>
          <w:szCs w:val="28"/>
          <w:highlight w:val="none"/>
        </w:rPr>
      </w:pPr>
      <w:r>
        <w:rPr>
          <w:rFonts w:hint="eastAsia" w:ascii="仿宋" w:hAnsi="仿宋" w:eastAsia="仿宋"/>
          <w:bCs/>
          <w:color w:val="000000" w:themeColor="text1"/>
          <w:sz w:val="28"/>
          <w:szCs w:val="28"/>
          <w:highlight w:val="none"/>
        </w:rPr>
        <w:t>地址：</w:t>
      </w:r>
      <w:r>
        <w:rPr>
          <w:rFonts w:hint="eastAsia" w:ascii="仿宋" w:hAnsi="仿宋" w:eastAsia="仿宋"/>
          <w:color w:val="000000" w:themeColor="text1"/>
          <w:sz w:val="28"/>
          <w:szCs w:val="28"/>
          <w:highlight w:val="none"/>
          <w:u w:val="single"/>
        </w:rPr>
        <w:t xml:space="preserve">                                                     </w:t>
      </w:r>
    </w:p>
    <w:p>
      <w:pPr>
        <w:spacing w:line="700" w:lineRule="exact"/>
        <w:rPr>
          <w:rFonts w:ascii="仿宋" w:hAnsi="仿宋" w:eastAsia="仿宋"/>
          <w:bCs/>
          <w:color w:val="000000" w:themeColor="text1"/>
          <w:sz w:val="28"/>
          <w:szCs w:val="28"/>
          <w:highlight w:val="none"/>
        </w:rPr>
      </w:pPr>
      <w:r>
        <w:rPr>
          <w:rFonts w:hint="eastAsia" w:ascii="仿宋" w:hAnsi="仿宋" w:eastAsia="仿宋"/>
          <w:bCs/>
          <w:color w:val="000000" w:themeColor="text1"/>
          <w:sz w:val="28"/>
          <w:szCs w:val="28"/>
          <w:highlight w:val="none"/>
        </w:rPr>
        <w:t>成立时间：</w:t>
      </w:r>
      <w:r>
        <w:rPr>
          <w:rFonts w:hint="eastAsia" w:ascii="仿宋" w:hAnsi="仿宋" w:eastAsia="仿宋"/>
          <w:color w:val="000000" w:themeColor="text1"/>
          <w:sz w:val="28"/>
          <w:szCs w:val="28"/>
          <w:highlight w:val="none"/>
          <w:u w:val="single"/>
        </w:rPr>
        <w:t xml:space="preserve">            </w:t>
      </w:r>
      <w:r>
        <w:rPr>
          <w:rFonts w:hint="eastAsia" w:ascii="仿宋" w:hAnsi="仿宋" w:eastAsia="仿宋"/>
          <w:bCs/>
          <w:color w:val="000000" w:themeColor="text1"/>
          <w:sz w:val="28"/>
          <w:szCs w:val="28"/>
          <w:highlight w:val="none"/>
        </w:rPr>
        <w:t xml:space="preserve"> 年</w:t>
      </w:r>
      <w:r>
        <w:rPr>
          <w:rFonts w:hint="eastAsia" w:ascii="仿宋" w:hAnsi="仿宋" w:eastAsia="仿宋"/>
          <w:color w:val="000000" w:themeColor="text1"/>
          <w:sz w:val="28"/>
          <w:szCs w:val="28"/>
          <w:highlight w:val="none"/>
          <w:u w:val="single"/>
        </w:rPr>
        <w:t xml:space="preserve">       </w:t>
      </w:r>
      <w:r>
        <w:rPr>
          <w:rFonts w:hint="eastAsia" w:ascii="仿宋" w:hAnsi="仿宋" w:eastAsia="仿宋"/>
          <w:bCs/>
          <w:color w:val="000000" w:themeColor="text1"/>
          <w:sz w:val="28"/>
          <w:szCs w:val="28"/>
          <w:highlight w:val="none"/>
        </w:rPr>
        <w:t>月</w:t>
      </w:r>
      <w:r>
        <w:rPr>
          <w:rFonts w:hint="eastAsia" w:ascii="仿宋" w:hAnsi="仿宋" w:eastAsia="仿宋"/>
          <w:color w:val="000000" w:themeColor="text1"/>
          <w:sz w:val="28"/>
          <w:szCs w:val="28"/>
          <w:highlight w:val="none"/>
          <w:u w:val="single"/>
        </w:rPr>
        <w:t xml:space="preserve">      </w:t>
      </w:r>
      <w:r>
        <w:rPr>
          <w:rFonts w:hint="eastAsia" w:ascii="仿宋" w:hAnsi="仿宋" w:eastAsia="仿宋"/>
          <w:bCs/>
          <w:color w:val="000000" w:themeColor="text1"/>
          <w:sz w:val="28"/>
          <w:szCs w:val="28"/>
          <w:highlight w:val="none"/>
        </w:rPr>
        <w:t>日</w:t>
      </w:r>
    </w:p>
    <w:p>
      <w:pPr>
        <w:spacing w:line="700" w:lineRule="exact"/>
        <w:rPr>
          <w:rFonts w:ascii="仿宋" w:hAnsi="仿宋" w:eastAsia="仿宋"/>
          <w:color w:val="000000" w:themeColor="text1"/>
          <w:sz w:val="28"/>
          <w:szCs w:val="28"/>
          <w:highlight w:val="none"/>
          <w:u w:val="single"/>
        </w:rPr>
      </w:pPr>
      <w:r>
        <w:rPr>
          <w:rFonts w:hint="eastAsia" w:ascii="仿宋" w:hAnsi="仿宋" w:eastAsia="仿宋"/>
          <w:bCs/>
          <w:color w:val="000000" w:themeColor="text1"/>
          <w:sz w:val="28"/>
          <w:szCs w:val="28"/>
          <w:highlight w:val="none"/>
        </w:rPr>
        <w:t>经营期限：</w:t>
      </w:r>
      <w:r>
        <w:rPr>
          <w:rFonts w:hint="eastAsia" w:ascii="仿宋" w:hAnsi="仿宋" w:eastAsia="仿宋"/>
          <w:color w:val="000000" w:themeColor="text1"/>
          <w:sz w:val="28"/>
          <w:szCs w:val="28"/>
          <w:highlight w:val="none"/>
          <w:u w:val="single"/>
        </w:rPr>
        <w:t xml:space="preserve">                                                  </w:t>
      </w:r>
    </w:p>
    <w:p>
      <w:pPr>
        <w:spacing w:line="700" w:lineRule="exact"/>
        <w:rPr>
          <w:rFonts w:ascii="仿宋" w:hAnsi="仿宋" w:eastAsia="仿宋"/>
          <w:bCs/>
          <w:color w:val="000000" w:themeColor="text1"/>
          <w:sz w:val="28"/>
          <w:szCs w:val="28"/>
          <w:highlight w:val="none"/>
        </w:rPr>
      </w:pPr>
      <w:r>
        <w:rPr>
          <w:rFonts w:hint="eastAsia" w:ascii="仿宋" w:hAnsi="仿宋" w:eastAsia="仿宋"/>
          <w:bCs/>
          <w:color w:val="000000" w:themeColor="text1"/>
          <w:sz w:val="28"/>
          <w:szCs w:val="28"/>
          <w:highlight w:val="none"/>
        </w:rPr>
        <w:t>姓名：</w:t>
      </w:r>
      <w:r>
        <w:rPr>
          <w:rFonts w:hint="eastAsia" w:ascii="仿宋" w:hAnsi="仿宋" w:eastAsia="仿宋"/>
          <w:color w:val="000000" w:themeColor="text1"/>
          <w:sz w:val="28"/>
          <w:szCs w:val="28"/>
          <w:highlight w:val="none"/>
          <w:u w:val="single"/>
        </w:rPr>
        <w:t xml:space="preserve">                  </w:t>
      </w:r>
      <w:r>
        <w:rPr>
          <w:rFonts w:hint="eastAsia" w:ascii="仿宋" w:hAnsi="仿宋" w:eastAsia="仿宋"/>
          <w:bCs/>
          <w:color w:val="000000" w:themeColor="text1"/>
          <w:sz w:val="28"/>
          <w:szCs w:val="28"/>
          <w:highlight w:val="none"/>
        </w:rPr>
        <w:t>性别：</w:t>
      </w:r>
      <w:r>
        <w:rPr>
          <w:rFonts w:hint="eastAsia" w:ascii="仿宋" w:hAnsi="仿宋" w:eastAsia="仿宋"/>
          <w:color w:val="000000" w:themeColor="text1"/>
          <w:sz w:val="28"/>
          <w:szCs w:val="28"/>
          <w:highlight w:val="none"/>
          <w:u w:val="single"/>
        </w:rPr>
        <w:t xml:space="preserve">           </w:t>
      </w:r>
      <w:r>
        <w:rPr>
          <w:rFonts w:hint="eastAsia" w:ascii="仿宋" w:hAnsi="仿宋" w:eastAsia="仿宋"/>
          <w:bCs/>
          <w:color w:val="000000" w:themeColor="text1"/>
          <w:sz w:val="28"/>
          <w:szCs w:val="28"/>
          <w:highlight w:val="none"/>
        </w:rPr>
        <w:t>年龄：</w:t>
      </w:r>
      <w:r>
        <w:rPr>
          <w:rFonts w:hint="eastAsia" w:ascii="仿宋" w:hAnsi="仿宋" w:eastAsia="仿宋"/>
          <w:color w:val="000000" w:themeColor="text1"/>
          <w:sz w:val="28"/>
          <w:szCs w:val="28"/>
          <w:highlight w:val="none"/>
          <w:u w:val="single"/>
        </w:rPr>
        <w:t xml:space="preserve">              </w:t>
      </w:r>
      <w:r>
        <w:rPr>
          <w:rFonts w:hint="eastAsia" w:ascii="仿宋" w:hAnsi="仿宋" w:eastAsia="仿宋"/>
          <w:bCs/>
          <w:color w:val="000000" w:themeColor="text1"/>
          <w:sz w:val="28"/>
          <w:szCs w:val="28"/>
          <w:highlight w:val="none"/>
        </w:rPr>
        <w:t xml:space="preserve">            </w:t>
      </w:r>
    </w:p>
    <w:p>
      <w:pPr>
        <w:spacing w:line="700" w:lineRule="exact"/>
        <w:ind w:left="140" w:hanging="140" w:hangingChars="50"/>
        <w:rPr>
          <w:rFonts w:ascii="仿宋" w:hAnsi="仿宋" w:eastAsia="仿宋"/>
          <w:bCs/>
          <w:color w:val="000000" w:themeColor="text1"/>
          <w:sz w:val="28"/>
          <w:szCs w:val="28"/>
          <w:highlight w:val="none"/>
        </w:rPr>
      </w:pPr>
      <w:r>
        <w:rPr>
          <w:rFonts w:hint="eastAsia" w:ascii="仿宋" w:hAnsi="仿宋" w:eastAsia="仿宋"/>
          <w:bCs/>
          <w:color w:val="000000" w:themeColor="text1"/>
          <w:sz w:val="28"/>
          <w:szCs w:val="28"/>
          <w:highlight w:val="none"/>
        </w:rPr>
        <w:t xml:space="preserve">身份证号码： </w:t>
      </w:r>
      <w:r>
        <w:rPr>
          <w:rFonts w:hint="eastAsia" w:ascii="仿宋" w:hAnsi="仿宋" w:eastAsia="仿宋"/>
          <w:color w:val="000000" w:themeColor="text1"/>
          <w:sz w:val="28"/>
          <w:szCs w:val="28"/>
          <w:highlight w:val="none"/>
          <w:u w:val="single"/>
        </w:rPr>
        <w:t xml:space="preserve">                           </w:t>
      </w:r>
      <w:r>
        <w:rPr>
          <w:rFonts w:hint="eastAsia" w:ascii="仿宋" w:hAnsi="仿宋" w:eastAsia="仿宋"/>
          <w:bCs/>
          <w:color w:val="000000" w:themeColor="text1"/>
          <w:sz w:val="28"/>
          <w:szCs w:val="28"/>
          <w:highlight w:val="none"/>
        </w:rPr>
        <w:t>职务：</w:t>
      </w:r>
      <w:r>
        <w:rPr>
          <w:rFonts w:hint="eastAsia" w:ascii="仿宋" w:hAnsi="仿宋" w:eastAsia="仿宋"/>
          <w:color w:val="000000" w:themeColor="text1"/>
          <w:sz w:val="28"/>
          <w:szCs w:val="28"/>
          <w:highlight w:val="none"/>
          <w:u w:val="single"/>
        </w:rPr>
        <w:t xml:space="preserve">               </w:t>
      </w:r>
      <w:r>
        <w:rPr>
          <w:rFonts w:hint="eastAsia" w:ascii="仿宋" w:hAnsi="仿宋" w:eastAsia="仿宋"/>
          <w:bCs/>
          <w:color w:val="000000" w:themeColor="text1"/>
          <w:sz w:val="28"/>
          <w:szCs w:val="28"/>
          <w:highlight w:val="none"/>
        </w:rPr>
        <w:t xml:space="preserve">               </w:t>
      </w:r>
    </w:p>
    <w:p>
      <w:pPr>
        <w:spacing w:line="700" w:lineRule="exact"/>
        <w:ind w:left="140" w:hanging="140" w:hangingChars="50"/>
        <w:rPr>
          <w:rFonts w:ascii="仿宋" w:hAnsi="仿宋" w:eastAsia="仿宋"/>
          <w:bCs/>
          <w:color w:val="000000" w:themeColor="text1"/>
          <w:sz w:val="28"/>
          <w:szCs w:val="28"/>
          <w:highlight w:val="none"/>
        </w:rPr>
      </w:pPr>
      <w:r>
        <w:rPr>
          <w:rFonts w:hint="eastAsia" w:ascii="仿宋" w:hAnsi="仿宋" w:eastAsia="仿宋"/>
          <w:bCs/>
          <w:color w:val="000000" w:themeColor="text1"/>
          <w:sz w:val="28"/>
          <w:szCs w:val="28"/>
          <w:highlight w:val="none"/>
        </w:rPr>
        <w:t xml:space="preserve">系  </w:t>
      </w:r>
      <w:r>
        <w:rPr>
          <w:rFonts w:hint="eastAsia" w:ascii="仿宋" w:hAnsi="仿宋" w:eastAsia="仿宋"/>
          <w:color w:val="000000" w:themeColor="text1"/>
          <w:sz w:val="28"/>
          <w:szCs w:val="28"/>
          <w:highlight w:val="none"/>
          <w:u w:val="single"/>
        </w:rPr>
        <w:t xml:space="preserve">                         </w:t>
      </w:r>
      <w:r>
        <w:rPr>
          <w:rFonts w:hint="eastAsia" w:ascii="仿宋" w:hAnsi="仿宋" w:eastAsia="仿宋"/>
          <w:bCs/>
          <w:color w:val="000000" w:themeColor="text1"/>
          <w:sz w:val="28"/>
          <w:szCs w:val="28"/>
          <w:highlight w:val="none"/>
        </w:rPr>
        <w:t>（投标人名称）的法定代表人（负责人）。</w:t>
      </w:r>
    </w:p>
    <w:p>
      <w:pPr>
        <w:spacing w:line="700" w:lineRule="exact"/>
        <w:rPr>
          <w:rFonts w:ascii="仿宋" w:hAnsi="仿宋" w:eastAsia="仿宋"/>
          <w:bCs/>
          <w:color w:val="000000" w:themeColor="text1"/>
          <w:sz w:val="28"/>
          <w:szCs w:val="28"/>
          <w:highlight w:val="none"/>
        </w:rPr>
      </w:pPr>
    </w:p>
    <w:p>
      <w:pPr>
        <w:spacing w:line="520" w:lineRule="exact"/>
        <w:rPr>
          <w:rFonts w:ascii="仿宋" w:hAnsi="仿宋" w:eastAsia="仿宋"/>
          <w:bCs/>
          <w:color w:val="000000" w:themeColor="text1"/>
          <w:sz w:val="28"/>
          <w:szCs w:val="28"/>
          <w:highlight w:val="none"/>
        </w:rPr>
      </w:pPr>
    </w:p>
    <w:p>
      <w:pPr>
        <w:spacing w:line="520" w:lineRule="exact"/>
        <w:rPr>
          <w:rFonts w:ascii="仿宋" w:hAnsi="仿宋" w:eastAsia="仿宋"/>
          <w:bCs/>
          <w:color w:val="000000" w:themeColor="text1"/>
          <w:sz w:val="28"/>
          <w:szCs w:val="28"/>
          <w:highlight w:val="none"/>
        </w:rPr>
      </w:pPr>
      <w:r>
        <w:rPr>
          <w:rFonts w:hint="eastAsia" w:ascii="仿宋" w:hAnsi="仿宋" w:eastAsia="仿宋"/>
          <w:bCs/>
          <w:color w:val="000000" w:themeColor="text1"/>
          <w:sz w:val="28"/>
          <w:szCs w:val="28"/>
          <w:highlight w:val="none"/>
        </w:rPr>
        <w:t>特此证明。</w:t>
      </w:r>
    </w:p>
    <w:p>
      <w:pPr>
        <w:spacing w:line="520" w:lineRule="exact"/>
        <w:jc w:val="right"/>
        <w:rPr>
          <w:rFonts w:ascii="仿宋" w:hAnsi="仿宋" w:eastAsia="仿宋"/>
          <w:bCs/>
          <w:color w:val="000000" w:themeColor="text1"/>
          <w:sz w:val="28"/>
          <w:szCs w:val="28"/>
          <w:highlight w:val="none"/>
        </w:rPr>
      </w:pPr>
    </w:p>
    <w:p>
      <w:pPr>
        <w:wordWrap w:val="0"/>
        <w:spacing w:line="520" w:lineRule="exact"/>
        <w:jc w:val="right"/>
        <w:rPr>
          <w:rFonts w:ascii="仿宋" w:hAnsi="仿宋" w:eastAsia="仿宋"/>
          <w:bCs/>
          <w:color w:val="000000" w:themeColor="text1"/>
          <w:sz w:val="28"/>
          <w:szCs w:val="28"/>
          <w:highlight w:val="none"/>
        </w:rPr>
      </w:pPr>
      <w:r>
        <w:rPr>
          <w:rFonts w:hint="eastAsia" w:ascii="仿宋" w:hAnsi="仿宋" w:eastAsia="仿宋"/>
          <w:bCs/>
          <w:color w:val="000000" w:themeColor="text1"/>
          <w:sz w:val="28"/>
          <w:szCs w:val="28"/>
          <w:highlight w:val="none"/>
        </w:rPr>
        <w:t xml:space="preserve">投标人全称： </w:t>
      </w:r>
      <w:r>
        <w:rPr>
          <w:rFonts w:hint="eastAsia" w:ascii="仿宋" w:hAnsi="仿宋" w:eastAsia="仿宋"/>
          <w:color w:val="000000" w:themeColor="text1"/>
          <w:sz w:val="28"/>
          <w:szCs w:val="28"/>
          <w:highlight w:val="none"/>
          <w:u w:val="single"/>
        </w:rPr>
        <w:t xml:space="preserve">                     </w:t>
      </w:r>
      <w:r>
        <w:rPr>
          <w:rFonts w:hint="eastAsia" w:ascii="仿宋" w:hAnsi="仿宋" w:eastAsia="仿宋"/>
          <w:bCs/>
          <w:color w:val="000000" w:themeColor="text1"/>
          <w:sz w:val="28"/>
          <w:szCs w:val="28"/>
          <w:highlight w:val="none"/>
        </w:rPr>
        <w:t>（盖公章）</w:t>
      </w:r>
    </w:p>
    <w:p>
      <w:pPr>
        <w:spacing w:line="520" w:lineRule="exact"/>
        <w:ind w:firstLine="4900" w:firstLineChars="1750"/>
        <w:rPr>
          <w:rFonts w:ascii="仿宋" w:hAnsi="仿宋" w:eastAsia="仿宋"/>
          <w:bCs/>
          <w:color w:val="000000" w:themeColor="text1"/>
          <w:sz w:val="28"/>
          <w:szCs w:val="28"/>
          <w:highlight w:val="none"/>
        </w:rPr>
      </w:pPr>
    </w:p>
    <w:p>
      <w:pPr>
        <w:spacing w:line="520" w:lineRule="exact"/>
        <w:ind w:firstLine="4900" w:firstLineChars="1750"/>
        <w:rPr>
          <w:rFonts w:ascii="仿宋" w:hAnsi="仿宋" w:eastAsia="仿宋"/>
          <w:bCs/>
          <w:color w:val="000000" w:themeColor="text1"/>
          <w:sz w:val="28"/>
          <w:szCs w:val="28"/>
          <w:highlight w:val="none"/>
        </w:rPr>
      </w:pPr>
      <w:r>
        <w:rPr>
          <w:rFonts w:hint="eastAsia" w:ascii="仿宋" w:hAnsi="仿宋" w:eastAsia="仿宋"/>
          <w:bCs/>
          <w:color w:val="000000" w:themeColor="text1"/>
          <w:sz w:val="28"/>
          <w:szCs w:val="28"/>
          <w:highlight w:val="none"/>
        </w:rPr>
        <w:t xml:space="preserve">      年    月    日</w:t>
      </w:r>
    </w:p>
    <w:p>
      <w:pPr>
        <w:spacing w:line="520" w:lineRule="exact"/>
        <w:rPr>
          <w:rFonts w:ascii="仿宋" w:hAnsi="仿宋" w:eastAsia="仿宋"/>
          <w:bCs/>
          <w:color w:val="000000" w:themeColor="text1"/>
          <w:sz w:val="28"/>
          <w:szCs w:val="28"/>
          <w:highlight w:val="none"/>
        </w:rPr>
      </w:pPr>
    </w:p>
    <w:p>
      <w:pPr>
        <w:spacing w:line="500" w:lineRule="exact"/>
        <w:rPr>
          <w:rFonts w:ascii="仿宋" w:hAnsi="仿宋" w:eastAsia="仿宋"/>
          <w:color w:val="000000" w:themeColor="text1"/>
          <w:sz w:val="44"/>
          <w:szCs w:val="44"/>
          <w:highlight w:val="none"/>
        </w:rPr>
      </w:pPr>
    </w:p>
    <w:p>
      <w:pPr>
        <w:spacing w:line="520" w:lineRule="exact"/>
        <w:rPr>
          <w:rFonts w:ascii="仿宋" w:hAnsi="仿宋" w:eastAsia="仿宋"/>
          <w:bCs/>
          <w:color w:val="000000" w:themeColor="text1"/>
          <w:highlight w:val="none"/>
        </w:rPr>
      </w:pPr>
    </w:p>
    <w:p>
      <w:pPr>
        <w:spacing w:line="520" w:lineRule="exact"/>
        <w:rPr>
          <w:rFonts w:ascii="仿宋" w:hAnsi="仿宋" w:eastAsia="仿宋"/>
          <w:bCs/>
          <w:color w:val="000000" w:themeColor="text1"/>
          <w:highlight w:val="none"/>
        </w:rPr>
      </w:pPr>
    </w:p>
    <w:p>
      <w:pPr>
        <w:spacing w:line="520" w:lineRule="exact"/>
        <w:rPr>
          <w:rFonts w:ascii="仿宋" w:hAnsi="仿宋" w:eastAsia="仿宋"/>
          <w:bCs/>
          <w:color w:val="000000" w:themeColor="text1"/>
          <w:highlight w:val="none"/>
        </w:rPr>
      </w:pPr>
    </w:p>
    <w:p>
      <w:pPr>
        <w:spacing w:line="520" w:lineRule="exact"/>
        <w:rPr>
          <w:rFonts w:ascii="仿宋" w:hAnsi="仿宋" w:eastAsia="仿宋"/>
          <w:bCs/>
          <w:color w:val="000000" w:themeColor="text1"/>
          <w:highlight w:val="none"/>
        </w:rPr>
      </w:pPr>
    </w:p>
    <w:p>
      <w:pPr>
        <w:spacing w:line="520" w:lineRule="exact"/>
        <w:rPr>
          <w:rFonts w:ascii="仿宋" w:hAnsi="仿宋" w:eastAsia="仿宋"/>
          <w:bCs/>
          <w:color w:val="000000" w:themeColor="text1"/>
          <w:highlight w:val="none"/>
        </w:rPr>
      </w:pPr>
      <w:r>
        <w:rPr>
          <w:rFonts w:hint="eastAsia" w:ascii="仿宋" w:hAnsi="仿宋" w:eastAsia="仿宋"/>
          <w:bCs/>
          <w:color w:val="000000" w:themeColor="text1"/>
          <w:highlight w:val="none"/>
        </w:rPr>
        <w:t>附件二：</w:t>
      </w:r>
    </w:p>
    <w:p>
      <w:pPr>
        <w:spacing w:line="500" w:lineRule="exact"/>
        <w:jc w:val="center"/>
        <w:rPr>
          <w:rFonts w:ascii="仿宋" w:hAnsi="仿宋" w:eastAsia="仿宋"/>
          <w:color w:val="000000" w:themeColor="text1"/>
          <w:sz w:val="44"/>
          <w:szCs w:val="44"/>
          <w:highlight w:val="none"/>
        </w:rPr>
      </w:pPr>
      <w:r>
        <w:rPr>
          <w:rFonts w:hint="eastAsia" w:ascii="仿宋" w:hAnsi="仿宋" w:eastAsia="仿宋"/>
          <w:color w:val="000000" w:themeColor="text1"/>
          <w:sz w:val="44"/>
          <w:szCs w:val="44"/>
          <w:highlight w:val="none"/>
        </w:rPr>
        <w:t>授权委托书</w:t>
      </w:r>
    </w:p>
    <w:p>
      <w:pPr>
        <w:pStyle w:val="84"/>
        <w:widowControl w:val="0"/>
        <w:snapToGrid w:val="0"/>
        <w:spacing w:line="440" w:lineRule="exact"/>
        <w:ind w:firstLine="120" w:firstLineChars="50"/>
        <w:jc w:val="both"/>
        <w:rPr>
          <w:rFonts w:hint="default" w:ascii="仿宋" w:hAnsi="仿宋" w:eastAsia="仿宋"/>
          <w:b/>
          <w:color w:val="000000" w:themeColor="text1"/>
          <w:spacing w:val="6"/>
          <w:sz w:val="22"/>
          <w:szCs w:val="22"/>
          <w:highlight w:val="none"/>
          <w:u w:val="single"/>
        </w:rPr>
      </w:pPr>
      <w:r>
        <w:rPr>
          <w:rFonts w:ascii="仿宋" w:hAnsi="仿宋" w:eastAsia="仿宋"/>
          <w:color w:val="000000" w:themeColor="text1"/>
          <w:sz w:val="24"/>
          <w:highlight w:val="none"/>
        </w:rPr>
        <w:t>致</w:t>
      </w:r>
      <w:r>
        <w:rPr>
          <w:rFonts w:ascii="仿宋" w:hAnsi="仿宋" w:eastAsia="仿宋"/>
          <w:b/>
          <w:color w:val="000000" w:themeColor="text1"/>
          <w:spacing w:val="6"/>
          <w:sz w:val="24"/>
          <w:szCs w:val="24"/>
          <w:highlight w:val="none"/>
          <w:u w:val="single"/>
        </w:rPr>
        <w:t>天台中学</w:t>
      </w:r>
      <w:r>
        <w:rPr>
          <w:rFonts w:ascii="仿宋" w:hAnsi="仿宋" w:eastAsia="仿宋"/>
          <w:color w:val="000000" w:themeColor="text1"/>
          <w:sz w:val="24"/>
          <w:szCs w:val="24"/>
          <w:highlight w:val="none"/>
        </w:rPr>
        <w:t>：</w:t>
      </w:r>
    </w:p>
    <w:p>
      <w:pPr>
        <w:snapToGrid w:val="0"/>
        <w:spacing w:beforeLines="50" w:after="50" w:line="40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我</w:t>
      </w:r>
      <w:r>
        <w:rPr>
          <w:rFonts w:hint="eastAsia" w:ascii="仿宋" w:hAnsi="仿宋" w:eastAsia="仿宋"/>
          <w:color w:val="000000" w:themeColor="text1"/>
          <w:sz w:val="24"/>
          <w:highlight w:val="none"/>
          <w:u w:val="single"/>
        </w:rPr>
        <w:t xml:space="preserve">           </w:t>
      </w:r>
      <w:r>
        <w:rPr>
          <w:rFonts w:hint="eastAsia" w:ascii="仿宋" w:hAnsi="仿宋" w:eastAsia="仿宋"/>
          <w:color w:val="000000" w:themeColor="text1"/>
          <w:sz w:val="24"/>
          <w:highlight w:val="none"/>
        </w:rPr>
        <w:t>（姓名）系</w:t>
      </w:r>
      <w:r>
        <w:rPr>
          <w:rFonts w:hint="eastAsia" w:ascii="仿宋" w:hAnsi="仿宋" w:eastAsia="仿宋"/>
          <w:color w:val="000000" w:themeColor="text1"/>
          <w:sz w:val="24"/>
          <w:highlight w:val="none"/>
          <w:u w:val="single"/>
        </w:rPr>
        <w:t xml:space="preserve">                </w:t>
      </w:r>
      <w:r>
        <w:rPr>
          <w:rFonts w:hint="eastAsia" w:ascii="仿宋" w:hAnsi="仿宋" w:eastAsia="仿宋"/>
          <w:color w:val="000000" w:themeColor="text1"/>
          <w:sz w:val="24"/>
          <w:highlight w:val="none"/>
        </w:rPr>
        <w:t>（投标人名称）的法定代表人（负责人），现授权委托本单位在职职工</w:t>
      </w:r>
      <w:r>
        <w:rPr>
          <w:rFonts w:hint="eastAsia" w:ascii="仿宋" w:hAnsi="仿宋" w:eastAsia="仿宋"/>
          <w:color w:val="000000" w:themeColor="text1"/>
          <w:sz w:val="24"/>
          <w:highlight w:val="none"/>
          <w:u w:val="single"/>
        </w:rPr>
        <w:t xml:space="preserve">        </w:t>
      </w:r>
      <w:r>
        <w:rPr>
          <w:rFonts w:hint="eastAsia" w:ascii="仿宋" w:hAnsi="仿宋" w:eastAsia="仿宋"/>
          <w:color w:val="000000" w:themeColor="text1"/>
          <w:sz w:val="24"/>
          <w:highlight w:val="none"/>
        </w:rPr>
        <w:t>（姓名）以我方的名义参加</w:t>
      </w:r>
      <w:r>
        <w:rPr>
          <w:rFonts w:hint="eastAsia" w:ascii="仿宋" w:hAnsi="仿宋" w:eastAsia="仿宋"/>
          <w:color w:val="000000" w:themeColor="text1"/>
          <w:sz w:val="24"/>
          <w:highlight w:val="none"/>
          <w:u w:val="single"/>
        </w:rPr>
        <w:t xml:space="preserve"> 天台中学创新实验室和专用教室采购项目 </w:t>
      </w:r>
      <w:r>
        <w:rPr>
          <w:rFonts w:hint="eastAsia" w:ascii="仿宋" w:hAnsi="仿宋" w:eastAsia="仿宋"/>
          <w:color w:val="000000" w:themeColor="text1"/>
          <w:sz w:val="24"/>
          <w:highlight w:val="none"/>
        </w:rPr>
        <w:t>的投标活动，并代表我方全权办理针对上述项目的投标、开标、评标、签约等具体事务和签署相关文件。</w:t>
      </w:r>
    </w:p>
    <w:p>
      <w:pPr>
        <w:snapToGrid w:val="0"/>
        <w:spacing w:beforeLines="50" w:after="50" w:line="40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我方对委托代理人的签名负全部责任。</w:t>
      </w:r>
    </w:p>
    <w:p>
      <w:pPr>
        <w:spacing w:line="40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委托期限：</w:t>
      </w:r>
      <w:r>
        <w:rPr>
          <w:rFonts w:hint="eastAsia" w:ascii="仿宋" w:hAnsi="仿宋" w:eastAsia="仿宋"/>
          <w:color w:val="000000" w:themeColor="text1"/>
          <w:sz w:val="24"/>
          <w:highlight w:val="none"/>
          <w:u w:val="single"/>
        </w:rPr>
        <w:t xml:space="preserve">                    </w:t>
      </w:r>
      <w:r>
        <w:rPr>
          <w:rFonts w:hint="eastAsia" w:ascii="仿宋" w:hAnsi="仿宋" w:eastAsia="仿宋"/>
          <w:color w:val="000000" w:themeColor="text1"/>
          <w:sz w:val="24"/>
          <w:highlight w:val="none"/>
        </w:rPr>
        <w:t>。委托代理人在授权书有效期内签署的所有文件不因授权的撤销而失效。</w:t>
      </w:r>
    </w:p>
    <w:p>
      <w:pPr>
        <w:snapToGrid w:val="0"/>
        <w:spacing w:beforeLines="50" w:after="50" w:line="40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委托代理人无转委托权，特此委托。</w:t>
      </w:r>
    </w:p>
    <w:p>
      <w:pPr>
        <w:spacing w:line="500" w:lineRule="exact"/>
        <w:ind w:firstLine="3220" w:firstLineChars="1150"/>
        <w:rPr>
          <w:rFonts w:ascii="仿宋" w:hAnsi="仿宋" w:eastAsia="仿宋"/>
          <w:color w:val="000000" w:themeColor="text1"/>
          <w:sz w:val="28"/>
          <w:szCs w:val="28"/>
          <w:highlight w:val="none"/>
        </w:rPr>
      </w:pPr>
    </w:p>
    <w:p>
      <w:pPr>
        <w:spacing w:line="500" w:lineRule="exact"/>
        <w:ind w:firstLine="2760" w:firstLineChars="1150"/>
        <w:rPr>
          <w:rFonts w:ascii="仿宋" w:hAnsi="仿宋" w:eastAsia="仿宋"/>
          <w:color w:val="000000" w:themeColor="text1"/>
          <w:sz w:val="24"/>
          <w:highlight w:val="none"/>
        </w:rPr>
      </w:pPr>
      <w:r>
        <w:rPr>
          <w:rFonts w:hint="eastAsia" w:ascii="仿宋" w:hAnsi="仿宋" w:eastAsia="仿宋"/>
          <w:color w:val="000000" w:themeColor="text1"/>
          <w:sz w:val="24"/>
          <w:highlight w:val="none"/>
        </w:rPr>
        <w:t xml:space="preserve">投标人全称： </w:t>
      </w:r>
      <w:r>
        <w:rPr>
          <w:rFonts w:hint="eastAsia" w:ascii="仿宋" w:hAnsi="仿宋" w:eastAsia="仿宋"/>
          <w:color w:val="000000" w:themeColor="text1"/>
          <w:sz w:val="24"/>
          <w:highlight w:val="none"/>
          <w:u w:val="single"/>
        </w:rPr>
        <w:t xml:space="preserve">                           </w:t>
      </w:r>
      <w:r>
        <w:rPr>
          <w:rFonts w:hint="eastAsia" w:ascii="仿宋" w:hAnsi="仿宋" w:eastAsia="仿宋"/>
          <w:color w:val="000000" w:themeColor="text1"/>
          <w:sz w:val="24"/>
          <w:highlight w:val="none"/>
        </w:rPr>
        <w:t>（盖公章）</w:t>
      </w:r>
    </w:p>
    <w:p>
      <w:pPr>
        <w:spacing w:line="500" w:lineRule="exact"/>
        <w:jc w:val="right"/>
        <w:rPr>
          <w:rFonts w:ascii="仿宋" w:hAnsi="仿宋" w:eastAsia="仿宋"/>
          <w:color w:val="000000" w:themeColor="text1"/>
          <w:sz w:val="24"/>
          <w:highlight w:val="none"/>
        </w:rPr>
      </w:pPr>
      <w:r>
        <w:rPr>
          <w:rFonts w:hint="eastAsia" w:ascii="仿宋" w:hAnsi="仿宋" w:eastAsia="仿宋"/>
          <w:color w:val="000000" w:themeColor="text1"/>
          <w:sz w:val="24"/>
          <w:highlight w:val="none"/>
        </w:rPr>
        <w:t>法定代表人（负责人）：</w:t>
      </w:r>
      <w:r>
        <w:rPr>
          <w:rFonts w:hint="eastAsia" w:ascii="仿宋" w:hAnsi="仿宋" w:eastAsia="仿宋"/>
          <w:color w:val="000000" w:themeColor="text1"/>
          <w:sz w:val="24"/>
          <w:highlight w:val="none"/>
          <w:u w:val="single"/>
        </w:rPr>
        <w:t xml:space="preserve">                     </w:t>
      </w:r>
      <w:r>
        <w:rPr>
          <w:rFonts w:hint="eastAsia" w:ascii="仿宋" w:hAnsi="仿宋" w:eastAsia="仿宋"/>
          <w:color w:val="000000" w:themeColor="text1"/>
          <w:sz w:val="24"/>
          <w:highlight w:val="none"/>
        </w:rPr>
        <w:t>（签字或盖章）</w:t>
      </w:r>
    </w:p>
    <w:p>
      <w:pPr>
        <w:spacing w:line="500" w:lineRule="exact"/>
        <w:ind w:firstLine="2760" w:firstLineChars="1150"/>
        <w:rPr>
          <w:rFonts w:ascii="仿宋" w:hAnsi="仿宋" w:eastAsia="仿宋"/>
          <w:color w:val="000000" w:themeColor="text1"/>
          <w:sz w:val="24"/>
          <w:highlight w:val="none"/>
        </w:rPr>
      </w:pPr>
      <w:r>
        <w:rPr>
          <w:rFonts w:hint="eastAsia" w:ascii="仿宋" w:hAnsi="仿宋" w:eastAsia="仿宋"/>
          <w:color w:val="000000" w:themeColor="text1"/>
          <w:sz w:val="24"/>
          <w:highlight w:val="none"/>
        </w:rPr>
        <w:t>身份证号码：</w:t>
      </w:r>
      <w:r>
        <w:rPr>
          <w:rFonts w:hint="eastAsia" w:ascii="仿宋" w:hAnsi="仿宋" w:eastAsia="仿宋"/>
          <w:color w:val="000000" w:themeColor="text1"/>
          <w:sz w:val="24"/>
          <w:highlight w:val="none"/>
          <w:u w:val="single"/>
        </w:rPr>
        <w:t xml:space="preserve">                                     </w:t>
      </w:r>
    </w:p>
    <w:p>
      <w:pPr>
        <w:spacing w:line="52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 xml:space="preserve"> </w:t>
      </w:r>
    </w:p>
    <w:p>
      <w:pPr>
        <w:spacing w:line="52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 xml:space="preserve">                                            </w:t>
      </w:r>
    </w:p>
    <w:p>
      <w:pPr>
        <w:spacing w:line="420" w:lineRule="exact"/>
        <w:ind w:firstLine="170" w:firstLineChars="71"/>
        <w:rPr>
          <w:rFonts w:ascii="仿宋" w:hAnsi="仿宋" w:eastAsia="仿宋"/>
          <w:color w:val="000000" w:themeColor="text1"/>
          <w:sz w:val="24"/>
          <w:highlight w:val="none"/>
        </w:rPr>
      </w:pPr>
      <w:r>
        <w:rPr>
          <w:rFonts w:hint="eastAsia" w:ascii="仿宋" w:hAnsi="仿宋" w:eastAsia="仿宋"/>
          <w:color w:val="000000" w:themeColor="text1"/>
          <w:sz w:val="24"/>
          <w:highlight w:val="none"/>
        </w:rPr>
        <w:t>附：</w:t>
      </w:r>
    </w:p>
    <w:p>
      <w:pPr>
        <w:spacing w:line="420" w:lineRule="exact"/>
        <w:ind w:firstLine="560"/>
        <w:rPr>
          <w:rFonts w:ascii="仿宋" w:hAnsi="仿宋" w:eastAsia="仿宋"/>
          <w:color w:val="000000" w:themeColor="text1"/>
          <w:sz w:val="24"/>
          <w:highlight w:val="none"/>
        </w:rPr>
      </w:pPr>
    </w:p>
    <w:p>
      <w:pPr>
        <w:spacing w:line="420" w:lineRule="exact"/>
        <w:ind w:firstLine="560"/>
        <w:rPr>
          <w:rFonts w:ascii="仿宋" w:hAnsi="仿宋" w:eastAsia="仿宋"/>
          <w:color w:val="000000" w:themeColor="text1"/>
          <w:sz w:val="24"/>
          <w:highlight w:val="none"/>
        </w:rPr>
      </w:pPr>
      <w:r>
        <w:rPr>
          <w:rFonts w:hint="eastAsia" w:ascii="仿宋" w:hAnsi="仿宋" w:eastAsia="仿宋"/>
          <w:color w:val="000000" w:themeColor="text1"/>
          <w:sz w:val="24"/>
          <w:highlight w:val="none"/>
        </w:rPr>
        <w:t xml:space="preserve">委托代理人姓名：  </w:t>
      </w:r>
      <w:r>
        <w:rPr>
          <w:rFonts w:hint="eastAsia" w:ascii="仿宋" w:hAnsi="仿宋" w:eastAsia="仿宋"/>
          <w:color w:val="000000" w:themeColor="text1"/>
          <w:sz w:val="24"/>
          <w:highlight w:val="none"/>
          <w:u w:val="single"/>
        </w:rPr>
        <w:t xml:space="preserve">                           </w:t>
      </w:r>
      <w:r>
        <w:rPr>
          <w:rFonts w:hint="eastAsia" w:ascii="仿宋" w:hAnsi="仿宋" w:eastAsia="仿宋"/>
          <w:color w:val="000000" w:themeColor="text1"/>
          <w:sz w:val="24"/>
          <w:highlight w:val="none"/>
        </w:rPr>
        <w:t xml:space="preserve">           </w:t>
      </w:r>
    </w:p>
    <w:p>
      <w:pPr>
        <w:spacing w:line="420" w:lineRule="exact"/>
        <w:ind w:firstLine="560"/>
        <w:rPr>
          <w:rFonts w:ascii="仿宋" w:hAnsi="仿宋" w:eastAsia="仿宋"/>
          <w:color w:val="000000" w:themeColor="text1"/>
          <w:sz w:val="24"/>
          <w:highlight w:val="none"/>
        </w:rPr>
      </w:pPr>
      <w:r>
        <w:rPr>
          <w:rFonts w:hint="eastAsia" w:ascii="仿宋" w:hAnsi="仿宋" w:eastAsia="仿宋"/>
          <w:color w:val="000000" w:themeColor="text1"/>
          <w:sz w:val="24"/>
          <w:highlight w:val="none"/>
        </w:rPr>
        <w:t xml:space="preserve">身份证号码：  </w:t>
      </w:r>
      <w:r>
        <w:rPr>
          <w:rFonts w:hint="eastAsia" w:ascii="仿宋" w:hAnsi="仿宋" w:eastAsia="仿宋"/>
          <w:color w:val="000000" w:themeColor="text1"/>
          <w:sz w:val="24"/>
          <w:highlight w:val="none"/>
          <w:u w:val="single"/>
        </w:rPr>
        <w:t xml:space="preserve">                               </w:t>
      </w:r>
      <w:r>
        <w:rPr>
          <w:rFonts w:hint="eastAsia" w:ascii="仿宋" w:hAnsi="仿宋" w:eastAsia="仿宋"/>
          <w:color w:val="000000" w:themeColor="text1"/>
          <w:sz w:val="24"/>
          <w:highlight w:val="none"/>
        </w:rPr>
        <w:t xml:space="preserve">                    </w:t>
      </w:r>
    </w:p>
    <w:p>
      <w:pPr>
        <w:spacing w:line="420" w:lineRule="exact"/>
        <w:ind w:firstLine="560"/>
        <w:rPr>
          <w:rFonts w:ascii="仿宋" w:hAnsi="仿宋" w:eastAsia="仿宋"/>
          <w:color w:val="000000" w:themeColor="text1"/>
          <w:sz w:val="24"/>
          <w:highlight w:val="none"/>
        </w:rPr>
      </w:pPr>
      <w:r>
        <w:rPr>
          <w:rFonts w:hint="eastAsia" w:ascii="仿宋" w:hAnsi="仿宋" w:eastAsia="仿宋"/>
          <w:color w:val="000000" w:themeColor="text1"/>
          <w:sz w:val="24"/>
          <w:highlight w:val="none"/>
        </w:rPr>
        <w:t xml:space="preserve">联系电话： </w:t>
      </w:r>
      <w:r>
        <w:rPr>
          <w:rFonts w:hint="eastAsia" w:ascii="仿宋" w:hAnsi="仿宋" w:eastAsia="仿宋"/>
          <w:color w:val="000000" w:themeColor="text1"/>
          <w:sz w:val="24"/>
          <w:highlight w:val="none"/>
          <w:u w:val="single"/>
        </w:rPr>
        <w:t xml:space="preserve">                                  </w:t>
      </w:r>
      <w:r>
        <w:rPr>
          <w:rFonts w:hint="eastAsia" w:ascii="仿宋" w:hAnsi="仿宋" w:eastAsia="仿宋"/>
          <w:color w:val="000000" w:themeColor="text1"/>
          <w:sz w:val="24"/>
          <w:highlight w:val="none"/>
        </w:rPr>
        <w:t xml:space="preserve">                  </w:t>
      </w:r>
    </w:p>
    <w:p>
      <w:pPr>
        <w:spacing w:line="46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 xml:space="preserve"> </w:t>
      </w:r>
    </w:p>
    <w:p>
      <w:pPr>
        <w:spacing w:line="520" w:lineRule="exact"/>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年     月    日</w:t>
      </w:r>
    </w:p>
    <w:p>
      <w:pPr>
        <w:spacing w:line="420" w:lineRule="exact"/>
        <w:ind w:firstLine="170" w:firstLineChars="71"/>
        <w:rPr>
          <w:rFonts w:ascii="仿宋" w:hAnsi="仿宋" w:eastAsia="仿宋"/>
          <w:color w:val="000000" w:themeColor="text1"/>
          <w:sz w:val="24"/>
          <w:highlight w:val="none"/>
        </w:rPr>
      </w:pPr>
    </w:p>
    <w:p>
      <w:pPr>
        <w:spacing w:line="360" w:lineRule="auto"/>
        <w:rPr>
          <w:rFonts w:ascii="仿宋" w:hAnsi="仿宋" w:eastAsia="仿宋"/>
          <w:bCs/>
          <w:color w:val="000000" w:themeColor="text1"/>
          <w:highlight w:val="none"/>
        </w:rPr>
      </w:pPr>
    </w:p>
    <w:p>
      <w:pPr>
        <w:spacing w:line="360" w:lineRule="auto"/>
        <w:rPr>
          <w:rFonts w:ascii="仿宋" w:hAnsi="仿宋" w:eastAsia="仿宋"/>
          <w:bCs/>
          <w:color w:val="000000" w:themeColor="text1"/>
          <w:highlight w:val="none"/>
        </w:rPr>
      </w:pPr>
    </w:p>
    <w:p>
      <w:pPr>
        <w:spacing w:line="360" w:lineRule="auto"/>
        <w:rPr>
          <w:rFonts w:ascii="仿宋" w:hAnsi="仿宋" w:eastAsia="仿宋"/>
          <w:bCs/>
          <w:color w:val="000000" w:themeColor="text1"/>
          <w:highlight w:val="none"/>
        </w:rPr>
      </w:pPr>
    </w:p>
    <w:p>
      <w:pPr>
        <w:spacing w:line="360" w:lineRule="auto"/>
        <w:rPr>
          <w:rFonts w:ascii="仿宋" w:hAnsi="仿宋" w:eastAsia="仿宋"/>
          <w:bCs/>
          <w:color w:val="000000" w:themeColor="text1"/>
          <w:highlight w:val="none"/>
        </w:rPr>
      </w:pPr>
    </w:p>
    <w:p>
      <w:pPr>
        <w:spacing w:line="360" w:lineRule="auto"/>
        <w:rPr>
          <w:rFonts w:ascii="仿宋" w:hAnsi="仿宋" w:eastAsia="仿宋"/>
          <w:bCs/>
          <w:color w:val="000000" w:themeColor="text1"/>
          <w:highlight w:val="none"/>
        </w:rPr>
      </w:pPr>
    </w:p>
    <w:p>
      <w:pPr>
        <w:spacing w:line="360" w:lineRule="auto"/>
        <w:rPr>
          <w:rFonts w:ascii="仿宋" w:hAnsi="仿宋" w:eastAsia="仿宋"/>
          <w:bCs/>
          <w:color w:val="000000" w:themeColor="text1"/>
          <w:highlight w:val="none"/>
        </w:rPr>
      </w:pPr>
    </w:p>
    <w:p>
      <w:pPr>
        <w:spacing w:line="360" w:lineRule="auto"/>
        <w:rPr>
          <w:rFonts w:ascii="仿宋" w:hAnsi="仿宋" w:eastAsia="仿宋"/>
          <w:bCs/>
          <w:color w:val="000000" w:themeColor="text1"/>
          <w:highlight w:val="none"/>
        </w:rPr>
      </w:pPr>
      <w:r>
        <w:rPr>
          <w:rFonts w:hint="eastAsia" w:ascii="仿宋" w:hAnsi="仿宋" w:eastAsia="仿宋"/>
          <w:bCs/>
          <w:color w:val="000000" w:themeColor="text1"/>
          <w:highlight w:val="none"/>
        </w:rPr>
        <w:t>附件三：</w:t>
      </w:r>
    </w:p>
    <w:p>
      <w:pPr>
        <w:adjustRightInd w:val="0"/>
        <w:snapToGrid w:val="0"/>
        <w:spacing w:line="360" w:lineRule="auto"/>
        <w:ind w:right="480"/>
        <w:jc w:val="center"/>
        <w:rPr>
          <w:rFonts w:ascii="仿宋" w:hAnsi="仿宋" w:eastAsia="仿宋"/>
          <w:color w:val="000000" w:themeColor="text1"/>
          <w:sz w:val="44"/>
          <w:szCs w:val="44"/>
          <w:highlight w:val="none"/>
        </w:rPr>
      </w:pPr>
      <w:r>
        <w:rPr>
          <w:rFonts w:hint="eastAsia" w:ascii="仿宋" w:hAnsi="仿宋" w:eastAsia="仿宋"/>
          <w:color w:val="000000" w:themeColor="text1"/>
          <w:sz w:val="44"/>
          <w:szCs w:val="44"/>
          <w:highlight w:val="none"/>
        </w:rPr>
        <w:t>投标声明书</w:t>
      </w:r>
    </w:p>
    <w:p>
      <w:pPr>
        <w:snapToGrid w:val="0"/>
        <w:spacing w:beforeLines="50" w:after="50" w:line="40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致</w:t>
      </w:r>
      <w:r>
        <w:rPr>
          <w:rFonts w:hint="eastAsia" w:ascii="仿宋" w:hAnsi="仿宋" w:eastAsia="仿宋"/>
          <w:b/>
          <w:color w:val="000000" w:themeColor="text1"/>
          <w:spacing w:val="6"/>
          <w:sz w:val="24"/>
          <w:highlight w:val="none"/>
          <w:u w:val="single"/>
        </w:rPr>
        <w:t>天台中学</w:t>
      </w:r>
      <w:r>
        <w:rPr>
          <w:rFonts w:hint="eastAsia" w:ascii="仿宋" w:hAnsi="仿宋" w:eastAsia="仿宋"/>
          <w:color w:val="000000" w:themeColor="text1"/>
          <w:sz w:val="24"/>
          <w:highlight w:val="none"/>
        </w:rPr>
        <w:t>：</w:t>
      </w:r>
    </w:p>
    <w:p>
      <w:pPr>
        <w:snapToGrid w:val="0"/>
        <w:spacing w:beforeLines="50" w:after="50" w:line="40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u w:val="single"/>
        </w:rPr>
        <w:t xml:space="preserve">             </w:t>
      </w:r>
      <w:r>
        <w:rPr>
          <w:rFonts w:hint="eastAsia" w:ascii="仿宋" w:hAnsi="仿宋" w:eastAsia="仿宋"/>
          <w:color w:val="000000" w:themeColor="text1"/>
          <w:sz w:val="24"/>
          <w:highlight w:val="none"/>
        </w:rPr>
        <w:t>（投标人名称）系中华人民共和国合法企业，经营地址</w:t>
      </w:r>
      <w:r>
        <w:rPr>
          <w:rFonts w:hint="eastAsia" w:ascii="仿宋" w:hAnsi="仿宋" w:eastAsia="仿宋"/>
          <w:color w:val="000000" w:themeColor="text1"/>
          <w:sz w:val="24"/>
          <w:highlight w:val="none"/>
          <w:u w:val="single"/>
        </w:rPr>
        <w:t xml:space="preserve">         </w:t>
      </w:r>
      <w:r>
        <w:rPr>
          <w:rFonts w:hint="eastAsia" w:ascii="仿宋" w:hAnsi="仿宋" w:eastAsia="仿宋"/>
          <w:color w:val="000000" w:themeColor="text1"/>
          <w:sz w:val="24"/>
          <w:highlight w:val="none"/>
        </w:rPr>
        <w:t>。</w:t>
      </w:r>
    </w:p>
    <w:p>
      <w:pPr>
        <w:snapToGrid w:val="0"/>
        <w:spacing w:beforeLines="50" w:after="50" w:line="40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我</w:t>
      </w:r>
      <w:r>
        <w:rPr>
          <w:rFonts w:hint="eastAsia" w:ascii="仿宋" w:hAnsi="仿宋" w:eastAsia="仿宋"/>
          <w:color w:val="000000" w:themeColor="text1"/>
          <w:sz w:val="24"/>
          <w:highlight w:val="none"/>
          <w:u w:val="single"/>
        </w:rPr>
        <w:t xml:space="preserve">           </w:t>
      </w:r>
      <w:r>
        <w:rPr>
          <w:rFonts w:hint="eastAsia" w:ascii="仿宋" w:hAnsi="仿宋" w:eastAsia="仿宋"/>
          <w:color w:val="000000" w:themeColor="text1"/>
          <w:sz w:val="24"/>
          <w:highlight w:val="none"/>
        </w:rPr>
        <w:t>（姓名）系</w:t>
      </w:r>
      <w:r>
        <w:rPr>
          <w:rFonts w:hint="eastAsia" w:ascii="仿宋" w:hAnsi="仿宋" w:eastAsia="仿宋"/>
          <w:color w:val="000000" w:themeColor="text1"/>
          <w:sz w:val="24"/>
          <w:highlight w:val="none"/>
          <w:u w:val="single"/>
        </w:rPr>
        <w:t xml:space="preserve">                </w:t>
      </w:r>
      <w:r>
        <w:rPr>
          <w:rFonts w:hint="eastAsia" w:ascii="仿宋" w:hAnsi="仿宋" w:eastAsia="仿宋"/>
          <w:color w:val="000000" w:themeColor="text1"/>
          <w:sz w:val="24"/>
          <w:highlight w:val="none"/>
        </w:rPr>
        <w:t>（投标人名称）的法定代表人，我公司自愿参加贵方组织的</w:t>
      </w:r>
      <w:r>
        <w:rPr>
          <w:rFonts w:hint="eastAsia" w:ascii="仿宋" w:hAnsi="仿宋" w:eastAsia="仿宋"/>
          <w:color w:val="000000" w:themeColor="text1"/>
          <w:sz w:val="24"/>
          <w:highlight w:val="none"/>
          <w:u w:val="single"/>
        </w:rPr>
        <w:t xml:space="preserve">  天台中学创新实验室和专用教室采购项目（标项  ）</w:t>
      </w:r>
      <w:r>
        <w:rPr>
          <w:rFonts w:hint="eastAsia" w:ascii="仿宋" w:hAnsi="仿宋" w:eastAsia="仿宋"/>
          <w:color w:val="000000" w:themeColor="text1"/>
          <w:sz w:val="24"/>
          <w:highlight w:val="none"/>
        </w:rPr>
        <w:t>（xzcg-2022-036(招)）的投标，为此，我公司就本次投标有关事项郑重声明如下：</w:t>
      </w:r>
    </w:p>
    <w:p>
      <w:pPr>
        <w:snapToGrid w:val="0"/>
        <w:spacing w:beforeLines="50" w:after="50" w:line="40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1、我公司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p>
    <w:p>
      <w:pPr>
        <w:snapToGrid w:val="0"/>
        <w:spacing w:beforeLines="50" w:after="50" w:line="40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2、我公司</w:t>
      </w:r>
      <w:r>
        <w:rPr>
          <w:rFonts w:ascii="仿宋" w:hAnsi="仿宋" w:eastAsia="仿宋"/>
          <w:color w:val="000000" w:themeColor="text1"/>
          <w:sz w:val="24"/>
          <w:highlight w:val="none"/>
        </w:rPr>
        <w:t>在参与投标前已</w:t>
      </w:r>
      <w:r>
        <w:rPr>
          <w:rFonts w:hint="eastAsia" w:ascii="仿宋" w:hAnsi="仿宋" w:eastAsia="仿宋"/>
          <w:color w:val="000000" w:themeColor="text1"/>
          <w:sz w:val="24"/>
          <w:highlight w:val="none"/>
        </w:rPr>
        <w:t>详细审查</w:t>
      </w:r>
      <w:r>
        <w:rPr>
          <w:rFonts w:ascii="仿宋" w:hAnsi="仿宋" w:eastAsia="仿宋"/>
          <w:color w:val="000000" w:themeColor="text1"/>
          <w:sz w:val="24"/>
          <w:highlight w:val="none"/>
        </w:rPr>
        <w:t>了招标文件和所有相关资料，我方完全明白并认为此招标文件没有倾向性，也没有存在排斥潜在投标人的内容，我方同意招标文件的相关条款，放弃对招标文件提出误解和质疑的一切权</w:t>
      </w:r>
      <w:r>
        <w:rPr>
          <w:rFonts w:hint="eastAsia" w:ascii="仿宋" w:hAnsi="仿宋" w:eastAsia="仿宋"/>
          <w:color w:val="000000" w:themeColor="text1"/>
          <w:sz w:val="24"/>
          <w:highlight w:val="none"/>
        </w:rPr>
        <w:t>利。</w:t>
      </w:r>
    </w:p>
    <w:p>
      <w:pPr>
        <w:snapToGrid w:val="0"/>
        <w:spacing w:beforeLines="50" w:after="50" w:line="40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3、我公司不是采购人的附属机构；在获知本项目采购信息后，与采购人聘请的为此项目提供咨询服务的公司及其附属机构没有任何联系。</w:t>
      </w:r>
    </w:p>
    <w:p>
      <w:pPr>
        <w:snapToGrid w:val="0"/>
        <w:spacing w:beforeLines="50" w:after="50" w:line="40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4、我公司保证，采购人在中华人民共和国境内使用我公司投标货物、资料、技术、服务或其任何一部分时，享有不受限制的无偿使用权，如有第三方向采购人提出侵犯其专利权、商标权或其它知识产权的主张，该责任由我方承担。我方的投标报价已包含所有应向所有权人支付的专利权、商标权或其它知识产权的一切相关费用。</w:t>
      </w:r>
    </w:p>
    <w:p>
      <w:pPr>
        <w:snapToGrid w:val="0"/>
        <w:spacing w:beforeLines="50" w:after="50" w:line="40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5、我公司严格履行政府采购合同，不降低合同约定的产品质量和服务，不擅自变更、中止、终止合同，或拒绝履行合同义务。</w:t>
      </w:r>
    </w:p>
    <w:p>
      <w:pPr>
        <w:snapToGrid w:val="0"/>
        <w:spacing w:beforeLines="50" w:after="50" w:line="40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6、以上事项如有虚假或隐瞒，我公司愿意承担一切后果，并不再寻求任何旨在减轻或免除法律责任的辩解。</w:t>
      </w:r>
    </w:p>
    <w:p>
      <w:pPr>
        <w:adjustRightInd w:val="0"/>
        <w:snapToGrid w:val="0"/>
        <w:spacing w:line="400" w:lineRule="exact"/>
        <w:ind w:firstLine="4680" w:firstLineChars="1950"/>
        <w:rPr>
          <w:rFonts w:ascii="仿宋" w:hAnsi="仿宋" w:eastAsia="仿宋"/>
          <w:color w:val="000000" w:themeColor="text1"/>
          <w:sz w:val="24"/>
          <w:highlight w:val="none"/>
        </w:rPr>
      </w:pPr>
      <w:r>
        <w:rPr>
          <w:rFonts w:hint="eastAsia" w:ascii="仿宋" w:hAnsi="仿宋" w:eastAsia="仿宋"/>
          <w:color w:val="000000" w:themeColor="text1"/>
          <w:sz w:val="24"/>
          <w:highlight w:val="none"/>
        </w:rPr>
        <w:t xml:space="preserve">    投标人名称(盖公章)：</w:t>
      </w:r>
    </w:p>
    <w:p>
      <w:pPr>
        <w:adjustRightInd w:val="0"/>
        <w:snapToGrid w:val="0"/>
        <w:spacing w:line="400" w:lineRule="exact"/>
        <w:ind w:right="480"/>
        <w:jc w:val="center"/>
        <w:rPr>
          <w:rFonts w:ascii="仿宋" w:hAnsi="仿宋" w:eastAsia="仿宋" w:cs="FangSong_GB2312"/>
          <w:color w:val="000000" w:themeColor="text1"/>
          <w:kern w:val="0"/>
          <w:sz w:val="24"/>
          <w:highlight w:val="none"/>
          <w:lang w:val="zh-CN"/>
        </w:rPr>
      </w:pPr>
      <w:r>
        <w:rPr>
          <w:rFonts w:hint="eastAsia" w:ascii="仿宋" w:hAnsi="仿宋" w:eastAsia="仿宋" w:cs="FangSong_GB2312"/>
          <w:color w:val="000000" w:themeColor="text1"/>
          <w:kern w:val="0"/>
          <w:sz w:val="24"/>
          <w:highlight w:val="none"/>
          <w:lang w:val="zh-CN"/>
        </w:rPr>
        <w:t xml:space="preserve">                                 </w:t>
      </w:r>
      <w:r>
        <w:rPr>
          <w:rFonts w:hint="eastAsia" w:ascii="仿宋" w:hAnsi="仿宋" w:eastAsia="仿宋"/>
          <w:color w:val="000000" w:themeColor="text1"/>
          <w:sz w:val="24"/>
          <w:highlight w:val="none"/>
        </w:rPr>
        <w:t xml:space="preserve"> 日期：   年    月     日</w:t>
      </w:r>
    </w:p>
    <w:p>
      <w:pPr>
        <w:spacing w:line="460" w:lineRule="exact"/>
        <w:rPr>
          <w:rFonts w:ascii="仿宋" w:hAnsi="仿宋" w:eastAsia="仿宋"/>
          <w:bCs/>
          <w:color w:val="000000" w:themeColor="text1"/>
          <w:highlight w:val="none"/>
        </w:rPr>
      </w:pPr>
    </w:p>
    <w:p>
      <w:pPr>
        <w:pStyle w:val="35"/>
        <w:rPr>
          <w:color w:val="000000" w:themeColor="text1"/>
          <w:highlight w:val="none"/>
        </w:rPr>
      </w:pPr>
    </w:p>
    <w:p>
      <w:pPr>
        <w:spacing w:line="460" w:lineRule="exact"/>
        <w:rPr>
          <w:rFonts w:ascii="仿宋" w:hAnsi="仿宋" w:eastAsia="仿宋"/>
          <w:bCs/>
          <w:color w:val="000000" w:themeColor="text1"/>
          <w:highlight w:val="none"/>
        </w:rPr>
      </w:pPr>
    </w:p>
    <w:p>
      <w:pPr>
        <w:spacing w:line="460" w:lineRule="exact"/>
        <w:rPr>
          <w:rFonts w:ascii="仿宋" w:hAnsi="仿宋" w:eastAsia="仿宋"/>
          <w:bCs/>
          <w:color w:val="000000" w:themeColor="text1"/>
          <w:highlight w:val="none"/>
        </w:rPr>
      </w:pPr>
    </w:p>
    <w:p>
      <w:pPr>
        <w:spacing w:line="460" w:lineRule="exact"/>
        <w:rPr>
          <w:rFonts w:hint="eastAsia" w:ascii="仿宋" w:hAnsi="仿宋" w:eastAsia="仿宋"/>
          <w:bCs/>
          <w:color w:val="000000" w:themeColor="text1"/>
          <w:highlight w:val="none"/>
        </w:rPr>
      </w:pPr>
    </w:p>
    <w:p>
      <w:pPr>
        <w:spacing w:line="460" w:lineRule="exact"/>
        <w:rPr>
          <w:rFonts w:ascii="仿宋" w:hAnsi="仿宋" w:eastAsia="仿宋"/>
          <w:bCs/>
          <w:color w:val="000000" w:themeColor="text1"/>
          <w:highlight w:val="none"/>
        </w:rPr>
      </w:pPr>
      <w:r>
        <w:rPr>
          <w:rFonts w:hint="eastAsia" w:ascii="仿宋" w:hAnsi="仿宋" w:eastAsia="仿宋"/>
          <w:bCs/>
          <w:color w:val="000000" w:themeColor="text1"/>
          <w:highlight w:val="none"/>
        </w:rPr>
        <w:t>附件四：</w:t>
      </w:r>
    </w:p>
    <w:p>
      <w:pPr>
        <w:spacing w:line="420" w:lineRule="exact"/>
        <w:jc w:val="center"/>
        <w:rPr>
          <w:rFonts w:hint="eastAsia" w:ascii="仿宋" w:hAnsi="仿宋" w:eastAsia="仿宋"/>
          <w:color w:val="000000" w:themeColor="text1"/>
          <w:sz w:val="44"/>
          <w:szCs w:val="44"/>
          <w:highlight w:val="none"/>
        </w:rPr>
      </w:pPr>
    </w:p>
    <w:p>
      <w:pPr>
        <w:spacing w:line="420" w:lineRule="exact"/>
        <w:jc w:val="center"/>
        <w:rPr>
          <w:rFonts w:ascii="仿宋" w:hAnsi="仿宋" w:eastAsia="仿宋"/>
          <w:color w:val="000000" w:themeColor="text1"/>
          <w:sz w:val="44"/>
          <w:szCs w:val="44"/>
          <w:highlight w:val="none"/>
        </w:rPr>
      </w:pPr>
      <w:r>
        <w:rPr>
          <w:rFonts w:hint="eastAsia" w:ascii="仿宋" w:hAnsi="仿宋" w:eastAsia="仿宋"/>
          <w:color w:val="000000" w:themeColor="text1"/>
          <w:sz w:val="44"/>
          <w:szCs w:val="44"/>
          <w:highlight w:val="none"/>
        </w:rPr>
        <w:t>投 标 函</w:t>
      </w:r>
    </w:p>
    <w:p>
      <w:pPr>
        <w:spacing w:line="420" w:lineRule="exact"/>
        <w:rPr>
          <w:rFonts w:ascii="仿宋" w:hAnsi="仿宋" w:eastAsia="仿宋"/>
          <w:color w:val="000000" w:themeColor="text1"/>
          <w:sz w:val="24"/>
          <w:highlight w:val="none"/>
          <w:u w:val="single"/>
        </w:rPr>
      </w:pPr>
      <w:r>
        <w:rPr>
          <w:rFonts w:hint="eastAsia" w:ascii="仿宋" w:hAnsi="仿宋" w:eastAsia="仿宋"/>
          <w:color w:val="000000" w:themeColor="text1"/>
          <w:sz w:val="24"/>
          <w:highlight w:val="none"/>
        </w:rPr>
        <w:t>致</w:t>
      </w:r>
      <w:r>
        <w:rPr>
          <w:rFonts w:hint="eastAsia" w:ascii="仿宋" w:hAnsi="仿宋" w:eastAsia="仿宋"/>
          <w:b/>
          <w:color w:val="000000" w:themeColor="text1"/>
          <w:spacing w:val="6"/>
          <w:sz w:val="24"/>
          <w:highlight w:val="none"/>
          <w:u w:val="single"/>
        </w:rPr>
        <w:t>天台中学</w:t>
      </w:r>
      <w:r>
        <w:rPr>
          <w:rFonts w:hint="eastAsia" w:ascii="仿宋" w:hAnsi="仿宋" w:eastAsia="仿宋"/>
          <w:color w:val="000000" w:themeColor="text1"/>
          <w:sz w:val="24"/>
          <w:highlight w:val="none"/>
        </w:rPr>
        <w:t>：</w:t>
      </w:r>
    </w:p>
    <w:p>
      <w:pPr>
        <w:spacing w:beforeLines="50" w:line="40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我</w:t>
      </w:r>
      <w:r>
        <w:rPr>
          <w:rFonts w:hint="eastAsia" w:ascii="仿宋" w:hAnsi="仿宋" w:eastAsia="仿宋"/>
          <w:color w:val="000000" w:themeColor="text1"/>
          <w:sz w:val="24"/>
          <w:highlight w:val="none"/>
          <w:u w:val="single"/>
        </w:rPr>
        <w:t xml:space="preserve">             </w:t>
      </w:r>
      <w:r>
        <w:rPr>
          <w:rFonts w:hint="eastAsia" w:ascii="仿宋" w:hAnsi="仿宋" w:eastAsia="仿宋"/>
          <w:color w:val="000000" w:themeColor="text1"/>
          <w:sz w:val="24"/>
          <w:highlight w:val="none"/>
        </w:rPr>
        <w:t>（姓名）系</w:t>
      </w:r>
      <w:r>
        <w:rPr>
          <w:rFonts w:hint="eastAsia" w:ascii="仿宋" w:hAnsi="仿宋" w:eastAsia="仿宋"/>
          <w:color w:val="000000" w:themeColor="text1"/>
          <w:sz w:val="24"/>
          <w:highlight w:val="none"/>
          <w:u w:val="single"/>
        </w:rPr>
        <w:t xml:space="preserve">              </w:t>
      </w:r>
      <w:r>
        <w:rPr>
          <w:rFonts w:hint="eastAsia" w:ascii="仿宋" w:hAnsi="仿宋" w:eastAsia="仿宋"/>
          <w:color w:val="000000" w:themeColor="text1"/>
          <w:sz w:val="24"/>
          <w:highlight w:val="none"/>
        </w:rPr>
        <w:t>（投标人名称）的法定代表人</w:t>
      </w:r>
      <w:r>
        <w:rPr>
          <w:rFonts w:hint="eastAsia" w:ascii="仿宋" w:hAnsi="仿宋" w:eastAsia="仿宋"/>
          <w:i/>
          <w:color w:val="000000" w:themeColor="text1"/>
          <w:sz w:val="24"/>
          <w:highlight w:val="none"/>
        </w:rPr>
        <w:t>（负责人）</w:t>
      </w:r>
      <w:r>
        <w:rPr>
          <w:rFonts w:hint="eastAsia" w:ascii="仿宋" w:hAnsi="仿宋" w:eastAsia="仿宋"/>
          <w:color w:val="000000" w:themeColor="text1"/>
          <w:sz w:val="24"/>
          <w:highlight w:val="none"/>
        </w:rPr>
        <w:t>，我方愿意参加贵方组织的</w:t>
      </w:r>
      <w:r>
        <w:rPr>
          <w:rFonts w:hint="eastAsia" w:ascii="仿宋" w:hAnsi="仿宋" w:eastAsia="仿宋"/>
          <w:color w:val="000000" w:themeColor="text1"/>
          <w:sz w:val="24"/>
          <w:highlight w:val="none"/>
          <w:u w:val="single"/>
        </w:rPr>
        <w:t xml:space="preserve">  天台中学创新实验室和专用教室采购项目（标项  ） </w:t>
      </w:r>
      <w:r>
        <w:rPr>
          <w:rFonts w:hint="eastAsia" w:ascii="仿宋" w:hAnsi="仿宋" w:eastAsia="仿宋"/>
          <w:color w:val="000000" w:themeColor="text1"/>
          <w:sz w:val="24"/>
          <w:highlight w:val="none"/>
        </w:rPr>
        <w:t>的投</w:t>
      </w:r>
      <w:r>
        <w:rPr>
          <w:rFonts w:ascii="仿宋" w:hAnsi="仿宋" w:eastAsia="仿宋"/>
          <w:color w:val="000000" w:themeColor="text1"/>
          <w:sz w:val="24"/>
          <w:highlight w:val="none"/>
        </w:rPr>
        <w:t>标，</w:t>
      </w:r>
      <w:r>
        <w:rPr>
          <w:rFonts w:hint="eastAsia" w:ascii="仿宋" w:hAnsi="仿宋" w:eastAsia="仿宋"/>
          <w:color w:val="000000" w:themeColor="text1"/>
          <w:sz w:val="24"/>
          <w:highlight w:val="none"/>
        </w:rPr>
        <w:t>为便于贵方公正、择优地确定中标人及其投标产品和服务，我方就本次投标有关事项郑重声明如下：</w:t>
      </w:r>
    </w:p>
    <w:p>
      <w:pPr>
        <w:spacing w:line="40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1、我方已详细阅读全部招标文件，同意招标文件中的各项要求；</w:t>
      </w:r>
    </w:p>
    <w:p>
      <w:pPr>
        <w:spacing w:line="40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2、我方向贵方</w:t>
      </w:r>
      <w:r>
        <w:rPr>
          <w:rFonts w:ascii="仿宋" w:hAnsi="仿宋" w:eastAsia="仿宋"/>
          <w:color w:val="000000" w:themeColor="text1"/>
          <w:sz w:val="24"/>
          <w:highlight w:val="none"/>
        </w:rPr>
        <w:t>提交</w:t>
      </w:r>
      <w:r>
        <w:rPr>
          <w:rFonts w:hint="eastAsia" w:ascii="仿宋" w:hAnsi="仿宋" w:eastAsia="仿宋"/>
          <w:color w:val="000000" w:themeColor="text1"/>
          <w:sz w:val="24"/>
          <w:highlight w:val="none"/>
        </w:rPr>
        <w:t>的所有投标</w:t>
      </w:r>
      <w:r>
        <w:rPr>
          <w:rFonts w:ascii="仿宋" w:hAnsi="仿宋" w:eastAsia="仿宋"/>
          <w:color w:val="000000" w:themeColor="text1"/>
          <w:sz w:val="24"/>
          <w:highlight w:val="none"/>
        </w:rPr>
        <w:t>文件</w:t>
      </w:r>
      <w:r>
        <w:rPr>
          <w:rFonts w:hint="eastAsia" w:ascii="仿宋" w:hAnsi="仿宋" w:eastAsia="仿宋"/>
          <w:color w:val="000000" w:themeColor="text1"/>
          <w:sz w:val="24"/>
          <w:highlight w:val="none"/>
        </w:rPr>
        <w:t>资料都</w:t>
      </w:r>
      <w:r>
        <w:rPr>
          <w:rFonts w:ascii="仿宋" w:hAnsi="仿宋" w:eastAsia="仿宋"/>
          <w:color w:val="000000" w:themeColor="text1"/>
          <w:sz w:val="24"/>
          <w:highlight w:val="none"/>
        </w:rPr>
        <w:t>是准确的和真实的</w:t>
      </w:r>
      <w:r>
        <w:rPr>
          <w:rFonts w:hint="eastAsia" w:ascii="仿宋" w:hAnsi="仿宋" w:eastAsia="仿宋"/>
          <w:color w:val="000000" w:themeColor="text1"/>
          <w:sz w:val="24"/>
          <w:highlight w:val="none"/>
        </w:rPr>
        <w:t>；</w:t>
      </w:r>
    </w:p>
    <w:p>
      <w:pPr>
        <w:spacing w:line="40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3、本投标有效期90天；</w:t>
      </w:r>
    </w:p>
    <w:p>
      <w:pPr>
        <w:spacing w:line="40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4、我方承诺在投标有效期内不修改、不撤销投标文件；</w:t>
      </w:r>
    </w:p>
    <w:p>
      <w:pPr>
        <w:spacing w:line="40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5、如我方中标，收到中标通知书起</w:t>
      </w:r>
      <w:r>
        <w:rPr>
          <w:rFonts w:hint="eastAsia" w:ascii="仿宋" w:hAnsi="仿宋" w:eastAsia="仿宋"/>
          <w:color w:val="000000" w:themeColor="text1"/>
          <w:sz w:val="24"/>
          <w:highlight w:val="none"/>
          <w:u w:val="single"/>
        </w:rPr>
        <w:t xml:space="preserve">  </w:t>
      </w:r>
      <w:r>
        <w:rPr>
          <w:rFonts w:ascii="仿宋" w:hAnsi="仿宋" w:eastAsia="仿宋"/>
          <w:color w:val="000000" w:themeColor="text1"/>
          <w:sz w:val="24"/>
          <w:highlight w:val="none"/>
          <w:u w:val="single"/>
        </w:rPr>
        <w:t>3</w:t>
      </w:r>
      <w:r>
        <w:rPr>
          <w:rFonts w:hint="eastAsia" w:ascii="仿宋" w:hAnsi="仿宋" w:eastAsia="仿宋"/>
          <w:color w:val="000000" w:themeColor="text1"/>
          <w:sz w:val="24"/>
          <w:highlight w:val="none"/>
          <w:u w:val="single"/>
        </w:rPr>
        <w:t xml:space="preserve"> </w:t>
      </w:r>
      <w:r>
        <w:rPr>
          <w:rFonts w:hint="eastAsia" w:ascii="仿宋" w:hAnsi="仿宋" w:eastAsia="仿宋"/>
          <w:color w:val="000000" w:themeColor="text1"/>
          <w:sz w:val="24"/>
          <w:highlight w:val="none"/>
        </w:rPr>
        <w:t>天内向贵方提交中标价2.</w:t>
      </w:r>
      <w:r>
        <w:rPr>
          <w:rFonts w:ascii="仿宋" w:hAnsi="仿宋" w:eastAsia="仿宋"/>
          <w:color w:val="000000" w:themeColor="text1"/>
          <w:sz w:val="24"/>
          <w:highlight w:val="none"/>
        </w:rPr>
        <w:t>5</w:t>
      </w:r>
      <w:r>
        <w:rPr>
          <w:rFonts w:hint="eastAsia" w:ascii="仿宋" w:hAnsi="仿宋" w:eastAsia="仿宋"/>
          <w:color w:val="000000" w:themeColor="text1"/>
          <w:sz w:val="24"/>
          <w:highlight w:val="none"/>
        </w:rPr>
        <w:t>%的履约保证金；</w:t>
      </w:r>
    </w:p>
    <w:p>
      <w:pPr>
        <w:spacing w:line="400" w:lineRule="exact"/>
        <w:ind w:firstLine="480" w:firstLineChars="200"/>
        <w:rPr>
          <w:rFonts w:ascii="仿宋" w:hAnsi="仿宋" w:eastAsia="仿宋"/>
          <w:color w:val="000000" w:themeColor="text1"/>
          <w:sz w:val="24"/>
          <w:highlight w:val="none"/>
        </w:rPr>
      </w:pPr>
      <w:r>
        <w:rPr>
          <w:rFonts w:hint="eastAsia" w:ascii="仿宋" w:hAnsi="仿宋" w:eastAsia="仿宋"/>
          <w:i/>
          <w:color w:val="000000" w:themeColor="text1"/>
          <w:sz w:val="24"/>
          <w:highlight w:val="none"/>
        </w:rPr>
        <w:t>6、</w:t>
      </w:r>
      <w:r>
        <w:rPr>
          <w:rFonts w:hint="eastAsia" w:ascii="仿宋" w:hAnsi="仿宋" w:eastAsia="仿宋"/>
          <w:color w:val="000000" w:themeColor="text1"/>
          <w:sz w:val="24"/>
          <w:highlight w:val="none"/>
        </w:rPr>
        <w:t>按招标文件的规定履行合同责任和义务。</w:t>
      </w:r>
    </w:p>
    <w:p>
      <w:pPr>
        <w:spacing w:line="420" w:lineRule="exact"/>
        <w:ind w:firstLine="540" w:firstLineChars="225"/>
        <w:rPr>
          <w:rFonts w:ascii="仿宋" w:hAnsi="仿宋" w:eastAsia="仿宋"/>
          <w:color w:val="000000" w:themeColor="text1"/>
          <w:sz w:val="24"/>
          <w:highlight w:val="none"/>
        </w:rPr>
      </w:pPr>
    </w:p>
    <w:p>
      <w:pPr>
        <w:spacing w:line="360" w:lineRule="exact"/>
        <w:ind w:firstLine="560"/>
        <w:rPr>
          <w:rFonts w:ascii="仿宋" w:hAnsi="仿宋" w:eastAsia="仿宋"/>
          <w:color w:val="000000" w:themeColor="text1"/>
          <w:sz w:val="24"/>
          <w:highlight w:val="none"/>
          <w:u w:val="single"/>
        </w:rPr>
      </w:pPr>
    </w:p>
    <w:p>
      <w:pPr>
        <w:spacing w:line="360" w:lineRule="exact"/>
        <w:ind w:firstLine="560"/>
        <w:rPr>
          <w:rFonts w:ascii="仿宋" w:hAnsi="仿宋" w:eastAsia="仿宋"/>
          <w:color w:val="000000" w:themeColor="text1"/>
          <w:sz w:val="24"/>
          <w:highlight w:val="none"/>
        </w:rPr>
      </w:pPr>
      <w:r>
        <w:rPr>
          <w:rFonts w:hint="eastAsia" w:ascii="仿宋" w:hAnsi="仿宋" w:eastAsia="仿宋"/>
          <w:color w:val="000000" w:themeColor="text1"/>
          <w:sz w:val="24"/>
          <w:highlight w:val="none"/>
        </w:rPr>
        <w:t>投标人全称：</w:t>
      </w:r>
      <w:r>
        <w:rPr>
          <w:rFonts w:hint="eastAsia" w:ascii="仿宋" w:hAnsi="仿宋" w:eastAsia="仿宋"/>
          <w:color w:val="000000" w:themeColor="text1"/>
          <w:sz w:val="24"/>
          <w:highlight w:val="none"/>
          <w:u w:val="single"/>
        </w:rPr>
        <w:t xml:space="preserve">                                </w:t>
      </w:r>
      <w:r>
        <w:rPr>
          <w:rFonts w:hint="eastAsia" w:ascii="仿宋" w:hAnsi="仿宋" w:eastAsia="仿宋"/>
          <w:color w:val="000000" w:themeColor="text1"/>
          <w:sz w:val="24"/>
          <w:highlight w:val="none"/>
        </w:rPr>
        <w:t>（盖公章）</w:t>
      </w:r>
    </w:p>
    <w:p>
      <w:pPr>
        <w:spacing w:line="360" w:lineRule="exact"/>
        <w:ind w:firstLine="560"/>
        <w:rPr>
          <w:rFonts w:ascii="仿宋" w:hAnsi="仿宋" w:eastAsia="仿宋"/>
          <w:color w:val="000000" w:themeColor="text1"/>
          <w:sz w:val="24"/>
          <w:highlight w:val="none"/>
        </w:rPr>
      </w:pPr>
      <w:r>
        <w:rPr>
          <w:rFonts w:hint="eastAsia" w:ascii="仿宋" w:hAnsi="仿宋" w:eastAsia="仿宋"/>
          <w:color w:val="000000" w:themeColor="text1"/>
          <w:sz w:val="24"/>
          <w:highlight w:val="none"/>
        </w:rPr>
        <w:t>法定代表人</w:t>
      </w:r>
      <w:r>
        <w:rPr>
          <w:rFonts w:hint="eastAsia" w:ascii="仿宋" w:hAnsi="仿宋" w:eastAsia="仿宋"/>
          <w:i/>
          <w:color w:val="000000" w:themeColor="text1"/>
          <w:sz w:val="24"/>
          <w:highlight w:val="none"/>
        </w:rPr>
        <w:t>（负责人）</w:t>
      </w:r>
      <w:r>
        <w:rPr>
          <w:rFonts w:hint="eastAsia" w:ascii="仿宋" w:hAnsi="仿宋" w:eastAsia="仿宋"/>
          <w:color w:val="000000" w:themeColor="text1"/>
          <w:sz w:val="24"/>
          <w:highlight w:val="none"/>
        </w:rPr>
        <w:t>或委托代理人：</w:t>
      </w:r>
      <w:r>
        <w:rPr>
          <w:rFonts w:hint="eastAsia" w:ascii="仿宋" w:hAnsi="仿宋" w:eastAsia="仿宋"/>
          <w:color w:val="000000" w:themeColor="text1"/>
          <w:sz w:val="24"/>
          <w:highlight w:val="none"/>
          <w:u w:val="single"/>
        </w:rPr>
        <w:t xml:space="preserve">            </w:t>
      </w:r>
      <w:r>
        <w:rPr>
          <w:rFonts w:hint="eastAsia" w:ascii="仿宋" w:hAnsi="仿宋" w:eastAsia="仿宋"/>
          <w:color w:val="000000" w:themeColor="text1"/>
          <w:sz w:val="24"/>
          <w:highlight w:val="none"/>
        </w:rPr>
        <w:t>（签字或盖章）</w:t>
      </w:r>
    </w:p>
    <w:p>
      <w:pPr>
        <w:spacing w:line="420" w:lineRule="exact"/>
        <w:ind w:firstLine="540" w:firstLineChars="225"/>
        <w:rPr>
          <w:rFonts w:ascii="仿宋" w:hAnsi="仿宋" w:eastAsia="仿宋"/>
          <w:color w:val="000000" w:themeColor="text1"/>
          <w:sz w:val="24"/>
          <w:highlight w:val="none"/>
          <w:u w:val="single"/>
        </w:rPr>
      </w:pPr>
      <w:r>
        <w:rPr>
          <w:rFonts w:hint="eastAsia" w:ascii="仿宋" w:hAnsi="仿宋" w:eastAsia="仿宋"/>
          <w:color w:val="000000" w:themeColor="text1"/>
          <w:sz w:val="24"/>
          <w:highlight w:val="none"/>
        </w:rPr>
        <w:t>单位地址：</w:t>
      </w:r>
      <w:r>
        <w:rPr>
          <w:rFonts w:hint="eastAsia" w:ascii="仿宋" w:hAnsi="仿宋" w:eastAsia="仿宋"/>
          <w:color w:val="000000" w:themeColor="text1"/>
          <w:sz w:val="24"/>
          <w:highlight w:val="none"/>
          <w:u w:val="single"/>
        </w:rPr>
        <w:t xml:space="preserve">                                 </w:t>
      </w:r>
      <w:r>
        <w:rPr>
          <w:rFonts w:hint="eastAsia" w:ascii="仿宋" w:hAnsi="仿宋" w:eastAsia="仿宋"/>
          <w:color w:val="000000" w:themeColor="text1"/>
          <w:sz w:val="24"/>
          <w:highlight w:val="none"/>
        </w:rPr>
        <w:t>邮编：</w:t>
      </w:r>
      <w:r>
        <w:rPr>
          <w:rFonts w:hint="eastAsia" w:ascii="仿宋" w:hAnsi="仿宋" w:eastAsia="仿宋"/>
          <w:color w:val="000000" w:themeColor="text1"/>
          <w:sz w:val="24"/>
          <w:highlight w:val="none"/>
          <w:u w:val="single"/>
        </w:rPr>
        <w:t xml:space="preserve">                  </w:t>
      </w:r>
    </w:p>
    <w:p>
      <w:pPr>
        <w:spacing w:line="420" w:lineRule="exact"/>
        <w:ind w:firstLine="540" w:firstLineChars="225"/>
        <w:rPr>
          <w:rFonts w:ascii="仿宋" w:hAnsi="仿宋" w:eastAsia="仿宋"/>
          <w:color w:val="000000" w:themeColor="text1"/>
          <w:sz w:val="24"/>
          <w:highlight w:val="none"/>
          <w:u w:val="single"/>
        </w:rPr>
      </w:pPr>
      <w:r>
        <w:rPr>
          <w:rFonts w:hint="eastAsia" w:ascii="仿宋" w:hAnsi="仿宋" w:eastAsia="仿宋"/>
          <w:color w:val="000000" w:themeColor="text1"/>
          <w:sz w:val="24"/>
          <w:highlight w:val="none"/>
        </w:rPr>
        <w:t>电话：</w:t>
      </w:r>
      <w:r>
        <w:rPr>
          <w:rFonts w:hint="eastAsia" w:ascii="仿宋" w:hAnsi="仿宋" w:eastAsia="仿宋"/>
          <w:color w:val="000000" w:themeColor="text1"/>
          <w:sz w:val="24"/>
          <w:highlight w:val="none"/>
          <w:u w:val="single"/>
        </w:rPr>
        <w:t xml:space="preserve">                              </w:t>
      </w:r>
      <w:r>
        <w:rPr>
          <w:rFonts w:hint="eastAsia" w:ascii="仿宋" w:hAnsi="仿宋" w:eastAsia="仿宋"/>
          <w:color w:val="000000" w:themeColor="text1"/>
          <w:sz w:val="24"/>
          <w:highlight w:val="none"/>
        </w:rPr>
        <w:t>传真：</w:t>
      </w:r>
      <w:r>
        <w:rPr>
          <w:rFonts w:hint="eastAsia" w:ascii="仿宋" w:hAnsi="仿宋" w:eastAsia="仿宋"/>
          <w:color w:val="000000" w:themeColor="text1"/>
          <w:sz w:val="24"/>
          <w:highlight w:val="none"/>
          <w:u w:val="single"/>
        </w:rPr>
        <w:t xml:space="preserve">                         </w:t>
      </w:r>
    </w:p>
    <w:p>
      <w:pPr>
        <w:spacing w:line="360" w:lineRule="exact"/>
        <w:ind w:firstLine="560"/>
        <w:rPr>
          <w:rFonts w:ascii="仿宋" w:hAnsi="仿宋" w:eastAsia="仿宋"/>
          <w:color w:val="000000" w:themeColor="text1"/>
          <w:sz w:val="24"/>
          <w:highlight w:val="none"/>
          <w:u w:val="single"/>
        </w:rPr>
      </w:pPr>
    </w:p>
    <w:p>
      <w:pPr>
        <w:spacing w:line="360" w:lineRule="exact"/>
        <w:ind w:firstLine="560"/>
        <w:rPr>
          <w:rFonts w:ascii="仿宋" w:hAnsi="仿宋" w:eastAsia="仿宋"/>
          <w:color w:val="000000" w:themeColor="text1"/>
          <w:sz w:val="24"/>
          <w:highlight w:val="none"/>
          <w:u w:val="single"/>
        </w:rPr>
      </w:pPr>
    </w:p>
    <w:p>
      <w:pPr>
        <w:spacing w:line="420" w:lineRule="exact"/>
        <w:ind w:right="480" w:firstLine="560"/>
        <w:jc w:val="center"/>
        <w:rPr>
          <w:rFonts w:ascii="仿宋" w:hAnsi="仿宋" w:eastAsia="仿宋"/>
          <w:color w:val="000000" w:themeColor="text1"/>
          <w:sz w:val="28"/>
          <w:szCs w:val="28"/>
          <w:highlight w:val="none"/>
        </w:rPr>
      </w:pPr>
      <w:r>
        <w:rPr>
          <w:rFonts w:hint="eastAsia" w:ascii="仿宋" w:hAnsi="仿宋" w:eastAsia="仿宋"/>
          <w:color w:val="000000" w:themeColor="text1"/>
          <w:sz w:val="28"/>
          <w:szCs w:val="28"/>
          <w:highlight w:val="none"/>
        </w:rPr>
        <w:t xml:space="preserve">             </w:t>
      </w:r>
    </w:p>
    <w:p>
      <w:pPr>
        <w:spacing w:line="360" w:lineRule="exact"/>
        <w:ind w:firstLine="560"/>
        <w:rPr>
          <w:rFonts w:ascii="仿宋" w:hAnsi="仿宋" w:eastAsia="仿宋"/>
          <w:color w:val="000000" w:themeColor="text1"/>
          <w:sz w:val="28"/>
          <w:szCs w:val="28"/>
          <w:highlight w:val="none"/>
        </w:rPr>
      </w:pPr>
      <w:r>
        <w:rPr>
          <w:rFonts w:hint="eastAsia" w:ascii="仿宋" w:hAnsi="仿宋" w:eastAsia="仿宋"/>
          <w:color w:val="000000" w:themeColor="text1"/>
          <w:sz w:val="28"/>
          <w:szCs w:val="28"/>
          <w:highlight w:val="none"/>
        </w:rPr>
        <w:t xml:space="preserve">                                   </w:t>
      </w:r>
      <w:r>
        <w:rPr>
          <w:rFonts w:hint="eastAsia" w:ascii="仿宋" w:hAnsi="仿宋" w:eastAsia="仿宋"/>
          <w:color w:val="000000" w:themeColor="text1"/>
          <w:sz w:val="24"/>
          <w:highlight w:val="none"/>
        </w:rPr>
        <w:t xml:space="preserve"> 年    月    日 </w:t>
      </w:r>
      <w:r>
        <w:rPr>
          <w:rFonts w:hint="eastAsia" w:ascii="仿宋" w:hAnsi="仿宋" w:eastAsia="仿宋"/>
          <w:color w:val="000000" w:themeColor="text1"/>
          <w:sz w:val="28"/>
          <w:szCs w:val="28"/>
          <w:highlight w:val="none"/>
        </w:rPr>
        <w:t xml:space="preserve">   </w:t>
      </w:r>
    </w:p>
    <w:p>
      <w:pPr>
        <w:spacing w:line="480" w:lineRule="auto"/>
        <w:rPr>
          <w:rFonts w:ascii="仿宋" w:hAnsi="仿宋" w:eastAsia="仿宋"/>
          <w:bCs/>
          <w:color w:val="000000" w:themeColor="text1"/>
          <w:highlight w:val="none"/>
        </w:rPr>
      </w:pPr>
    </w:p>
    <w:p>
      <w:pPr>
        <w:spacing w:beforeLines="100" w:afterLines="50" w:line="360" w:lineRule="auto"/>
        <w:jc w:val="left"/>
        <w:rPr>
          <w:rFonts w:ascii="仿宋" w:hAnsi="仿宋" w:eastAsia="仿宋"/>
          <w:bCs/>
          <w:color w:val="000000" w:themeColor="text1"/>
          <w:highlight w:val="none"/>
        </w:rPr>
      </w:pPr>
    </w:p>
    <w:p>
      <w:pPr>
        <w:spacing w:beforeLines="100" w:afterLines="50" w:line="360" w:lineRule="auto"/>
        <w:jc w:val="left"/>
        <w:rPr>
          <w:rFonts w:ascii="仿宋" w:hAnsi="仿宋" w:eastAsia="仿宋"/>
          <w:bCs/>
          <w:color w:val="000000" w:themeColor="text1"/>
          <w:highlight w:val="none"/>
        </w:rPr>
      </w:pPr>
    </w:p>
    <w:p>
      <w:pPr>
        <w:spacing w:beforeLines="100" w:afterLines="50" w:line="360" w:lineRule="auto"/>
        <w:jc w:val="left"/>
        <w:rPr>
          <w:rFonts w:hint="eastAsia" w:ascii="仿宋" w:hAnsi="仿宋" w:eastAsia="仿宋"/>
          <w:bCs/>
          <w:color w:val="000000" w:themeColor="text1"/>
          <w:highlight w:val="none"/>
        </w:rPr>
      </w:pPr>
    </w:p>
    <w:p>
      <w:pPr>
        <w:spacing w:beforeLines="100" w:afterLines="50" w:line="360" w:lineRule="auto"/>
        <w:jc w:val="left"/>
        <w:rPr>
          <w:rFonts w:hint="eastAsia" w:ascii="仿宋" w:hAnsi="仿宋" w:eastAsia="仿宋"/>
          <w:bCs/>
          <w:color w:val="000000" w:themeColor="text1"/>
          <w:highlight w:val="none"/>
        </w:rPr>
      </w:pPr>
    </w:p>
    <w:p>
      <w:pPr>
        <w:spacing w:beforeLines="100" w:afterLines="50" w:line="360" w:lineRule="auto"/>
        <w:jc w:val="left"/>
        <w:rPr>
          <w:rFonts w:hint="eastAsia" w:ascii="仿宋" w:hAnsi="仿宋" w:eastAsia="仿宋"/>
          <w:bCs/>
          <w:color w:val="000000" w:themeColor="text1"/>
          <w:highlight w:val="none"/>
        </w:rPr>
      </w:pPr>
    </w:p>
    <w:p>
      <w:pPr>
        <w:spacing w:beforeLines="100" w:afterLines="50" w:line="360" w:lineRule="auto"/>
        <w:jc w:val="left"/>
        <w:rPr>
          <w:rFonts w:hint="eastAsia" w:ascii="仿宋" w:hAnsi="仿宋" w:eastAsia="仿宋"/>
          <w:bCs/>
          <w:color w:val="000000" w:themeColor="text1"/>
          <w:highlight w:val="none"/>
        </w:rPr>
      </w:pPr>
    </w:p>
    <w:p>
      <w:pPr>
        <w:spacing w:beforeLines="100" w:afterLines="50" w:line="360" w:lineRule="auto"/>
        <w:jc w:val="left"/>
        <w:rPr>
          <w:rFonts w:ascii="仿宋" w:hAnsi="仿宋" w:eastAsia="仿宋"/>
          <w:b/>
          <w:bCs/>
          <w:color w:val="000000" w:themeColor="text1"/>
          <w:sz w:val="30"/>
          <w:highlight w:val="none"/>
        </w:rPr>
      </w:pPr>
      <w:r>
        <w:rPr>
          <w:rFonts w:hint="eastAsia" w:ascii="仿宋" w:hAnsi="仿宋" w:eastAsia="仿宋"/>
          <w:bCs/>
          <w:color w:val="000000" w:themeColor="text1"/>
          <w:highlight w:val="none"/>
        </w:rPr>
        <w:t>附件五</w:t>
      </w:r>
      <w:r>
        <w:rPr>
          <w:rFonts w:hint="eastAsia" w:ascii="仿宋" w:hAnsi="仿宋" w:eastAsia="仿宋"/>
          <w:b/>
          <w:bCs/>
          <w:color w:val="000000" w:themeColor="text1"/>
          <w:sz w:val="24"/>
          <w:highlight w:val="none"/>
        </w:rPr>
        <w:t>：</w:t>
      </w:r>
    </w:p>
    <w:p>
      <w:pPr>
        <w:spacing w:beforeLines="100" w:afterLines="50" w:line="360" w:lineRule="auto"/>
        <w:jc w:val="center"/>
        <w:rPr>
          <w:rFonts w:ascii="宋体" w:hAnsi="宋体"/>
          <w:b/>
          <w:bCs/>
          <w:color w:val="000000" w:themeColor="text1"/>
          <w:sz w:val="48"/>
          <w:szCs w:val="48"/>
          <w:highlight w:val="none"/>
        </w:rPr>
      </w:pPr>
      <w:r>
        <w:rPr>
          <w:rFonts w:hint="eastAsia" w:ascii="宋体" w:hAnsi="宋体"/>
          <w:b/>
          <w:bCs/>
          <w:color w:val="000000" w:themeColor="text1"/>
          <w:sz w:val="48"/>
          <w:szCs w:val="48"/>
          <w:highlight w:val="none"/>
        </w:rPr>
        <w:t>报  价  表</w:t>
      </w:r>
    </w:p>
    <w:p>
      <w:pPr>
        <w:pStyle w:val="8"/>
        <w:spacing w:beforeLines="100" w:line="360" w:lineRule="auto"/>
        <w:ind w:firstLine="0"/>
        <w:rPr>
          <w:rFonts w:ascii="仿宋" w:hAnsi="仿宋" w:eastAsia="仿宋"/>
          <w:color w:val="000000" w:themeColor="text1"/>
          <w:sz w:val="24"/>
          <w:szCs w:val="24"/>
          <w:highlight w:val="none"/>
        </w:rPr>
      </w:pPr>
      <w:r>
        <w:rPr>
          <w:rFonts w:ascii="仿宋" w:hAnsi="仿宋" w:eastAsia="仿宋"/>
          <w:color w:val="000000" w:themeColor="text1"/>
          <w:sz w:val="24"/>
          <w:szCs w:val="24"/>
          <w:highlight w:val="none"/>
        </w:rPr>
        <w:t xml:space="preserve">项目名称： </w:t>
      </w:r>
      <w:r>
        <w:rPr>
          <w:rFonts w:hint="eastAsia" w:ascii="仿宋" w:hAnsi="仿宋" w:eastAsia="仿宋"/>
          <w:color w:val="000000" w:themeColor="text1"/>
          <w:sz w:val="24"/>
          <w:szCs w:val="24"/>
          <w:highlight w:val="none"/>
        </w:rPr>
        <w:t xml:space="preserve"> 天台中学创新实验室和专用教室采购项目</w:t>
      </w:r>
      <w:r>
        <w:rPr>
          <w:rFonts w:hint="eastAsia" w:ascii="仿宋" w:hAnsi="仿宋" w:eastAsia="仿宋"/>
          <w:color w:val="000000" w:themeColor="text1"/>
          <w:sz w:val="24"/>
          <w:highlight w:val="none"/>
        </w:rPr>
        <w:t>（标项   ）</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494"/>
        <w:gridCol w:w="1575"/>
        <w:gridCol w:w="48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3494" w:type="dxa"/>
            <w:tcBorders>
              <w:top w:val="single" w:color="auto" w:sz="12" w:space="0"/>
              <w:left w:val="single" w:color="auto" w:sz="12" w:space="0"/>
              <w:bottom w:val="single" w:color="auto" w:sz="4" w:space="0"/>
            </w:tcBorders>
            <w:vAlign w:val="center"/>
          </w:tcPr>
          <w:p>
            <w:pPr>
              <w:spacing w:line="360" w:lineRule="auto"/>
              <w:ind w:right="-21" w:rightChars="-10"/>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采购内容</w:t>
            </w:r>
          </w:p>
        </w:tc>
        <w:tc>
          <w:tcPr>
            <w:tcW w:w="1575" w:type="dxa"/>
            <w:tcBorders>
              <w:top w:val="single" w:color="auto" w:sz="12" w:space="0"/>
              <w:bottom w:val="single" w:color="auto" w:sz="4" w:space="0"/>
              <w:right w:val="single" w:color="auto" w:sz="4" w:space="0"/>
            </w:tcBorders>
            <w:vAlign w:val="center"/>
          </w:tcPr>
          <w:p>
            <w:pPr>
              <w:spacing w:line="360" w:lineRule="auto"/>
              <w:ind w:right="-21" w:rightChars="-10"/>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数量</w:t>
            </w:r>
          </w:p>
        </w:tc>
        <w:tc>
          <w:tcPr>
            <w:tcW w:w="4889" w:type="dxa"/>
            <w:tcBorders>
              <w:top w:val="single" w:color="auto" w:sz="12" w:space="0"/>
              <w:left w:val="single" w:color="auto" w:sz="4" w:space="0"/>
              <w:bottom w:val="single" w:color="auto" w:sz="4" w:space="0"/>
              <w:right w:val="single" w:color="auto" w:sz="12" w:space="0"/>
            </w:tcBorders>
            <w:vAlign w:val="center"/>
          </w:tcPr>
          <w:p>
            <w:pPr>
              <w:spacing w:line="360" w:lineRule="auto"/>
              <w:ind w:right="-21" w:rightChars="-10"/>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金额（元）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34" w:hRule="atLeast"/>
          <w:jc w:val="center"/>
        </w:trPr>
        <w:tc>
          <w:tcPr>
            <w:tcW w:w="3494" w:type="dxa"/>
            <w:tcBorders>
              <w:top w:val="single" w:color="auto" w:sz="4" w:space="0"/>
              <w:left w:val="single" w:color="auto" w:sz="12" w:space="0"/>
            </w:tcBorders>
            <w:vAlign w:val="center"/>
          </w:tcPr>
          <w:p>
            <w:pPr>
              <w:spacing w:line="360" w:lineRule="auto"/>
              <w:ind w:right="-21" w:rightChars="-10"/>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 xml:space="preserve"> 天台中学创新实验室和专用教室采购</w:t>
            </w:r>
          </w:p>
        </w:tc>
        <w:tc>
          <w:tcPr>
            <w:tcW w:w="1575" w:type="dxa"/>
            <w:tcBorders>
              <w:top w:val="single" w:color="auto" w:sz="4" w:space="0"/>
              <w:right w:val="single" w:color="auto" w:sz="4" w:space="0"/>
            </w:tcBorders>
            <w:vAlign w:val="center"/>
          </w:tcPr>
          <w:p>
            <w:pPr>
              <w:spacing w:line="360" w:lineRule="auto"/>
              <w:ind w:right="-21" w:rightChars="-10"/>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1批</w:t>
            </w:r>
          </w:p>
        </w:tc>
        <w:tc>
          <w:tcPr>
            <w:tcW w:w="4889" w:type="dxa"/>
            <w:tcBorders>
              <w:top w:val="single" w:color="auto" w:sz="4" w:space="0"/>
              <w:left w:val="single" w:color="auto" w:sz="4" w:space="0"/>
              <w:right w:val="single" w:color="auto" w:sz="12" w:space="0"/>
            </w:tcBorders>
            <w:vAlign w:val="center"/>
          </w:tcPr>
          <w:p>
            <w:pPr>
              <w:spacing w:line="360" w:lineRule="auto"/>
              <w:ind w:right="-21" w:rightChars="-10"/>
              <w:rPr>
                <w:rFonts w:ascii="仿宋" w:hAnsi="仿宋" w:eastAsia="仿宋"/>
                <w:color w:val="000000" w:themeColor="text1"/>
                <w:sz w:val="24"/>
                <w:highlight w:val="none"/>
              </w:rPr>
            </w:pPr>
            <w:r>
              <w:rPr>
                <w:rFonts w:hint="eastAsia" w:ascii="仿宋" w:hAnsi="仿宋" w:eastAsia="仿宋"/>
                <w:color w:val="000000" w:themeColor="text1"/>
                <w:sz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9" w:hRule="atLeast"/>
          <w:jc w:val="center"/>
        </w:trPr>
        <w:tc>
          <w:tcPr>
            <w:tcW w:w="9958" w:type="dxa"/>
            <w:gridSpan w:val="3"/>
            <w:tcBorders>
              <w:left w:val="single" w:color="auto" w:sz="12" w:space="0"/>
              <w:bottom w:val="single" w:color="auto" w:sz="12" w:space="0"/>
              <w:right w:val="single" w:color="auto" w:sz="12" w:space="0"/>
            </w:tcBorders>
            <w:vAlign w:val="center"/>
          </w:tcPr>
          <w:p>
            <w:pPr>
              <w:spacing w:line="360" w:lineRule="auto"/>
              <w:ind w:right="-21" w:rightChars="-10"/>
              <w:rPr>
                <w:rFonts w:ascii="仿宋" w:hAnsi="仿宋" w:eastAsia="仿宋"/>
                <w:color w:val="000000" w:themeColor="text1"/>
                <w:sz w:val="24"/>
                <w:highlight w:val="none"/>
              </w:rPr>
            </w:pPr>
            <w:r>
              <w:rPr>
                <w:rFonts w:hint="eastAsia" w:ascii="仿宋" w:hAnsi="仿宋" w:eastAsia="仿宋"/>
                <w:color w:val="000000" w:themeColor="text1"/>
                <w:sz w:val="24"/>
                <w:highlight w:val="none"/>
              </w:rPr>
              <w:t>总价（大写）：                                                               元</w:t>
            </w:r>
          </w:p>
        </w:tc>
      </w:tr>
    </w:tbl>
    <w:p>
      <w:pPr>
        <w:pStyle w:val="20"/>
        <w:snapToGrid w:val="0"/>
        <w:spacing w:line="400" w:lineRule="exact"/>
        <w:jc w:val="left"/>
        <w:rPr>
          <w:rFonts w:ascii="仿宋" w:hAnsi="仿宋" w:eastAsia="仿宋"/>
          <w:bCs/>
          <w:color w:val="000000" w:themeColor="text1"/>
          <w:sz w:val="24"/>
          <w:szCs w:val="24"/>
          <w:highlight w:val="none"/>
        </w:rPr>
      </w:pPr>
      <w:r>
        <w:rPr>
          <w:rFonts w:ascii="仿宋" w:hAnsi="仿宋" w:eastAsia="仿宋"/>
          <w:color w:val="000000" w:themeColor="text1"/>
          <w:sz w:val="24"/>
          <w:szCs w:val="24"/>
          <w:highlight w:val="none"/>
        </w:rPr>
        <w:t>说明：1</w:t>
      </w:r>
      <w:r>
        <w:rPr>
          <w:rFonts w:hint="eastAsia" w:ascii="仿宋" w:hAnsi="仿宋" w:eastAsia="仿宋"/>
          <w:color w:val="000000" w:themeColor="text1"/>
          <w:sz w:val="24"/>
          <w:szCs w:val="24"/>
          <w:highlight w:val="none"/>
        </w:rPr>
        <w:t>、以上报价应包括货款、标准附件、备品备件、专用工具、包装、运输、装卸、保险、税金、规费、利润、货到就位（安装）、调试、培训、验收费、检测费、保修、售后服务，软件开发实施项目所需的调研、需求分析及软件的分析、设计、开发、编制、测试、安装、运行维护、技术服务以及合同包含的所有风险、责任、招标代理费等各项应有费用。</w:t>
      </w:r>
    </w:p>
    <w:p>
      <w:pPr>
        <w:spacing w:line="400" w:lineRule="exact"/>
        <w:ind w:firstLine="705" w:firstLineChars="294"/>
        <w:rPr>
          <w:rFonts w:ascii="仿宋" w:hAnsi="仿宋" w:eastAsia="仿宋"/>
          <w:color w:val="000000" w:themeColor="text1"/>
          <w:sz w:val="24"/>
          <w:highlight w:val="none"/>
        </w:rPr>
      </w:pPr>
      <w:r>
        <w:rPr>
          <w:rFonts w:hint="eastAsia" w:ascii="仿宋" w:hAnsi="仿宋" w:eastAsia="仿宋"/>
          <w:color w:val="000000" w:themeColor="text1"/>
          <w:sz w:val="24"/>
          <w:highlight w:val="none"/>
        </w:rPr>
        <w:t>2、附件五不得自行增减内容， 否则按无效标处理。</w:t>
      </w:r>
    </w:p>
    <w:p>
      <w:pPr>
        <w:spacing w:line="400" w:lineRule="exact"/>
        <w:ind w:firstLine="705" w:firstLineChars="294"/>
        <w:rPr>
          <w:rFonts w:ascii="仿宋" w:hAnsi="仿宋" w:eastAsia="仿宋"/>
          <w:color w:val="000000" w:themeColor="text1"/>
          <w:sz w:val="24"/>
          <w:highlight w:val="none"/>
        </w:rPr>
      </w:pPr>
      <w:r>
        <w:rPr>
          <w:rFonts w:hint="eastAsia" w:ascii="仿宋" w:hAnsi="仿宋" w:eastAsia="仿宋"/>
          <w:color w:val="000000" w:themeColor="text1"/>
          <w:sz w:val="24"/>
          <w:highlight w:val="none"/>
        </w:rPr>
        <w:t>3、报价不得超过采购预算或者最高限价，否则作无效标处理。</w:t>
      </w:r>
    </w:p>
    <w:p>
      <w:pPr>
        <w:pStyle w:val="35"/>
        <w:rPr>
          <w:color w:val="000000" w:themeColor="text1"/>
          <w:highlight w:val="none"/>
        </w:rPr>
      </w:pPr>
    </w:p>
    <w:p>
      <w:pPr>
        <w:pStyle w:val="35"/>
        <w:rPr>
          <w:color w:val="000000" w:themeColor="text1"/>
          <w:highlight w:val="none"/>
        </w:rPr>
      </w:pPr>
    </w:p>
    <w:p>
      <w:pPr>
        <w:pStyle w:val="35"/>
        <w:rPr>
          <w:color w:val="000000" w:themeColor="text1"/>
          <w:highlight w:val="none"/>
        </w:rPr>
      </w:pPr>
    </w:p>
    <w:p>
      <w:pPr>
        <w:spacing w:line="460" w:lineRule="exact"/>
        <w:ind w:firstLine="6120" w:firstLineChars="2550"/>
        <w:rPr>
          <w:rFonts w:ascii="仿宋" w:hAnsi="仿宋" w:eastAsia="仿宋"/>
          <w:color w:val="000000" w:themeColor="text1"/>
          <w:sz w:val="24"/>
          <w:highlight w:val="none"/>
        </w:rPr>
      </w:pPr>
      <w:r>
        <w:rPr>
          <w:rFonts w:hint="eastAsia" w:ascii="仿宋" w:hAnsi="仿宋" w:eastAsia="仿宋"/>
          <w:color w:val="000000" w:themeColor="text1"/>
          <w:sz w:val="24"/>
          <w:highlight w:val="none"/>
        </w:rPr>
        <w:t xml:space="preserve">投标人全称：（盖公章） </w:t>
      </w:r>
    </w:p>
    <w:p>
      <w:pPr>
        <w:spacing w:line="460" w:lineRule="exact"/>
        <w:ind w:firstLine="2310" w:firstLineChars="825"/>
        <w:rPr>
          <w:rFonts w:ascii="仿宋" w:hAnsi="仿宋" w:eastAsia="仿宋" w:cs="仿宋"/>
          <w:color w:val="000000" w:themeColor="text1"/>
          <w:sz w:val="28"/>
          <w:szCs w:val="28"/>
          <w:highlight w:val="none"/>
        </w:rPr>
      </w:pPr>
    </w:p>
    <w:p>
      <w:pPr>
        <w:spacing w:line="460" w:lineRule="exact"/>
        <w:jc w:val="center"/>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 xml:space="preserve">                                            年    月    日</w:t>
      </w:r>
    </w:p>
    <w:p>
      <w:pPr>
        <w:spacing w:line="360" w:lineRule="auto"/>
        <w:ind w:right="-110"/>
        <w:jc w:val="left"/>
        <w:rPr>
          <w:rFonts w:ascii="仿宋" w:hAnsi="仿宋" w:eastAsia="仿宋"/>
          <w:color w:val="000000" w:themeColor="text1"/>
          <w:sz w:val="28"/>
          <w:szCs w:val="28"/>
          <w:highlight w:val="none"/>
        </w:rPr>
      </w:pPr>
    </w:p>
    <w:p>
      <w:pPr>
        <w:spacing w:line="360" w:lineRule="auto"/>
        <w:ind w:right="-110"/>
        <w:jc w:val="left"/>
        <w:rPr>
          <w:rFonts w:ascii="仿宋" w:hAnsi="仿宋" w:eastAsia="仿宋"/>
          <w:bCs/>
          <w:color w:val="000000" w:themeColor="text1"/>
          <w:highlight w:val="none"/>
        </w:rPr>
      </w:pPr>
    </w:p>
    <w:p>
      <w:pPr>
        <w:pStyle w:val="35"/>
        <w:rPr>
          <w:color w:val="000000" w:themeColor="text1"/>
          <w:highlight w:val="none"/>
        </w:rPr>
      </w:pPr>
    </w:p>
    <w:p>
      <w:pPr>
        <w:pStyle w:val="35"/>
        <w:rPr>
          <w:color w:val="000000" w:themeColor="text1"/>
          <w:highlight w:val="none"/>
        </w:rPr>
      </w:pPr>
    </w:p>
    <w:p>
      <w:pPr>
        <w:pStyle w:val="35"/>
        <w:rPr>
          <w:color w:val="000000" w:themeColor="text1"/>
          <w:highlight w:val="none"/>
        </w:rPr>
      </w:pPr>
    </w:p>
    <w:p>
      <w:pPr>
        <w:pStyle w:val="35"/>
        <w:rPr>
          <w:color w:val="000000" w:themeColor="text1"/>
          <w:highlight w:val="none"/>
        </w:rPr>
      </w:pPr>
    </w:p>
    <w:p>
      <w:pPr>
        <w:pStyle w:val="35"/>
        <w:rPr>
          <w:color w:val="000000" w:themeColor="text1"/>
          <w:highlight w:val="none"/>
        </w:rPr>
      </w:pPr>
    </w:p>
    <w:p>
      <w:pPr>
        <w:pStyle w:val="35"/>
        <w:rPr>
          <w:color w:val="000000" w:themeColor="text1"/>
          <w:highlight w:val="none"/>
        </w:rPr>
      </w:pPr>
    </w:p>
    <w:p>
      <w:pPr>
        <w:spacing w:line="360" w:lineRule="auto"/>
        <w:ind w:right="-110"/>
        <w:jc w:val="left"/>
        <w:rPr>
          <w:rFonts w:ascii="仿宋" w:hAnsi="仿宋" w:eastAsia="仿宋"/>
          <w:bCs/>
          <w:color w:val="000000" w:themeColor="text1"/>
          <w:highlight w:val="none"/>
        </w:rPr>
      </w:pPr>
    </w:p>
    <w:p>
      <w:pPr>
        <w:spacing w:line="360" w:lineRule="auto"/>
        <w:ind w:right="-110"/>
        <w:jc w:val="left"/>
        <w:rPr>
          <w:rFonts w:ascii="仿宋" w:hAnsi="仿宋" w:eastAsia="仿宋"/>
          <w:b/>
          <w:bCs/>
          <w:color w:val="000000" w:themeColor="text1"/>
          <w:sz w:val="24"/>
          <w:highlight w:val="none"/>
        </w:rPr>
      </w:pPr>
      <w:r>
        <w:rPr>
          <w:rFonts w:hint="eastAsia" w:ascii="仿宋" w:hAnsi="仿宋" w:eastAsia="仿宋"/>
          <w:bCs/>
          <w:color w:val="000000" w:themeColor="text1"/>
          <w:highlight w:val="none"/>
        </w:rPr>
        <w:t>附件六</w:t>
      </w:r>
      <w:r>
        <w:rPr>
          <w:rFonts w:hint="eastAsia" w:ascii="仿宋" w:hAnsi="仿宋" w:eastAsia="仿宋"/>
          <w:b/>
          <w:bCs/>
          <w:color w:val="000000" w:themeColor="text1"/>
          <w:sz w:val="24"/>
          <w:highlight w:val="none"/>
        </w:rPr>
        <w:t>：</w:t>
      </w:r>
    </w:p>
    <w:p>
      <w:pPr>
        <w:spacing w:beforeLines="100" w:afterLines="50" w:line="400" w:lineRule="exact"/>
        <w:jc w:val="center"/>
        <w:rPr>
          <w:rFonts w:ascii="FangSong_GB2312" w:eastAsia="FangSong_GB2312"/>
          <w:bCs/>
          <w:color w:val="000000" w:themeColor="text1"/>
          <w:sz w:val="44"/>
          <w:szCs w:val="44"/>
          <w:highlight w:val="none"/>
        </w:rPr>
      </w:pPr>
      <w:r>
        <w:rPr>
          <w:rFonts w:hint="eastAsia" w:ascii="FangSong_GB2312" w:eastAsia="FangSong_GB2312"/>
          <w:bCs/>
          <w:color w:val="000000" w:themeColor="text1"/>
          <w:sz w:val="44"/>
          <w:szCs w:val="44"/>
          <w:highlight w:val="none"/>
        </w:rPr>
        <w:t>报价明细表</w:t>
      </w:r>
    </w:p>
    <w:p>
      <w:pPr>
        <w:pStyle w:val="8"/>
        <w:spacing w:beforeLines="100" w:line="360" w:lineRule="auto"/>
        <w:ind w:firstLine="0"/>
        <w:rPr>
          <w:rFonts w:ascii="仿宋" w:hAnsi="仿宋" w:eastAsia="仿宋"/>
          <w:color w:val="000000" w:themeColor="text1"/>
          <w:sz w:val="24"/>
          <w:szCs w:val="24"/>
          <w:highlight w:val="none"/>
        </w:rPr>
      </w:pPr>
      <w:r>
        <w:rPr>
          <w:rFonts w:ascii="仿宋" w:hAnsi="仿宋" w:eastAsia="仿宋"/>
          <w:color w:val="000000" w:themeColor="text1"/>
          <w:sz w:val="24"/>
          <w:szCs w:val="24"/>
          <w:highlight w:val="none"/>
        </w:rPr>
        <w:t xml:space="preserve">项目名称： </w:t>
      </w:r>
      <w:r>
        <w:rPr>
          <w:rFonts w:hint="eastAsia" w:ascii="仿宋" w:hAnsi="仿宋" w:eastAsia="仿宋"/>
          <w:color w:val="000000" w:themeColor="text1"/>
          <w:sz w:val="24"/>
          <w:szCs w:val="24"/>
          <w:highlight w:val="none"/>
        </w:rPr>
        <w:t xml:space="preserve"> 天台中学创新实验室和专用教室采购项目（标项   ）</w:t>
      </w:r>
    </w:p>
    <w:tbl>
      <w:tblPr>
        <w:tblStyle w:val="36"/>
        <w:tblW w:w="5128" w:type="pct"/>
        <w:jc w:val="center"/>
        <w:tblLayout w:type="fixed"/>
        <w:tblCellMar>
          <w:top w:w="0" w:type="dxa"/>
          <w:left w:w="108" w:type="dxa"/>
          <w:bottom w:w="0" w:type="dxa"/>
          <w:right w:w="108" w:type="dxa"/>
        </w:tblCellMar>
      </w:tblPr>
      <w:tblGrid>
        <w:gridCol w:w="796"/>
        <w:gridCol w:w="1909"/>
        <w:gridCol w:w="2031"/>
        <w:gridCol w:w="1128"/>
        <w:gridCol w:w="981"/>
        <w:gridCol w:w="1244"/>
        <w:gridCol w:w="307"/>
        <w:gridCol w:w="1128"/>
      </w:tblGrid>
      <w:tr>
        <w:tblPrEx>
          <w:tblCellMar>
            <w:top w:w="0" w:type="dxa"/>
            <w:left w:w="108" w:type="dxa"/>
            <w:bottom w:w="0" w:type="dxa"/>
            <w:right w:w="108" w:type="dxa"/>
          </w:tblCellMar>
        </w:tblPrEx>
        <w:trPr>
          <w:trHeight w:val="557" w:hRule="atLeast"/>
          <w:jc w:val="center"/>
        </w:trPr>
        <w:tc>
          <w:tcPr>
            <w:tcW w:w="41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sz w:val="22"/>
                <w:szCs w:val="22"/>
                <w:highlight w:val="none"/>
              </w:rPr>
            </w:pPr>
            <w:r>
              <w:rPr>
                <w:rFonts w:hint="eastAsia" w:ascii="宋体" w:hAnsi="宋体" w:cs="宋体"/>
                <w:b/>
                <w:bCs/>
                <w:color w:val="000000" w:themeColor="text1"/>
                <w:kern w:val="0"/>
                <w:sz w:val="22"/>
                <w:szCs w:val="22"/>
                <w:highlight w:val="none"/>
              </w:rPr>
              <w:t>序号</w:t>
            </w:r>
          </w:p>
        </w:tc>
        <w:tc>
          <w:tcPr>
            <w:tcW w:w="100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r>
              <w:rPr>
                <w:rFonts w:hint="eastAsia" w:ascii="宋体" w:hAnsi="宋体" w:cs="宋体"/>
                <w:b/>
                <w:bCs/>
                <w:color w:val="000000" w:themeColor="text1"/>
                <w:kern w:val="0"/>
                <w:sz w:val="22"/>
                <w:szCs w:val="22"/>
                <w:highlight w:val="none"/>
              </w:rPr>
              <w:t>货物名称</w:t>
            </w:r>
          </w:p>
        </w:tc>
        <w:tc>
          <w:tcPr>
            <w:tcW w:w="106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textAlignment w:val="center"/>
              <w:rPr>
                <w:rFonts w:ascii="宋体" w:hAnsi="宋体" w:cs="宋体"/>
                <w:b/>
                <w:bCs/>
                <w:color w:val="000000" w:themeColor="text1"/>
                <w:kern w:val="0"/>
                <w:sz w:val="22"/>
                <w:szCs w:val="22"/>
                <w:highlight w:val="none"/>
              </w:rPr>
            </w:pPr>
            <w:r>
              <w:rPr>
                <w:rFonts w:hint="eastAsia" w:ascii="宋体" w:hAnsi="宋体" w:cs="宋体"/>
                <w:b/>
                <w:bCs/>
                <w:color w:val="000000" w:themeColor="text1"/>
                <w:kern w:val="0"/>
                <w:sz w:val="22"/>
                <w:szCs w:val="22"/>
                <w:highlight w:val="none"/>
              </w:rPr>
              <w:t>品牌型号</w:t>
            </w:r>
          </w:p>
        </w:tc>
        <w:tc>
          <w:tcPr>
            <w:tcW w:w="59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r>
              <w:rPr>
                <w:rFonts w:hint="eastAsia" w:ascii="宋体" w:hAnsi="宋体" w:cs="宋体"/>
                <w:b/>
                <w:bCs/>
                <w:color w:val="000000" w:themeColor="text1"/>
                <w:kern w:val="0"/>
                <w:sz w:val="22"/>
                <w:szCs w:val="22"/>
                <w:highlight w:val="none"/>
              </w:rPr>
              <w:t>单位</w:t>
            </w:r>
          </w:p>
        </w:tc>
        <w:tc>
          <w:tcPr>
            <w:tcW w:w="515"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r>
              <w:rPr>
                <w:rFonts w:hint="eastAsia" w:ascii="宋体" w:hAnsi="宋体" w:cs="宋体"/>
                <w:b/>
                <w:bCs/>
                <w:color w:val="000000" w:themeColor="text1"/>
                <w:kern w:val="0"/>
                <w:sz w:val="22"/>
                <w:szCs w:val="22"/>
                <w:highlight w:val="none"/>
              </w:rPr>
              <w:t>数量</w:t>
            </w:r>
          </w:p>
        </w:tc>
        <w:tc>
          <w:tcPr>
            <w:tcW w:w="65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r>
              <w:rPr>
                <w:rFonts w:hint="eastAsia" w:ascii="宋体" w:hAnsi="宋体" w:cs="宋体"/>
                <w:b/>
                <w:bCs/>
                <w:color w:val="000000" w:themeColor="text1"/>
                <w:kern w:val="0"/>
                <w:sz w:val="22"/>
                <w:szCs w:val="22"/>
                <w:highlight w:val="none"/>
              </w:rPr>
              <w:t>单价（元）</w:t>
            </w:r>
          </w:p>
        </w:tc>
        <w:tc>
          <w:tcPr>
            <w:tcW w:w="751"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r>
              <w:rPr>
                <w:rFonts w:hint="eastAsia" w:ascii="宋体" w:hAnsi="宋体" w:cs="宋体"/>
                <w:b/>
                <w:bCs/>
                <w:color w:val="000000" w:themeColor="text1"/>
                <w:kern w:val="0"/>
                <w:sz w:val="22"/>
                <w:szCs w:val="22"/>
                <w:highlight w:val="none"/>
              </w:rPr>
              <w:t>小计（元）</w:t>
            </w:r>
          </w:p>
        </w:tc>
      </w:tr>
      <w:tr>
        <w:tblPrEx>
          <w:tblCellMar>
            <w:top w:w="0" w:type="dxa"/>
            <w:left w:w="108" w:type="dxa"/>
            <w:bottom w:w="0" w:type="dxa"/>
            <w:right w:w="108" w:type="dxa"/>
          </w:tblCellMar>
        </w:tblPrEx>
        <w:trPr>
          <w:trHeight w:val="557" w:hRule="atLeast"/>
          <w:jc w:val="center"/>
        </w:trPr>
        <w:tc>
          <w:tcPr>
            <w:tcW w:w="41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100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106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59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515"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65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751"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r>
      <w:tr>
        <w:tblPrEx>
          <w:tblCellMar>
            <w:top w:w="0" w:type="dxa"/>
            <w:left w:w="108" w:type="dxa"/>
            <w:bottom w:w="0" w:type="dxa"/>
            <w:right w:w="108" w:type="dxa"/>
          </w:tblCellMar>
        </w:tblPrEx>
        <w:trPr>
          <w:trHeight w:val="557" w:hRule="atLeast"/>
          <w:jc w:val="center"/>
        </w:trPr>
        <w:tc>
          <w:tcPr>
            <w:tcW w:w="41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100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106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59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515"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65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751"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r>
      <w:tr>
        <w:tblPrEx>
          <w:tblCellMar>
            <w:top w:w="0" w:type="dxa"/>
            <w:left w:w="108" w:type="dxa"/>
            <w:bottom w:w="0" w:type="dxa"/>
            <w:right w:w="108" w:type="dxa"/>
          </w:tblCellMar>
        </w:tblPrEx>
        <w:trPr>
          <w:trHeight w:val="557" w:hRule="atLeast"/>
          <w:jc w:val="center"/>
        </w:trPr>
        <w:tc>
          <w:tcPr>
            <w:tcW w:w="41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100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106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59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515"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65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751"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r>
      <w:tr>
        <w:tblPrEx>
          <w:tblCellMar>
            <w:top w:w="0" w:type="dxa"/>
            <w:left w:w="108" w:type="dxa"/>
            <w:bottom w:w="0" w:type="dxa"/>
            <w:right w:w="108" w:type="dxa"/>
          </w:tblCellMar>
        </w:tblPrEx>
        <w:trPr>
          <w:trHeight w:val="557" w:hRule="atLeast"/>
          <w:jc w:val="center"/>
        </w:trPr>
        <w:tc>
          <w:tcPr>
            <w:tcW w:w="41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100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106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59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515"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65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751"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r>
      <w:tr>
        <w:tblPrEx>
          <w:tblCellMar>
            <w:top w:w="0" w:type="dxa"/>
            <w:left w:w="108" w:type="dxa"/>
            <w:bottom w:w="0" w:type="dxa"/>
            <w:right w:w="108" w:type="dxa"/>
          </w:tblCellMar>
        </w:tblPrEx>
        <w:trPr>
          <w:trHeight w:val="557" w:hRule="atLeast"/>
          <w:jc w:val="center"/>
        </w:trPr>
        <w:tc>
          <w:tcPr>
            <w:tcW w:w="41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100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106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59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515"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65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751"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r>
      <w:tr>
        <w:tblPrEx>
          <w:tblCellMar>
            <w:top w:w="0" w:type="dxa"/>
            <w:left w:w="108" w:type="dxa"/>
            <w:bottom w:w="0" w:type="dxa"/>
            <w:right w:w="108" w:type="dxa"/>
          </w:tblCellMar>
        </w:tblPrEx>
        <w:trPr>
          <w:trHeight w:val="557" w:hRule="atLeast"/>
          <w:jc w:val="center"/>
        </w:trPr>
        <w:tc>
          <w:tcPr>
            <w:tcW w:w="41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100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106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59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515"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65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751"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r>
      <w:tr>
        <w:tblPrEx>
          <w:tblCellMar>
            <w:top w:w="0" w:type="dxa"/>
            <w:left w:w="108" w:type="dxa"/>
            <w:bottom w:w="0" w:type="dxa"/>
            <w:right w:w="108" w:type="dxa"/>
          </w:tblCellMar>
        </w:tblPrEx>
        <w:trPr>
          <w:trHeight w:val="557" w:hRule="atLeast"/>
          <w:jc w:val="center"/>
        </w:trPr>
        <w:tc>
          <w:tcPr>
            <w:tcW w:w="41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100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106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59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515"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65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751"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r>
      <w:tr>
        <w:tblPrEx>
          <w:tblCellMar>
            <w:top w:w="0" w:type="dxa"/>
            <w:left w:w="108" w:type="dxa"/>
            <w:bottom w:w="0" w:type="dxa"/>
            <w:right w:w="108" w:type="dxa"/>
          </w:tblCellMar>
        </w:tblPrEx>
        <w:trPr>
          <w:trHeight w:val="557" w:hRule="atLeast"/>
          <w:jc w:val="center"/>
        </w:trPr>
        <w:tc>
          <w:tcPr>
            <w:tcW w:w="41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100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106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59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515"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65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751"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r>
      <w:tr>
        <w:tblPrEx>
          <w:tblCellMar>
            <w:top w:w="0" w:type="dxa"/>
            <w:left w:w="108" w:type="dxa"/>
            <w:bottom w:w="0" w:type="dxa"/>
            <w:right w:w="108" w:type="dxa"/>
          </w:tblCellMar>
        </w:tblPrEx>
        <w:trPr>
          <w:trHeight w:val="557" w:hRule="atLeast"/>
          <w:jc w:val="center"/>
        </w:trPr>
        <w:tc>
          <w:tcPr>
            <w:tcW w:w="41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100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106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59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515"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65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751"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r>
      <w:tr>
        <w:tblPrEx>
          <w:tblCellMar>
            <w:top w:w="0" w:type="dxa"/>
            <w:left w:w="108" w:type="dxa"/>
            <w:bottom w:w="0" w:type="dxa"/>
            <w:right w:w="108" w:type="dxa"/>
          </w:tblCellMar>
        </w:tblPrEx>
        <w:trPr>
          <w:trHeight w:val="557" w:hRule="atLeast"/>
          <w:jc w:val="center"/>
        </w:trPr>
        <w:tc>
          <w:tcPr>
            <w:tcW w:w="41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100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106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59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515"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65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751"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r>
      <w:tr>
        <w:tblPrEx>
          <w:tblCellMar>
            <w:top w:w="0" w:type="dxa"/>
            <w:left w:w="108" w:type="dxa"/>
            <w:bottom w:w="0" w:type="dxa"/>
            <w:right w:w="108" w:type="dxa"/>
          </w:tblCellMar>
        </w:tblPrEx>
        <w:trPr>
          <w:trHeight w:val="557" w:hRule="atLeast"/>
          <w:jc w:val="center"/>
        </w:trPr>
        <w:tc>
          <w:tcPr>
            <w:tcW w:w="41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100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106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59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515"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65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751"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r>
      <w:tr>
        <w:tblPrEx>
          <w:tblCellMar>
            <w:top w:w="0" w:type="dxa"/>
            <w:left w:w="108" w:type="dxa"/>
            <w:bottom w:w="0" w:type="dxa"/>
            <w:right w:w="108" w:type="dxa"/>
          </w:tblCellMar>
        </w:tblPrEx>
        <w:trPr>
          <w:trHeight w:val="557" w:hRule="atLeast"/>
          <w:jc w:val="center"/>
        </w:trPr>
        <w:tc>
          <w:tcPr>
            <w:tcW w:w="418"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100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1066"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59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515"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653"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c>
          <w:tcPr>
            <w:tcW w:w="751" w:type="pct"/>
            <w:gridSpan w:val="2"/>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center"/>
              <w:textAlignment w:val="center"/>
              <w:rPr>
                <w:rFonts w:ascii="宋体" w:hAnsi="宋体" w:cs="宋体"/>
                <w:b/>
                <w:bCs/>
                <w:color w:val="000000" w:themeColor="text1"/>
                <w:kern w:val="0"/>
                <w:sz w:val="22"/>
                <w:szCs w:val="22"/>
                <w:highlight w:val="none"/>
              </w:rPr>
            </w:pPr>
          </w:p>
        </w:tc>
      </w:tr>
      <w:tr>
        <w:tblPrEx>
          <w:tblCellMar>
            <w:top w:w="0" w:type="dxa"/>
            <w:left w:w="108" w:type="dxa"/>
            <w:bottom w:w="0" w:type="dxa"/>
            <w:right w:w="108" w:type="dxa"/>
          </w:tblCellMar>
        </w:tblPrEx>
        <w:trPr>
          <w:trHeight w:val="534" w:hRule="atLeast"/>
          <w:jc w:val="center"/>
        </w:trPr>
        <w:tc>
          <w:tcPr>
            <w:tcW w:w="4407" w:type="pct"/>
            <w:gridSpan w:val="7"/>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textAlignment w:val="center"/>
              <w:rPr>
                <w:rFonts w:ascii="宋体" w:hAnsi="宋体" w:cs="宋体"/>
                <w:color w:val="000000" w:themeColor="text1"/>
                <w:kern w:val="0"/>
                <w:sz w:val="22"/>
                <w:szCs w:val="22"/>
                <w:highlight w:val="none"/>
              </w:rPr>
            </w:pPr>
            <w:r>
              <w:rPr>
                <w:rFonts w:hint="eastAsia" w:ascii="宋体" w:hAnsi="宋体" w:cs="宋体"/>
                <w:color w:val="000000" w:themeColor="text1"/>
                <w:kern w:val="0"/>
                <w:sz w:val="22"/>
                <w:szCs w:val="22"/>
                <w:highlight w:val="none"/>
              </w:rPr>
              <w:t>总计（元）：</w:t>
            </w:r>
          </w:p>
        </w:tc>
        <w:tc>
          <w:tcPr>
            <w:tcW w:w="592" w:type="pct"/>
            <w:tcBorders>
              <w:top w:val="single" w:color="000000" w:sz="4" w:space="0"/>
              <w:left w:val="single" w:color="000000" w:sz="4" w:space="0"/>
              <w:bottom w:val="single" w:color="000000" w:sz="4" w:space="0"/>
              <w:right w:val="single" w:color="000000" w:sz="4" w:space="0"/>
            </w:tcBorders>
            <w:vAlign w:val="center"/>
          </w:tcPr>
          <w:p>
            <w:pPr>
              <w:widowControl/>
              <w:spacing w:line="276" w:lineRule="auto"/>
              <w:jc w:val="left"/>
              <w:textAlignment w:val="center"/>
              <w:rPr>
                <w:rFonts w:ascii="宋体" w:hAnsi="宋体" w:cs="宋体"/>
                <w:color w:val="000000" w:themeColor="text1"/>
                <w:kern w:val="0"/>
                <w:sz w:val="22"/>
                <w:szCs w:val="22"/>
                <w:highlight w:val="none"/>
              </w:rPr>
            </w:pPr>
          </w:p>
        </w:tc>
      </w:tr>
    </w:tbl>
    <w:p>
      <w:pPr>
        <w:spacing w:line="360" w:lineRule="exact"/>
        <w:rPr>
          <w:rFonts w:ascii="FangSong_GB2312" w:hAnsi="宋体" w:eastAsia="FangSong_GB2312"/>
          <w:color w:val="000000" w:themeColor="text1"/>
          <w:szCs w:val="21"/>
          <w:highlight w:val="none"/>
        </w:rPr>
      </w:pPr>
      <w:r>
        <w:rPr>
          <w:rFonts w:hint="eastAsia" w:ascii="FangSong_GB2312" w:hAnsi="宋体" w:eastAsia="FangSong_GB2312"/>
          <w:color w:val="000000" w:themeColor="text1"/>
          <w:szCs w:val="21"/>
          <w:highlight w:val="none"/>
        </w:rPr>
        <w:t>说明： 1、</w:t>
      </w:r>
      <w:r>
        <w:rPr>
          <w:rFonts w:ascii="FangSong_GB2312" w:hAnsi="宋体" w:eastAsia="FangSong_GB2312"/>
          <w:color w:val="000000" w:themeColor="text1"/>
          <w:sz w:val="24"/>
          <w:highlight w:val="none"/>
        </w:rPr>
        <w:t>表格中行数不够用时可按相同格式增加行数，其他一切内容和格式不得更改</w:t>
      </w:r>
      <w:r>
        <w:rPr>
          <w:rFonts w:hint="eastAsia" w:ascii="FangSong_GB2312" w:hAnsi="宋体" w:eastAsia="FangSong_GB2312"/>
          <w:color w:val="000000" w:themeColor="text1"/>
          <w:szCs w:val="21"/>
          <w:highlight w:val="none"/>
        </w:rPr>
        <w:t>。</w:t>
      </w:r>
    </w:p>
    <w:p>
      <w:pPr>
        <w:spacing w:line="360" w:lineRule="exact"/>
        <w:ind w:firstLine="720" w:firstLineChars="300"/>
        <w:rPr>
          <w:rFonts w:ascii="FangSong_GB2312" w:hAnsi="宋体" w:eastAsia="FangSong_GB2312"/>
          <w:color w:val="000000" w:themeColor="text1"/>
          <w:sz w:val="24"/>
          <w:highlight w:val="none"/>
        </w:rPr>
      </w:pPr>
      <w:r>
        <w:rPr>
          <w:rFonts w:hint="eastAsia" w:ascii="FangSong_GB2312" w:hAnsi="宋体" w:eastAsia="FangSong_GB2312"/>
          <w:color w:val="000000" w:themeColor="text1"/>
          <w:sz w:val="24"/>
          <w:highlight w:val="none"/>
        </w:rPr>
        <w:t>2、品牌、规格型号栏如无的，标以“/”，不留空白。</w:t>
      </w:r>
    </w:p>
    <w:p>
      <w:pPr>
        <w:spacing w:line="360" w:lineRule="exact"/>
        <w:ind w:firstLine="720" w:firstLineChars="300"/>
        <w:rPr>
          <w:rFonts w:ascii="FangSong_GB2312" w:hAnsi="宋体" w:eastAsia="FangSong_GB2312"/>
          <w:color w:val="000000" w:themeColor="text1"/>
          <w:sz w:val="28"/>
          <w:szCs w:val="28"/>
          <w:highlight w:val="none"/>
        </w:rPr>
      </w:pPr>
      <w:r>
        <w:rPr>
          <w:rFonts w:hint="eastAsia" w:ascii="FangSong_GB2312" w:hAnsi="宋体" w:eastAsia="FangSong_GB2312"/>
          <w:color w:val="000000" w:themeColor="text1"/>
          <w:sz w:val="24"/>
          <w:highlight w:val="none"/>
        </w:rPr>
        <w:t>3、本表中合计金额应与总价相一致。</w:t>
      </w:r>
    </w:p>
    <w:p>
      <w:pPr>
        <w:spacing w:line="360" w:lineRule="exact"/>
        <w:ind w:firstLine="3500" w:firstLineChars="1250"/>
        <w:jc w:val="right"/>
        <w:rPr>
          <w:rFonts w:hint="eastAsia" w:ascii="FangSong_GB2312" w:hAnsi="宋体" w:eastAsia="FangSong_GB2312"/>
          <w:color w:val="000000" w:themeColor="text1"/>
          <w:sz w:val="28"/>
          <w:szCs w:val="28"/>
          <w:highlight w:val="none"/>
        </w:rPr>
      </w:pPr>
    </w:p>
    <w:p>
      <w:pPr>
        <w:spacing w:line="360" w:lineRule="exact"/>
        <w:ind w:firstLine="3500" w:firstLineChars="1250"/>
        <w:jc w:val="right"/>
        <w:rPr>
          <w:rFonts w:ascii="仿宋" w:hAnsi="仿宋" w:eastAsia="仿宋"/>
          <w:bCs/>
          <w:color w:val="000000" w:themeColor="text1"/>
          <w:highlight w:val="none"/>
        </w:rPr>
      </w:pPr>
      <w:r>
        <w:rPr>
          <w:rFonts w:hint="eastAsia" w:ascii="FangSong_GB2312" w:hAnsi="宋体" w:eastAsia="FangSong_GB2312"/>
          <w:color w:val="000000" w:themeColor="text1"/>
          <w:sz w:val="28"/>
          <w:szCs w:val="28"/>
          <w:highlight w:val="none"/>
        </w:rPr>
        <w:t>投标人全称：</w:t>
      </w:r>
      <w:r>
        <w:rPr>
          <w:rFonts w:hint="eastAsia" w:ascii="FangSong_GB2312" w:hAnsi="宋体" w:eastAsia="FangSong_GB2312"/>
          <w:color w:val="000000" w:themeColor="text1"/>
          <w:sz w:val="28"/>
          <w:szCs w:val="28"/>
          <w:highlight w:val="none"/>
          <w:u w:val="single"/>
        </w:rPr>
        <w:t xml:space="preserve">                   </w:t>
      </w:r>
      <w:r>
        <w:rPr>
          <w:rFonts w:hint="eastAsia" w:ascii="FangSong_GB2312" w:hAnsi="宋体" w:eastAsia="FangSong_GB2312"/>
          <w:color w:val="000000" w:themeColor="text1"/>
          <w:sz w:val="28"/>
          <w:szCs w:val="28"/>
          <w:highlight w:val="none"/>
        </w:rPr>
        <w:t>（盖公章）         年    月    日</w:t>
      </w:r>
    </w:p>
    <w:p>
      <w:pPr>
        <w:pStyle w:val="18"/>
        <w:spacing w:line="600" w:lineRule="exact"/>
        <w:ind w:left="0" w:firstLine="0"/>
        <w:jc w:val="left"/>
        <w:rPr>
          <w:rFonts w:hint="default" w:ascii="FangSong_GB2312" w:eastAsia="FangSong_GB2312"/>
          <w:color w:val="000000" w:themeColor="text1"/>
          <w:highlight w:val="none"/>
        </w:rPr>
      </w:pPr>
    </w:p>
    <w:p>
      <w:pPr>
        <w:pStyle w:val="18"/>
        <w:spacing w:line="600" w:lineRule="exact"/>
        <w:ind w:left="0" w:firstLine="0"/>
        <w:jc w:val="left"/>
        <w:rPr>
          <w:rFonts w:hint="default" w:ascii="FangSong_GB2312" w:eastAsia="FangSong_GB2312"/>
          <w:color w:val="000000" w:themeColor="text1"/>
          <w:highlight w:val="none"/>
        </w:rPr>
      </w:pPr>
    </w:p>
    <w:p>
      <w:pPr>
        <w:pStyle w:val="18"/>
        <w:spacing w:line="600" w:lineRule="exact"/>
        <w:ind w:left="0" w:firstLine="0"/>
        <w:jc w:val="left"/>
        <w:rPr>
          <w:rFonts w:hint="default" w:ascii="FangSong_GB2312" w:eastAsia="FangSong_GB2312"/>
          <w:color w:val="000000" w:themeColor="text1"/>
          <w:highlight w:val="none"/>
        </w:rPr>
      </w:pPr>
    </w:p>
    <w:p>
      <w:pPr>
        <w:pStyle w:val="18"/>
        <w:spacing w:line="600" w:lineRule="exact"/>
        <w:ind w:left="0" w:firstLine="0"/>
        <w:jc w:val="left"/>
        <w:rPr>
          <w:rFonts w:hint="default" w:ascii="FangSong_GB2312" w:eastAsia="FangSong_GB2312"/>
          <w:color w:val="000000" w:themeColor="text1"/>
          <w:highlight w:val="none"/>
        </w:rPr>
      </w:pPr>
      <w:r>
        <w:rPr>
          <w:rFonts w:ascii="FangSong_GB2312" w:eastAsia="FangSong_GB2312"/>
          <w:color w:val="000000" w:themeColor="text1"/>
          <w:highlight w:val="none"/>
        </w:rPr>
        <w:t xml:space="preserve">附件七：               </w:t>
      </w:r>
    </w:p>
    <w:p>
      <w:pPr>
        <w:pStyle w:val="18"/>
        <w:spacing w:line="600" w:lineRule="exact"/>
        <w:ind w:firstLine="498"/>
        <w:jc w:val="center"/>
        <w:rPr>
          <w:rFonts w:ascii="仿宋" w:hAnsi="仿宋" w:eastAsia="仿宋"/>
          <w:bCs/>
          <w:color w:val="000000" w:themeColor="text1"/>
          <w:sz w:val="44"/>
          <w:szCs w:val="44"/>
          <w:highlight w:val="none"/>
        </w:rPr>
      </w:pPr>
    </w:p>
    <w:p>
      <w:pPr>
        <w:pStyle w:val="18"/>
        <w:spacing w:line="600" w:lineRule="exact"/>
        <w:ind w:firstLine="498"/>
        <w:jc w:val="center"/>
        <w:rPr>
          <w:rFonts w:ascii="仿宋" w:hAnsi="仿宋" w:eastAsia="仿宋"/>
          <w:bCs/>
          <w:color w:val="000000" w:themeColor="text1"/>
          <w:sz w:val="44"/>
          <w:szCs w:val="44"/>
          <w:highlight w:val="none"/>
        </w:rPr>
      </w:pPr>
      <w:r>
        <w:rPr>
          <w:rFonts w:ascii="仿宋" w:hAnsi="仿宋" w:eastAsia="仿宋"/>
          <w:bCs/>
          <w:color w:val="000000" w:themeColor="text1"/>
          <w:sz w:val="44"/>
          <w:szCs w:val="44"/>
          <w:highlight w:val="none"/>
        </w:rPr>
        <w:t>中小企业声明函</w:t>
      </w:r>
    </w:p>
    <w:p>
      <w:pPr>
        <w:pStyle w:val="8"/>
        <w:rPr>
          <w:rFonts w:hint="default"/>
          <w:color w:val="000000" w:themeColor="text1"/>
          <w:highlight w:val="none"/>
        </w:rPr>
      </w:pPr>
    </w:p>
    <w:p>
      <w:pPr>
        <w:widowControl/>
        <w:spacing w:line="440" w:lineRule="exact"/>
        <w:ind w:firstLine="480" w:firstLineChars="200"/>
        <w:jc w:val="left"/>
        <w:rPr>
          <w:rFonts w:ascii="宋体" w:hAnsi="宋体" w:cs="宋体"/>
          <w:color w:val="000000" w:themeColor="text1"/>
          <w:kern w:val="0"/>
          <w:sz w:val="24"/>
          <w:highlight w:val="none"/>
        </w:rPr>
      </w:pPr>
      <w:r>
        <w:rPr>
          <w:rFonts w:hint="eastAsia" w:ascii="宋体" w:hAnsi="宋体" w:cs="宋体"/>
          <w:color w:val="000000" w:themeColor="text1"/>
          <w:kern w:val="0"/>
          <w:sz w:val="24"/>
          <w:highlight w:val="none"/>
        </w:rPr>
        <w:t xml:space="preserve">本公司郑重声明，根据《政府采购促进中小企业发展管理办法》（财库﹝2020﹞46 号）的规定，本公司（联合体）参加 </w:t>
      </w:r>
      <w:r>
        <w:rPr>
          <w:rFonts w:hint="eastAsia" w:ascii="宋体" w:hAnsi="宋体" w:cs="宋体"/>
          <w:color w:val="000000" w:themeColor="text1"/>
          <w:kern w:val="0"/>
          <w:sz w:val="24"/>
          <w:highlight w:val="none"/>
          <w:u w:val="single"/>
        </w:rPr>
        <w:t>（单位名称）</w:t>
      </w:r>
      <w:r>
        <w:rPr>
          <w:rFonts w:hint="eastAsia" w:ascii="宋体" w:hAnsi="宋体" w:cs="宋体"/>
          <w:color w:val="000000" w:themeColor="text1"/>
          <w:kern w:val="0"/>
          <w:sz w:val="24"/>
          <w:highlight w:val="none"/>
        </w:rPr>
        <w:t xml:space="preserve"> 的 </w:t>
      </w:r>
      <w:r>
        <w:rPr>
          <w:rFonts w:hint="eastAsia" w:ascii="宋体" w:hAnsi="宋体" w:cs="宋体"/>
          <w:color w:val="000000" w:themeColor="text1"/>
          <w:kern w:val="0"/>
          <w:sz w:val="24"/>
          <w:highlight w:val="none"/>
          <w:u w:val="single"/>
        </w:rPr>
        <w:t>（项目名称）</w:t>
      </w:r>
      <w:r>
        <w:rPr>
          <w:rFonts w:hint="eastAsia" w:ascii="宋体" w:hAnsi="宋体" w:cs="宋体"/>
          <w:color w:val="000000" w:themeColor="text1"/>
          <w:kern w:val="0"/>
          <w:sz w:val="24"/>
          <w:highlight w:val="none"/>
        </w:rPr>
        <w:t xml:space="preserve"> 采购活动，提供的货物全部由符合政策要求的中小企业制造。相关企业（含联合体中的中小企业、签订分包意向协议的中小企业）的具体情况如下：</w:t>
      </w:r>
    </w:p>
    <w:p>
      <w:pPr>
        <w:widowControl/>
        <w:spacing w:line="440" w:lineRule="exact"/>
        <w:jc w:val="left"/>
        <w:rPr>
          <w:rFonts w:ascii="宋体" w:hAnsi="宋体" w:cs="宋体"/>
          <w:color w:val="000000" w:themeColor="text1"/>
          <w:kern w:val="0"/>
          <w:sz w:val="24"/>
          <w:highlight w:val="none"/>
        </w:rPr>
      </w:pPr>
      <w:r>
        <w:rPr>
          <w:rFonts w:hint="eastAsia" w:ascii="宋体" w:hAnsi="宋体" w:cs="宋体"/>
          <w:color w:val="000000" w:themeColor="text1"/>
          <w:kern w:val="0"/>
          <w:sz w:val="24"/>
          <w:highlight w:val="none"/>
        </w:rPr>
        <w:t xml:space="preserve">1. </w:t>
      </w:r>
      <w:r>
        <w:rPr>
          <w:rFonts w:hint="eastAsia" w:ascii="宋体" w:hAnsi="宋体" w:cs="宋体"/>
          <w:color w:val="000000" w:themeColor="text1"/>
          <w:kern w:val="0"/>
          <w:sz w:val="24"/>
          <w:highlight w:val="none"/>
          <w:u w:val="single"/>
        </w:rPr>
        <w:t xml:space="preserve">（标的名称） </w:t>
      </w:r>
      <w:r>
        <w:rPr>
          <w:rFonts w:hint="eastAsia" w:ascii="宋体" w:hAnsi="宋体" w:cs="宋体"/>
          <w:color w:val="000000" w:themeColor="text1"/>
          <w:kern w:val="0"/>
          <w:sz w:val="24"/>
          <w:highlight w:val="none"/>
        </w:rPr>
        <w:t>， 属于</w:t>
      </w:r>
      <w:r>
        <w:rPr>
          <w:rFonts w:hint="eastAsia" w:ascii="宋体" w:hAnsi="宋体" w:cs="宋体"/>
          <w:color w:val="000000" w:themeColor="text1"/>
          <w:kern w:val="0"/>
          <w:sz w:val="24"/>
          <w:highlight w:val="none"/>
          <w:u w:val="single"/>
        </w:rPr>
        <w:t xml:space="preserve"> （采购文件中明确的所属行业） </w:t>
      </w:r>
      <w:r>
        <w:rPr>
          <w:rFonts w:hint="eastAsia" w:ascii="宋体" w:hAnsi="宋体" w:cs="宋体"/>
          <w:color w:val="000000" w:themeColor="text1"/>
          <w:kern w:val="0"/>
          <w:sz w:val="24"/>
          <w:highlight w:val="none"/>
        </w:rPr>
        <w:t xml:space="preserve">；制造商为 </w:t>
      </w:r>
      <w:r>
        <w:rPr>
          <w:rFonts w:hint="eastAsia" w:ascii="宋体" w:hAnsi="宋体" w:cs="宋体"/>
          <w:color w:val="000000" w:themeColor="text1"/>
          <w:kern w:val="0"/>
          <w:sz w:val="24"/>
          <w:highlight w:val="none"/>
          <w:u w:val="single"/>
        </w:rPr>
        <w:t xml:space="preserve">（企业名称） </w:t>
      </w:r>
      <w:r>
        <w:rPr>
          <w:rFonts w:hint="eastAsia" w:ascii="宋体" w:hAnsi="宋体" w:cs="宋体"/>
          <w:color w:val="000000" w:themeColor="text1"/>
          <w:kern w:val="0"/>
          <w:sz w:val="24"/>
          <w:highlight w:val="none"/>
        </w:rPr>
        <w:t>，从业人员</w:t>
      </w:r>
      <w:r>
        <w:rPr>
          <w:rFonts w:hint="eastAsia" w:ascii="宋体" w:hAnsi="宋体" w:cs="宋体"/>
          <w:color w:val="000000" w:themeColor="text1"/>
          <w:kern w:val="0"/>
          <w:sz w:val="24"/>
          <w:highlight w:val="none"/>
          <w:u w:val="single"/>
        </w:rPr>
        <w:t xml:space="preserve">    </w:t>
      </w:r>
      <w:r>
        <w:rPr>
          <w:rFonts w:hint="eastAsia" w:ascii="宋体" w:hAnsi="宋体" w:cs="宋体"/>
          <w:color w:val="000000" w:themeColor="text1"/>
          <w:kern w:val="0"/>
          <w:sz w:val="24"/>
          <w:highlight w:val="none"/>
        </w:rPr>
        <w:t>人，营业收入为</w:t>
      </w:r>
      <w:r>
        <w:rPr>
          <w:rFonts w:hint="eastAsia" w:ascii="宋体" w:hAnsi="宋体" w:cs="宋体"/>
          <w:color w:val="000000" w:themeColor="text1"/>
          <w:kern w:val="0"/>
          <w:sz w:val="24"/>
          <w:highlight w:val="none"/>
          <w:u w:val="single"/>
        </w:rPr>
        <w:t xml:space="preserve">     </w:t>
      </w:r>
      <w:r>
        <w:rPr>
          <w:rFonts w:hint="eastAsia" w:ascii="宋体" w:hAnsi="宋体" w:cs="宋体"/>
          <w:color w:val="000000" w:themeColor="text1"/>
          <w:kern w:val="0"/>
          <w:sz w:val="24"/>
          <w:highlight w:val="none"/>
        </w:rPr>
        <w:t>万元，资产总额为</w:t>
      </w:r>
      <w:r>
        <w:rPr>
          <w:rFonts w:hint="eastAsia" w:ascii="宋体" w:hAnsi="宋体" w:cs="宋体"/>
          <w:color w:val="000000" w:themeColor="text1"/>
          <w:kern w:val="0"/>
          <w:sz w:val="24"/>
          <w:highlight w:val="none"/>
          <w:u w:val="single"/>
        </w:rPr>
        <w:t xml:space="preserve">     </w:t>
      </w:r>
      <w:r>
        <w:rPr>
          <w:rFonts w:hint="eastAsia" w:ascii="宋体" w:hAnsi="宋体" w:cs="宋体"/>
          <w:color w:val="000000" w:themeColor="text1"/>
          <w:kern w:val="0"/>
          <w:sz w:val="24"/>
          <w:highlight w:val="none"/>
        </w:rPr>
        <w:t>万元，属于</w:t>
      </w:r>
      <w:r>
        <w:rPr>
          <w:rFonts w:hint="eastAsia" w:ascii="宋体" w:hAnsi="宋体" w:cs="宋体"/>
          <w:color w:val="000000" w:themeColor="text1"/>
          <w:kern w:val="0"/>
          <w:sz w:val="24"/>
          <w:highlight w:val="none"/>
          <w:u w:val="single"/>
        </w:rPr>
        <w:t xml:space="preserve"> （中型企业、小型企业、微型企业）</w:t>
      </w:r>
      <w:r>
        <w:rPr>
          <w:rFonts w:hint="eastAsia" w:ascii="宋体" w:hAnsi="宋体" w:cs="宋体"/>
          <w:color w:val="000000" w:themeColor="text1"/>
          <w:kern w:val="0"/>
          <w:sz w:val="24"/>
          <w:highlight w:val="none"/>
        </w:rPr>
        <w:t>；</w:t>
      </w:r>
    </w:p>
    <w:p>
      <w:pPr>
        <w:widowControl/>
        <w:spacing w:line="440" w:lineRule="exact"/>
        <w:jc w:val="left"/>
        <w:rPr>
          <w:rFonts w:ascii="宋体" w:hAnsi="宋体" w:cs="宋体"/>
          <w:color w:val="000000" w:themeColor="text1"/>
          <w:kern w:val="0"/>
          <w:sz w:val="24"/>
          <w:highlight w:val="none"/>
        </w:rPr>
      </w:pPr>
      <w:r>
        <w:rPr>
          <w:rFonts w:hint="eastAsia" w:ascii="宋体" w:hAnsi="宋体" w:cs="宋体"/>
          <w:color w:val="000000" w:themeColor="text1"/>
          <w:kern w:val="0"/>
          <w:sz w:val="24"/>
          <w:highlight w:val="none"/>
        </w:rPr>
        <w:t>……</w:t>
      </w:r>
    </w:p>
    <w:p>
      <w:pPr>
        <w:widowControl/>
        <w:spacing w:line="440" w:lineRule="exact"/>
        <w:jc w:val="left"/>
        <w:rPr>
          <w:rFonts w:ascii="宋体" w:hAnsi="宋体" w:cs="宋体"/>
          <w:color w:val="000000" w:themeColor="text1"/>
          <w:kern w:val="0"/>
          <w:sz w:val="24"/>
          <w:highlight w:val="none"/>
        </w:rPr>
      </w:pPr>
      <w:r>
        <w:rPr>
          <w:rFonts w:hint="eastAsia" w:ascii="宋体" w:hAnsi="宋体" w:cs="宋体"/>
          <w:color w:val="000000" w:themeColor="text1"/>
          <w:kern w:val="0"/>
          <w:sz w:val="24"/>
          <w:highlight w:val="none"/>
        </w:rPr>
        <w:t>以上企业，不属于大企业的分支机构，不存在控股股东为大企业的情形，也不存在与大企业的负责人为同一人的情形。</w:t>
      </w:r>
    </w:p>
    <w:p>
      <w:pPr>
        <w:widowControl/>
        <w:spacing w:line="440" w:lineRule="exact"/>
        <w:jc w:val="left"/>
        <w:rPr>
          <w:rFonts w:ascii="宋体" w:hAnsi="宋体" w:cs="宋体"/>
          <w:color w:val="000000" w:themeColor="text1"/>
          <w:kern w:val="0"/>
          <w:sz w:val="24"/>
          <w:highlight w:val="none"/>
        </w:rPr>
      </w:pPr>
      <w:r>
        <w:rPr>
          <w:rFonts w:hint="eastAsia" w:ascii="宋体" w:hAnsi="宋体" w:cs="宋体"/>
          <w:color w:val="000000" w:themeColor="text1"/>
          <w:kern w:val="0"/>
          <w:sz w:val="24"/>
          <w:highlight w:val="none"/>
        </w:rPr>
        <w:t>本企业对上述声明内容的真实性负责。如有虚假，将依法承担相应责任。</w:t>
      </w:r>
    </w:p>
    <w:p>
      <w:pPr>
        <w:widowControl/>
        <w:spacing w:line="440" w:lineRule="exact"/>
        <w:jc w:val="left"/>
        <w:rPr>
          <w:rFonts w:ascii="宋体" w:hAnsi="宋体" w:cs="宋体"/>
          <w:color w:val="000000" w:themeColor="text1"/>
          <w:kern w:val="0"/>
          <w:sz w:val="24"/>
          <w:highlight w:val="none"/>
        </w:rPr>
      </w:pPr>
    </w:p>
    <w:p>
      <w:pPr>
        <w:widowControl/>
        <w:spacing w:line="440" w:lineRule="exact"/>
        <w:jc w:val="center"/>
        <w:rPr>
          <w:rFonts w:ascii="宋体" w:hAnsi="宋体" w:cs="宋体"/>
          <w:color w:val="000000" w:themeColor="text1"/>
          <w:kern w:val="0"/>
          <w:sz w:val="24"/>
          <w:highlight w:val="none"/>
        </w:rPr>
      </w:pPr>
      <w:r>
        <w:rPr>
          <w:rFonts w:hint="eastAsia" w:ascii="宋体" w:hAnsi="宋体" w:cs="宋体"/>
          <w:color w:val="000000" w:themeColor="text1"/>
          <w:kern w:val="0"/>
          <w:sz w:val="24"/>
          <w:highlight w:val="none"/>
        </w:rPr>
        <w:t xml:space="preserve">                                    企业名称（盖章）：</w:t>
      </w:r>
    </w:p>
    <w:p>
      <w:pPr>
        <w:widowControl/>
        <w:spacing w:line="440" w:lineRule="exact"/>
        <w:jc w:val="center"/>
        <w:rPr>
          <w:rFonts w:ascii="宋体" w:hAnsi="宋体" w:cs="宋体"/>
          <w:color w:val="000000" w:themeColor="text1"/>
          <w:kern w:val="0"/>
          <w:sz w:val="24"/>
          <w:highlight w:val="none"/>
        </w:rPr>
      </w:pPr>
      <w:r>
        <w:rPr>
          <w:rFonts w:hint="eastAsia" w:ascii="宋体" w:hAnsi="宋体" w:cs="宋体"/>
          <w:color w:val="000000" w:themeColor="text1"/>
          <w:kern w:val="0"/>
          <w:sz w:val="24"/>
          <w:highlight w:val="none"/>
        </w:rPr>
        <w:t xml:space="preserve">                          日  期：</w:t>
      </w:r>
    </w:p>
    <w:p>
      <w:pPr>
        <w:widowControl/>
        <w:spacing w:line="440" w:lineRule="exact"/>
        <w:jc w:val="center"/>
        <w:rPr>
          <w:rFonts w:ascii="宋体" w:hAnsi="宋体" w:cs="宋体"/>
          <w:b/>
          <w:color w:val="000000" w:themeColor="text1"/>
          <w:kern w:val="0"/>
          <w:sz w:val="24"/>
          <w:highlight w:val="none"/>
        </w:rPr>
      </w:pPr>
    </w:p>
    <w:p>
      <w:pPr>
        <w:widowControl/>
        <w:spacing w:line="440" w:lineRule="exact"/>
        <w:jc w:val="left"/>
        <w:rPr>
          <w:rFonts w:ascii="宋体" w:hAnsi="宋体" w:cs="宋体"/>
          <w:color w:val="000000" w:themeColor="text1"/>
          <w:kern w:val="0"/>
          <w:sz w:val="24"/>
          <w:highlight w:val="none"/>
        </w:rPr>
      </w:pPr>
      <w:r>
        <w:rPr>
          <w:rFonts w:hint="eastAsia" w:ascii="宋体" w:hAnsi="宋体" w:cs="宋体"/>
          <w:color w:val="000000" w:themeColor="text1"/>
          <w:kern w:val="0"/>
          <w:sz w:val="24"/>
          <w:highlight w:val="none"/>
        </w:rPr>
        <w:t>注：小微企业官方查询渠道：国家企业信用公示系统（http://xwqy.gsxt.gov.cn/）</w:t>
      </w:r>
    </w:p>
    <w:p>
      <w:pPr>
        <w:spacing w:line="360" w:lineRule="auto"/>
        <w:jc w:val="left"/>
        <w:rPr>
          <w:rFonts w:ascii="仿宋" w:hAnsi="仿宋" w:eastAsia="仿宋" w:cs="仿宋"/>
          <w:color w:val="000000" w:themeColor="text1"/>
          <w:sz w:val="24"/>
          <w:highlight w:val="none"/>
        </w:rPr>
      </w:pPr>
    </w:p>
    <w:p>
      <w:pPr>
        <w:spacing w:line="360" w:lineRule="auto"/>
        <w:jc w:val="left"/>
        <w:rPr>
          <w:rFonts w:ascii="宋体" w:hAnsi="宋体"/>
          <w:b/>
          <w:color w:val="000000" w:themeColor="text1"/>
          <w:sz w:val="24"/>
          <w:highlight w:val="none"/>
        </w:rPr>
      </w:pPr>
      <w:r>
        <w:rPr>
          <w:rFonts w:hint="eastAsia" w:ascii="宋体" w:hAnsi="宋体"/>
          <w:b/>
          <w:color w:val="000000" w:themeColor="text1"/>
          <w:sz w:val="24"/>
          <w:highlight w:val="none"/>
        </w:rPr>
        <w:t>注意事项：</w:t>
      </w:r>
    </w:p>
    <w:p>
      <w:pPr>
        <w:spacing w:line="360" w:lineRule="auto"/>
        <w:ind w:firstLine="566" w:firstLineChars="235"/>
        <w:jc w:val="left"/>
        <w:rPr>
          <w:rFonts w:ascii="宋体" w:hAnsi="宋体"/>
          <w:b/>
          <w:color w:val="000000" w:themeColor="text1"/>
          <w:sz w:val="24"/>
          <w:highlight w:val="none"/>
        </w:rPr>
      </w:pPr>
      <w:r>
        <w:rPr>
          <w:rFonts w:hint="eastAsia" w:ascii="宋体" w:hAnsi="宋体"/>
          <w:b/>
          <w:color w:val="000000" w:themeColor="text1"/>
          <w:sz w:val="24"/>
          <w:highlight w:val="none"/>
        </w:rPr>
        <w:t>1、中标、 中标供应商享受本办法规定的中小企业扶持政策的，其《中小企业声明函》 随中标结果同时公告，接受社会监督。</w:t>
      </w:r>
    </w:p>
    <w:p>
      <w:pPr>
        <w:pStyle w:val="20"/>
        <w:spacing w:line="360" w:lineRule="auto"/>
        <w:ind w:firstLine="482" w:firstLineChars="200"/>
        <w:jc w:val="left"/>
        <w:outlineLvl w:val="1"/>
        <w:rPr>
          <w:rFonts w:hAnsi="宋体"/>
          <w:b/>
          <w:color w:val="000000" w:themeColor="text1"/>
          <w:sz w:val="24"/>
          <w:highlight w:val="none"/>
        </w:rPr>
      </w:pPr>
      <w:r>
        <w:rPr>
          <w:rFonts w:hint="eastAsia" w:hAnsi="宋体"/>
          <w:b/>
          <w:color w:val="000000" w:themeColor="text1"/>
          <w:sz w:val="24"/>
          <w:highlight w:val="none"/>
        </w:rPr>
        <w:t>2、供应商提供的《中小企业声明函》与事实不符的，依照《政府采购法》第七十七条第一款的规定追究法律责任。</w:t>
      </w:r>
    </w:p>
    <w:p>
      <w:pPr>
        <w:pStyle w:val="21"/>
        <w:ind w:left="2520"/>
        <w:rPr>
          <w:rFonts w:hAnsi="宋体"/>
          <w:b/>
          <w:color w:val="000000" w:themeColor="text1"/>
          <w:sz w:val="24"/>
          <w:highlight w:val="none"/>
        </w:rPr>
      </w:pPr>
    </w:p>
    <w:p>
      <w:pPr>
        <w:rPr>
          <w:rFonts w:hAnsi="宋体"/>
          <w:b/>
          <w:color w:val="000000" w:themeColor="text1"/>
          <w:sz w:val="24"/>
          <w:highlight w:val="none"/>
        </w:rPr>
      </w:pPr>
    </w:p>
    <w:p>
      <w:pPr>
        <w:pStyle w:val="35"/>
        <w:rPr>
          <w:b/>
          <w:color w:val="000000" w:themeColor="text1"/>
          <w:sz w:val="24"/>
          <w:highlight w:val="none"/>
        </w:rPr>
      </w:pPr>
    </w:p>
    <w:p>
      <w:pPr>
        <w:pStyle w:val="34"/>
        <w:rPr>
          <w:rFonts w:hAnsi="宋体"/>
          <w:b w:val="0"/>
          <w:color w:val="000000" w:themeColor="text1"/>
          <w:sz w:val="24"/>
          <w:highlight w:val="none"/>
        </w:rPr>
      </w:pPr>
    </w:p>
    <w:p>
      <w:pPr>
        <w:pStyle w:val="28"/>
        <w:rPr>
          <w:rFonts w:hAnsi="宋体"/>
          <w:b/>
          <w:color w:val="000000" w:themeColor="text1"/>
          <w:sz w:val="24"/>
          <w:highlight w:val="none"/>
        </w:rPr>
      </w:pPr>
    </w:p>
    <w:p>
      <w:pPr>
        <w:rPr>
          <w:rFonts w:hAnsi="宋体"/>
          <w:b/>
          <w:color w:val="000000" w:themeColor="text1"/>
          <w:sz w:val="24"/>
          <w:highlight w:val="none"/>
        </w:rPr>
      </w:pPr>
    </w:p>
    <w:p>
      <w:pPr>
        <w:pStyle w:val="35"/>
        <w:rPr>
          <w:color w:val="000000" w:themeColor="text1"/>
          <w:highlight w:val="none"/>
        </w:rPr>
      </w:pPr>
    </w:p>
    <w:p>
      <w:pPr>
        <w:rPr>
          <w:color w:val="000000" w:themeColor="text1"/>
          <w:highlight w:val="none"/>
        </w:rPr>
      </w:pPr>
    </w:p>
    <w:p>
      <w:pPr>
        <w:spacing w:line="360" w:lineRule="auto"/>
        <w:ind w:firstLine="1034" w:firstLineChars="235"/>
        <w:jc w:val="center"/>
        <w:rPr>
          <w:rFonts w:ascii="仿宋" w:hAnsi="仿宋" w:eastAsia="仿宋"/>
          <w:bCs/>
          <w:color w:val="000000" w:themeColor="text1"/>
          <w:sz w:val="44"/>
          <w:szCs w:val="44"/>
          <w:highlight w:val="none"/>
        </w:rPr>
      </w:pPr>
      <w:r>
        <w:rPr>
          <w:rFonts w:hint="eastAsia" w:ascii="仿宋" w:hAnsi="仿宋" w:eastAsia="仿宋"/>
          <w:bCs/>
          <w:color w:val="000000" w:themeColor="text1"/>
          <w:sz w:val="44"/>
          <w:szCs w:val="44"/>
          <w:highlight w:val="none"/>
        </w:rPr>
        <w:t>监狱企业声明函</w:t>
      </w:r>
    </w:p>
    <w:p>
      <w:pPr>
        <w:pStyle w:val="18"/>
        <w:rPr>
          <w:rFonts w:hint="default"/>
          <w:color w:val="000000" w:themeColor="text1"/>
          <w:highlight w:val="none"/>
        </w:rPr>
      </w:pPr>
    </w:p>
    <w:p>
      <w:pPr>
        <w:widowControl/>
        <w:snapToGrid w:val="0"/>
        <w:spacing w:line="360" w:lineRule="auto"/>
        <w:ind w:firstLine="480" w:firstLineChars="200"/>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本公司郑重声明，根据《关于政府采购支持监狱企业发展有关问题的通知》 （财库[2014]68 号）的规定，本公司为</w:t>
      </w:r>
      <w:r>
        <w:rPr>
          <w:rFonts w:hint="eastAsia" w:ascii="仿宋" w:hAnsi="仿宋" w:eastAsia="仿宋" w:cs="仿宋"/>
          <w:color w:val="000000" w:themeColor="text1"/>
          <w:kern w:val="0"/>
          <w:sz w:val="24"/>
          <w:highlight w:val="none"/>
          <w:u w:val="single"/>
        </w:rPr>
        <w:t>监狱企业</w:t>
      </w:r>
      <w:r>
        <w:rPr>
          <w:rFonts w:hint="eastAsia" w:ascii="仿宋" w:hAnsi="仿宋" w:eastAsia="仿宋" w:cs="仿宋"/>
          <w:color w:val="000000" w:themeColor="text1"/>
          <w:kern w:val="0"/>
          <w:sz w:val="24"/>
          <w:highlight w:val="none"/>
        </w:rPr>
        <w:t>。</w:t>
      </w:r>
    </w:p>
    <w:p>
      <w:pPr>
        <w:widowControl/>
        <w:snapToGrid w:val="0"/>
        <w:spacing w:line="360" w:lineRule="auto"/>
        <w:ind w:firstLine="480" w:firstLineChars="200"/>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根据上述标准，我公司属于监狱企业的理由为：</w:t>
      </w:r>
      <w:r>
        <w:rPr>
          <w:rFonts w:hint="eastAsia" w:ascii="仿宋" w:hAnsi="仿宋" w:eastAsia="仿宋" w:cs="仿宋"/>
          <w:color w:val="000000" w:themeColor="text1"/>
          <w:kern w:val="0"/>
          <w:sz w:val="24"/>
          <w:highlight w:val="none"/>
          <w:u w:val="single"/>
        </w:rPr>
        <w:t xml:space="preserve">         </w:t>
      </w:r>
      <w:r>
        <w:rPr>
          <w:rFonts w:hint="eastAsia" w:ascii="仿宋" w:hAnsi="仿宋" w:eastAsia="仿宋" w:cs="仿宋"/>
          <w:color w:val="000000" w:themeColor="text1"/>
          <w:kern w:val="0"/>
          <w:sz w:val="24"/>
          <w:highlight w:val="none"/>
        </w:rPr>
        <w:t>。</w:t>
      </w:r>
    </w:p>
    <w:p>
      <w:pPr>
        <w:widowControl/>
        <w:snapToGrid w:val="0"/>
        <w:spacing w:line="360" w:lineRule="auto"/>
        <w:ind w:firstLine="480" w:firstLineChars="200"/>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本公司为参加（</w:t>
      </w:r>
      <w:r>
        <w:rPr>
          <w:rFonts w:hint="eastAsia" w:ascii="仿宋" w:hAnsi="仿宋" w:eastAsia="仿宋" w:cs="仿宋"/>
          <w:color w:val="000000" w:themeColor="text1"/>
          <w:kern w:val="0"/>
          <w:sz w:val="24"/>
          <w:highlight w:val="none"/>
          <w:u w:val="single"/>
        </w:rPr>
        <w:t xml:space="preserve">    项目名称    </w:t>
      </w:r>
      <w:r>
        <w:rPr>
          <w:rFonts w:hint="eastAsia" w:ascii="仿宋" w:hAnsi="仿宋" w:eastAsia="仿宋" w:cs="仿宋"/>
          <w:color w:val="000000" w:themeColor="text1"/>
          <w:kern w:val="0"/>
          <w:sz w:val="24"/>
          <w:highlight w:val="none"/>
        </w:rPr>
        <w:t>）（项目编号：</w:t>
      </w:r>
      <w:r>
        <w:rPr>
          <w:rFonts w:hint="eastAsia" w:ascii="仿宋" w:hAnsi="仿宋" w:eastAsia="仿宋" w:cs="仿宋"/>
          <w:color w:val="000000" w:themeColor="text1"/>
          <w:kern w:val="0"/>
          <w:sz w:val="24"/>
          <w:highlight w:val="none"/>
          <w:u w:val="single"/>
        </w:rPr>
        <w:t xml:space="preserve">        </w:t>
      </w:r>
      <w:r>
        <w:rPr>
          <w:rFonts w:hint="eastAsia" w:ascii="仿宋" w:hAnsi="仿宋" w:eastAsia="仿宋" w:cs="仿宋"/>
          <w:color w:val="000000" w:themeColor="text1"/>
          <w:kern w:val="0"/>
          <w:sz w:val="24"/>
          <w:highlight w:val="none"/>
        </w:rPr>
        <w:t>）采购活动提供本企业提供服务。</w:t>
      </w:r>
    </w:p>
    <w:p>
      <w:pPr>
        <w:widowControl/>
        <w:snapToGrid w:val="0"/>
        <w:spacing w:line="360" w:lineRule="auto"/>
        <w:ind w:firstLine="480" w:firstLineChars="200"/>
        <w:jc w:val="left"/>
        <w:rPr>
          <w:rFonts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rPr>
        <w:t>本公司对上述声明的真实性负责。如有虚假，将依法承担相应责任。</w:t>
      </w:r>
    </w:p>
    <w:p>
      <w:pPr>
        <w:tabs>
          <w:tab w:val="left" w:pos="4860"/>
        </w:tabs>
        <w:spacing w:line="588" w:lineRule="exact"/>
        <w:ind w:right="1560" w:firstLine="480" w:firstLineChars="200"/>
        <w:jc w:val="right"/>
        <w:rPr>
          <w:rFonts w:ascii="仿宋" w:hAnsi="仿宋" w:eastAsia="仿宋"/>
          <w:color w:val="000000" w:themeColor="text1"/>
          <w:sz w:val="24"/>
          <w:highlight w:val="none"/>
        </w:rPr>
      </w:pPr>
      <w:r>
        <w:rPr>
          <w:rFonts w:hint="eastAsia" w:ascii="仿宋" w:hAnsi="仿宋" w:eastAsia="仿宋"/>
          <w:color w:val="000000" w:themeColor="text1"/>
          <w:sz w:val="24"/>
          <w:highlight w:val="none"/>
        </w:rPr>
        <w:t>单位名称（盖章）：</w:t>
      </w:r>
    </w:p>
    <w:p>
      <w:pPr>
        <w:tabs>
          <w:tab w:val="left" w:pos="4860"/>
        </w:tabs>
        <w:spacing w:line="588" w:lineRule="exact"/>
        <w:ind w:right="1560" w:firstLine="480" w:firstLineChars="200"/>
        <w:jc w:val="right"/>
        <w:rPr>
          <w:rFonts w:ascii="仿宋" w:hAnsi="仿宋" w:eastAsia="仿宋"/>
          <w:color w:val="000000" w:themeColor="text1"/>
          <w:sz w:val="24"/>
          <w:highlight w:val="none"/>
        </w:rPr>
      </w:pPr>
      <w:r>
        <w:rPr>
          <w:rFonts w:hint="eastAsia" w:ascii="仿宋" w:hAnsi="仿宋" w:eastAsia="仿宋"/>
          <w:color w:val="000000" w:themeColor="text1"/>
          <w:sz w:val="24"/>
          <w:highlight w:val="none"/>
        </w:rPr>
        <w:t xml:space="preserve">       日  期：</w:t>
      </w:r>
    </w:p>
    <w:p>
      <w:pPr>
        <w:pStyle w:val="35"/>
        <w:rPr>
          <w:rFonts w:ascii="仿宋" w:hAnsi="仿宋" w:eastAsia="仿宋"/>
          <w:color w:val="000000" w:themeColor="text1"/>
          <w:sz w:val="24"/>
          <w:highlight w:val="none"/>
        </w:rPr>
      </w:pPr>
    </w:p>
    <w:p>
      <w:pPr>
        <w:pStyle w:val="20"/>
        <w:spacing w:line="360" w:lineRule="auto"/>
        <w:jc w:val="center"/>
        <w:outlineLvl w:val="1"/>
        <w:rPr>
          <w:rFonts w:ascii="仿宋" w:hAnsi="仿宋" w:eastAsia="仿宋"/>
          <w:b/>
          <w:color w:val="000000" w:themeColor="text1"/>
          <w:sz w:val="32"/>
          <w:szCs w:val="32"/>
          <w:highlight w:val="none"/>
          <w:lang w:val="en-GB"/>
        </w:rPr>
      </w:pPr>
      <w:r>
        <w:rPr>
          <w:rFonts w:hint="eastAsia" w:ascii="仿宋" w:hAnsi="仿宋" w:eastAsia="仿宋"/>
          <w:bCs/>
          <w:color w:val="000000" w:themeColor="text1"/>
          <w:sz w:val="44"/>
          <w:szCs w:val="44"/>
          <w:highlight w:val="none"/>
        </w:rPr>
        <w:t>残疾人福利性单位声明函</w:t>
      </w:r>
    </w:p>
    <w:p>
      <w:pPr>
        <w:spacing w:line="588"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本单位郑重声明，根据《财政部 民政部 中国残疾人联合会关于促进残疾人就业政府采购政策的通知》（财库〔2017〕 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本单位对上述声明的真实性负责。如有虚假，将依法承担相应责任。</w:t>
      </w:r>
    </w:p>
    <w:p>
      <w:pPr>
        <w:tabs>
          <w:tab w:val="left" w:pos="4860"/>
        </w:tabs>
        <w:spacing w:line="588" w:lineRule="exact"/>
        <w:ind w:right="1560" w:firstLine="480" w:firstLineChars="200"/>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 xml:space="preserve">             单位名称（盖章）：</w:t>
      </w:r>
    </w:p>
    <w:p>
      <w:pPr>
        <w:tabs>
          <w:tab w:val="left" w:pos="4860"/>
        </w:tabs>
        <w:spacing w:line="588" w:lineRule="exact"/>
        <w:ind w:right="1560" w:firstLine="480" w:firstLineChars="200"/>
        <w:jc w:val="center"/>
        <w:rPr>
          <w:rFonts w:ascii="仿宋" w:hAnsi="仿宋" w:eastAsia="仿宋"/>
          <w:color w:val="000000" w:themeColor="text1"/>
          <w:sz w:val="24"/>
          <w:highlight w:val="none"/>
        </w:rPr>
      </w:pPr>
      <w:r>
        <w:rPr>
          <w:rFonts w:hint="eastAsia" w:ascii="仿宋" w:hAnsi="仿宋" w:eastAsia="仿宋"/>
          <w:color w:val="000000" w:themeColor="text1"/>
          <w:sz w:val="24"/>
          <w:highlight w:val="none"/>
        </w:rPr>
        <w:t xml:space="preserve">       日  期：</w:t>
      </w:r>
    </w:p>
    <w:p>
      <w:pPr>
        <w:spacing w:line="360" w:lineRule="auto"/>
        <w:jc w:val="left"/>
        <w:rPr>
          <w:rFonts w:ascii="宋体" w:hAnsi="宋体"/>
          <w:b/>
          <w:color w:val="000000" w:themeColor="text1"/>
          <w:sz w:val="24"/>
          <w:highlight w:val="none"/>
        </w:rPr>
      </w:pPr>
      <w:r>
        <w:rPr>
          <w:rFonts w:hint="eastAsia" w:ascii="宋体" w:hAnsi="宋体"/>
          <w:b/>
          <w:color w:val="000000" w:themeColor="text1"/>
          <w:sz w:val="24"/>
          <w:highlight w:val="none"/>
        </w:rPr>
        <w:t>注意事项：</w:t>
      </w:r>
    </w:p>
    <w:p>
      <w:pPr>
        <w:spacing w:line="360" w:lineRule="auto"/>
        <w:jc w:val="left"/>
        <w:rPr>
          <w:rFonts w:ascii="宋体" w:hAnsi="宋体"/>
          <w:b/>
          <w:color w:val="000000" w:themeColor="text1"/>
          <w:sz w:val="24"/>
          <w:highlight w:val="none"/>
        </w:rPr>
      </w:pPr>
      <w:r>
        <w:rPr>
          <w:rFonts w:hint="eastAsia" w:ascii="宋体" w:hAnsi="宋体"/>
          <w:b/>
          <w:color w:val="000000" w:themeColor="text1"/>
          <w:sz w:val="24"/>
          <w:highlight w:val="none"/>
        </w:rPr>
        <w:t xml:space="preserve">    1、中标供应商为监狱企业、残疾人福利性单位的，其《监狱企业声明函》、《残疾人福利性单位声明函》随中标结果同时公告，接受社会监督。</w:t>
      </w:r>
    </w:p>
    <w:p>
      <w:pPr>
        <w:spacing w:line="360" w:lineRule="auto"/>
        <w:ind w:firstLine="482" w:firstLineChars="200"/>
        <w:jc w:val="left"/>
        <w:rPr>
          <w:rFonts w:ascii="宋体" w:hAnsi="宋体" w:cs="宋体"/>
          <w:b/>
          <w:color w:val="000000" w:themeColor="text1"/>
          <w:sz w:val="24"/>
          <w:highlight w:val="none"/>
          <w:lang w:val="zh-CN"/>
        </w:rPr>
        <w:sectPr>
          <w:headerReference r:id="rId7" w:type="default"/>
          <w:footerReference r:id="rId8" w:type="default"/>
          <w:pgSz w:w="11906" w:h="16838"/>
          <w:pgMar w:top="1247" w:right="1418" w:bottom="1418" w:left="1418" w:header="851" w:footer="992" w:gutter="0"/>
          <w:cols w:space="720" w:num="1"/>
        </w:sectPr>
      </w:pPr>
      <w:r>
        <w:rPr>
          <w:rFonts w:hint="eastAsia" w:ascii="宋体" w:hAnsi="宋体"/>
          <w:b/>
          <w:color w:val="000000" w:themeColor="text1"/>
          <w:sz w:val="24"/>
          <w:highlight w:val="none"/>
        </w:rPr>
        <w:t>2、供应商提供的《监狱企业声明函》《残疾人福利性单位声明函》与事实不符的，依照《政府采购法》第七十七条第一款的规定追究法律责任。</w:t>
      </w:r>
    </w:p>
    <w:p>
      <w:pPr>
        <w:pStyle w:val="77"/>
        <w:spacing w:line="360" w:lineRule="auto"/>
        <w:rPr>
          <w:rFonts w:ascii="仿宋" w:hAnsi="仿宋" w:eastAsia="仿宋"/>
          <w:color w:val="000000" w:themeColor="text1"/>
          <w:highlight w:val="none"/>
        </w:rPr>
      </w:pPr>
      <w:r>
        <w:rPr>
          <w:rFonts w:hint="eastAsia" w:ascii="仿宋" w:hAnsi="仿宋" w:eastAsia="仿宋"/>
          <w:color w:val="000000" w:themeColor="text1"/>
          <w:highlight w:val="none"/>
        </w:rPr>
        <w:t>附件八：</w:t>
      </w:r>
    </w:p>
    <w:p>
      <w:pPr>
        <w:pStyle w:val="72"/>
        <w:spacing w:line="360" w:lineRule="auto"/>
        <w:jc w:val="center"/>
        <w:rPr>
          <w:rFonts w:ascii="仿宋" w:hAnsi="仿宋" w:eastAsia="仿宋"/>
          <w:b/>
          <w:color w:val="000000" w:themeColor="text1"/>
          <w:sz w:val="32"/>
          <w:szCs w:val="32"/>
          <w:highlight w:val="none"/>
          <w:lang w:val="en-GB"/>
        </w:rPr>
      </w:pPr>
      <w:r>
        <w:rPr>
          <w:rFonts w:hint="eastAsia" w:ascii="仿宋" w:hAnsi="仿宋" w:eastAsia="仿宋"/>
          <w:bCs/>
          <w:color w:val="000000" w:themeColor="text1"/>
          <w:sz w:val="44"/>
          <w:szCs w:val="44"/>
          <w:highlight w:val="none"/>
        </w:rPr>
        <w:t>产品适用政府采购政策情况表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2679"/>
        <w:gridCol w:w="3811"/>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15" w:type="dxa"/>
            <w:vMerge w:val="restart"/>
            <w:vAlign w:val="center"/>
          </w:tcPr>
          <w:p>
            <w:pPr>
              <w:pStyle w:val="72"/>
              <w:tabs>
                <w:tab w:val="left" w:pos="1260"/>
              </w:tabs>
              <w:jc w:val="center"/>
              <w:rPr>
                <w:rFonts w:ascii="仿宋" w:hAnsi="仿宋" w:eastAsia="仿宋"/>
                <w:color w:val="000000" w:themeColor="text1"/>
                <w:sz w:val="24"/>
                <w:highlight w:val="none"/>
                <w:lang w:val="en-GB"/>
              </w:rPr>
            </w:pPr>
            <w:r>
              <w:rPr>
                <w:rFonts w:hint="eastAsia" w:ascii="仿宋" w:hAnsi="仿宋" w:eastAsia="仿宋"/>
                <w:color w:val="000000" w:themeColor="text1"/>
                <w:sz w:val="24"/>
                <w:highlight w:val="none"/>
                <w:lang w:val="en-GB"/>
              </w:rPr>
              <w:t>小微企业扶持政策</w:t>
            </w:r>
          </w:p>
        </w:tc>
        <w:tc>
          <w:tcPr>
            <w:tcW w:w="8111" w:type="dxa"/>
            <w:gridSpan w:val="3"/>
            <w:vAlign w:val="center"/>
          </w:tcPr>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8111" w:type="dxa"/>
                  <w:vAlign w:val="center"/>
                </w:tcPr>
                <w:p>
                  <w:pPr>
                    <w:pStyle w:val="72"/>
                    <w:tabs>
                      <w:tab w:val="left" w:pos="1260"/>
                    </w:tabs>
                    <w:spacing w:line="360" w:lineRule="auto"/>
                    <w:rPr>
                      <w:rFonts w:ascii="仿宋" w:hAnsi="仿宋" w:eastAsia="仿宋"/>
                      <w:color w:val="000000" w:themeColor="text1"/>
                      <w:sz w:val="24"/>
                      <w:highlight w:val="none"/>
                    </w:rPr>
                  </w:pPr>
                  <w:r>
                    <w:rPr>
                      <w:rFonts w:hint="eastAsia" w:ascii="仿宋" w:hAnsi="仿宋" w:eastAsia="仿宋"/>
                      <w:b/>
                      <w:bCs/>
                      <w:color w:val="000000" w:themeColor="text1"/>
                      <w:sz w:val="24"/>
                      <w:highlight w:val="none"/>
                    </w:rPr>
                    <w:t>小型、微型企业投标且所投产品（指货物、工程、服务）由本企业制造，或者所投产品（仅指货物）含有其他小型、微型企业制造的，应</w:t>
                  </w:r>
                  <w:r>
                    <w:rPr>
                      <w:rFonts w:hint="eastAsia" w:ascii="仿宋" w:hAnsi="仿宋" w:eastAsia="仿宋"/>
                      <w:b/>
                      <w:bCs/>
                      <w:color w:val="000000" w:themeColor="text1"/>
                      <w:sz w:val="24"/>
                      <w:highlight w:val="none"/>
                      <w:lang w:val="en-GB"/>
                    </w:rPr>
                    <w:t>按要求列出具体产品与金额。</w:t>
                  </w:r>
                </w:p>
              </w:tc>
            </w:tr>
          </w:tbl>
          <w:p>
            <w:pPr>
              <w:pStyle w:val="72"/>
              <w:tabs>
                <w:tab w:val="left" w:pos="1260"/>
              </w:tabs>
              <w:spacing w:line="360" w:lineRule="auto"/>
              <w:rPr>
                <w:rFonts w:ascii="仿宋" w:hAnsi="仿宋" w:eastAsia="仿宋"/>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15" w:type="dxa"/>
            <w:vMerge w:val="continue"/>
            <w:vAlign w:val="center"/>
          </w:tcPr>
          <w:p>
            <w:pPr>
              <w:pStyle w:val="72"/>
              <w:tabs>
                <w:tab w:val="left" w:pos="1260"/>
              </w:tabs>
              <w:jc w:val="center"/>
              <w:rPr>
                <w:rFonts w:ascii="仿宋" w:hAnsi="仿宋" w:eastAsia="仿宋"/>
                <w:color w:val="000000" w:themeColor="text1"/>
                <w:sz w:val="24"/>
                <w:highlight w:val="none"/>
                <w:lang w:val="en-GB"/>
              </w:rPr>
            </w:pPr>
          </w:p>
        </w:tc>
        <w:tc>
          <w:tcPr>
            <w:tcW w:w="2679" w:type="dxa"/>
            <w:vAlign w:val="center"/>
          </w:tcPr>
          <w:p>
            <w:pPr>
              <w:pStyle w:val="72"/>
              <w:tabs>
                <w:tab w:val="left" w:pos="1260"/>
              </w:tabs>
              <w:jc w:val="center"/>
              <w:rPr>
                <w:rFonts w:ascii="仿宋" w:hAnsi="仿宋" w:eastAsia="仿宋"/>
                <w:color w:val="000000" w:themeColor="text1"/>
                <w:sz w:val="24"/>
                <w:highlight w:val="none"/>
                <w:lang w:val="en-GB"/>
              </w:rPr>
            </w:pPr>
            <w:r>
              <w:rPr>
                <w:rFonts w:hint="eastAsia" w:ascii="仿宋" w:hAnsi="仿宋" w:eastAsia="仿宋"/>
                <w:color w:val="000000" w:themeColor="text1"/>
                <w:sz w:val="24"/>
                <w:highlight w:val="none"/>
                <w:lang w:val="en-GB"/>
              </w:rPr>
              <w:t>产品名称（品牌、型号）</w:t>
            </w:r>
          </w:p>
        </w:tc>
        <w:tc>
          <w:tcPr>
            <w:tcW w:w="3811" w:type="dxa"/>
            <w:vAlign w:val="center"/>
          </w:tcPr>
          <w:p>
            <w:pPr>
              <w:pStyle w:val="72"/>
              <w:tabs>
                <w:tab w:val="left" w:pos="1260"/>
              </w:tabs>
              <w:jc w:val="center"/>
              <w:rPr>
                <w:rFonts w:ascii="仿宋" w:hAnsi="仿宋" w:eastAsia="仿宋"/>
                <w:color w:val="000000" w:themeColor="text1"/>
                <w:sz w:val="24"/>
                <w:highlight w:val="none"/>
                <w:lang w:val="en-GB"/>
              </w:rPr>
            </w:pPr>
            <w:r>
              <w:rPr>
                <w:rFonts w:hint="eastAsia" w:ascii="仿宋" w:hAnsi="仿宋" w:eastAsia="仿宋"/>
                <w:color w:val="000000" w:themeColor="text1"/>
                <w:sz w:val="24"/>
                <w:highlight w:val="none"/>
                <w:lang w:val="en-GB"/>
              </w:rPr>
              <w:t>制造企业名称</w:t>
            </w:r>
          </w:p>
        </w:tc>
        <w:tc>
          <w:tcPr>
            <w:tcW w:w="1621" w:type="dxa"/>
            <w:vAlign w:val="center"/>
          </w:tcPr>
          <w:p>
            <w:pPr>
              <w:pStyle w:val="72"/>
              <w:tabs>
                <w:tab w:val="left" w:pos="1260"/>
              </w:tabs>
              <w:jc w:val="center"/>
              <w:rPr>
                <w:rFonts w:ascii="仿宋" w:hAnsi="仿宋" w:eastAsia="仿宋"/>
                <w:color w:val="000000" w:themeColor="text1"/>
                <w:sz w:val="24"/>
                <w:highlight w:val="none"/>
                <w:lang w:val="en-GB"/>
              </w:rPr>
            </w:pPr>
            <w:r>
              <w:rPr>
                <w:rFonts w:hint="eastAsia" w:ascii="仿宋" w:hAnsi="仿宋" w:eastAsia="仿宋"/>
                <w:color w:val="000000" w:themeColor="text1"/>
                <w:sz w:val="24"/>
                <w:highlight w:val="none"/>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15" w:type="dxa"/>
            <w:vMerge w:val="continue"/>
            <w:vAlign w:val="center"/>
          </w:tcPr>
          <w:p>
            <w:pPr>
              <w:pStyle w:val="72"/>
              <w:tabs>
                <w:tab w:val="left" w:pos="1260"/>
              </w:tabs>
              <w:jc w:val="center"/>
              <w:rPr>
                <w:rFonts w:ascii="仿宋" w:hAnsi="仿宋" w:eastAsia="仿宋"/>
                <w:color w:val="000000" w:themeColor="text1"/>
                <w:sz w:val="24"/>
                <w:highlight w:val="none"/>
                <w:lang w:val="en-GB"/>
              </w:rPr>
            </w:pPr>
          </w:p>
        </w:tc>
        <w:tc>
          <w:tcPr>
            <w:tcW w:w="2679" w:type="dxa"/>
            <w:vAlign w:val="center"/>
          </w:tcPr>
          <w:p>
            <w:pPr>
              <w:pStyle w:val="72"/>
              <w:tabs>
                <w:tab w:val="left" w:pos="1260"/>
              </w:tabs>
              <w:jc w:val="center"/>
              <w:rPr>
                <w:rFonts w:ascii="仿宋" w:hAnsi="仿宋" w:eastAsia="仿宋"/>
                <w:color w:val="000000" w:themeColor="text1"/>
                <w:sz w:val="24"/>
                <w:highlight w:val="none"/>
                <w:lang w:val="en-GB"/>
              </w:rPr>
            </w:pPr>
          </w:p>
        </w:tc>
        <w:tc>
          <w:tcPr>
            <w:tcW w:w="3811" w:type="dxa"/>
            <w:vAlign w:val="center"/>
          </w:tcPr>
          <w:p>
            <w:pPr>
              <w:pStyle w:val="72"/>
              <w:tabs>
                <w:tab w:val="left" w:pos="1260"/>
              </w:tabs>
              <w:jc w:val="center"/>
              <w:rPr>
                <w:rFonts w:ascii="仿宋" w:hAnsi="仿宋" w:eastAsia="仿宋"/>
                <w:color w:val="000000" w:themeColor="text1"/>
                <w:sz w:val="24"/>
                <w:highlight w:val="none"/>
                <w:lang w:val="en-GB"/>
              </w:rPr>
            </w:pPr>
          </w:p>
        </w:tc>
        <w:tc>
          <w:tcPr>
            <w:tcW w:w="1621" w:type="dxa"/>
            <w:vAlign w:val="center"/>
          </w:tcPr>
          <w:p>
            <w:pPr>
              <w:pStyle w:val="72"/>
              <w:tabs>
                <w:tab w:val="left" w:pos="1260"/>
              </w:tabs>
              <w:jc w:val="center"/>
              <w:rPr>
                <w:rFonts w:ascii="仿宋" w:hAnsi="仿宋" w:eastAsia="仿宋"/>
                <w:color w:val="000000" w:themeColor="text1"/>
                <w:sz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15" w:type="dxa"/>
            <w:vMerge w:val="continue"/>
            <w:vAlign w:val="center"/>
          </w:tcPr>
          <w:p>
            <w:pPr>
              <w:pStyle w:val="72"/>
              <w:tabs>
                <w:tab w:val="left" w:pos="1260"/>
              </w:tabs>
              <w:jc w:val="center"/>
              <w:rPr>
                <w:rFonts w:ascii="仿宋" w:hAnsi="仿宋" w:eastAsia="仿宋"/>
                <w:color w:val="000000" w:themeColor="text1"/>
                <w:sz w:val="24"/>
                <w:highlight w:val="none"/>
                <w:lang w:val="en-GB"/>
              </w:rPr>
            </w:pPr>
          </w:p>
        </w:tc>
        <w:tc>
          <w:tcPr>
            <w:tcW w:w="2679" w:type="dxa"/>
            <w:vAlign w:val="center"/>
          </w:tcPr>
          <w:p>
            <w:pPr>
              <w:pStyle w:val="72"/>
              <w:tabs>
                <w:tab w:val="left" w:pos="1260"/>
              </w:tabs>
              <w:jc w:val="center"/>
              <w:rPr>
                <w:rFonts w:ascii="仿宋" w:hAnsi="仿宋" w:eastAsia="仿宋"/>
                <w:color w:val="000000" w:themeColor="text1"/>
                <w:sz w:val="24"/>
                <w:highlight w:val="none"/>
                <w:lang w:val="en-GB"/>
              </w:rPr>
            </w:pPr>
          </w:p>
        </w:tc>
        <w:tc>
          <w:tcPr>
            <w:tcW w:w="3811" w:type="dxa"/>
            <w:vAlign w:val="center"/>
          </w:tcPr>
          <w:p>
            <w:pPr>
              <w:pStyle w:val="72"/>
              <w:tabs>
                <w:tab w:val="left" w:pos="1260"/>
              </w:tabs>
              <w:jc w:val="center"/>
              <w:rPr>
                <w:rFonts w:ascii="仿宋" w:hAnsi="仿宋" w:eastAsia="仿宋"/>
                <w:color w:val="000000" w:themeColor="text1"/>
                <w:sz w:val="24"/>
                <w:highlight w:val="none"/>
                <w:lang w:val="en-GB"/>
              </w:rPr>
            </w:pPr>
          </w:p>
        </w:tc>
        <w:tc>
          <w:tcPr>
            <w:tcW w:w="1621" w:type="dxa"/>
            <w:vAlign w:val="center"/>
          </w:tcPr>
          <w:p>
            <w:pPr>
              <w:pStyle w:val="72"/>
              <w:tabs>
                <w:tab w:val="left" w:pos="1260"/>
              </w:tabs>
              <w:jc w:val="center"/>
              <w:rPr>
                <w:rFonts w:ascii="仿宋" w:hAnsi="仿宋" w:eastAsia="仿宋"/>
                <w:color w:val="000000" w:themeColor="text1"/>
                <w:sz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15" w:type="dxa"/>
            <w:vMerge w:val="continue"/>
            <w:vAlign w:val="center"/>
          </w:tcPr>
          <w:p>
            <w:pPr>
              <w:pStyle w:val="72"/>
              <w:tabs>
                <w:tab w:val="left" w:pos="1260"/>
              </w:tabs>
              <w:jc w:val="center"/>
              <w:rPr>
                <w:rFonts w:ascii="仿宋" w:hAnsi="仿宋" w:eastAsia="仿宋"/>
                <w:color w:val="000000" w:themeColor="text1"/>
                <w:sz w:val="24"/>
                <w:highlight w:val="none"/>
                <w:lang w:val="en-GB"/>
              </w:rPr>
            </w:pPr>
          </w:p>
        </w:tc>
        <w:tc>
          <w:tcPr>
            <w:tcW w:w="2679" w:type="dxa"/>
            <w:vAlign w:val="center"/>
          </w:tcPr>
          <w:p>
            <w:pPr>
              <w:pStyle w:val="72"/>
              <w:tabs>
                <w:tab w:val="left" w:pos="1260"/>
              </w:tabs>
              <w:jc w:val="center"/>
              <w:rPr>
                <w:rFonts w:ascii="仿宋" w:hAnsi="仿宋" w:eastAsia="仿宋"/>
                <w:color w:val="000000" w:themeColor="text1"/>
                <w:sz w:val="24"/>
                <w:highlight w:val="none"/>
                <w:lang w:val="en-GB"/>
              </w:rPr>
            </w:pPr>
          </w:p>
        </w:tc>
        <w:tc>
          <w:tcPr>
            <w:tcW w:w="3811" w:type="dxa"/>
            <w:vAlign w:val="center"/>
          </w:tcPr>
          <w:p>
            <w:pPr>
              <w:pStyle w:val="72"/>
              <w:tabs>
                <w:tab w:val="left" w:pos="1260"/>
              </w:tabs>
              <w:jc w:val="center"/>
              <w:rPr>
                <w:rFonts w:ascii="仿宋" w:hAnsi="仿宋" w:eastAsia="仿宋"/>
                <w:color w:val="000000" w:themeColor="text1"/>
                <w:sz w:val="24"/>
                <w:highlight w:val="none"/>
                <w:lang w:val="en-GB"/>
              </w:rPr>
            </w:pPr>
          </w:p>
        </w:tc>
        <w:tc>
          <w:tcPr>
            <w:tcW w:w="1621" w:type="dxa"/>
            <w:vAlign w:val="center"/>
          </w:tcPr>
          <w:p>
            <w:pPr>
              <w:pStyle w:val="72"/>
              <w:tabs>
                <w:tab w:val="left" w:pos="1260"/>
              </w:tabs>
              <w:jc w:val="center"/>
              <w:rPr>
                <w:rFonts w:ascii="仿宋" w:hAnsi="仿宋" w:eastAsia="仿宋"/>
                <w:color w:val="000000" w:themeColor="text1"/>
                <w:sz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15" w:type="dxa"/>
            <w:vMerge w:val="continue"/>
            <w:vAlign w:val="center"/>
          </w:tcPr>
          <w:p>
            <w:pPr>
              <w:pStyle w:val="72"/>
              <w:tabs>
                <w:tab w:val="left" w:pos="1260"/>
              </w:tabs>
              <w:jc w:val="center"/>
              <w:rPr>
                <w:rFonts w:ascii="仿宋" w:hAnsi="仿宋" w:eastAsia="仿宋"/>
                <w:color w:val="000000" w:themeColor="text1"/>
                <w:sz w:val="24"/>
                <w:highlight w:val="none"/>
                <w:lang w:val="en-GB"/>
              </w:rPr>
            </w:pPr>
          </w:p>
        </w:tc>
        <w:tc>
          <w:tcPr>
            <w:tcW w:w="6490" w:type="dxa"/>
            <w:gridSpan w:val="2"/>
            <w:vAlign w:val="center"/>
          </w:tcPr>
          <w:p>
            <w:pPr>
              <w:pStyle w:val="72"/>
              <w:tabs>
                <w:tab w:val="left" w:pos="1260"/>
              </w:tabs>
              <w:jc w:val="center"/>
              <w:rPr>
                <w:rFonts w:ascii="仿宋" w:hAnsi="仿宋" w:eastAsia="仿宋"/>
                <w:color w:val="000000" w:themeColor="text1"/>
                <w:sz w:val="24"/>
                <w:highlight w:val="none"/>
                <w:lang w:val="en-GB"/>
              </w:rPr>
            </w:pPr>
            <w:r>
              <w:rPr>
                <w:rFonts w:hint="eastAsia" w:ascii="仿宋" w:hAnsi="仿宋" w:eastAsia="仿宋"/>
                <w:color w:val="000000" w:themeColor="text1"/>
                <w:sz w:val="24"/>
                <w:highlight w:val="none"/>
              </w:rPr>
              <w:t>小型、微型企业产品</w:t>
            </w:r>
            <w:r>
              <w:rPr>
                <w:rFonts w:hint="eastAsia" w:ascii="仿宋" w:hAnsi="仿宋" w:eastAsia="仿宋"/>
                <w:color w:val="000000" w:themeColor="text1"/>
                <w:sz w:val="24"/>
                <w:highlight w:val="none"/>
                <w:lang w:val="en-GB"/>
              </w:rPr>
              <w:t>金额合计（元）</w:t>
            </w:r>
          </w:p>
          <w:p>
            <w:pPr>
              <w:rPr>
                <w:rFonts w:ascii="仿宋" w:hAnsi="仿宋" w:eastAsia="仿宋"/>
                <w:color w:val="000000" w:themeColor="text1"/>
                <w:highlight w:val="none"/>
              </w:rPr>
            </w:pPr>
          </w:p>
        </w:tc>
        <w:tc>
          <w:tcPr>
            <w:tcW w:w="1621" w:type="dxa"/>
            <w:vAlign w:val="center"/>
          </w:tcPr>
          <w:p>
            <w:pPr>
              <w:pStyle w:val="72"/>
              <w:tabs>
                <w:tab w:val="left" w:pos="1260"/>
              </w:tabs>
              <w:jc w:val="center"/>
              <w:rPr>
                <w:rFonts w:ascii="仿宋" w:hAnsi="仿宋" w:eastAsia="仿宋"/>
                <w:color w:val="000000" w:themeColor="text1"/>
                <w:sz w:val="24"/>
                <w:highlight w:val="none"/>
                <w:lang w:val="en-GB"/>
              </w:rPr>
            </w:pPr>
          </w:p>
        </w:tc>
      </w:tr>
    </w:tbl>
    <w:p>
      <w:pPr>
        <w:pStyle w:val="72"/>
        <w:spacing w:line="360" w:lineRule="auto"/>
        <w:rPr>
          <w:rFonts w:ascii="仿宋" w:hAnsi="仿宋" w:eastAsia="仿宋"/>
          <w:color w:val="000000" w:themeColor="text1"/>
          <w:szCs w:val="21"/>
          <w:highlight w:val="none"/>
          <w:lang w:val="en-GB"/>
        </w:rPr>
      </w:pPr>
    </w:p>
    <w:p>
      <w:pPr>
        <w:pStyle w:val="72"/>
        <w:spacing w:line="360" w:lineRule="auto"/>
        <w:rPr>
          <w:rFonts w:ascii="仿宋" w:hAnsi="仿宋" w:eastAsia="仿宋"/>
          <w:color w:val="000000" w:themeColor="text1"/>
          <w:sz w:val="24"/>
          <w:highlight w:val="none"/>
        </w:rPr>
      </w:pPr>
      <w:r>
        <w:rPr>
          <w:rFonts w:hint="eastAsia" w:ascii="仿宋" w:hAnsi="仿宋" w:eastAsia="仿宋"/>
          <w:color w:val="000000" w:themeColor="text1"/>
          <w:sz w:val="24"/>
          <w:highlight w:val="none"/>
        </w:rPr>
        <w:t>填报要求：</w:t>
      </w:r>
    </w:p>
    <w:p>
      <w:pPr>
        <w:pStyle w:val="72"/>
        <w:widowControl/>
        <w:spacing w:line="360" w:lineRule="auto"/>
        <w:ind w:right="84" w:rightChars="40"/>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1.本表的产品名称、规格型号和注册商标、金额要与《报价表》一致。</w:t>
      </w:r>
    </w:p>
    <w:p>
      <w:pPr>
        <w:pStyle w:val="72"/>
        <w:widowControl/>
        <w:tabs>
          <w:tab w:val="left" w:pos="360"/>
        </w:tabs>
        <w:spacing w:line="360" w:lineRule="auto"/>
        <w:ind w:right="84" w:rightChars="40"/>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2.制造商为小型或微型企业时才需要填“制造商企业类型”栏，填写内容为“小型”或“微型”。</w:t>
      </w:r>
    </w:p>
    <w:p>
      <w:pPr>
        <w:pStyle w:val="72"/>
        <w:widowControl/>
        <w:spacing w:line="360" w:lineRule="auto"/>
        <w:ind w:right="84" w:rightChars="40"/>
        <w:jc w:val="left"/>
        <w:rPr>
          <w:rFonts w:ascii="仿宋" w:hAnsi="仿宋" w:eastAsia="仿宋"/>
          <w:color w:val="000000" w:themeColor="text1"/>
          <w:szCs w:val="21"/>
          <w:highlight w:val="none"/>
          <w:lang w:val="en-GB"/>
        </w:rPr>
      </w:pPr>
      <w:r>
        <w:rPr>
          <w:rFonts w:hint="eastAsia" w:ascii="仿宋" w:hAnsi="仿宋" w:eastAsia="仿宋"/>
          <w:color w:val="000000" w:themeColor="text1"/>
          <w:sz w:val="24"/>
          <w:highlight w:val="none"/>
        </w:rPr>
        <w:t>3.请投标人正确填写本表，所填内容将作为评分依据（以“小型、微型企业产品金额合计”为准进行价格折扣，表中所填内容必须与政府采购优惠政策需提供的相关资料相符，如出现不相符或提供资料不全的，该小型、微型企业产品合计金额将不予以享受小微企业扶持政策优惠）。</w:t>
      </w:r>
    </w:p>
    <w:p>
      <w:pPr>
        <w:rPr>
          <w:rFonts w:ascii="仿宋" w:hAnsi="仿宋" w:eastAsia="仿宋"/>
          <w:color w:val="000000" w:themeColor="text1"/>
          <w:highlight w:val="none"/>
        </w:rPr>
      </w:pPr>
    </w:p>
    <w:p>
      <w:pPr>
        <w:spacing w:beforeLines="100" w:afterLines="50" w:line="360" w:lineRule="auto"/>
        <w:jc w:val="left"/>
        <w:rPr>
          <w:rFonts w:ascii="仿宋" w:hAnsi="仿宋" w:eastAsia="仿宋"/>
          <w:color w:val="000000" w:themeColor="text1"/>
          <w:szCs w:val="21"/>
          <w:highlight w:val="none"/>
        </w:rPr>
      </w:pPr>
    </w:p>
    <w:p>
      <w:pPr>
        <w:spacing w:beforeLines="100" w:afterLines="50" w:line="360" w:lineRule="auto"/>
        <w:jc w:val="left"/>
        <w:rPr>
          <w:rFonts w:ascii="仿宋" w:hAnsi="仿宋" w:eastAsia="仿宋"/>
          <w:color w:val="000000" w:themeColor="text1"/>
          <w:szCs w:val="21"/>
          <w:highlight w:val="none"/>
        </w:rPr>
      </w:pPr>
    </w:p>
    <w:p>
      <w:pPr>
        <w:spacing w:beforeLines="100" w:afterLines="50" w:line="360" w:lineRule="auto"/>
        <w:jc w:val="left"/>
        <w:rPr>
          <w:rFonts w:ascii="仿宋" w:hAnsi="仿宋" w:eastAsia="仿宋"/>
          <w:color w:val="000000" w:themeColor="text1"/>
          <w:szCs w:val="21"/>
          <w:highlight w:val="none"/>
        </w:rPr>
      </w:pPr>
    </w:p>
    <w:p>
      <w:pPr>
        <w:spacing w:beforeLines="100" w:afterLines="50" w:line="360" w:lineRule="auto"/>
        <w:jc w:val="left"/>
        <w:rPr>
          <w:rFonts w:ascii="仿宋" w:hAnsi="仿宋" w:eastAsia="仿宋"/>
          <w:color w:val="000000" w:themeColor="text1"/>
          <w:szCs w:val="21"/>
          <w:highlight w:val="none"/>
        </w:rPr>
      </w:pPr>
      <w:r>
        <w:rPr>
          <w:rFonts w:hint="eastAsia" w:ascii="仿宋" w:hAnsi="仿宋" w:eastAsia="仿宋"/>
          <w:color w:val="000000" w:themeColor="text1"/>
          <w:szCs w:val="21"/>
          <w:highlight w:val="none"/>
        </w:rPr>
        <w:t>附件九：</w:t>
      </w:r>
    </w:p>
    <w:p>
      <w:pPr>
        <w:pStyle w:val="35"/>
        <w:ind w:firstLine="560"/>
        <w:rPr>
          <w:rFonts w:ascii="仿宋" w:hAnsi="仿宋" w:eastAsia="仿宋"/>
          <w:color w:val="000000" w:themeColor="text1"/>
          <w:highlight w:val="none"/>
        </w:rPr>
      </w:pPr>
    </w:p>
    <w:p>
      <w:pPr>
        <w:spacing w:beforeLines="100" w:afterLines="50" w:line="360" w:lineRule="auto"/>
        <w:jc w:val="center"/>
        <w:rPr>
          <w:rFonts w:ascii="仿宋" w:hAnsi="仿宋" w:eastAsia="仿宋"/>
          <w:bCs/>
          <w:color w:val="000000" w:themeColor="text1"/>
          <w:sz w:val="44"/>
          <w:szCs w:val="44"/>
          <w:highlight w:val="none"/>
        </w:rPr>
      </w:pPr>
      <w:r>
        <w:rPr>
          <w:rFonts w:hint="eastAsia" w:ascii="仿宋" w:hAnsi="仿宋" w:eastAsia="仿宋"/>
          <w:bCs/>
          <w:color w:val="000000" w:themeColor="text1"/>
          <w:sz w:val="44"/>
          <w:szCs w:val="44"/>
          <w:highlight w:val="none"/>
        </w:rPr>
        <w:t>具有履行合同所必须的设备和专业技术</w:t>
      </w:r>
    </w:p>
    <w:p>
      <w:pPr>
        <w:spacing w:beforeLines="100" w:afterLines="50" w:line="360" w:lineRule="auto"/>
        <w:jc w:val="center"/>
        <w:rPr>
          <w:rFonts w:ascii="仿宋" w:hAnsi="仿宋" w:eastAsia="仿宋"/>
          <w:bCs/>
          <w:color w:val="000000" w:themeColor="text1"/>
          <w:sz w:val="44"/>
          <w:szCs w:val="44"/>
          <w:highlight w:val="none"/>
        </w:rPr>
      </w:pPr>
      <w:r>
        <w:rPr>
          <w:rFonts w:hint="eastAsia" w:ascii="仿宋" w:hAnsi="仿宋" w:eastAsia="仿宋"/>
          <w:bCs/>
          <w:color w:val="000000" w:themeColor="text1"/>
          <w:sz w:val="44"/>
          <w:szCs w:val="44"/>
          <w:highlight w:val="none"/>
        </w:rPr>
        <w:t>能力的承诺函</w:t>
      </w:r>
    </w:p>
    <w:p>
      <w:pPr>
        <w:pStyle w:val="35"/>
        <w:ind w:firstLine="560"/>
        <w:rPr>
          <w:rFonts w:ascii="仿宋" w:hAnsi="仿宋" w:eastAsia="仿宋"/>
          <w:color w:val="000000" w:themeColor="text1"/>
          <w:highlight w:val="none"/>
        </w:rPr>
      </w:pPr>
    </w:p>
    <w:p>
      <w:pPr>
        <w:pStyle w:val="35"/>
        <w:ind w:firstLine="560"/>
        <w:rPr>
          <w:rFonts w:ascii="仿宋" w:hAnsi="仿宋" w:eastAsia="仿宋"/>
          <w:color w:val="000000" w:themeColor="text1"/>
          <w:highlight w:val="none"/>
        </w:rPr>
      </w:pPr>
    </w:p>
    <w:p>
      <w:pPr>
        <w:spacing w:line="360" w:lineRule="auto"/>
        <w:rPr>
          <w:rFonts w:ascii="仿宋" w:hAnsi="仿宋" w:eastAsia="仿宋"/>
          <w:color w:val="000000" w:themeColor="text1"/>
          <w:sz w:val="24"/>
          <w:highlight w:val="none"/>
          <w:u w:val="single"/>
        </w:rPr>
      </w:pPr>
      <w:r>
        <w:rPr>
          <w:rFonts w:hint="eastAsia" w:ascii="仿宋" w:hAnsi="仿宋" w:eastAsia="仿宋"/>
          <w:color w:val="000000" w:themeColor="text1"/>
          <w:sz w:val="24"/>
          <w:highlight w:val="none"/>
          <w:u w:val="single"/>
        </w:rPr>
        <w:t>致：</w:t>
      </w:r>
      <w:r>
        <w:rPr>
          <w:rFonts w:hint="eastAsia" w:ascii="仿宋" w:hAnsi="仿宋" w:eastAsia="仿宋"/>
          <w:b/>
          <w:color w:val="000000" w:themeColor="text1"/>
          <w:spacing w:val="6"/>
          <w:sz w:val="24"/>
          <w:highlight w:val="none"/>
          <w:u w:val="single"/>
        </w:rPr>
        <w:t>天台中学</w:t>
      </w:r>
      <w:r>
        <w:rPr>
          <w:rFonts w:hint="eastAsia" w:ascii="仿宋" w:hAnsi="仿宋" w:eastAsia="仿宋"/>
          <w:color w:val="000000" w:themeColor="text1"/>
          <w:sz w:val="24"/>
          <w:highlight w:val="none"/>
        </w:rPr>
        <w:t>：</w:t>
      </w:r>
    </w:p>
    <w:p>
      <w:pPr>
        <w:spacing w:beforeLines="100" w:afterLines="50" w:line="400" w:lineRule="exact"/>
        <w:ind w:firstLine="360" w:firstLineChars="150"/>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我方郑重承诺，我方具有</w:t>
      </w:r>
      <w:r>
        <w:rPr>
          <w:rFonts w:hint="eastAsia" w:ascii="仿宋" w:hAnsi="仿宋" w:eastAsia="仿宋"/>
          <w:color w:val="000000" w:themeColor="text1"/>
          <w:sz w:val="24"/>
          <w:highlight w:val="none"/>
          <w:u w:val="single"/>
        </w:rPr>
        <w:t xml:space="preserve"> 天台中学创新实验室和专用教室采购项目（标项  ） </w:t>
      </w:r>
      <w:r>
        <w:rPr>
          <w:rFonts w:hint="eastAsia" w:ascii="仿宋" w:hAnsi="仿宋" w:eastAsia="仿宋"/>
          <w:color w:val="000000" w:themeColor="text1"/>
          <w:sz w:val="24"/>
          <w:highlight w:val="none"/>
        </w:rPr>
        <w:t>（项目编号：xzcg-2022-036(招)）合同所必需的设备和专业技术能力。</w:t>
      </w:r>
    </w:p>
    <w:p>
      <w:pPr>
        <w:spacing w:beforeLines="100" w:afterLines="50" w:line="400" w:lineRule="exact"/>
        <w:ind w:firstLine="360" w:firstLineChars="150"/>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如中标，我方将保证合同顺利履行。</w:t>
      </w:r>
    </w:p>
    <w:p>
      <w:pPr>
        <w:adjustRightInd w:val="0"/>
        <w:snapToGrid w:val="0"/>
        <w:spacing w:line="400" w:lineRule="exact"/>
        <w:ind w:firstLine="4680" w:firstLineChars="1950"/>
        <w:rPr>
          <w:rFonts w:ascii="仿宋" w:hAnsi="仿宋" w:eastAsia="仿宋"/>
          <w:color w:val="000000" w:themeColor="text1"/>
          <w:sz w:val="24"/>
          <w:highlight w:val="none"/>
        </w:rPr>
      </w:pPr>
    </w:p>
    <w:p>
      <w:pPr>
        <w:pStyle w:val="35"/>
        <w:ind w:firstLine="560"/>
        <w:rPr>
          <w:rFonts w:ascii="仿宋" w:hAnsi="仿宋" w:eastAsia="仿宋"/>
          <w:color w:val="000000" w:themeColor="text1"/>
          <w:highlight w:val="none"/>
        </w:rPr>
      </w:pPr>
    </w:p>
    <w:p>
      <w:pPr>
        <w:adjustRightInd w:val="0"/>
        <w:snapToGrid w:val="0"/>
        <w:spacing w:line="400" w:lineRule="exact"/>
        <w:ind w:firstLine="4680" w:firstLineChars="1950"/>
        <w:rPr>
          <w:rFonts w:ascii="仿宋" w:hAnsi="仿宋" w:eastAsia="仿宋"/>
          <w:color w:val="000000" w:themeColor="text1"/>
          <w:sz w:val="24"/>
          <w:highlight w:val="none"/>
        </w:rPr>
      </w:pPr>
    </w:p>
    <w:p>
      <w:pPr>
        <w:adjustRightInd w:val="0"/>
        <w:snapToGrid w:val="0"/>
        <w:spacing w:line="400" w:lineRule="exact"/>
        <w:ind w:firstLine="4680" w:firstLineChars="1950"/>
        <w:rPr>
          <w:rFonts w:ascii="仿宋" w:hAnsi="仿宋" w:eastAsia="仿宋"/>
          <w:color w:val="000000" w:themeColor="text1"/>
          <w:sz w:val="24"/>
          <w:highlight w:val="none"/>
        </w:rPr>
      </w:pPr>
      <w:r>
        <w:rPr>
          <w:rFonts w:hint="eastAsia" w:ascii="仿宋" w:hAnsi="仿宋" w:eastAsia="仿宋"/>
          <w:color w:val="000000" w:themeColor="text1"/>
          <w:sz w:val="24"/>
          <w:highlight w:val="none"/>
        </w:rPr>
        <w:t>投标人名称(盖公章)：</w:t>
      </w:r>
    </w:p>
    <w:p>
      <w:pPr>
        <w:adjustRightInd w:val="0"/>
        <w:snapToGrid w:val="0"/>
        <w:spacing w:line="400" w:lineRule="exact"/>
        <w:rPr>
          <w:rFonts w:ascii="仿宋" w:hAnsi="仿宋" w:eastAsia="仿宋" w:cs="FangSong_GB2312"/>
          <w:color w:val="000000" w:themeColor="text1"/>
          <w:kern w:val="0"/>
          <w:sz w:val="24"/>
          <w:highlight w:val="none"/>
          <w:lang w:val="zh-CN"/>
        </w:rPr>
      </w:pPr>
    </w:p>
    <w:p>
      <w:pPr>
        <w:adjustRightInd w:val="0"/>
        <w:snapToGrid w:val="0"/>
        <w:spacing w:line="400" w:lineRule="exact"/>
        <w:ind w:right="480"/>
        <w:jc w:val="center"/>
        <w:rPr>
          <w:rFonts w:ascii="仿宋" w:hAnsi="仿宋" w:eastAsia="仿宋" w:cs="FangSong_GB2312"/>
          <w:color w:val="000000" w:themeColor="text1"/>
          <w:kern w:val="0"/>
          <w:sz w:val="24"/>
          <w:highlight w:val="none"/>
          <w:lang w:val="zh-CN"/>
        </w:rPr>
      </w:pPr>
      <w:r>
        <w:rPr>
          <w:rFonts w:hint="eastAsia" w:ascii="仿宋" w:hAnsi="仿宋" w:eastAsia="仿宋"/>
          <w:color w:val="000000" w:themeColor="text1"/>
          <w:sz w:val="24"/>
          <w:highlight w:val="none"/>
        </w:rPr>
        <w:t xml:space="preserve"> 日期：   年    月     日</w:t>
      </w:r>
    </w:p>
    <w:p>
      <w:pPr>
        <w:spacing w:beforeLines="100" w:afterLines="50" w:line="360" w:lineRule="auto"/>
        <w:jc w:val="left"/>
        <w:rPr>
          <w:rFonts w:ascii="仿宋" w:hAnsi="仿宋" w:eastAsia="仿宋"/>
          <w:b/>
          <w:color w:val="000000" w:themeColor="text1"/>
          <w:sz w:val="28"/>
          <w:highlight w:val="none"/>
        </w:rPr>
      </w:pPr>
    </w:p>
    <w:p>
      <w:pPr>
        <w:spacing w:beforeLines="100" w:afterLines="50" w:line="360" w:lineRule="auto"/>
        <w:jc w:val="left"/>
        <w:rPr>
          <w:rFonts w:ascii="仿宋" w:hAnsi="仿宋" w:eastAsia="仿宋"/>
          <w:b/>
          <w:color w:val="000000" w:themeColor="text1"/>
          <w:sz w:val="28"/>
          <w:highlight w:val="none"/>
        </w:rPr>
      </w:pPr>
    </w:p>
    <w:p>
      <w:pPr>
        <w:spacing w:beforeLines="100" w:afterLines="50" w:line="360" w:lineRule="auto"/>
        <w:jc w:val="left"/>
        <w:rPr>
          <w:rFonts w:ascii="仿宋" w:hAnsi="仿宋" w:eastAsia="仿宋"/>
          <w:b/>
          <w:color w:val="000000" w:themeColor="text1"/>
          <w:sz w:val="28"/>
          <w:highlight w:val="none"/>
        </w:rPr>
      </w:pPr>
    </w:p>
    <w:p>
      <w:pPr>
        <w:spacing w:beforeLines="100" w:afterLines="50" w:line="360" w:lineRule="auto"/>
        <w:jc w:val="left"/>
        <w:rPr>
          <w:rFonts w:ascii="仿宋" w:hAnsi="仿宋" w:eastAsia="仿宋"/>
          <w:color w:val="000000" w:themeColor="text1"/>
          <w:szCs w:val="21"/>
          <w:highlight w:val="none"/>
        </w:rPr>
      </w:pPr>
    </w:p>
    <w:p>
      <w:pPr>
        <w:spacing w:beforeLines="100" w:afterLines="50" w:line="360" w:lineRule="auto"/>
        <w:jc w:val="left"/>
        <w:rPr>
          <w:rFonts w:ascii="仿宋" w:hAnsi="仿宋" w:eastAsia="仿宋"/>
          <w:color w:val="000000" w:themeColor="text1"/>
          <w:szCs w:val="21"/>
          <w:highlight w:val="none"/>
        </w:rPr>
      </w:pPr>
    </w:p>
    <w:p>
      <w:pPr>
        <w:spacing w:beforeLines="100" w:afterLines="50" w:line="360" w:lineRule="auto"/>
        <w:jc w:val="left"/>
        <w:rPr>
          <w:rFonts w:ascii="仿宋" w:hAnsi="仿宋" w:eastAsia="仿宋"/>
          <w:color w:val="000000" w:themeColor="text1"/>
          <w:szCs w:val="21"/>
          <w:highlight w:val="none"/>
        </w:rPr>
      </w:pPr>
      <w:r>
        <w:rPr>
          <w:rFonts w:hint="eastAsia" w:ascii="仿宋" w:hAnsi="仿宋" w:eastAsia="仿宋"/>
          <w:color w:val="000000" w:themeColor="text1"/>
          <w:szCs w:val="21"/>
          <w:highlight w:val="none"/>
        </w:rPr>
        <w:t>附件十：</w:t>
      </w:r>
    </w:p>
    <w:p>
      <w:pPr>
        <w:spacing w:beforeLines="100" w:afterLines="50" w:line="360" w:lineRule="auto"/>
        <w:jc w:val="center"/>
        <w:rPr>
          <w:rFonts w:ascii="仿宋" w:hAnsi="仿宋" w:eastAsia="仿宋"/>
          <w:color w:val="000000" w:themeColor="text1"/>
          <w:sz w:val="36"/>
          <w:szCs w:val="36"/>
          <w:highlight w:val="none"/>
        </w:rPr>
      </w:pPr>
      <w:r>
        <w:rPr>
          <w:rFonts w:hint="eastAsia" w:ascii="仿宋" w:hAnsi="仿宋" w:eastAsia="仿宋"/>
          <w:bCs/>
          <w:color w:val="000000" w:themeColor="text1"/>
          <w:sz w:val="36"/>
          <w:szCs w:val="36"/>
          <w:highlight w:val="none"/>
        </w:rPr>
        <w:t>参加政府采购活动前三年内，在经营活动中没有重大违法记录的承诺函</w:t>
      </w:r>
    </w:p>
    <w:p>
      <w:pPr>
        <w:spacing w:line="360" w:lineRule="exact"/>
        <w:rPr>
          <w:rFonts w:ascii="仿宋" w:hAnsi="仿宋" w:eastAsia="仿宋"/>
          <w:color w:val="000000" w:themeColor="text1"/>
          <w:sz w:val="24"/>
          <w:highlight w:val="none"/>
          <w:u w:val="single"/>
        </w:rPr>
      </w:pPr>
      <w:r>
        <w:rPr>
          <w:rFonts w:hint="eastAsia" w:ascii="仿宋" w:hAnsi="仿宋" w:eastAsia="仿宋"/>
          <w:color w:val="000000" w:themeColor="text1"/>
          <w:sz w:val="24"/>
          <w:highlight w:val="none"/>
          <w:u w:val="single"/>
        </w:rPr>
        <w:t>致：</w:t>
      </w:r>
      <w:r>
        <w:rPr>
          <w:rFonts w:hint="eastAsia" w:ascii="仿宋" w:hAnsi="仿宋" w:eastAsia="仿宋"/>
          <w:b/>
          <w:color w:val="000000" w:themeColor="text1"/>
          <w:spacing w:val="6"/>
          <w:sz w:val="24"/>
          <w:highlight w:val="none"/>
          <w:u w:val="single"/>
        </w:rPr>
        <w:t>天台中学</w:t>
      </w:r>
      <w:r>
        <w:rPr>
          <w:rFonts w:hint="eastAsia" w:ascii="仿宋" w:hAnsi="仿宋" w:eastAsia="仿宋"/>
          <w:color w:val="000000" w:themeColor="text1"/>
          <w:sz w:val="24"/>
          <w:highlight w:val="none"/>
        </w:rPr>
        <w:t>：</w:t>
      </w:r>
    </w:p>
    <w:p>
      <w:pPr>
        <w:spacing w:beforeLines="100" w:afterLines="50" w:line="360" w:lineRule="exact"/>
        <w:ind w:firstLine="480" w:firstLineChars="200"/>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我公司在参加本次政府采购项目投标活动中，作出如下承诺：</w:t>
      </w:r>
    </w:p>
    <w:p>
      <w:pPr>
        <w:spacing w:beforeLines="100" w:afterLines="50" w:line="360" w:lineRule="exact"/>
        <w:ind w:firstLine="480" w:firstLineChars="200"/>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一、在政府采购合同履约过程中及其它经营活动的履约过程中依法履约，具有良好的商业信誉。</w:t>
      </w:r>
    </w:p>
    <w:p>
      <w:pPr>
        <w:spacing w:beforeLines="100" w:afterLines="50" w:line="360" w:lineRule="exact"/>
        <w:ind w:firstLine="480" w:firstLineChars="200"/>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二、参加本次政府采购活动前三年内，在经营活动中没有重大违法记录（没有因违法经营受到刑事处罚，没有被责令停产停业、被吊销许可证或者执照、被处以较大数额罚款等行政处罚，没有因违法经营被禁止参加政府采购活动的期限未满情形）。也没有因违反《浙江省政府采购供应商注册及诚信管理暂行办法》被列入“黑名单”，且正在处罚有限期内。</w:t>
      </w:r>
    </w:p>
    <w:p>
      <w:pPr>
        <w:spacing w:beforeLines="100" w:afterLines="50" w:line="360" w:lineRule="exact"/>
        <w:ind w:firstLine="600" w:firstLineChars="250"/>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三、未曾为本采购项目提供整体设计、规范编制或者项目管理、监理、检测等服务；</w:t>
      </w:r>
    </w:p>
    <w:p>
      <w:pPr>
        <w:spacing w:beforeLines="100" w:afterLines="50" w:line="360" w:lineRule="exact"/>
        <w:ind w:firstLine="600" w:firstLineChars="250"/>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四、提供的相关文件均真实、有效。</w:t>
      </w:r>
    </w:p>
    <w:p>
      <w:pPr>
        <w:spacing w:beforeLines="100" w:afterLines="50" w:line="36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如有虚假，采购人可取消我方任何资格（投标/中标/签订合同），我方对此无任何异</w:t>
      </w:r>
    </w:p>
    <w:p>
      <w:pPr>
        <w:spacing w:beforeLines="100" w:afterLines="50" w:line="36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议。</w:t>
      </w:r>
    </w:p>
    <w:p>
      <w:pPr>
        <w:adjustRightInd w:val="0"/>
        <w:snapToGrid w:val="0"/>
        <w:spacing w:line="400" w:lineRule="exact"/>
        <w:ind w:firstLine="5160" w:firstLineChars="2150"/>
        <w:rPr>
          <w:rFonts w:ascii="仿宋" w:hAnsi="仿宋" w:eastAsia="仿宋"/>
          <w:color w:val="000000" w:themeColor="text1"/>
          <w:sz w:val="24"/>
          <w:highlight w:val="none"/>
        </w:rPr>
      </w:pPr>
      <w:r>
        <w:rPr>
          <w:rFonts w:hint="eastAsia" w:ascii="仿宋" w:hAnsi="仿宋" w:eastAsia="仿宋"/>
          <w:color w:val="000000" w:themeColor="text1"/>
          <w:sz w:val="24"/>
          <w:highlight w:val="none"/>
        </w:rPr>
        <w:t>投标人名称(盖公章)：</w:t>
      </w:r>
    </w:p>
    <w:p>
      <w:pPr>
        <w:adjustRightInd w:val="0"/>
        <w:snapToGrid w:val="0"/>
        <w:spacing w:line="400" w:lineRule="exact"/>
        <w:rPr>
          <w:rFonts w:ascii="仿宋" w:hAnsi="仿宋" w:eastAsia="仿宋" w:cs="FangSong_GB2312"/>
          <w:color w:val="000000" w:themeColor="text1"/>
          <w:kern w:val="0"/>
          <w:sz w:val="24"/>
          <w:highlight w:val="none"/>
          <w:lang w:val="zh-CN"/>
        </w:rPr>
      </w:pPr>
    </w:p>
    <w:p>
      <w:pPr>
        <w:adjustRightInd w:val="0"/>
        <w:snapToGrid w:val="0"/>
        <w:spacing w:line="400" w:lineRule="exact"/>
        <w:ind w:right="480"/>
        <w:jc w:val="center"/>
        <w:rPr>
          <w:rFonts w:ascii="仿宋" w:hAnsi="仿宋" w:eastAsia="仿宋" w:cs="FangSong_GB2312"/>
          <w:color w:val="000000" w:themeColor="text1"/>
          <w:kern w:val="0"/>
          <w:sz w:val="24"/>
          <w:highlight w:val="none"/>
        </w:rPr>
      </w:pPr>
      <w:r>
        <w:rPr>
          <w:rFonts w:hint="eastAsia" w:ascii="仿宋" w:hAnsi="仿宋" w:eastAsia="仿宋"/>
          <w:color w:val="000000" w:themeColor="text1"/>
          <w:sz w:val="24"/>
          <w:highlight w:val="none"/>
        </w:rPr>
        <w:t xml:space="preserve"> </w:t>
      </w:r>
      <w:r>
        <w:rPr>
          <w:rFonts w:hint="eastAsia" w:ascii="仿宋" w:hAnsi="仿宋" w:eastAsia="仿宋"/>
          <w:color w:val="000000" w:themeColor="text1"/>
          <w:sz w:val="24"/>
          <w:highlight w:val="none"/>
          <w:lang w:val="en-US" w:eastAsia="zh-CN"/>
        </w:rPr>
        <w:t xml:space="preserve">                              </w:t>
      </w:r>
      <w:r>
        <w:rPr>
          <w:rFonts w:hint="eastAsia" w:ascii="仿宋" w:hAnsi="仿宋" w:eastAsia="仿宋"/>
          <w:color w:val="000000" w:themeColor="text1"/>
          <w:sz w:val="24"/>
          <w:highlight w:val="none"/>
        </w:rPr>
        <w:t>日期：   年    月     日</w:t>
      </w:r>
    </w:p>
    <w:p>
      <w:pPr>
        <w:spacing w:beforeLines="100" w:afterLines="50" w:line="360" w:lineRule="auto"/>
        <w:jc w:val="left"/>
        <w:rPr>
          <w:rFonts w:ascii="仿宋" w:hAnsi="仿宋" w:eastAsia="仿宋"/>
          <w:color w:val="000000" w:themeColor="text1"/>
          <w:sz w:val="24"/>
          <w:highlight w:val="none"/>
        </w:rPr>
      </w:pPr>
    </w:p>
    <w:p>
      <w:pPr>
        <w:spacing w:beforeLines="100" w:afterLines="50" w:line="360" w:lineRule="auto"/>
        <w:jc w:val="left"/>
        <w:rPr>
          <w:rFonts w:ascii="仿宋" w:hAnsi="仿宋" w:eastAsia="仿宋"/>
          <w:color w:val="000000" w:themeColor="text1"/>
          <w:szCs w:val="21"/>
          <w:highlight w:val="none"/>
        </w:rPr>
      </w:pPr>
    </w:p>
    <w:p>
      <w:pPr>
        <w:spacing w:beforeLines="100" w:afterLines="50" w:line="360" w:lineRule="auto"/>
        <w:jc w:val="left"/>
        <w:rPr>
          <w:rFonts w:ascii="仿宋" w:hAnsi="仿宋" w:eastAsia="仿宋"/>
          <w:color w:val="000000" w:themeColor="text1"/>
          <w:szCs w:val="21"/>
          <w:highlight w:val="none"/>
        </w:rPr>
      </w:pPr>
    </w:p>
    <w:p>
      <w:pPr>
        <w:spacing w:beforeLines="100" w:afterLines="50" w:line="360" w:lineRule="auto"/>
        <w:jc w:val="left"/>
        <w:rPr>
          <w:rFonts w:ascii="仿宋" w:hAnsi="仿宋" w:eastAsia="仿宋"/>
          <w:color w:val="000000" w:themeColor="text1"/>
          <w:szCs w:val="21"/>
          <w:highlight w:val="none"/>
        </w:rPr>
      </w:pPr>
    </w:p>
    <w:p>
      <w:pPr>
        <w:spacing w:beforeLines="100" w:afterLines="50" w:line="360" w:lineRule="auto"/>
        <w:jc w:val="left"/>
        <w:rPr>
          <w:rFonts w:ascii="仿宋" w:hAnsi="仿宋" w:eastAsia="仿宋"/>
          <w:color w:val="000000" w:themeColor="text1"/>
          <w:szCs w:val="21"/>
          <w:highlight w:val="none"/>
        </w:rPr>
      </w:pPr>
      <w:r>
        <w:rPr>
          <w:rFonts w:hint="eastAsia" w:ascii="仿宋" w:hAnsi="仿宋" w:eastAsia="仿宋"/>
          <w:color w:val="000000" w:themeColor="text1"/>
          <w:szCs w:val="21"/>
          <w:highlight w:val="none"/>
        </w:rPr>
        <w:t>附件十一：</w:t>
      </w:r>
    </w:p>
    <w:p>
      <w:pPr>
        <w:pStyle w:val="35"/>
        <w:ind w:firstLine="560"/>
        <w:rPr>
          <w:rFonts w:ascii="仿宋" w:hAnsi="仿宋" w:eastAsia="仿宋"/>
          <w:color w:val="000000" w:themeColor="text1"/>
          <w:highlight w:val="none"/>
        </w:rPr>
      </w:pPr>
    </w:p>
    <w:p>
      <w:pPr>
        <w:spacing w:beforeLines="100" w:afterLines="50" w:line="360" w:lineRule="auto"/>
        <w:jc w:val="center"/>
        <w:rPr>
          <w:rFonts w:ascii="仿宋" w:hAnsi="仿宋" w:eastAsia="仿宋"/>
          <w:bCs/>
          <w:color w:val="000000" w:themeColor="text1"/>
          <w:sz w:val="44"/>
          <w:szCs w:val="44"/>
          <w:highlight w:val="none"/>
        </w:rPr>
      </w:pPr>
      <w:r>
        <w:rPr>
          <w:rFonts w:hint="eastAsia" w:ascii="仿宋" w:hAnsi="仿宋" w:eastAsia="仿宋"/>
          <w:bCs/>
          <w:color w:val="000000" w:themeColor="text1"/>
          <w:sz w:val="44"/>
          <w:szCs w:val="44"/>
          <w:highlight w:val="none"/>
        </w:rPr>
        <w:t>未被列入失信被执行人名单、重大税收违法案件当事人名单、政府采购严重违法失信行为记录名单承诺函</w:t>
      </w:r>
    </w:p>
    <w:p>
      <w:pPr>
        <w:pStyle w:val="35"/>
        <w:ind w:firstLine="560"/>
        <w:rPr>
          <w:rFonts w:ascii="仿宋" w:hAnsi="仿宋" w:eastAsia="仿宋"/>
          <w:color w:val="000000" w:themeColor="text1"/>
          <w:highlight w:val="none"/>
        </w:rPr>
      </w:pPr>
    </w:p>
    <w:p>
      <w:pPr>
        <w:spacing w:line="360" w:lineRule="auto"/>
        <w:rPr>
          <w:rFonts w:ascii="仿宋" w:hAnsi="仿宋" w:eastAsia="仿宋"/>
          <w:color w:val="000000" w:themeColor="text1"/>
          <w:sz w:val="24"/>
          <w:highlight w:val="none"/>
          <w:u w:val="single"/>
        </w:rPr>
      </w:pPr>
      <w:r>
        <w:rPr>
          <w:rFonts w:hint="eastAsia" w:ascii="仿宋" w:hAnsi="仿宋" w:eastAsia="仿宋"/>
          <w:color w:val="000000" w:themeColor="text1"/>
          <w:sz w:val="24"/>
          <w:highlight w:val="none"/>
          <w:u w:val="single"/>
        </w:rPr>
        <w:t>致：</w:t>
      </w:r>
      <w:r>
        <w:rPr>
          <w:rFonts w:hint="eastAsia" w:ascii="仿宋" w:hAnsi="仿宋" w:eastAsia="仿宋"/>
          <w:b/>
          <w:color w:val="000000" w:themeColor="text1"/>
          <w:spacing w:val="6"/>
          <w:sz w:val="24"/>
          <w:highlight w:val="none"/>
          <w:u w:val="single"/>
        </w:rPr>
        <w:t>天台中学</w:t>
      </w:r>
      <w:r>
        <w:rPr>
          <w:rFonts w:hint="eastAsia" w:ascii="仿宋" w:hAnsi="仿宋" w:eastAsia="仿宋"/>
          <w:color w:val="000000" w:themeColor="text1"/>
          <w:sz w:val="24"/>
          <w:highlight w:val="none"/>
        </w:rPr>
        <w:t>：</w:t>
      </w:r>
    </w:p>
    <w:p>
      <w:pPr>
        <w:spacing w:beforeLines="100" w:afterLines="50" w:line="400" w:lineRule="exact"/>
        <w:ind w:firstLine="360" w:firstLineChars="150"/>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我方郑重承诺，我方未被列入失信被执行人名单、重大税收违法案件当事人名单、政府采购严重违法失信行为记录名单。</w:t>
      </w:r>
    </w:p>
    <w:p>
      <w:pPr>
        <w:adjustRightInd w:val="0"/>
        <w:snapToGrid w:val="0"/>
        <w:spacing w:line="400" w:lineRule="exact"/>
        <w:ind w:firstLine="360" w:firstLineChars="150"/>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 xml:space="preserve">如有虚假，采购人可取消我方任何资格（投标/中标/签订合同），我方对此无任何异议。    </w:t>
      </w:r>
    </w:p>
    <w:p>
      <w:pPr>
        <w:pStyle w:val="35"/>
        <w:ind w:firstLine="560"/>
        <w:rPr>
          <w:rFonts w:ascii="仿宋" w:hAnsi="仿宋" w:eastAsia="仿宋"/>
          <w:color w:val="000000" w:themeColor="text1"/>
          <w:highlight w:val="none"/>
        </w:rPr>
      </w:pPr>
    </w:p>
    <w:p>
      <w:pPr>
        <w:adjustRightInd w:val="0"/>
        <w:snapToGrid w:val="0"/>
        <w:spacing w:line="400" w:lineRule="exact"/>
        <w:ind w:firstLine="4680" w:firstLineChars="1950"/>
        <w:rPr>
          <w:rFonts w:ascii="仿宋" w:hAnsi="仿宋" w:eastAsia="仿宋"/>
          <w:color w:val="000000" w:themeColor="text1"/>
          <w:sz w:val="24"/>
          <w:highlight w:val="none"/>
        </w:rPr>
      </w:pPr>
    </w:p>
    <w:p>
      <w:pPr>
        <w:adjustRightInd w:val="0"/>
        <w:snapToGrid w:val="0"/>
        <w:spacing w:line="400" w:lineRule="exact"/>
        <w:ind w:firstLine="4680" w:firstLineChars="1950"/>
        <w:rPr>
          <w:rFonts w:ascii="仿宋" w:hAnsi="仿宋" w:eastAsia="仿宋"/>
          <w:color w:val="000000" w:themeColor="text1"/>
          <w:sz w:val="24"/>
          <w:highlight w:val="none"/>
        </w:rPr>
      </w:pPr>
      <w:r>
        <w:rPr>
          <w:rFonts w:hint="eastAsia" w:ascii="仿宋" w:hAnsi="仿宋" w:eastAsia="仿宋"/>
          <w:color w:val="000000" w:themeColor="text1"/>
          <w:sz w:val="24"/>
          <w:highlight w:val="none"/>
        </w:rPr>
        <w:t>投标人名称(盖公章)：</w:t>
      </w:r>
    </w:p>
    <w:p>
      <w:pPr>
        <w:adjustRightInd w:val="0"/>
        <w:snapToGrid w:val="0"/>
        <w:spacing w:line="400" w:lineRule="exact"/>
        <w:rPr>
          <w:rFonts w:ascii="仿宋" w:hAnsi="仿宋" w:eastAsia="仿宋" w:cs="FangSong_GB2312"/>
          <w:color w:val="000000" w:themeColor="text1"/>
          <w:kern w:val="0"/>
          <w:sz w:val="24"/>
          <w:highlight w:val="none"/>
          <w:lang w:val="zh-CN"/>
        </w:rPr>
      </w:pPr>
    </w:p>
    <w:p>
      <w:pPr>
        <w:adjustRightInd w:val="0"/>
        <w:snapToGrid w:val="0"/>
        <w:spacing w:line="400" w:lineRule="exact"/>
        <w:ind w:right="480"/>
        <w:jc w:val="center"/>
        <w:rPr>
          <w:rFonts w:ascii="仿宋" w:hAnsi="仿宋" w:eastAsia="仿宋" w:cs="FangSong_GB2312"/>
          <w:color w:val="000000" w:themeColor="text1"/>
          <w:kern w:val="0"/>
          <w:sz w:val="24"/>
          <w:highlight w:val="none"/>
          <w:lang w:val="zh-CN"/>
        </w:rPr>
      </w:pPr>
      <w:r>
        <w:rPr>
          <w:rFonts w:hint="eastAsia" w:ascii="仿宋" w:hAnsi="仿宋" w:eastAsia="仿宋"/>
          <w:color w:val="000000" w:themeColor="text1"/>
          <w:sz w:val="24"/>
          <w:highlight w:val="none"/>
        </w:rPr>
        <w:t xml:space="preserve"> </w:t>
      </w:r>
      <w:r>
        <w:rPr>
          <w:rFonts w:hint="eastAsia" w:ascii="仿宋" w:hAnsi="仿宋" w:eastAsia="仿宋"/>
          <w:color w:val="000000" w:themeColor="text1"/>
          <w:sz w:val="24"/>
          <w:highlight w:val="none"/>
          <w:lang w:val="en-US" w:eastAsia="zh-CN"/>
        </w:rPr>
        <w:t xml:space="preserve">                           </w:t>
      </w:r>
      <w:r>
        <w:rPr>
          <w:rFonts w:hint="eastAsia" w:ascii="仿宋" w:hAnsi="仿宋" w:eastAsia="仿宋"/>
          <w:color w:val="000000" w:themeColor="text1"/>
          <w:sz w:val="24"/>
          <w:highlight w:val="none"/>
        </w:rPr>
        <w:t>日期：   年    月     日</w:t>
      </w:r>
    </w:p>
    <w:p>
      <w:pPr>
        <w:spacing w:beforeLines="100" w:afterLines="50" w:line="360" w:lineRule="auto"/>
        <w:jc w:val="left"/>
        <w:rPr>
          <w:rFonts w:ascii="仿宋" w:hAnsi="仿宋" w:eastAsia="仿宋"/>
          <w:color w:val="000000" w:themeColor="text1"/>
          <w:szCs w:val="21"/>
          <w:highlight w:val="none"/>
        </w:rPr>
      </w:pPr>
    </w:p>
    <w:p>
      <w:pPr>
        <w:spacing w:beforeLines="100" w:afterLines="50" w:line="360" w:lineRule="auto"/>
        <w:jc w:val="left"/>
        <w:rPr>
          <w:rFonts w:ascii="仿宋" w:hAnsi="仿宋" w:eastAsia="仿宋"/>
          <w:color w:val="000000" w:themeColor="text1"/>
          <w:szCs w:val="21"/>
          <w:highlight w:val="none"/>
        </w:rPr>
      </w:pPr>
    </w:p>
    <w:p>
      <w:pPr>
        <w:spacing w:beforeLines="100" w:afterLines="50" w:line="360" w:lineRule="auto"/>
        <w:jc w:val="left"/>
        <w:rPr>
          <w:rFonts w:ascii="仿宋" w:hAnsi="仿宋" w:eastAsia="仿宋"/>
          <w:color w:val="000000" w:themeColor="text1"/>
          <w:szCs w:val="21"/>
          <w:highlight w:val="none"/>
        </w:rPr>
      </w:pPr>
    </w:p>
    <w:p>
      <w:pPr>
        <w:spacing w:beforeLines="100" w:afterLines="50" w:line="360" w:lineRule="auto"/>
        <w:jc w:val="left"/>
        <w:rPr>
          <w:rFonts w:ascii="仿宋" w:hAnsi="仿宋" w:eastAsia="仿宋"/>
          <w:color w:val="000000" w:themeColor="text1"/>
          <w:szCs w:val="21"/>
          <w:highlight w:val="none"/>
        </w:rPr>
      </w:pPr>
    </w:p>
    <w:p>
      <w:pPr>
        <w:spacing w:beforeLines="100" w:afterLines="50" w:line="360" w:lineRule="auto"/>
        <w:jc w:val="left"/>
        <w:rPr>
          <w:rFonts w:ascii="仿宋" w:hAnsi="仿宋" w:eastAsia="仿宋"/>
          <w:color w:val="000000" w:themeColor="text1"/>
          <w:szCs w:val="21"/>
          <w:highlight w:val="none"/>
        </w:rPr>
      </w:pPr>
    </w:p>
    <w:p>
      <w:pPr>
        <w:spacing w:beforeLines="100" w:afterLines="50" w:line="360" w:lineRule="auto"/>
        <w:jc w:val="left"/>
        <w:rPr>
          <w:rFonts w:ascii="仿宋" w:hAnsi="仿宋" w:eastAsia="仿宋"/>
          <w:color w:val="000000" w:themeColor="text1"/>
          <w:szCs w:val="21"/>
          <w:highlight w:val="none"/>
        </w:rPr>
      </w:pPr>
    </w:p>
    <w:p>
      <w:pPr>
        <w:spacing w:beforeLines="100" w:afterLines="50" w:line="360" w:lineRule="auto"/>
        <w:jc w:val="left"/>
        <w:rPr>
          <w:rFonts w:ascii="仿宋" w:hAnsi="仿宋" w:eastAsia="仿宋"/>
          <w:color w:val="000000" w:themeColor="text1"/>
          <w:szCs w:val="21"/>
          <w:highlight w:val="none"/>
        </w:rPr>
      </w:pPr>
    </w:p>
    <w:p>
      <w:pPr>
        <w:spacing w:beforeLines="100" w:afterLines="50" w:line="360" w:lineRule="auto"/>
        <w:jc w:val="left"/>
        <w:rPr>
          <w:rFonts w:ascii="仿宋" w:hAnsi="仿宋" w:eastAsia="仿宋"/>
          <w:color w:val="000000" w:themeColor="text1"/>
          <w:szCs w:val="21"/>
          <w:highlight w:val="none"/>
        </w:rPr>
      </w:pPr>
      <w:r>
        <w:rPr>
          <w:rFonts w:hint="eastAsia" w:ascii="仿宋" w:hAnsi="仿宋" w:eastAsia="仿宋"/>
          <w:color w:val="000000" w:themeColor="text1"/>
          <w:szCs w:val="21"/>
          <w:highlight w:val="none"/>
        </w:rPr>
        <w:t>附件十二：</w:t>
      </w:r>
    </w:p>
    <w:p>
      <w:pPr>
        <w:jc w:val="center"/>
        <w:rPr>
          <w:rFonts w:ascii="仿宋" w:hAnsi="仿宋" w:eastAsia="仿宋"/>
          <w:b/>
          <w:color w:val="000000" w:themeColor="text1"/>
          <w:spacing w:val="6"/>
          <w:sz w:val="22"/>
          <w:szCs w:val="22"/>
          <w:highlight w:val="none"/>
        </w:rPr>
      </w:pPr>
      <w:r>
        <w:rPr>
          <w:rFonts w:hint="eastAsia" w:ascii="仿宋" w:hAnsi="仿宋" w:eastAsia="仿宋"/>
          <w:b/>
          <w:color w:val="000000" w:themeColor="text1"/>
          <w:spacing w:val="6"/>
          <w:sz w:val="22"/>
          <w:szCs w:val="22"/>
          <w:highlight w:val="none"/>
        </w:rPr>
        <w:t>政府采购活动现场确认声明书</w:t>
      </w:r>
    </w:p>
    <w:p>
      <w:pPr>
        <w:pStyle w:val="84"/>
        <w:widowControl w:val="0"/>
        <w:snapToGrid w:val="0"/>
        <w:spacing w:line="440" w:lineRule="exact"/>
        <w:jc w:val="both"/>
        <w:rPr>
          <w:rFonts w:hint="default" w:ascii="仿宋" w:hAnsi="仿宋" w:eastAsia="仿宋"/>
          <w:b/>
          <w:color w:val="000000" w:themeColor="text1"/>
          <w:spacing w:val="6"/>
          <w:sz w:val="24"/>
          <w:szCs w:val="24"/>
          <w:highlight w:val="none"/>
          <w:u w:val="single"/>
        </w:rPr>
      </w:pPr>
      <w:r>
        <w:rPr>
          <w:rFonts w:ascii="仿宋" w:hAnsi="仿宋" w:eastAsia="仿宋"/>
          <w:b/>
          <w:color w:val="000000" w:themeColor="text1"/>
          <w:spacing w:val="6"/>
          <w:sz w:val="24"/>
          <w:szCs w:val="24"/>
          <w:highlight w:val="none"/>
          <w:u w:val="single"/>
        </w:rPr>
        <w:t>天台中学：</w:t>
      </w:r>
    </w:p>
    <w:p>
      <w:pPr>
        <w:pStyle w:val="84"/>
        <w:widowControl w:val="0"/>
        <w:snapToGrid w:val="0"/>
        <w:spacing w:line="440" w:lineRule="exact"/>
        <w:jc w:val="both"/>
        <w:rPr>
          <w:rFonts w:hint="default" w:ascii="仿宋" w:hAnsi="仿宋" w:eastAsia="仿宋"/>
          <w:b/>
          <w:color w:val="000000" w:themeColor="text1"/>
          <w:spacing w:val="6"/>
          <w:sz w:val="24"/>
          <w:szCs w:val="24"/>
          <w:highlight w:val="none"/>
          <w:u w:val="single"/>
        </w:rPr>
      </w:pPr>
      <w:r>
        <w:rPr>
          <w:rFonts w:ascii="仿宋" w:hAnsi="仿宋" w:eastAsia="仿宋"/>
          <w:b/>
          <w:color w:val="000000" w:themeColor="text1"/>
          <w:spacing w:val="6"/>
          <w:sz w:val="24"/>
          <w:szCs w:val="24"/>
          <w:highlight w:val="none"/>
          <w:u w:val="single"/>
        </w:rPr>
        <w:t>浙江祥泽</w:t>
      </w:r>
      <w:r>
        <w:rPr>
          <w:rFonts w:hint="default" w:ascii="仿宋" w:hAnsi="仿宋" w:eastAsia="仿宋"/>
          <w:b/>
          <w:color w:val="000000" w:themeColor="text1"/>
          <w:spacing w:val="6"/>
          <w:sz w:val="24"/>
          <w:szCs w:val="24"/>
          <w:highlight w:val="none"/>
          <w:u w:val="single"/>
        </w:rPr>
        <w:t>招标代理有限公司</w:t>
      </w:r>
      <w:r>
        <w:rPr>
          <w:rFonts w:ascii="仿宋" w:hAnsi="仿宋" w:eastAsia="仿宋"/>
          <w:b/>
          <w:color w:val="000000" w:themeColor="text1"/>
          <w:kern w:val="0"/>
          <w:sz w:val="24"/>
          <w:szCs w:val="24"/>
          <w:highlight w:val="none"/>
        </w:rPr>
        <w:t>：</w:t>
      </w:r>
    </w:p>
    <w:p>
      <w:pPr>
        <w:pStyle w:val="84"/>
        <w:widowControl w:val="0"/>
        <w:snapToGrid w:val="0"/>
        <w:spacing w:line="440" w:lineRule="exact"/>
        <w:ind w:firstLine="464" w:firstLineChars="200"/>
        <w:jc w:val="both"/>
        <w:rPr>
          <w:rFonts w:hint="default" w:ascii="仿宋" w:hAnsi="仿宋" w:eastAsia="仿宋"/>
          <w:color w:val="000000" w:themeColor="text1"/>
          <w:spacing w:val="6"/>
          <w:sz w:val="22"/>
          <w:szCs w:val="22"/>
          <w:highlight w:val="none"/>
        </w:rPr>
      </w:pPr>
      <w:r>
        <w:rPr>
          <w:rFonts w:ascii="仿宋" w:hAnsi="仿宋" w:eastAsia="仿宋"/>
          <w:color w:val="000000" w:themeColor="text1"/>
          <w:spacing w:val="6"/>
          <w:sz w:val="22"/>
          <w:szCs w:val="22"/>
          <w:highlight w:val="none"/>
        </w:rPr>
        <w:t>本人经由</w:t>
      </w:r>
      <w:r>
        <w:rPr>
          <w:rFonts w:ascii="仿宋" w:hAnsi="仿宋" w:eastAsia="仿宋"/>
          <w:color w:val="000000" w:themeColor="text1"/>
          <w:spacing w:val="6"/>
          <w:sz w:val="22"/>
          <w:szCs w:val="22"/>
          <w:highlight w:val="none"/>
          <w:u w:val="single"/>
        </w:rPr>
        <w:t xml:space="preserve">                       （单位）</w:t>
      </w:r>
      <w:r>
        <w:rPr>
          <w:rFonts w:ascii="仿宋" w:hAnsi="仿宋" w:eastAsia="仿宋"/>
          <w:color w:val="000000" w:themeColor="text1"/>
          <w:spacing w:val="6"/>
          <w:sz w:val="22"/>
          <w:szCs w:val="22"/>
          <w:highlight w:val="none"/>
        </w:rPr>
        <w:t>负责人</w:t>
      </w:r>
      <w:r>
        <w:rPr>
          <w:rFonts w:ascii="仿宋" w:hAnsi="仿宋" w:eastAsia="仿宋"/>
          <w:color w:val="000000" w:themeColor="text1"/>
          <w:spacing w:val="6"/>
          <w:sz w:val="22"/>
          <w:szCs w:val="22"/>
          <w:highlight w:val="none"/>
          <w:u w:val="single"/>
        </w:rPr>
        <w:t xml:space="preserve">          （姓名）</w:t>
      </w:r>
      <w:r>
        <w:rPr>
          <w:rFonts w:ascii="仿宋" w:hAnsi="仿宋" w:eastAsia="仿宋"/>
          <w:color w:val="000000" w:themeColor="text1"/>
          <w:spacing w:val="6"/>
          <w:sz w:val="22"/>
          <w:szCs w:val="22"/>
          <w:highlight w:val="none"/>
        </w:rPr>
        <w:t>合法授权</w:t>
      </w:r>
      <w:r>
        <w:rPr>
          <w:rFonts w:ascii="仿宋" w:hAnsi="仿宋" w:eastAsia="仿宋"/>
          <w:color w:val="000000" w:themeColor="text1"/>
          <w:spacing w:val="6"/>
          <w:sz w:val="22"/>
          <w:szCs w:val="22"/>
          <w:highlight w:val="none"/>
          <w:u w:val="single"/>
        </w:rPr>
        <w:t xml:space="preserve"> 天台中学创新实验室和专用教室采购项目（标项   ）（</w:t>
      </w:r>
      <w:r>
        <w:rPr>
          <w:rFonts w:ascii="仿宋" w:hAnsi="仿宋" w:eastAsia="仿宋"/>
          <w:color w:val="000000" w:themeColor="text1"/>
          <w:spacing w:val="6"/>
          <w:sz w:val="22"/>
          <w:szCs w:val="22"/>
          <w:highlight w:val="none"/>
        </w:rPr>
        <w:t>编号：</w:t>
      </w:r>
      <w:r>
        <w:rPr>
          <w:rFonts w:ascii="仿宋" w:hAnsi="仿宋" w:eastAsia="仿宋"/>
          <w:color w:val="000000" w:themeColor="text1"/>
          <w:spacing w:val="6"/>
          <w:sz w:val="22"/>
          <w:szCs w:val="22"/>
          <w:highlight w:val="none"/>
          <w:u w:val="single"/>
        </w:rPr>
        <w:t>xzcg-2022-036（招）</w:t>
      </w:r>
      <w:r>
        <w:rPr>
          <w:rFonts w:ascii="仿宋" w:hAnsi="仿宋" w:eastAsia="仿宋"/>
          <w:color w:val="000000" w:themeColor="text1"/>
          <w:spacing w:val="6"/>
          <w:sz w:val="22"/>
          <w:szCs w:val="22"/>
          <w:highlight w:val="none"/>
        </w:rPr>
        <w:t xml:space="preserve">）政府采购活动，经与本单位法人代表（负责人）联系确认，现就有关公平竞争事项郑重声明如下： </w:t>
      </w:r>
    </w:p>
    <w:p>
      <w:pPr>
        <w:pStyle w:val="69"/>
        <w:widowControl/>
        <w:numPr>
          <w:ilvl w:val="0"/>
          <w:numId w:val="17"/>
        </w:numPr>
        <w:snapToGrid w:val="0"/>
        <w:spacing w:line="440" w:lineRule="exact"/>
        <w:ind w:firstLine="415" w:firstLineChars="189"/>
        <w:rPr>
          <w:rFonts w:hint="default" w:ascii="仿宋" w:hAnsi="仿宋" w:eastAsia="仿宋"/>
          <w:color w:val="000000" w:themeColor="text1"/>
          <w:kern w:val="0"/>
          <w:sz w:val="22"/>
          <w:szCs w:val="22"/>
          <w:highlight w:val="none"/>
        </w:rPr>
      </w:pPr>
      <w:r>
        <w:rPr>
          <w:rFonts w:ascii="仿宋" w:hAnsi="仿宋" w:eastAsia="仿宋"/>
          <w:color w:val="000000" w:themeColor="text1"/>
          <w:kern w:val="0"/>
          <w:sz w:val="22"/>
          <w:szCs w:val="22"/>
          <w:highlight w:val="none"/>
        </w:rPr>
        <w:t xml:space="preserve">本单位与采购人之间 </w:t>
      </w:r>
      <w:r>
        <w:rPr>
          <w:rFonts w:ascii="仿宋" w:hAnsi="仿宋" w:eastAsia="仿宋" w:cs="宋体"/>
          <w:color w:val="000000" w:themeColor="text1"/>
          <w:kern w:val="0"/>
          <w:sz w:val="22"/>
          <w:szCs w:val="22"/>
          <w:highlight w:val="none"/>
        </w:rPr>
        <w:t>□</w:t>
      </w:r>
      <w:r>
        <w:rPr>
          <w:rFonts w:ascii="仿宋" w:hAnsi="仿宋" w:eastAsia="仿宋"/>
          <w:color w:val="000000" w:themeColor="text1"/>
          <w:kern w:val="0"/>
          <w:sz w:val="22"/>
          <w:szCs w:val="22"/>
          <w:highlight w:val="none"/>
        </w:rPr>
        <w:t xml:space="preserve">不存在利害关系 </w:t>
      </w:r>
      <w:r>
        <w:rPr>
          <w:rFonts w:ascii="仿宋" w:hAnsi="仿宋" w:eastAsia="仿宋" w:cs="宋体"/>
          <w:color w:val="000000" w:themeColor="text1"/>
          <w:kern w:val="0"/>
          <w:sz w:val="22"/>
          <w:szCs w:val="22"/>
          <w:highlight w:val="none"/>
        </w:rPr>
        <w:t>□</w:t>
      </w:r>
      <w:r>
        <w:rPr>
          <w:rFonts w:ascii="仿宋" w:hAnsi="仿宋" w:eastAsia="仿宋"/>
          <w:color w:val="000000" w:themeColor="text1"/>
          <w:kern w:val="0"/>
          <w:sz w:val="22"/>
          <w:szCs w:val="22"/>
          <w:highlight w:val="none"/>
        </w:rPr>
        <w:t>存在下列利害关系：</w:t>
      </w:r>
    </w:p>
    <w:p>
      <w:pPr>
        <w:pStyle w:val="69"/>
        <w:widowControl/>
        <w:snapToGrid w:val="0"/>
        <w:spacing w:line="440" w:lineRule="exact"/>
        <w:rPr>
          <w:rFonts w:hint="default" w:ascii="仿宋" w:hAnsi="仿宋" w:eastAsia="仿宋"/>
          <w:color w:val="000000" w:themeColor="text1"/>
          <w:kern w:val="0"/>
          <w:sz w:val="22"/>
          <w:szCs w:val="22"/>
          <w:highlight w:val="none"/>
        </w:rPr>
      </w:pPr>
      <w:r>
        <w:rPr>
          <w:rFonts w:ascii="仿宋" w:hAnsi="仿宋" w:eastAsia="仿宋"/>
          <w:color w:val="000000" w:themeColor="text1"/>
          <w:kern w:val="0"/>
          <w:sz w:val="22"/>
          <w:szCs w:val="22"/>
          <w:highlight w:val="none"/>
        </w:rPr>
        <w:t xml:space="preserve">  A.投资关系    B.行政隶属关系    C.业务指导关系</w:t>
      </w:r>
    </w:p>
    <w:p>
      <w:pPr>
        <w:pStyle w:val="69"/>
        <w:widowControl/>
        <w:snapToGrid w:val="0"/>
        <w:spacing w:line="440" w:lineRule="exact"/>
        <w:rPr>
          <w:rFonts w:hint="default" w:ascii="仿宋" w:hAnsi="仿宋" w:eastAsia="仿宋"/>
          <w:color w:val="000000" w:themeColor="text1"/>
          <w:kern w:val="0"/>
          <w:sz w:val="22"/>
          <w:szCs w:val="22"/>
          <w:highlight w:val="none"/>
        </w:rPr>
      </w:pPr>
      <w:r>
        <w:rPr>
          <w:rFonts w:ascii="仿宋" w:hAnsi="仿宋" w:eastAsia="仿宋"/>
          <w:color w:val="000000" w:themeColor="text1"/>
          <w:kern w:val="0"/>
          <w:sz w:val="22"/>
          <w:szCs w:val="22"/>
          <w:highlight w:val="none"/>
        </w:rPr>
        <w:t xml:space="preserve">  D.其他可能</w:t>
      </w:r>
      <w:r>
        <w:rPr>
          <w:rFonts w:ascii="仿宋" w:hAnsi="仿宋" w:eastAsia="仿宋"/>
          <w:color w:val="000000" w:themeColor="text1"/>
          <w:sz w:val="22"/>
          <w:szCs w:val="22"/>
          <w:highlight w:val="none"/>
        </w:rPr>
        <w:t>影响采购公正的</w:t>
      </w:r>
      <w:r>
        <w:rPr>
          <w:rFonts w:ascii="仿宋" w:hAnsi="仿宋" w:eastAsia="仿宋"/>
          <w:color w:val="000000" w:themeColor="text1"/>
          <w:kern w:val="0"/>
          <w:sz w:val="22"/>
          <w:szCs w:val="22"/>
          <w:highlight w:val="none"/>
        </w:rPr>
        <w:t>利害关系</w:t>
      </w:r>
      <w:r>
        <w:rPr>
          <w:rFonts w:ascii="仿宋" w:hAnsi="仿宋" w:eastAsia="仿宋"/>
          <w:color w:val="000000" w:themeColor="text1"/>
          <w:kern w:val="0"/>
          <w:sz w:val="22"/>
          <w:szCs w:val="22"/>
          <w:highlight w:val="none"/>
          <w:u w:val="single"/>
        </w:rPr>
        <w:t xml:space="preserve">（如有，请如实说明）                 </w:t>
      </w:r>
      <w:r>
        <w:rPr>
          <w:rFonts w:ascii="仿宋" w:hAnsi="仿宋" w:eastAsia="仿宋"/>
          <w:color w:val="000000" w:themeColor="text1"/>
          <w:kern w:val="0"/>
          <w:sz w:val="22"/>
          <w:szCs w:val="22"/>
          <w:highlight w:val="none"/>
        </w:rPr>
        <w:t>。</w:t>
      </w:r>
    </w:p>
    <w:p>
      <w:pPr>
        <w:pStyle w:val="69"/>
        <w:widowControl/>
        <w:snapToGrid w:val="0"/>
        <w:spacing w:line="440" w:lineRule="exact"/>
        <w:rPr>
          <w:rFonts w:hint="default" w:ascii="仿宋" w:hAnsi="仿宋" w:eastAsia="仿宋"/>
          <w:color w:val="000000" w:themeColor="text1"/>
          <w:kern w:val="0"/>
          <w:sz w:val="22"/>
          <w:szCs w:val="22"/>
          <w:highlight w:val="none"/>
        </w:rPr>
      </w:pPr>
      <w:r>
        <w:rPr>
          <w:rFonts w:ascii="仿宋" w:hAnsi="仿宋" w:eastAsia="仿宋"/>
          <w:color w:val="000000" w:themeColor="text1"/>
          <w:spacing w:val="6"/>
          <w:sz w:val="22"/>
          <w:szCs w:val="22"/>
          <w:highlight w:val="none"/>
        </w:rPr>
        <w:t xml:space="preserve">  二、</w:t>
      </w:r>
      <w:r>
        <w:rPr>
          <w:rFonts w:ascii="仿宋" w:hAnsi="仿宋" w:eastAsia="仿宋"/>
          <w:color w:val="000000" w:themeColor="text1"/>
          <w:kern w:val="0"/>
          <w:sz w:val="22"/>
          <w:szCs w:val="22"/>
          <w:highlight w:val="none"/>
        </w:rPr>
        <w:t xml:space="preserve">现已清楚知道参加本项目采购活动的其他所有供应商名称，本单位 </w:t>
      </w:r>
      <w:r>
        <w:rPr>
          <w:rFonts w:ascii="仿宋" w:hAnsi="仿宋" w:eastAsia="仿宋" w:cs="宋体"/>
          <w:color w:val="000000" w:themeColor="text1"/>
          <w:kern w:val="0"/>
          <w:sz w:val="22"/>
          <w:szCs w:val="22"/>
          <w:highlight w:val="none"/>
        </w:rPr>
        <w:t>□与其他所有供应商之间均</w:t>
      </w:r>
      <w:r>
        <w:rPr>
          <w:rFonts w:ascii="仿宋" w:hAnsi="仿宋" w:eastAsia="仿宋"/>
          <w:color w:val="000000" w:themeColor="text1"/>
          <w:kern w:val="0"/>
          <w:sz w:val="22"/>
          <w:szCs w:val="22"/>
          <w:highlight w:val="none"/>
        </w:rPr>
        <w:t xml:space="preserve">不存在利害关系 </w:t>
      </w:r>
      <w:r>
        <w:rPr>
          <w:rFonts w:ascii="仿宋" w:hAnsi="仿宋" w:eastAsia="仿宋" w:cs="宋体"/>
          <w:color w:val="000000" w:themeColor="text1"/>
          <w:kern w:val="0"/>
          <w:sz w:val="22"/>
          <w:szCs w:val="22"/>
          <w:highlight w:val="none"/>
        </w:rPr>
        <w:t>□与</w:t>
      </w:r>
      <w:r>
        <w:rPr>
          <w:rFonts w:ascii="仿宋" w:hAnsi="仿宋" w:eastAsia="仿宋" w:cs="宋体"/>
          <w:color w:val="000000" w:themeColor="text1"/>
          <w:kern w:val="0"/>
          <w:sz w:val="22"/>
          <w:szCs w:val="22"/>
          <w:highlight w:val="none"/>
          <w:u w:val="single"/>
        </w:rPr>
        <w:t xml:space="preserve">           （供应商名称）</w:t>
      </w:r>
      <w:r>
        <w:rPr>
          <w:rFonts w:ascii="仿宋" w:hAnsi="仿宋" w:eastAsia="仿宋" w:cs="宋体"/>
          <w:color w:val="000000" w:themeColor="text1"/>
          <w:kern w:val="0"/>
          <w:sz w:val="22"/>
          <w:szCs w:val="22"/>
          <w:highlight w:val="none"/>
        </w:rPr>
        <w:t>之间</w:t>
      </w:r>
      <w:r>
        <w:rPr>
          <w:rFonts w:ascii="仿宋" w:hAnsi="仿宋" w:eastAsia="仿宋"/>
          <w:color w:val="000000" w:themeColor="text1"/>
          <w:kern w:val="0"/>
          <w:sz w:val="22"/>
          <w:szCs w:val="22"/>
          <w:highlight w:val="none"/>
        </w:rPr>
        <w:t>存在下列利害关系：</w:t>
      </w:r>
    </w:p>
    <w:p>
      <w:pPr>
        <w:pStyle w:val="84"/>
        <w:widowControl w:val="0"/>
        <w:snapToGrid w:val="0"/>
        <w:spacing w:line="440" w:lineRule="exact"/>
        <w:jc w:val="both"/>
        <w:rPr>
          <w:rFonts w:hint="default" w:ascii="仿宋" w:hAnsi="仿宋" w:eastAsia="仿宋"/>
          <w:color w:val="000000" w:themeColor="text1"/>
          <w:kern w:val="0"/>
          <w:sz w:val="22"/>
          <w:szCs w:val="22"/>
          <w:highlight w:val="none"/>
        </w:rPr>
      </w:pPr>
      <w:r>
        <w:rPr>
          <w:rFonts w:ascii="仿宋" w:hAnsi="仿宋" w:eastAsia="仿宋"/>
          <w:color w:val="000000" w:themeColor="text1"/>
          <w:kern w:val="0"/>
          <w:sz w:val="22"/>
          <w:szCs w:val="22"/>
          <w:highlight w:val="none"/>
        </w:rPr>
        <w:t xml:space="preserve">  A.法定代表人或负责人或实际控制人是同一人</w:t>
      </w:r>
    </w:p>
    <w:p>
      <w:pPr>
        <w:pStyle w:val="84"/>
        <w:widowControl w:val="0"/>
        <w:snapToGrid w:val="0"/>
        <w:spacing w:line="440" w:lineRule="exact"/>
        <w:jc w:val="both"/>
        <w:rPr>
          <w:rFonts w:hint="default" w:ascii="仿宋" w:hAnsi="仿宋" w:eastAsia="仿宋"/>
          <w:color w:val="000000" w:themeColor="text1"/>
          <w:spacing w:val="6"/>
          <w:sz w:val="22"/>
          <w:szCs w:val="22"/>
          <w:highlight w:val="none"/>
        </w:rPr>
      </w:pPr>
      <w:r>
        <w:rPr>
          <w:rFonts w:ascii="仿宋" w:hAnsi="仿宋" w:eastAsia="仿宋"/>
          <w:color w:val="000000" w:themeColor="text1"/>
          <w:kern w:val="0"/>
          <w:sz w:val="22"/>
          <w:szCs w:val="22"/>
          <w:highlight w:val="none"/>
        </w:rPr>
        <w:t xml:space="preserve">  B.法定代表人或负责人或实际控制人是夫妻关系</w:t>
      </w:r>
    </w:p>
    <w:p>
      <w:pPr>
        <w:pStyle w:val="84"/>
        <w:widowControl w:val="0"/>
        <w:snapToGrid w:val="0"/>
        <w:spacing w:line="440" w:lineRule="exact"/>
        <w:jc w:val="both"/>
        <w:rPr>
          <w:rFonts w:hint="default" w:ascii="仿宋" w:hAnsi="仿宋" w:eastAsia="仿宋"/>
          <w:color w:val="000000" w:themeColor="text1"/>
          <w:spacing w:val="6"/>
          <w:sz w:val="22"/>
          <w:szCs w:val="22"/>
          <w:highlight w:val="none"/>
        </w:rPr>
      </w:pPr>
      <w:r>
        <w:rPr>
          <w:rFonts w:ascii="仿宋" w:hAnsi="仿宋" w:eastAsia="仿宋"/>
          <w:color w:val="000000" w:themeColor="text1"/>
          <w:kern w:val="0"/>
          <w:sz w:val="22"/>
          <w:szCs w:val="22"/>
          <w:highlight w:val="none"/>
        </w:rPr>
        <w:t xml:space="preserve">  C.法定代表人或负责人或实际控制人是直系血亲关系</w:t>
      </w:r>
    </w:p>
    <w:p>
      <w:pPr>
        <w:pStyle w:val="84"/>
        <w:widowControl w:val="0"/>
        <w:snapToGrid w:val="0"/>
        <w:spacing w:line="440" w:lineRule="exact"/>
        <w:jc w:val="both"/>
        <w:rPr>
          <w:rFonts w:hint="default" w:ascii="仿宋" w:hAnsi="仿宋" w:eastAsia="仿宋"/>
          <w:color w:val="000000" w:themeColor="text1"/>
          <w:spacing w:val="6"/>
          <w:sz w:val="22"/>
          <w:szCs w:val="22"/>
          <w:highlight w:val="none"/>
        </w:rPr>
      </w:pPr>
      <w:r>
        <w:rPr>
          <w:rFonts w:ascii="仿宋" w:hAnsi="仿宋" w:eastAsia="仿宋"/>
          <w:color w:val="000000" w:themeColor="text1"/>
          <w:kern w:val="0"/>
          <w:sz w:val="22"/>
          <w:szCs w:val="22"/>
          <w:highlight w:val="none"/>
        </w:rPr>
        <w:t xml:space="preserve">  D.法定代表人或负责人或实际控制人存在三代以内旁系血亲关系</w:t>
      </w:r>
    </w:p>
    <w:p>
      <w:pPr>
        <w:pStyle w:val="84"/>
        <w:widowControl w:val="0"/>
        <w:snapToGrid w:val="0"/>
        <w:spacing w:line="440" w:lineRule="exact"/>
        <w:jc w:val="both"/>
        <w:rPr>
          <w:rFonts w:hint="default" w:ascii="仿宋" w:hAnsi="仿宋" w:eastAsia="仿宋"/>
          <w:color w:val="000000" w:themeColor="text1"/>
          <w:kern w:val="0"/>
          <w:sz w:val="22"/>
          <w:szCs w:val="22"/>
          <w:highlight w:val="none"/>
        </w:rPr>
      </w:pPr>
      <w:r>
        <w:rPr>
          <w:rFonts w:ascii="仿宋" w:hAnsi="仿宋" w:eastAsia="仿宋"/>
          <w:color w:val="000000" w:themeColor="text1"/>
          <w:kern w:val="0"/>
          <w:sz w:val="22"/>
          <w:szCs w:val="22"/>
          <w:highlight w:val="none"/>
        </w:rPr>
        <w:t xml:space="preserve">  E.法定代表人或负责人或实际控制人存在近姻亲关系</w:t>
      </w:r>
    </w:p>
    <w:p>
      <w:pPr>
        <w:pStyle w:val="84"/>
        <w:widowControl w:val="0"/>
        <w:snapToGrid w:val="0"/>
        <w:spacing w:line="440" w:lineRule="exact"/>
        <w:jc w:val="both"/>
        <w:rPr>
          <w:rFonts w:hint="default" w:ascii="仿宋" w:hAnsi="仿宋" w:eastAsia="仿宋"/>
          <w:color w:val="000000" w:themeColor="text1"/>
          <w:kern w:val="0"/>
          <w:sz w:val="22"/>
          <w:szCs w:val="22"/>
          <w:highlight w:val="none"/>
        </w:rPr>
      </w:pPr>
      <w:r>
        <w:rPr>
          <w:rFonts w:ascii="仿宋" w:hAnsi="仿宋" w:eastAsia="仿宋"/>
          <w:color w:val="000000" w:themeColor="text1"/>
          <w:kern w:val="0"/>
          <w:sz w:val="22"/>
          <w:szCs w:val="22"/>
          <w:highlight w:val="none"/>
        </w:rPr>
        <w:t xml:space="preserve">  F.法定代表人或负责人或实际控制人存在股份控制或实际控制关系</w:t>
      </w:r>
    </w:p>
    <w:p>
      <w:pPr>
        <w:pStyle w:val="84"/>
        <w:widowControl w:val="0"/>
        <w:snapToGrid w:val="0"/>
        <w:spacing w:line="440" w:lineRule="exact"/>
        <w:jc w:val="both"/>
        <w:outlineLvl w:val="0"/>
        <w:rPr>
          <w:rFonts w:hint="default" w:ascii="仿宋" w:hAnsi="仿宋" w:eastAsia="仿宋"/>
          <w:color w:val="000000" w:themeColor="text1"/>
          <w:kern w:val="0"/>
          <w:sz w:val="22"/>
          <w:szCs w:val="22"/>
          <w:highlight w:val="none"/>
        </w:rPr>
      </w:pPr>
      <w:r>
        <w:rPr>
          <w:rFonts w:ascii="仿宋" w:hAnsi="仿宋" w:eastAsia="仿宋"/>
          <w:color w:val="000000" w:themeColor="text1"/>
          <w:kern w:val="0"/>
          <w:sz w:val="22"/>
          <w:szCs w:val="22"/>
          <w:highlight w:val="none"/>
        </w:rPr>
        <w:t xml:space="preserve">  G.存在共同直接或间接投资设立子公司、联营企业和合营企业情况</w:t>
      </w:r>
    </w:p>
    <w:p>
      <w:pPr>
        <w:pStyle w:val="84"/>
        <w:widowControl w:val="0"/>
        <w:snapToGrid w:val="0"/>
        <w:spacing w:line="440" w:lineRule="exact"/>
        <w:jc w:val="both"/>
        <w:rPr>
          <w:rFonts w:hint="default" w:ascii="仿宋" w:hAnsi="仿宋" w:eastAsia="仿宋"/>
          <w:color w:val="000000" w:themeColor="text1"/>
          <w:sz w:val="22"/>
          <w:szCs w:val="22"/>
          <w:highlight w:val="none"/>
        </w:rPr>
      </w:pPr>
      <w:r>
        <w:rPr>
          <w:rFonts w:ascii="仿宋" w:hAnsi="仿宋" w:eastAsia="仿宋"/>
          <w:color w:val="000000" w:themeColor="text1"/>
          <w:kern w:val="0"/>
          <w:sz w:val="22"/>
          <w:szCs w:val="22"/>
          <w:highlight w:val="none"/>
        </w:rPr>
        <w:t xml:space="preserve">  H.存在分级代理或代销关系、同一生产制造商关系、</w:t>
      </w:r>
      <w:r>
        <w:rPr>
          <w:rFonts w:ascii="仿宋" w:hAnsi="仿宋" w:eastAsia="仿宋"/>
          <w:color w:val="000000" w:themeColor="text1"/>
          <w:sz w:val="22"/>
          <w:szCs w:val="22"/>
          <w:highlight w:val="none"/>
        </w:rPr>
        <w:t>管理关系、重要业务（占主营业务收入50%以上）或重要财务往来关系（如融资）等其他实质性控制关系</w:t>
      </w:r>
    </w:p>
    <w:p>
      <w:pPr>
        <w:pStyle w:val="84"/>
        <w:widowControl w:val="0"/>
        <w:snapToGrid w:val="0"/>
        <w:spacing w:line="440" w:lineRule="exact"/>
        <w:jc w:val="both"/>
        <w:rPr>
          <w:rFonts w:hint="default" w:ascii="仿宋" w:hAnsi="仿宋" w:eastAsia="仿宋"/>
          <w:color w:val="000000" w:themeColor="text1"/>
          <w:spacing w:val="6"/>
          <w:sz w:val="22"/>
          <w:szCs w:val="22"/>
          <w:highlight w:val="none"/>
        </w:rPr>
      </w:pPr>
      <w:r>
        <w:rPr>
          <w:rFonts w:ascii="仿宋" w:hAnsi="仿宋" w:eastAsia="仿宋"/>
          <w:color w:val="000000" w:themeColor="text1"/>
          <w:sz w:val="22"/>
          <w:szCs w:val="22"/>
          <w:highlight w:val="none"/>
        </w:rPr>
        <w:t xml:space="preserve">  I</w:t>
      </w:r>
      <w:r>
        <w:rPr>
          <w:rFonts w:ascii="仿宋" w:hAnsi="仿宋" w:eastAsia="仿宋"/>
          <w:color w:val="000000" w:themeColor="text1"/>
          <w:kern w:val="0"/>
          <w:sz w:val="22"/>
          <w:szCs w:val="22"/>
          <w:highlight w:val="none"/>
        </w:rPr>
        <w:t>.</w:t>
      </w:r>
      <w:r>
        <w:rPr>
          <w:rFonts w:ascii="仿宋" w:hAnsi="仿宋" w:eastAsia="仿宋"/>
          <w:color w:val="000000" w:themeColor="text1"/>
          <w:sz w:val="22"/>
          <w:szCs w:val="22"/>
          <w:highlight w:val="none"/>
        </w:rPr>
        <w:t>其他利害关系情况</w:t>
      </w:r>
      <w:r>
        <w:rPr>
          <w:rFonts w:ascii="仿宋" w:hAnsi="仿宋" w:eastAsia="仿宋"/>
          <w:color w:val="000000" w:themeColor="text1"/>
          <w:kern w:val="0"/>
          <w:sz w:val="22"/>
          <w:szCs w:val="22"/>
          <w:highlight w:val="none"/>
        </w:rPr>
        <w:t>。</w:t>
      </w:r>
    </w:p>
    <w:p>
      <w:pPr>
        <w:pStyle w:val="69"/>
        <w:widowControl/>
        <w:numPr>
          <w:ilvl w:val="0"/>
          <w:numId w:val="18"/>
        </w:numPr>
        <w:snapToGrid w:val="0"/>
        <w:spacing w:line="440" w:lineRule="exact"/>
        <w:ind w:firstLine="415" w:firstLineChars="189"/>
        <w:rPr>
          <w:rFonts w:hint="default" w:ascii="仿宋" w:hAnsi="仿宋" w:eastAsia="仿宋"/>
          <w:color w:val="000000" w:themeColor="text1"/>
          <w:kern w:val="0"/>
          <w:sz w:val="22"/>
          <w:szCs w:val="22"/>
          <w:highlight w:val="none"/>
        </w:rPr>
      </w:pPr>
      <w:r>
        <w:rPr>
          <w:rFonts w:ascii="仿宋" w:hAnsi="仿宋" w:eastAsia="仿宋"/>
          <w:color w:val="000000" w:themeColor="text1"/>
          <w:sz w:val="22"/>
          <w:szCs w:val="22"/>
          <w:highlight w:val="none"/>
        </w:rPr>
        <w:t>现已清楚知道并</w:t>
      </w:r>
      <w:r>
        <w:rPr>
          <w:rFonts w:ascii="仿宋" w:hAnsi="仿宋" w:eastAsia="仿宋"/>
          <w:color w:val="000000" w:themeColor="text1"/>
          <w:kern w:val="0"/>
          <w:sz w:val="22"/>
          <w:szCs w:val="22"/>
          <w:highlight w:val="none"/>
        </w:rPr>
        <w:t>严格遵守政府采购法律法规和现场纪律。</w:t>
      </w:r>
    </w:p>
    <w:p>
      <w:pPr>
        <w:pStyle w:val="69"/>
        <w:widowControl/>
        <w:numPr>
          <w:ilvl w:val="0"/>
          <w:numId w:val="18"/>
        </w:numPr>
        <w:snapToGrid w:val="0"/>
        <w:spacing w:line="440" w:lineRule="exact"/>
        <w:ind w:firstLine="415" w:firstLineChars="189"/>
        <w:rPr>
          <w:rFonts w:hint="default" w:ascii="仿宋" w:hAnsi="仿宋" w:eastAsia="仿宋"/>
          <w:color w:val="000000" w:themeColor="text1"/>
          <w:kern w:val="0"/>
          <w:sz w:val="22"/>
          <w:szCs w:val="22"/>
          <w:highlight w:val="none"/>
        </w:rPr>
      </w:pPr>
      <w:r>
        <w:rPr>
          <w:rFonts w:ascii="仿宋" w:hAnsi="仿宋" w:eastAsia="仿宋"/>
          <w:color w:val="000000" w:themeColor="text1"/>
          <w:kern w:val="0"/>
          <w:sz w:val="22"/>
          <w:szCs w:val="22"/>
          <w:highlight w:val="none"/>
        </w:rPr>
        <w:t>我发现供应商之间存在或可能存在上述第二条第项利害关系。</w:t>
      </w:r>
    </w:p>
    <w:p>
      <w:pPr>
        <w:pStyle w:val="84"/>
        <w:widowControl w:val="0"/>
        <w:snapToGrid w:val="0"/>
        <w:spacing w:line="440" w:lineRule="exact"/>
        <w:ind w:firstLine="440" w:firstLineChars="200"/>
        <w:jc w:val="both"/>
        <w:rPr>
          <w:rFonts w:hint="default" w:ascii="仿宋" w:hAnsi="仿宋" w:eastAsia="仿宋"/>
          <w:color w:val="000000" w:themeColor="text1"/>
          <w:sz w:val="22"/>
          <w:szCs w:val="22"/>
          <w:highlight w:val="none"/>
        </w:rPr>
      </w:pPr>
      <w:r>
        <w:rPr>
          <w:rFonts w:ascii="仿宋" w:hAnsi="仿宋" w:eastAsia="仿宋"/>
          <w:color w:val="000000" w:themeColor="text1"/>
          <w:sz w:val="22"/>
          <w:szCs w:val="22"/>
          <w:highlight w:val="none"/>
        </w:rPr>
        <w:t xml:space="preserve">                                供应商代表签名：</w:t>
      </w:r>
    </w:p>
    <w:p>
      <w:pPr>
        <w:pStyle w:val="84"/>
        <w:widowControl w:val="0"/>
        <w:snapToGrid w:val="0"/>
        <w:spacing w:line="440" w:lineRule="exact"/>
        <w:ind w:firstLine="440" w:firstLineChars="200"/>
        <w:jc w:val="both"/>
        <w:rPr>
          <w:rFonts w:hint="default" w:ascii="仿宋" w:hAnsi="仿宋" w:eastAsia="仿宋"/>
          <w:color w:val="000000" w:themeColor="text1"/>
          <w:sz w:val="22"/>
          <w:szCs w:val="22"/>
          <w:highlight w:val="none"/>
        </w:rPr>
      </w:pPr>
      <w:r>
        <w:rPr>
          <w:rFonts w:ascii="仿宋" w:hAnsi="仿宋" w:eastAsia="仿宋"/>
          <w:color w:val="000000" w:themeColor="text1"/>
          <w:sz w:val="22"/>
          <w:szCs w:val="22"/>
          <w:highlight w:val="none"/>
        </w:rPr>
        <w:t xml:space="preserve">                                    年   月   日</w:t>
      </w:r>
    </w:p>
    <w:p>
      <w:pPr>
        <w:pStyle w:val="32"/>
        <w:spacing w:line="360" w:lineRule="auto"/>
        <w:rPr>
          <w:rFonts w:ascii="仿宋" w:hAnsi="仿宋" w:eastAsia="仿宋"/>
          <w:bCs/>
          <w:color w:val="000000" w:themeColor="text1"/>
          <w:sz w:val="21"/>
          <w:szCs w:val="21"/>
          <w:highlight w:val="none"/>
        </w:rPr>
      </w:pPr>
    </w:p>
    <w:p>
      <w:pPr>
        <w:spacing w:line="460" w:lineRule="exact"/>
        <w:jc w:val="left"/>
        <w:rPr>
          <w:rFonts w:ascii="仿宋" w:hAnsi="仿宋" w:eastAsia="仿宋"/>
          <w:bCs/>
          <w:color w:val="000000" w:themeColor="text1"/>
          <w:szCs w:val="21"/>
          <w:highlight w:val="none"/>
        </w:rPr>
      </w:pPr>
    </w:p>
    <w:p>
      <w:pPr>
        <w:spacing w:line="460" w:lineRule="exact"/>
        <w:jc w:val="left"/>
        <w:rPr>
          <w:rFonts w:ascii="仿宋" w:hAnsi="仿宋" w:eastAsia="仿宋"/>
          <w:bCs/>
          <w:color w:val="000000" w:themeColor="text1"/>
          <w:szCs w:val="21"/>
          <w:highlight w:val="none"/>
        </w:rPr>
      </w:pPr>
    </w:p>
    <w:p>
      <w:pPr>
        <w:spacing w:line="460" w:lineRule="exact"/>
        <w:jc w:val="left"/>
        <w:rPr>
          <w:rFonts w:ascii="仿宋" w:hAnsi="仿宋" w:eastAsia="仿宋"/>
          <w:color w:val="000000" w:themeColor="text1"/>
          <w:sz w:val="28"/>
          <w:szCs w:val="28"/>
          <w:highlight w:val="none"/>
        </w:rPr>
      </w:pPr>
      <w:r>
        <w:rPr>
          <w:rFonts w:hint="eastAsia" w:ascii="仿宋" w:hAnsi="仿宋" w:eastAsia="仿宋"/>
          <w:bCs/>
          <w:color w:val="000000" w:themeColor="text1"/>
          <w:szCs w:val="21"/>
          <w:highlight w:val="none"/>
        </w:rPr>
        <w:t xml:space="preserve">附件十三：                      </w:t>
      </w:r>
    </w:p>
    <w:p>
      <w:pPr>
        <w:jc w:val="left"/>
        <w:rPr>
          <w:rFonts w:ascii="FangSong_GB2312" w:hAnsi="宋体" w:eastAsia="FangSong_GB2312"/>
          <w:bCs/>
          <w:color w:val="000000" w:themeColor="text1"/>
          <w:highlight w:val="none"/>
        </w:rPr>
      </w:pPr>
    </w:p>
    <w:p>
      <w:pPr>
        <w:jc w:val="center"/>
        <w:rPr>
          <w:rFonts w:ascii="FangSong_GB2312" w:hAnsi="宋体" w:eastAsia="FangSong_GB2312"/>
          <w:color w:val="000000" w:themeColor="text1"/>
          <w:sz w:val="28"/>
          <w:szCs w:val="28"/>
          <w:highlight w:val="none"/>
        </w:rPr>
      </w:pPr>
      <w:r>
        <w:rPr>
          <w:rFonts w:hint="eastAsia" w:ascii="FangSong_GB2312" w:hAnsi="Courier New" w:eastAsia="FangSong_GB2312"/>
          <w:color w:val="000000" w:themeColor="text1"/>
          <w:sz w:val="44"/>
          <w:szCs w:val="44"/>
          <w:highlight w:val="none"/>
        </w:rPr>
        <w:t>项目负责人简历表</w:t>
      </w:r>
    </w:p>
    <w:p>
      <w:pPr>
        <w:snapToGrid w:val="0"/>
        <w:spacing w:beforeLines="50" w:after="50"/>
        <w:rPr>
          <w:rFonts w:ascii="FangSong_GB2312" w:hAnsi="宋体" w:eastAsia="FangSong_GB2312"/>
          <w:color w:val="000000" w:themeColor="text1"/>
          <w:sz w:val="28"/>
          <w:szCs w:val="28"/>
          <w:highlight w:val="none"/>
        </w:rPr>
      </w:pPr>
      <w:r>
        <w:rPr>
          <w:rFonts w:hint="eastAsia" w:ascii="FangSong_GB2312" w:hAnsi="宋体" w:eastAsia="FangSong_GB2312"/>
          <w:color w:val="000000" w:themeColor="text1"/>
          <w:sz w:val="28"/>
          <w:szCs w:val="28"/>
          <w:highlight w:val="none"/>
        </w:rPr>
        <w:t>项目名称：天台中学创新实验室和专用教室采购项目（标项  ）</w:t>
      </w:r>
    </w:p>
    <w:p>
      <w:pPr>
        <w:snapToGrid w:val="0"/>
        <w:spacing w:beforeLines="50" w:after="50"/>
        <w:rPr>
          <w:rFonts w:ascii="FangSong_GB2312" w:hAnsi="宋体" w:eastAsia="FangSong_GB2312"/>
          <w:color w:val="000000" w:themeColor="text1"/>
          <w:sz w:val="28"/>
          <w:szCs w:val="28"/>
          <w:highlight w:val="none"/>
        </w:rPr>
      </w:pPr>
      <w:r>
        <w:rPr>
          <w:rFonts w:hint="eastAsia" w:ascii="FangSong_GB2312" w:hAnsi="宋体" w:eastAsia="FangSong_GB2312"/>
          <w:color w:val="000000" w:themeColor="text1"/>
          <w:sz w:val="28"/>
          <w:szCs w:val="28"/>
          <w:highlight w:val="none"/>
        </w:rPr>
        <w:t>项目编号：xzcg-2022-036(招)</w:t>
      </w:r>
    </w:p>
    <w:tbl>
      <w:tblPr>
        <w:tblStyle w:val="36"/>
        <w:tblpPr w:leftFromText="180" w:rightFromText="180" w:vertAnchor="text" w:tblpY="2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0"/>
        <w:gridCol w:w="1084"/>
        <w:gridCol w:w="2733"/>
        <w:gridCol w:w="1952"/>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trPr>
        <w:tc>
          <w:tcPr>
            <w:tcW w:w="1964" w:type="dxa"/>
            <w:gridSpan w:val="2"/>
            <w:tcBorders>
              <w:top w:val="single" w:color="000000" w:sz="8" w:space="0"/>
              <w:left w:val="single" w:color="000000" w:sz="8" w:space="0"/>
              <w:bottom w:val="single" w:color="000000" w:sz="4" w:space="0"/>
              <w:right w:val="single" w:color="auto" w:sz="4" w:space="0"/>
            </w:tcBorders>
            <w:vAlign w:val="center"/>
          </w:tcPr>
          <w:p>
            <w:pPr>
              <w:spacing w:line="351" w:lineRule="atLeast"/>
              <w:jc w:val="center"/>
              <w:rPr>
                <w:rFonts w:ascii="宋体"/>
                <w:color w:val="000000" w:themeColor="text1"/>
                <w:sz w:val="28"/>
                <w:highlight w:val="none"/>
                <w:u w:color="000000"/>
              </w:rPr>
            </w:pPr>
            <w:r>
              <w:rPr>
                <w:rFonts w:hint="eastAsia" w:ascii="宋体" w:hAnsi="宋体"/>
                <w:color w:val="000000" w:themeColor="text1"/>
                <w:sz w:val="28"/>
                <w:highlight w:val="none"/>
              </w:rPr>
              <w:t>姓   名</w:t>
            </w:r>
          </w:p>
        </w:tc>
        <w:tc>
          <w:tcPr>
            <w:tcW w:w="2733" w:type="dxa"/>
            <w:tcBorders>
              <w:top w:val="single" w:color="000000" w:sz="8" w:space="0"/>
              <w:left w:val="single" w:color="auto" w:sz="4" w:space="0"/>
              <w:bottom w:val="single" w:color="000000" w:sz="4" w:space="0"/>
              <w:right w:val="single" w:color="000000" w:sz="4" w:space="0"/>
            </w:tcBorders>
            <w:vAlign w:val="center"/>
          </w:tcPr>
          <w:p>
            <w:pPr>
              <w:spacing w:line="351" w:lineRule="atLeast"/>
              <w:jc w:val="center"/>
              <w:rPr>
                <w:rFonts w:ascii="宋体"/>
                <w:color w:val="000000" w:themeColor="text1"/>
                <w:sz w:val="28"/>
                <w:highlight w:val="none"/>
                <w:u w:color="000000"/>
              </w:rPr>
            </w:pPr>
          </w:p>
        </w:tc>
        <w:tc>
          <w:tcPr>
            <w:tcW w:w="1952" w:type="dxa"/>
            <w:tcBorders>
              <w:top w:val="single" w:color="000000" w:sz="8" w:space="0"/>
              <w:left w:val="single" w:color="auto" w:sz="4" w:space="0"/>
              <w:bottom w:val="single" w:color="000000" w:sz="4" w:space="0"/>
              <w:right w:val="single" w:color="000000" w:sz="4" w:space="0"/>
            </w:tcBorders>
            <w:vAlign w:val="center"/>
          </w:tcPr>
          <w:p>
            <w:pPr>
              <w:spacing w:line="351" w:lineRule="atLeast"/>
              <w:jc w:val="center"/>
              <w:rPr>
                <w:rFonts w:ascii="宋体"/>
                <w:color w:val="000000" w:themeColor="text1"/>
                <w:sz w:val="28"/>
                <w:highlight w:val="none"/>
                <w:u w:color="000000"/>
              </w:rPr>
            </w:pPr>
            <w:r>
              <w:rPr>
                <w:rFonts w:hint="eastAsia" w:ascii="宋体" w:hAnsi="宋体"/>
                <w:color w:val="000000" w:themeColor="text1"/>
                <w:sz w:val="28"/>
                <w:highlight w:val="none"/>
              </w:rPr>
              <w:t>性  别</w:t>
            </w:r>
          </w:p>
        </w:tc>
        <w:tc>
          <w:tcPr>
            <w:tcW w:w="2501" w:type="dxa"/>
            <w:tcBorders>
              <w:top w:val="single" w:color="000000" w:sz="8" w:space="0"/>
              <w:left w:val="single" w:color="auto" w:sz="4" w:space="0"/>
              <w:bottom w:val="single" w:color="000000" w:sz="4" w:space="0"/>
              <w:right w:val="single" w:color="000000" w:sz="8" w:space="0"/>
            </w:tcBorders>
            <w:vAlign w:val="center"/>
          </w:tcPr>
          <w:p>
            <w:pPr>
              <w:spacing w:line="351" w:lineRule="atLeast"/>
              <w:jc w:val="center"/>
              <w:rPr>
                <w:rFonts w:ascii="宋体"/>
                <w:color w:val="000000" w:themeColor="text1"/>
                <w:sz w:val="28"/>
                <w:highlight w:val="none"/>
                <w:u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trPr>
        <w:tc>
          <w:tcPr>
            <w:tcW w:w="1964" w:type="dxa"/>
            <w:gridSpan w:val="2"/>
            <w:tcBorders>
              <w:top w:val="single" w:color="000000" w:sz="8" w:space="0"/>
              <w:left w:val="single" w:color="000000" w:sz="8" w:space="0"/>
              <w:bottom w:val="single" w:color="000000" w:sz="4" w:space="0"/>
              <w:right w:val="single" w:color="auto" w:sz="4" w:space="0"/>
            </w:tcBorders>
            <w:vAlign w:val="center"/>
          </w:tcPr>
          <w:p>
            <w:pPr>
              <w:spacing w:line="351" w:lineRule="atLeast"/>
              <w:jc w:val="center"/>
              <w:rPr>
                <w:rFonts w:ascii="宋体" w:hAnsi="宋体"/>
                <w:color w:val="000000" w:themeColor="text1"/>
                <w:sz w:val="28"/>
                <w:highlight w:val="none"/>
              </w:rPr>
            </w:pPr>
            <w:r>
              <w:rPr>
                <w:rFonts w:hint="eastAsia" w:ascii="宋体" w:hAnsi="宋体"/>
                <w:color w:val="000000" w:themeColor="text1"/>
                <w:sz w:val="28"/>
                <w:highlight w:val="none"/>
              </w:rPr>
              <w:t>年   龄</w:t>
            </w:r>
          </w:p>
        </w:tc>
        <w:tc>
          <w:tcPr>
            <w:tcW w:w="2733" w:type="dxa"/>
            <w:tcBorders>
              <w:top w:val="single" w:color="000000" w:sz="8" w:space="0"/>
              <w:left w:val="single" w:color="auto" w:sz="4" w:space="0"/>
              <w:bottom w:val="single" w:color="000000" w:sz="4" w:space="0"/>
              <w:right w:val="single" w:color="000000" w:sz="4" w:space="0"/>
            </w:tcBorders>
            <w:vAlign w:val="center"/>
          </w:tcPr>
          <w:p>
            <w:pPr>
              <w:spacing w:line="351" w:lineRule="atLeast"/>
              <w:jc w:val="center"/>
              <w:rPr>
                <w:rFonts w:ascii="宋体"/>
                <w:color w:val="000000" w:themeColor="text1"/>
                <w:sz w:val="28"/>
                <w:highlight w:val="none"/>
                <w:u w:color="000000"/>
              </w:rPr>
            </w:pPr>
          </w:p>
        </w:tc>
        <w:tc>
          <w:tcPr>
            <w:tcW w:w="1952" w:type="dxa"/>
            <w:tcBorders>
              <w:top w:val="single" w:color="000000" w:sz="8" w:space="0"/>
              <w:left w:val="single" w:color="auto" w:sz="4" w:space="0"/>
              <w:bottom w:val="single" w:color="000000" w:sz="4" w:space="0"/>
              <w:right w:val="single" w:color="000000" w:sz="4" w:space="0"/>
            </w:tcBorders>
            <w:vAlign w:val="center"/>
          </w:tcPr>
          <w:p>
            <w:pPr>
              <w:spacing w:line="351" w:lineRule="atLeast"/>
              <w:jc w:val="center"/>
              <w:rPr>
                <w:rFonts w:ascii="宋体" w:hAnsi="宋体"/>
                <w:color w:val="000000" w:themeColor="text1"/>
                <w:sz w:val="28"/>
                <w:highlight w:val="none"/>
              </w:rPr>
            </w:pPr>
            <w:r>
              <w:rPr>
                <w:rFonts w:hint="eastAsia" w:ascii="宋体" w:hAnsi="宋体"/>
                <w:color w:val="000000" w:themeColor="text1"/>
                <w:sz w:val="28"/>
                <w:highlight w:val="none"/>
              </w:rPr>
              <w:t>身份证号</w:t>
            </w:r>
          </w:p>
        </w:tc>
        <w:tc>
          <w:tcPr>
            <w:tcW w:w="2501" w:type="dxa"/>
            <w:tcBorders>
              <w:top w:val="single" w:color="000000" w:sz="8" w:space="0"/>
              <w:left w:val="single" w:color="auto" w:sz="4" w:space="0"/>
              <w:bottom w:val="single" w:color="000000" w:sz="4" w:space="0"/>
              <w:right w:val="single" w:color="000000" w:sz="8" w:space="0"/>
            </w:tcBorders>
            <w:vAlign w:val="center"/>
          </w:tcPr>
          <w:p>
            <w:pPr>
              <w:spacing w:line="351" w:lineRule="atLeast"/>
              <w:jc w:val="center"/>
              <w:rPr>
                <w:rFonts w:ascii="宋体"/>
                <w:color w:val="000000" w:themeColor="text1"/>
                <w:sz w:val="28"/>
                <w:highlight w:val="none"/>
                <w:u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rPr>
        <w:tc>
          <w:tcPr>
            <w:tcW w:w="1964" w:type="dxa"/>
            <w:gridSpan w:val="2"/>
            <w:tcBorders>
              <w:top w:val="single" w:color="auto" w:sz="4" w:space="0"/>
              <w:left w:val="single" w:color="000000" w:sz="8" w:space="0"/>
              <w:bottom w:val="single" w:color="auto" w:sz="4" w:space="0"/>
              <w:right w:val="single" w:color="auto" w:sz="4" w:space="0"/>
            </w:tcBorders>
            <w:vAlign w:val="center"/>
          </w:tcPr>
          <w:p>
            <w:pPr>
              <w:spacing w:line="351" w:lineRule="atLeast"/>
              <w:jc w:val="center"/>
              <w:rPr>
                <w:rFonts w:ascii="宋体"/>
                <w:color w:val="000000" w:themeColor="text1"/>
                <w:sz w:val="28"/>
                <w:highlight w:val="none"/>
                <w:u w:color="000000"/>
              </w:rPr>
            </w:pPr>
            <w:r>
              <w:rPr>
                <w:rFonts w:hint="eastAsia" w:ascii="宋体" w:hAnsi="宋体"/>
                <w:color w:val="000000" w:themeColor="text1"/>
                <w:sz w:val="28"/>
                <w:highlight w:val="none"/>
              </w:rPr>
              <w:t>资   格</w:t>
            </w:r>
          </w:p>
        </w:tc>
        <w:tc>
          <w:tcPr>
            <w:tcW w:w="2733" w:type="dxa"/>
            <w:tcBorders>
              <w:top w:val="single" w:color="auto" w:sz="4" w:space="0"/>
              <w:left w:val="single" w:color="auto" w:sz="4" w:space="0"/>
              <w:bottom w:val="single" w:color="auto" w:sz="4" w:space="0"/>
              <w:right w:val="single" w:color="000000" w:sz="4" w:space="0"/>
            </w:tcBorders>
            <w:vAlign w:val="center"/>
          </w:tcPr>
          <w:p>
            <w:pPr>
              <w:spacing w:line="351" w:lineRule="atLeast"/>
              <w:jc w:val="center"/>
              <w:rPr>
                <w:rFonts w:ascii="宋体"/>
                <w:color w:val="000000" w:themeColor="text1"/>
                <w:sz w:val="28"/>
                <w:highlight w:val="none"/>
                <w:u w:color="000000"/>
              </w:rPr>
            </w:pPr>
          </w:p>
        </w:tc>
        <w:tc>
          <w:tcPr>
            <w:tcW w:w="1952" w:type="dxa"/>
            <w:tcBorders>
              <w:top w:val="single" w:color="auto" w:sz="4" w:space="0"/>
              <w:left w:val="single" w:color="auto" w:sz="4" w:space="0"/>
              <w:bottom w:val="single" w:color="auto" w:sz="4" w:space="0"/>
              <w:right w:val="single" w:color="auto" w:sz="4" w:space="0"/>
            </w:tcBorders>
            <w:vAlign w:val="center"/>
          </w:tcPr>
          <w:p>
            <w:pPr>
              <w:spacing w:line="351" w:lineRule="atLeast"/>
              <w:jc w:val="center"/>
              <w:rPr>
                <w:rFonts w:ascii="宋体"/>
                <w:color w:val="000000" w:themeColor="text1"/>
                <w:sz w:val="28"/>
                <w:highlight w:val="none"/>
                <w:u w:color="000000"/>
              </w:rPr>
            </w:pPr>
            <w:r>
              <w:rPr>
                <w:rFonts w:hint="eastAsia" w:ascii="宋体" w:hAnsi="宋体"/>
                <w:color w:val="000000" w:themeColor="text1"/>
                <w:sz w:val="28"/>
                <w:highlight w:val="none"/>
              </w:rPr>
              <w:t>资格证书号</w:t>
            </w:r>
          </w:p>
        </w:tc>
        <w:tc>
          <w:tcPr>
            <w:tcW w:w="2501" w:type="dxa"/>
            <w:tcBorders>
              <w:top w:val="single" w:color="auto" w:sz="4" w:space="0"/>
              <w:left w:val="single" w:color="auto" w:sz="4" w:space="0"/>
              <w:bottom w:val="single" w:color="auto" w:sz="4" w:space="0"/>
              <w:right w:val="single" w:color="000000" w:sz="8" w:space="0"/>
            </w:tcBorders>
            <w:vAlign w:val="center"/>
          </w:tcPr>
          <w:p>
            <w:pPr>
              <w:spacing w:line="351" w:lineRule="atLeast"/>
              <w:jc w:val="center"/>
              <w:rPr>
                <w:rFonts w:ascii="宋体"/>
                <w:color w:val="000000" w:themeColor="text1"/>
                <w:sz w:val="28"/>
                <w:highlight w:val="none"/>
                <w:u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1" w:hRule="atLeast"/>
        </w:trPr>
        <w:tc>
          <w:tcPr>
            <w:tcW w:w="1964" w:type="dxa"/>
            <w:gridSpan w:val="2"/>
            <w:tcBorders>
              <w:top w:val="single" w:color="auto" w:sz="4" w:space="0"/>
              <w:left w:val="single" w:color="000000" w:sz="8" w:space="0"/>
              <w:bottom w:val="single" w:color="000000" w:sz="4" w:space="0"/>
              <w:right w:val="single" w:color="auto" w:sz="4" w:space="0"/>
            </w:tcBorders>
            <w:vAlign w:val="center"/>
          </w:tcPr>
          <w:p>
            <w:pPr>
              <w:spacing w:line="351" w:lineRule="atLeast"/>
              <w:ind w:firstLine="419"/>
              <w:rPr>
                <w:rFonts w:ascii="宋体"/>
                <w:color w:val="000000" w:themeColor="text1"/>
                <w:sz w:val="28"/>
                <w:highlight w:val="none"/>
                <w:u w:color="000000"/>
              </w:rPr>
            </w:pPr>
            <w:r>
              <w:rPr>
                <w:rFonts w:hint="eastAsia" w:ascii="宋体" w:hAnsi="宋体"/>
                <w:color w:val="000000" w:themeColor="text1"/>
                <w:sz w:val="28"/>
                <w:highlight w:val="none"/>
              </w:rPr>
              <w:t>职   称</w:t>
            </w:r>
          </w:p>
        </w:tc>
        <w:tc>
          <w:tcPr>
            <w:tcW w:w="2733" w:type="dxa"/>
            <w:tcBorders>
              <w:top w:val="single" w:color="auto" w:sz="4" w:space="0"/>
              <w:left w:val="single" w:color="auto" w:sz="4" w:space="0"/>
              <w:bottom w:val="single" w:color="000000" w:sz="4" w:space="0"/>
              <w:right w:val="single" w:color="000000" w:sz="4" w:space="0"/>
            </w:tcBorders>
            <w:vAlign w:val="center"/>
          </w:tcPr>
          <w:p>
            <w:pPr>
              <w:spacing w:line="351" w:lineRule="atLeast"/>
              <w:ind w:firstLine="419"/>
              <w:jc w:val="center"/>
              <w:rPr>
                <w:rFonts w:ascii="宋体"/>
                <w:color w:val="000000" w:themeColor="text1"/>
                <w:sz w:val="28"/>
                <w:highlight w:val="none"/>
                <w:u w:color="000000"/>
              </w:rPr>
            </w:pPr>
          </w:p>
        </w:tc>
        <w:tc>
          <w:tcPr>
            <w:tcW w:w="1952" w:type="dxa"/>
            <w:tcBorders>
              <w:top w:val="single" w:color="auto" w:sz="4" w:space="0"/>
              <w:left w:val="single" w:color="auto" w:sz="4" w:space="0"/>
              <w:bottom w:val="single" w:color="000000" w:sz="4" w:space="0"/>
              <w:right w:val="single" w:color="auto" w:sz="4" w:space="0"/>
            </w:tcBorders>
            <w:vAlign w:val="center"/>
          </w:tcPr>
          <w:p>
            <w:pPr>
              <w:spacing w:line="351" w:lineRule="atLeast"/>
              <w:ind w:firstLine="554" w:firstLineChars="198"/>
              <w:rPr>
                <w:rFonts w:ascii="宋体"/>
                <w:color w:val="000000" w:themeColor="text1"/>
                <w:sz w:val="28"/>
                <w:highlight w:val="none"/>
                <w:u w:color="000000"/>
              </w:rPr>
            </w:pPr>
            <w:r>
              <w:rPr>
                <w:rFonts w:hint="eastAsia" w:ascii="宋体" w:hAnsi="宋体"/>
                <w:color w:val="000000" w:themeColor="text1"/>
                <w:sz w:val="28"/>
                <w:highlight w:val="none"/>
              </w:rPr>
              <w:t>学  历</w:t>
            </w:r>
          </w:p>
        </w:tc>
        <w:tc>
          <w:tcPr>
            <w:tcW w:w="2501" w:type="dxa"/>
            <w:tcBorders>
              <w:top w:val="single" w:color="auto" w:sz="4" w:space="0"/>
              <w:left w:val="single" w:color="auto" w:sz="4" w:space="0"/>
              <w:bottom w:val="single" w:color="000000" w:sz="4" w:space="0"/>
              <w:right w:val="single" w:color="000000" w:sz="8" w:space="0"/>
            </w:tcBorders>
            <w:vAlign w:val="center"/>
          </w:tcPr>
          <w:p>
            <w:pPr>
              <w:spacing w:line="351" w:lineRule="atLeast"/>
              <w:jc w:val="center"/>
              <w:rPr>
                <w:rFonts w:ascii="宋体"/>
                <w:color w:val="000000" w:themeColor="text1"/>
                <w:sz w:val="28"/>
                <w:highlight w:val="none"/>
                <w:u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1964" w:type="dxa"/>
            <w:gridSpan w:val="2"/>
            <w:tcBorders>
              <w:top w:val="single" w:color="auto" w:sz="4" w:space="0"/>
              <w:left w:val="single" w:color="000000" w:sz="8" w:space="0"/>
              <w:bottom w:val="single" w:color="000000" w:sz="4" w:space="0"/>
              <w:right w:val="single" w:color="000000" w:sz="4" w:space="0"/>
            </w:tcBorders>
            <w:vAlign w:val="center"/>
          </w:tcPr>
          <w:p>
            <w:pPr>
              <w:spacing w:line="351" w:lineRule="atLeast"/>
              <w:jc w:val="center"/>
              <w:rPr>
                <w:rFonts w:ascii="宋体"/>
                <w:color w:val="000000" w:themeColor="text1"/>
                <w:sz w:val="28"/>
                <w:highlight w:val="none"/>
                <w:u w:color="000000"/>
              </w:rPr>
            </w:pPr>
            <w:r>
              <w:rPr>
                <w:rFonts w:hint="eastAsia" w:ascii="宋体"/>
                <w:color w:val="000000" w:themeColor="text1"/>
                <w:sz w:val="28"/>
                <w:highlight w:val="none"/>
                <w:u w:color="000000"/>
              </w:rPr>
              <w:t>手机号</w:t>
            </w:r>
          </w:p>
        </w:tc>
        <w:tc>
          <w:tcPr>
            <w:tcW w:w="2733" w:type="dxa"/>
            <w:tcBorders>
              <w:top w:val="single" w:color="auto" w:sz="4" w:space="0"/>
              <w:left w:val="single" w:color="auto" w:sz="4" w:space="0"/>
              <w:bottom w:val="single" w:color="000000" w:sz="4" w:space="0"/>
              <w:right w:val="single" w:color="000000" w:sz="4" w:space="0"/>
            </w:tcBorders>
            <w:vAlign w:val="center"/>
          </w:tcPr>
          <w:p>
            <w:pPr>
              <w:spacing w:line="351" w:lineRule="atLeast"/>
              <w:jc w:val="center"/>
              <w:rPr>
                <w:rFonts w:ascii="宋体"/>
                <w:color w:val="000000" w:themeColor="text1"/>
                <w:sz w:val="28"/>
                <w:highlight w:val="none"/>
                <w:u w:color="000000"/>
              </w:rPr>
            </w:pPr>
          </w:p>
        </w:tc>
        <w:tc>
          <w:tcPr>
            <w:tcW w:w="1952" w:type="dxa"/>
            <w:tcBorders>
              <w:top w:val="single" w:color="auto" w:sz="4" w:space="0"/>
              <w:left w:val="single" w:color="auto" w:sz="4" w:space="0"/>
              <w:bottom w:val="single" w:color="000000" w:sz="4" w:space="0"/>
              <w:right w:val="single" w:color="auto" w:sz="4" w:space="0"/>
            </w:tcBorders>
            <w:vAlign w:val="center"/>
          </w:tcPr>
          <w:p>
            <w:pPr>
              <w:spacing w:line="351" w:lineRule="atLeast"/>
              <w:jc w:val="center"/>
              <w:rPr>
                <w:rFonts w:ascii="宋体"/>
                <w:color w:val="000000" w:themeColor="text1"/>
                <w:sz w:val="28"/>
                <w:highlight w:val="none"/>
                <w:u w:color="000000"/>
              </w:rPr>
            </w:pPr>
            <w:r>
              <w:rPr>
                <w:rFonts w:hint="eastAsia" w:ascii="宋体"/>
                <w:color w:val="000000" w:themeColor="text1"/>
                <w:sz w:val="28"/>
                <w:highlight w:val="none"/>
                <w:u w:color="000000"/>
              </w:rPr>
              <w:t>联系电话</w:t>
            </w:r>
          </w:p>
        </w:tc>
        <w:tc>
          <w:tcPr>
            <w:tcW w:w="2501" w:type="dxa"/>
            <w:tcBorders>
              <w:top w:val="single" w:color="auto" w:sz="4" w:space="0"/>
              <w:left w:val="single" w:color="auto" w:sz="4" w:space="0"/>
              <w:bottom w:val="single" w:color="000000" w:sz="4" w:space="0"/>
              <w:right w:val="single" w:color="000000" w:sz="8" w:space="0"/>
            </w:tcBorders>
            <w:vAlign w:val="center"/>
          </w:tcPr>
          <w:p>
            <w:pPr>
              <w:spacing w:line="351" w:lineRule="atLeast"/>
              <w:jc w:val="center"/>
              <w:rPr>
                <w:rFonts w:ascii="宋体"/>
                <w:color w:val="000000" w:themeColor="text1"/>
                <w:sz w:val="28"/>
                <w:highlight w:val="none"/>
                <w:u w:color="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1" w:hRule="atLeast"/>
        </w:trPr>
        <w:tc>
          <w:tcPr>
            <w:tcW w:w="880" w:type="dxa"/>
            <w:tcBorders>
              <w:top w:val="single" w:color="auto" w:sz="4" w:space="0"/>
              <w:left w:val="single" w:color="000000" w:sz="8" w:space="0"/>
              <w:bottom w:val="single" w:color="000000" w:sz="8" w:space="0"/>
              <w:right w:val="single" w:color="000000" w:sz="4" w:space="0"/>
            </w:tcBorders>
            <w:vAlign w:val="center"/>
          </w:tcPr>
          <w:p>
            <w:pPr>
              <w:jc w:val="center"/>
              <w:rPr>
                <w:rFonts w:ascii="宋体"/>
                <w:color w:val="000000" w:themeColor="text1"/>
                <w:sz w:val="28"/>
                <w:highlight w:val="none"/>
                <w:u w:color="000000"/>
              </w:rPr>
            </w:pPr>
            <w:r>
              <w:rPr>
                <w:rFonts w:hint="eastAsia" w:ascii="宋体" w:hAnsi="宋体"/>
                <w:color w:val="000000" w:themeColor="text1"/>
                <w:sz w:val="28"/>
                <w:highlight w:val="none"/>
              </w:rPr>
              <w:t>简</w:t>
            </w:r>
          </w:p>
          <w:p>
            <w:pPr>
              <w:jc w:val="center"/>
              <w:rPr>
                <w:rFonts w:ascii="宋体"/>
                <w:color w:val="000000" w:themeColor="text1"/>
                <w:sz w:val="28"/>
                <w:highlight w:val="none"/>
              </w:rPr>
            </w:pPr>
          </w:p>
          <w:p>
            <w:pPr>
              <w:jc w:val="center"/>
              <w:rPr>
                <w:rFonts w:ascii="宋体"/>
                <w:color w:val="000000" w:themeColor="text1"/>
                <w:sz w:val="28"/>
                <w:highlight w:val="none"/>
              </w:rPr>
            </w:pPr>
          </w:p>
          <w:p>
            <w:pPr>
              <w:spacing w:line="351" w:lineRule="atLeast"/>
              <w:jc w:val="center"/>
              <w:rPr>
                <w:rFonts w:ascii="宋体"/>
                <w:color w:val="000000" w:themeColor="text1"/>
                <w:highlight w:val="none"/>
                <w:u w:color="000000"/>
              </w:rPr>
            </w:pPr>
            <w:r>
              <w:rPr>
                <w:rFonts w:hint="eastAsia" w:ascii="宋体" w:hAnsi="宋体"/>
                <w:color w:val="000000" w:themeColor="text1"/>
                <w:sz w:val="28"/>
                <w:highlight w:val="none"/>
              </w:rPr>
              <w:t>历</w:t>
            </w:r>
          </w:p>
        </w:tc>
        <w:tc>
          <w:tcPr>
            <w:tcW w:w="8270" w:type="dxa"/>
            <w:gridSpan w:val="4"/>
            <w:tcBorders>
              <w:top w:val="single" w:color="auto" w:sz="4" w:space="0"/>
              <w:left w:val="single" w:color="auto" w:sz="4" w:space="0"/>
              <w:bottom w:val="single" w:color="000000" w:sz="8" w:space="0"/>
              <w:right w:val="single" w:color="000000" w:sz="8" w:space="0"/>
            </w:tcBorders>
            <w:vAlign w:val="center"/>
          </w:tcPr>
          <w:p>
            <w:pPr>
              <w:spacing w:line="351" w:lineRule="atLeast"/>
              <w:jc w:val="center"/>
              <w:rPr>
                <w:rFonts w:ascii="宋体"/>
                <w:color w:val="000000" w:themeColor="text1"/>
                <w:highlight w:val="none"/>
                <w:u w:color="000000"/>
              </w:rPr>
            </w:pPr>
          </w:p>
        </w:tc>
      </w:tr>
    </w:tbl>
    <w:p>
      <w:pPr>
        <w:spacing w:line="460" w:lineRule="exact"/>
        <w:ind w:firstLine="3500" w:firstLineChars="1250"/>
        <w:rPr>
          <w:rFonts w:ascii="FangSong_GB2312" w:hAnsi="宋体" w:eastAsia="FangSong_GB2312"/>
          <w:color w:val="000000" w:themeColor="text1"/>
          <w:sz w:val="28"/>
          <w:szCs w:val="28"/>
          <w:highlight w:val="none"/>
        </w:rPr>
      </w:pPr>
    </w:p>
    <w:p>
      <w:pPr>
        <w:spacing w:line="460" w:lineRule="exact"/>
        <w:ind w:firstLine="3500" w:firstLineChars="1250"/>
        <w:rPr>
          <w:rFonts w:ascii="FangSong_GB2312" w:hAnsi="宋体" w:eastAsia="FangSong_GB2312"/>
          <w:color w:val="000000" w:themeColor="text1"/>
          <w:sz w:val="28"/>
          <w:szCs w:val="28"/>
          <w:highlight w:val="none"/>
        </w:rPr>
      </w:pPr>
      <w:r>
        <w:rPr>
          <w:rFonts w:hint="eastAsia" w:ascii="FangSong_GB2312" w:hAnsi="宋体" w:eastAsia="FangSong_GB2312"/>
          <w:color w:val="000000" w:themeColor="text1"/>
          <w:sz w:val="28"/>
          <w:szCs w:val="28"/>
          <w:highlight w:val="none"/>
        </w:rPr>
        <w:t>投标人全称：</w:t>
      </w:r>
      <w:r>
        <w:rPr>
          <w:rFonts w:hint="eastAsia" w:ascii="FangSong_GB2312" w:hAnsi="宋体" w:eastAsia="FangSong_GB2312"/>
          <w:color w:val="000000" w:themeColor="text1"/>
          <w:sz w:val="28"/>
          <w:szCs w:val="28"/>
          <w:highlight w:val="none"/>
          <w:u w:val="single"/>
        </w:rPr>
        <w:t xml:space="preserve">                   </w:t>
      </w:r>
      <w:r>
        <w:rPr>
          <w:rFonts w:hint="eastAsia" w:ascii="FangSong_GB2312" w:hAnsi="宋体" w:eastAsia="FangSong_GB2312"/>
          <w:color w:val="000000" w:themeColor="text1"/>
          <w:sz w:val="28"/>
          <w:szCs w:val="28"/>
          <w:highlight w:val="none"/>
        </w:rPr>
        <w:t>（盖公章）</w:t>
      </w:r>
    </w:p>
    <w:p>
      <w:pPr>
        <w:spacing w:line="460" w:lineRule="exact"/>
        <w:rPr>
          <w:rFonts w:ascii="FangSong_GB2312" w:hAnsi="宋体" w:eastAsia="FangSong_GB2312"/>
          <w:color w:val="000000" w:themeColor="text1"/>
          <w:sz w:val="28"/>
          <w:szCs w:val="28"/>
          <w:highlight w:val="none"/>
        </w:rPr>
      </w:pPr>
    </w:p>
    <w:p>
      <w:pPr>
        <w:spacing w:line="460" w:lineRule="exact"/>
        <w:jc w:val="center"/>
        <w:rPr>
          <w:rFonts w:ascii="FangSong_GB2312" w:hAnsi="宋体" w:eastAsia="FangSong_GB2312"/>
          <w:color w:val="000000" w:themeColor="text1"/>
          <w:sz w:val="28"/>
          <w:szCs w:val="28"/>
          <w:highlight w:val="none"/>
        </w:rPr>
      </w:pPr>
      <w:r>
        <w:rPr>
          <w:rFonts w:hint="eastAsia" w:ascii="FangSong_GB2312" w:hAnsi="宋体" w:eastAsia="FangSong_GB2312"/>
          <w:color w:val="000000" w:themeColor="text1"/>
          <w:sz w:val="28"/>
          <w:szCs w:val="28"/>
          <w:highlight w:val="none"/>
        </w:rPr>
        <w:t xml:space="preserve">                                            年    月    日</w:t>
      </w:r>
    </w:p>
    <w:p>
      <w:pPr>
        <w:jc w:val="center"/>
        <w:rPr>
          <w:rFonts w:ascii="黑体" w:hAnsi="宋体" w:eastAsia="黑体"/>
          <w:b/>
          <w:color w:val="000000" w:themeColor="text1"/>
          <w:sz w:val="44"/>
          <w:highlight w:val="none"/>
        </w:rPr>
      </w:pPr>
    </w:p>
    <w:p>
      <w:pPr>
        <w:jc w:val="left"/>
        <w:rPr>
          <w:rFonts w:ascii="仿宋" w:hAnsi="仿宋" w:eastAsia="仿宋"/>
          <w:bCs/>
          <w:color w:val="000000" w:themeColor="text1"/>
          <w:szCs w:val="21"/>
          <w:highlight w:val="none"/>
        </w:rPr>
      </w:pPr>
      <w:r>
        <w:rPr>
          <w:rFonts w:hint="eastAsia" w:ascii="仿宋" w:hAnsi="仿宋" w:eastAsia="仿宋"/>
          <w:bCs/>
          <w:color w:val="000000" w:themeColor="text1"/>
          <w:szCs w:val="21"/>
          <w:highlight w:val="none"/>
        </w:rPr>
        <w:t xml:space="preserve">附件十四： </w:t>
      </w:r>
    </w:p>
    <w:p>
      <w:pPr>
        <w:snapToGrid w:val="0"/>
        <w:spacing w:beforeLines="50" w:after="50"/>
        <w:ind w:firstLine="440" w:firstLineChars="100"/>
        <w:jc w:val="center"/>
        <w:rPr>
          <w:rFonts w:ascii="宋体" w:hAnsi="宋体"/>
          <w:b/>
          <w:color w:val="000000" w:themeColor="text1"/>
          <w:sz w:val="24"/>
          <w:highlight w:val="none"/>
        </w:rPr>
      </w:pPr>
      <w:r>
        <w:rPr>
          <w:rFonts w:hint="eastAsia" w:ascii="FangSong_GB2312" w:hAnsi="Courier New" w:eastAsia="FangSong_GB2312"/>
          <w:color w:val="000000" w:themeColor="text1"/>
          <w:sz w:val="44"/>
          <w:szCs w:val="44"/>
          <w:highlight w:val="none"/>
        </w:rPr>
        <w:t>项目实施人员一览表</w:t>
      </w:r>
    </w:p>
    <w:p>
      <w:pPr>
        <w:snapToGrid w:val="0"/>
        <w:spacing w:before="50" w:afterLines="50"/>
        <w:jc w:val="center"/>
        <w:rPr>
          <w:rFonts w:ascii="FangSong_GB2312" w:hAnsi="宋体" w:eastAsia="FangSong_GB2312"/>
          <w:color w:val="000000" w:themeColor="text1"/>
          <w:sz w:val="28"/>
          <w:szCs w:val="28"/>
          <w:highlight w:val="none"/>
        </w:rPr>
      </w:pPr>
    </w:p>
    <w:p>
      <w:pPr>
        <w:snapToGrid w:val="0"/>
        <w:spacing w:beforeLines="50" w:after="50"/>
        <w:rPr>
          <w:rFonts w:ascii="FangSong_GB2312" w:hAnsi="宋体" w:eastAsia="FangSong_GB2312"/>
          <w:color w:val="000000" w:themeColor="text1"/>
          <w:sz w:val="28"/>
          <w:szCs w:val="28"/>
          <w:highlight w:val="none"/>
        </w:rPr>
      </w:pPr>
      <w:r>
        <w:rPr>
          <w:rFonts w:hint="eastAsia" w:ascii="FangSong_GB2312" w:hAnsi="宋体" w:eastAsia="FangSong_GB2312"/>
          <w:color w:val="000000" w:themeColor="text1"/>
          <w:sz w:val="28"/>
          <w:szCs w:val="28"/>
          <w:highlight w:val="none"/>
        </w:rPr>
        <w:t>项目名称：天台中学创新实验室和专用教室采购项目（标项   ）</w:t>
      </w:r>
    </w:p>
    <w:p>
      <w:pPr>
        <w:snapToGrid w:val="0"/>
        <w:spacing w:beforeLines="50" w:after="50"/>
        <w:rPr>
          <w:rFonts w:ascii="FangSong_GB2312" w:hAnsi="宋体" w:eastAsia="FangSong_GB2312"/>
          <w:color w:val="000000" w:themeColor="text1"/>
          <w:sz w:val="28"/>
          <w:szCs w:val="28"/>
          <w:highlight w:val="none"/>
        </w:rPr>
      </w:pPr>
      <w:r>
        <w:rPr>
          <w:rFonts w:hint="eastAsia" w:ascii="FangSong_GB2312" w:hAnsi="宋体" w:eastAsia="FangSong_GB2312"/>
          <w:color w:val="000000" w:themeColor="text1"/>
          <w:sz w:val="28"/>
          <w:szCs w:val="28"/>
          <w:highlight w:val="none"/>
        </w:rPr>
        <w:t>项目编号：xzcg-2022-036(招)</w:t>
      </w:r>
    </w:p>
    <w:tbl>
      <w:tblPr>
        <w:tblStyle w:val="36"/>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4"/>
        <w:gridCol w:w="1004"/>
        <w:gridCol w:w="1663"/>
        <w:gridCol w:w="1260"/>
        <w:gridCol w:w="1620"/>
        <w:gridCol w:w="19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color w:val="000000" w:themeColor="text1"/>
                <w:sz w:val="24"/>
                <w:highlight w:val="none"/>
              </w:rPr>
            </w:pPr>
            <w:r>
              <w:rPr>
                <w:rFonts w:hint="eastAsia" w:ascii="宋体" w:hAnsi="宋体"/>
                <w:color w:val="000000" w:themeColor="text1"/>
                <w:sz w:val="24"/>
                <w:highlight w:val="none"/>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color w:val="000000" w:themeColor="text1"/>
                <w:sz w:val="24"/>
                <w:highlight w:val="none"/>
              </w:rPr>
            </w:pPr>
            <w:r>
              <w:rPr>
                <w:rFonts w:hint="eastAsia" w:ascii="宋体" w:hAnsi="宋体"/>
                <w:color w:val="000000" w:themeColor="text1"/>
                <w:sz w:val="24"/>
                <w:highlight w:val="none"/>
              </w:rPr>
              <w:t>职务</w:t>
            </w:r>
          </w:p>
        </w:tc>
        <w:tc>
          <w:tcPr>
            <w:tcW w:w="1663"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color w:val="000000" w:themeColor="text1"/>
                <w:sz w:val="24"/>
                <w:highlight w:val="none"/>
              </w:rPr>
            </w:pPr>
            <w:r>
              <w:rPr>
                <w:rFonts w:hint="eastAsia" w:ascii="宋体" w:hAnsi="宋体"/>
                <w:color w:val="000000" w:themeColor="text1"/>
                <w:sz w:val="24"/>
                <w:highlight w:val="none"/>
              </w:rPr>
              <w:t>专业技术资格</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color w:val="000000" w:themeColor="text1"/>
                <w:sz w:val="24"/>
                <w:highlight w:val="none"/>
              </w:rPr>
            </w:pPr>
            <w:r>
              <w:rPr>
                <w:rFonts w:hint="eastAsia" w:ascii="宋体" w:hAnsi="宋体"/>
                <w:color w:val="000000" w:themeColor="text1"/>
                <w:sz w:val="24"/>
                <w:highlight w:val="none"/>
              </w:rPr>
              <w:t>证书编号</w:t>
            </w:r>
          </w:p>
        </w:tc>
        <w:tc>
          <w:tcPr>
            <w:tcW w:w="162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Cs/>
                <w:color w:val="000000" w:themeColor="text1"/>
                <w:sz w:val="24"/>
                <w:highlight w:val="none"/>
              </w:rPr>
            </w:pPr>
            <w:r>
              <w:rPr>
                <w:rFonts w:hint="eastAsia" w:ascii="宋体" w:hAnsi="宋体"/>
                <w:bCs/>
                <w:color w:val="000000" w:themeColor="text1"/>
                <w:sz w:val="24"/>
                <w:highlight w:val="none"/>
              </w:rPr>
              <w:t>参加本单位工作时间</w:t>
            </w:r>
          </w:p>
        </w:tc>
        <w:tc>
          <w:tcPr>
            <w:tcW w:w="1980"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line="360" w:lineRule="auto"/>
              <w:jc w:val="center"/>
              <w:rPr>
                <w:rFonts w:ascii="宋体" w:hAnsi="宋体"/>
                <w:bCs/>
                <w:color w:val="000000" w:themeColor="text1"/>
                <w:sz w:val="24"/>
                <w:highlight w:val="none"/>
              </w:rPr>
            </w:pPr>
            <w:r>
              <w:rPr>
                <w:rFonts w:hint="eastAsia" w:ascii="宋体" w:hAnsi="宋体"/>
                <w:bCs/>
                <w:color w:val="000000" w:themeColor="text1"/>
                <w:sz w:val="24"/>
                <w:highlight w:val="none"/>
              </w:rPr>
              <w:t>社保证明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663" w:type="dxa"/>
            <w:tcBorders>
              <w:top w:val="single" w:color="auto" w:sz="4" w:space="0"/>
              <w:left w:val="single" w:color="auto" w:sz="4" w:space="0"/>
              <w:bottom w:val="single" w:color="auto" w:sz="4" w:space="0"/>
              <w:right w:val="single" w:color="auto" w:sz="4" w:space="0"/>
            </w:tcBorders>
          </w:tcPr>
          <w:p>
            <w:pPr>
              <w:pStyle w:val="3"/>
              <w:snapToGrid w:val="0"/>
              <w:spacing w:beforeLines="50" w:after="50" w:line="360" w:lineRule="auto"/>
              <w:ind w:left="5250"/>
              <w:rPr>
                <w:rFonts w:ascii="宋体" w:hAnsi="宋体"/>
                <w:color w:val="000000" w:themeColor="text1"/>
                <w:sz w:val="24"/>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62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c>
          <w:tcPr>
            <w:tcW w:w="1980" w:type="dxa"/>
            <w:tcBorders>
              <w:top w:val="single" w:color="auto" w:sz="4" w:space="0"/>
              <w:left w:val="single" w:color="auto" w:sz="4" w:space="0"/>
              <w:bottom w:val="single" w:color="auto" w:sz="4" w:space="0"/>
              <w:right w:val="single" w:color="auto" w:sz="4" w:space="0"/>
            </w:tcBorders>
          </w:tcPr>
          <w:p>
            <w:pPr>
              <w:snapToGrid w:val="0"/>
              <w:spacing w:beforeLines="50" w:after="50" w:line="360" w:lineRule="auto"/>
              <w:rPr>
                <w:rFonts w:ascii="宋体" w:hAnsi="宋体"/>
                <w:color w:val="000000" w:themeColor="text1"/>
                <w:sz w:val="24"/>
                <w:highlight w:val="none"/>
              </w:rPr>
            </w:pPr>
          </w:p>
        </w:tc>
      </w:tr>
    </w:tbl>
    <w:p>
      <w:pPr>
        <w:snapToGrid w:val="0"/>
        <w:spacing w:before="50" w:afterLines="50"/>
        <w:jc w:val="left"/>
        <w:rPr>
          <w:rFonts w:ascii="宋体" w:hAnsi="宋体"/>
          <w:color w:val="000000" w:themeColor="text1"/>
          <w:sz w:val="24"/>
          <w:highlight w:val="none"/>
        </w:rPr>
      </w:pPr>
      <w:r>
        <w:rPr>
          <w:rFonts w:hint="eastAsia" w:ascii="宋体" w:hAnsi="宋体"/>
          <w:color w:val="000000" w:themeColor="text1"/>
          <w:sz w:val="24"/>
          <w:highlight w:val="none"/>
        </w:rPr>
        <w:t>注：在填写时，如本表格不适合投标人的实际情况，可根据本表格式自行划表填写。</w:t>
      </w:r>
    </w:p>
    <w:p>
      <w:pPr>
        <w:spacing w:line="460" w:lineRule="exact"/>
        <w:ind w:firstLine="3500" w:firstLineChars="1250"/>
        <w:rPr>
          <w:rFonts w:hint="eastAsia" w:ascii="FangSong_GB2312" w:hAnsi="宋体" w:eastAsia="FangSong_GB2312"/>
          <w:color w:val="000000" w:themeColor="text1"/>
          <w:sz w:val="28"/>
          <w:szCs w:val="28"/>
          <w:highlight w:val="none"/>
        </w:rPr>
      </w:pPr>
    </w:p>
    <w:p>
      <w:pPr>
        <w:spacing w:line="460" w:lineRule="exact"/>
        <w:ind w:firstLine="3500" w:firstLineChars="1250"/>
        <w:rPr>
          <w:rFonts w:ascii="FangSong_GB2312" w:hAnsi="宋体" w:eastAsia="FangSong_GB2312"/>
          <w:color w:val="000000" w:themeColor="text1"/>
          <w:sz w:val="28"/>
          <w:szCs w:val="28"/>
          <w:highlight w:val="none"/>
        </w:rPr>
      </w:pPr>
      <w:r>
        <w:rPr>
          <w:rFonts w:hint="eastAsia" w:ascii="FangSong_GB2312" w:hAnsi="宋体" w:eastAsia="FangSong_GB2312"/>
          <w:color w:val="000000" w:themeColor="text1"/>
          <w:sz w:val="28"/>
          <w:szCs w:val="28"/>
          <w:highlight w:val="none"/>
        </w:rPr>
        <w:t>投标人全称：</w:t>
      </w:r>
      <w:r>
        <w:rPr>
          <w:rFonts w:hint="eastAsia" w:ascii="FangSong_GB2312" w:hAnsi="宋体" w:eastAsia="FangSong_GB2312"/>
          <w:color w:val="000000" w:themeColor="text1"/>
          <w:sz w:val="28"/>
          <w:szCs w:val="28"/>
          <w:highlight w:val="none"/>
          <w:u w:val="single"/>
        </w:rPr>
        <w:t xml:space="preserve">                   </w:t>
      </w:r>
      <w:r>
        <w:rPr>
          <w:rFonts w:hint="eastAsia" w:ascii="FangSong_GB2312" w:hAnsi="宋体" w:eastAsia="FangSong_GB2312"/>
          <w:color w:val="000000" w:themeColor="text1"/>
          <w:sz w:val="28"/>
          <w:szCs w:val="28"/>
          <w:highlight w:val="none"/>
        </w:rPr>
        <w:t>（盖公章）</w:t>
      </w:r>
    </w:p>
    <w:p>
      <w:pPr>
        <w:pStyle w:val="35"/>
        <w:ind w:left="0" w:leftChars="0" w:firstLine="0" w:firstLineChars="0"/>
        <w:rPr>
          <w:color w:val="000000" w:themeColor="text1"/>
          <w:highlight w:val="none"/>
        </w:rPr>
      </w:pPr>
    </w:p>
    <w:p>
      <w:pPr>
        <w:spacing w:line="460" w:lineRule="exact"/>
        <w:jc w:val="center"/>
        <w:rPr>
          <w:rFonts w:ascii="FangSong_GB2312" w:hAnsi="宋体" w:eastAsia="FangSong_GB2312"/>
          <w:color w:val="000000" w:themeColor="text1"/>
          <w:sz w:val="28"/>
          <w:szCs w:val="28"/>
          <w:highlight w:val="none"/>
        </w:rPr>
      </w:pPr>
      <w:r>
        <w:rPr>
          <w:rFonts w:hint="eastAsia" w:ascii="FangSong_GB2312" w:hAnsi="宋体" w:eastAsia="FangSong_GB2312"/>
          <w:color w:val="000000" w:themeColor="text1"/>
          <w:sz w:val="28"/>
          <w:szCs w:val="28"/>
          <w:highlight w:val="none"/>
        </w:rPr>
        <w:t xml:space="preserve">                                            年    月    日</w:t>
      </w:r>
    </w:p>
    <w:p>
      <w:pPr>
        <w:spacing w:line="460" w:lineRule="exact"/>
        <w:jc w:val="center"/>
        <w:rPr>
          <w:rFonts w:ascii="FangSong_GB2312" w:hAnsi="宋体" w:eastAsia="FangSong_GB2312"/>
          <w:color w:val="000000" w:themeColor="text1"/>
          <w:sz w:val="28"/>
          <w:szCs w:val="28"/>
          <w:highlight w:val="none"/>
        </w:rPr>
      </w:pPr>
    </w:p>
    <w:p>
      <w:pPr>
        <w:snapToGrid w:val="0"/>
        <w:spacing w:beforeLines="50" w:after="50"/>
        <w:jc w:val="left"/>
        <w:rPr>
          <w:rFonts w:ascii="FangSong_GB2312" w:hAnsi="宋体" w:eastAsia="FangSong_GB2312"/>
          <w:bCs/>
          <w:color w:val="000000" w:themeColor="text1"/>
          <w:highlight w:val="none"/>
        </w:rPr>
      </w:pPr>
    </w:p>
    <w:p>
      <w:pPr>
        <w:snapToGrid w:val="0"/>
        <w:spacing w:beforeLines="50" w:after="50"/>
        <w:jc w:val="left"/>
        <w:rPr>
          <w:rFonts w:ascii="FangSong_GB2312" w:hAnsi="宋体" w:eastAsia="FangSong_GB2312"/>
          <w:bCs/>
          <w:color w:val="000000" w:themeColor="text1"/>
          <w:highlight w:val="none"/>
        </w:rPr>
      </w:pPr>
    </w:p>
    <w:p>
      <w:pPr>
        <w:pStyle w:val="32"/>
        <w:spacing w:line="360" w:lineRule="auto"/>
        <w:rPr>
          <w:rFonts w:ascii="FangSong_GB2312" w:eastAsia="FangSong_GB2312"/>
          <w:bCs/>
          <w:color w:val="000000" w:themeColor="text1"/>
          <w:sz w:val="21"/>
          <w:szCs w:val="21"/>
          <w:highlight w:val="none"/>
        </w:rPr>
      </w:pPr>
      <w:r>
        <w:rPr>
          <w:rFonts w:hint="eastAsia" w:ascii="FangSong_GB2312" w:eastAsia="FangSong_GB2312"/>
          <w:bCs/>
          <w:color w:val="000000" w:themeColor="text1"/>
          <w:sz w:val="21"/>
          <w:szCs w:val="21"/>
          <w:highlight w:val="none"/>
        </w:rPr>
        <w:t xml:space="preserve">附件十五：                     </w:t>
      </w:r>
    </w:p>
    <w:p>
      <w:pPr>
        <w:pStyle w:val="32"/>
        <w:spacing w:line="360" w:lineRule="auto"/>
        <w:jc w:val="center"/>
        <w:rPr>
          <w:rFonts w:ascii="FangSong_GB2312" w:eastAsia="FangSong_GB2312"/>
          <w:bCs/>
          <w:color w:val="000000" w:themeColor="text1"/>
          <w:sz w:val="21"/>
          <w:szCs w:val="21"/>
          <w:highlight w:val="none"/>
        </w:rPr>
      </w:pPr>
      <w:r>
        <w:rPr>
          <w:rFonts w:hint="eastAsia" w:ascii="FangSong_GB2312" w:eastAsia="FangSong_GB2312"/>
          <w:bCs/>
          <w:color w:val="000000" w:themeColor="text1"/>
          <w:sz w:val="44"/>
          <w:szCs w:val="44"/>
          <w:highlight w:val="none"/>
        </w:rPr>
        <w:t>技术</w:t>
      </w:r>
      <w:r>
        <w:rPr>
          <w:rFonts w:ascii="FangSong_GB2312" w:eastAsia="FangSong_GB2312"/>
          <w:bCs/>
          <w:color w:val="000000" w:themeColor="text1"/>
          <w:sz w:val="44"/>
          <w:szCs w:val="44"/>
          <w:highlight w:val="none"/>
        </w:rPr>
        <w:t>偏</w:t>
      </w:r>
      <w:r>
        <w:rPr>
          <w:rFonts w:hint="eastAsia" w:ascii="FangSong_GB2312" w:eastAsia="FangSong_GB2312"/>
          <w:bCs/>
          <w:color w:val="000000" w:themeColor="text1"/>
          <w:sz w:val="44"/>
          <w:szCs w:val="44"/>
          <w:highlight w:val="none"/>
        </w:rPr>
        <w:t>离</w:t>
      </w:r>
      <w:r>
        <w:rPr>
          <w:rFonts w:ascii="FangSong_GB2312" w:eastAsia="FangSong_GB2312"/>
          <w:bCs/>
          <w:color w:val="000000" w:themeColor="text1"/>
          <w:sz w:val="44"/>
          <w:szCs w:val="44"/>
          <w:highlight w:val="none"/>
        </w:rPr>
        <w:t>表</w:t>
      </w:r>
    </w:p>
    <w:p>
      <w:pPr>
        <w:snapToGrid w:val="0"/>
        <w:spacing w:beforeLines="50" w:after="50"/>
        <w:ind w:firstLine="560" w:firstLineChars="200"/>
        <w:rPr>
          <w:rFonts w:ascii="FangSong_GB2312" w:hAnsi="宋体" w:eastAsia="FangSong_GB2312"/>
          <w:color w:val="000000" w:themeColor="text1"/>
          <w:sz w:val="28"/>
          <w:szCs w:val="28"/>
          <w:highlight w:val="none"/>
        </w:rPr>
      </w:pPr>
      <w:r>
        <w:rPr>
          <w:rFonts w:hint="eastAsia" w:ascii="FangSong_GB2312" w:hAnsi="宋体" w:eastAsia="FangSong_GB2312"/>
          <w:color w:val="000000" w:themeColor="text1"/>
          <w:sz w:val="28"/>
          <w:szCs w:val="28"/>
          <w:highlight w:val="none"/>
        </w:rPr>
        <w:t>项目名称：天台中学创新实验室和专用教室采购项目（标项  ）</w:t>
      </w:r>
    </w:p>
    <w:p>
      <w:pPr>
        <w:snapToGrid w:val="0"/>
        <w:spacing w:beforeLines="50" w:after="50"/>
        <w:ind w:firstLine="560" w:firstLineChars="200"/>
        <w:rPr>
          <w:rFonts w:ascii="FangSong_GB2312" w:hAnsi="Courier New" w:eastAsia="FangSong_GB2312"/>
          <w:color w:val="000000" w:themeColor="text1"/>
          <w:sz w:val="28"/>
          <w:szCs w:val="28"/>
          <w:highlight w:val="none"/>
        </w:rPr>
      </w:pPr>
      <w:r>
        <w:rPr>
          <w:rFonts w:hint="eastAsia" w:ascii="FangSong_GB2312" w:hAnsi="宋体" w:eastAsia="FangSong_GB2312"/>
          <w:color w:val="000000" w:themeColor="text1"/>
          <w:sz w:val="28"/>
          <w:szCs w:val="28"/>
          <w:highlight w:val="none"/>
        </w:rPr>
        <w:t>项目编号：xzcg-2022-036(招)</w:t>
      </w:r>
    </w:p>
    <w:tbl>
      <w:tblPr>
        <w:tblStyle w:val="36"/>
        <w:tblW w:w="0" w:type="auto"/>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297"/>
        <w:gridCol w:w="1298"/>
        <w:gridCol w:w="2151"/>
        <w:gridCol w:w="2255"/>
        <w:gridCol w:w="152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1297" w:type="dxa"/>
            <w:tcBorders>
              <w:top w:val="single" w:color="auto" w:sz="4" w:space="0"/>
              <w:left w:val="single" w:color="auto" w:sz="6" w:space="0"/>
            </w:tcBorders>
            <w:vAlign w:val="center"/>
          </w:tcPr>
          <w:p>
            <w:pPr>
              <w:spacing w:line="360" w:lineRule="auto"/>
              <w:jc w:val="center"/>
              <w:rPr>
                <w:rFonts w:ascii="FangSong_GB2312" w:hAnsi="Courier New" w:eastAsia="FangSong_GB2312"/>
                <w:color w:val="000000" w:themeColor="text1"/>
                <w:sz w:val="28"/>
                <w:szCs w:val="28"/>
                <w:highlight w:val="none"/>
              </w:rPr>
            </w:pPr>
            <w:r>
              <w:rPr>
                <w:rFonts w:ascii="FangSong_GB2312" w:hAnsi="Courier New" w:eastAsia="FangSong_GB2312"/>
                <w:color w:val="000000" w:themeColor="text1"/>
                <w:sz w:val="28"/>
                <w:szCs w:val="28"/>
                <w:highlight w:val="none"/>
              </w:rPr>
              <w:t>序号</w:t>
            </w:r>
          </w:p>
        </w:tc>
        <w:tc>
          <w:tcPr>
            <w:tcW w:w="1298" w:type="dxa"/>
            <w:tcBorders>
              <w:top w:val="single" w:color="auto" w:sz="4" w:space="0"/>
            </w:tcBorders>
            <w:vAlign w:val="center"/>
          </w:tcPr>
          <w:p>
            <w:pPr>
              <w:spacing w:line="360" w:lineRule="auto"/>
              <w:jc w:val="center"/>
              <w:rPr>
                <w:rFonts w:ascii="FangSong_GB2312" w:hAnsi="Courier New" w:eastAsia="FangSong_GB2312"/>
                <w:color w:val="000000" w:themeColor="text1"/>
                <w:sz w:val="28"/>
                <w:szCs w:val="28"/>
                <w:highlight w:val="none"/>
              </w:rPr>
            </w:pPr>
            <w:r>
              <w:rPr>
                <w:rFonts w:ascii="FangSong_GB2312" w:hAnsi="Courier New" w:eastAsia="FangSong_GB2312"/>
                <w:color w:val="000000" w:themeColor="text1"/>
                <w:sz w:val="28"/>
                <w:szCs w:val="28"/>
                <w:highlight w:val="none"/>
              </w:rPr>
              <w:t>名称</w:t>
            </w:r>
          </w:p>
        </w:tc>
        <w:tc>
          <w:tcPr>
            <w:tcW w:w="2151" w:type="dxa"/>
            <w:tcBorders>
              <w:top w:val="single" w:color="auto" w:sz="4" w:space="0"/>
            </w:tcBorders>
            <w:vAlign w:val="center"/>
          </w:tcPr>
          <w:p>
            <w:pPr>
              <w:spacing w:line="360" w:lineRule="auto"/>
              <w:jc w:val="center"/>
              <w:rPr>
                <w:rFonts w:ascii="FangSong_GB2312" w:hAnsi="Courier New" w:eastAsia="FangSong_GB2312"/>
                <w:color w:val="000000" w:themeColor="text1"/>
                <w:sz w:val="28"/>
                <w:szCs w:val="28"/>
                <w:highlight w:val="none"/>
              </w:rPr>
            </w:pPr>
            <w:r>
              <w:rPr>
                <w:rFonts w:hint="eastAsia" w:ascii="FangSong_GB2312" w:hAnsi="Courier New" w:eastAsia="FangSong_GB2312"/>
                <w:color w:val="000000" w:themeColor="text1"/>
                <w:sz w:val="28"/>
                <w:szCs w:val="28"/>
                <w:highlight w:val="none"/>
              </w:rPr>
              <w:t>招标文件</w:t>
            </w:r>
            <w:r>
              <w:rPr>
                <w:rFonts w:ascii="FangSong_GB2312" w:hAnsi="Courier New" w:eastAsia="FangSong_GB2312"/>
                <w:color w:val="000000" w:themeColor="text1"/>
                <w:sz w:val="28"/>
                <w:szCs w:val="28"/>
                <w:highlight w:val="none"/>
              </w:rPr>
              <w:t>要求</w:t>
            </w:r>
          </w:p>
        </w:tc>
        <w:tc>
          <w:tcPr>
            <w:tcW w:w="2255" w:type="dxa"/>
            <w:tcBorders>
              <w:top w:val="single" w:color="auto" w:sz="4" w:space="0"/>
              <w:right w:val="outset" w:color="auto" w:sz="6" w:space="0"/>
            </w:tcBorders>
            <w:vAlign w:val="center"/>
          </w:tcPr>
          <w:p>
            <w:pPr>
              <w:spacing w:line="360" w:lineRule="auto"/>
              <w:jc w:val="center"/>
              <w:rPr>
                <w:rFonts w:ascii="FangSong_GB2312" w:hAnsi="Courier New" w:eastAsia="FangSong_GB2312"/>
                <w:color w:val="000000" w:themeColor="text1"/>
                <w:sz w:val="28"/>
                <w:szCs w:val="28"/>
                <w:highlight w:val="none"/>
              </w:rPr>
            </w:pPr>
            <w:r>
              <w:rPr>
                <w:rFonts w:hint="eastAsia" w:ascii="FangSong_GB2312" w:hAnsi="Courier New" w:eastAsia="FangSong_GB2312"/>
                <w:color w:val="000000" w:themeColor="text1"/>
                <w:sz w:val="28"/>
                <w:szCs w:val="28"/>
                <w:highlight w:val="none"/>
              </w:rPr>
              <w:t>投标文件响应</w:t>
            </w:r>
          </w:p>
        </w:tc>
        <w:tc>
          <w:tcPr>
            <w:tcW w:w="1529" w:type="dxa"/>
            <w:tcBorders>
              <w:top w:val="single" w:color="auto" w:sz="4" w:space="0"/>
              <w:left w:val="outset" w:color="auto" w:sz="6" w:space="0"/>
              <w:right w:val="single" w:color="auto" w:sz="4" w:space="0"/>
            </w:tcBorders>
            <w:vAlign w:val="center"/>
          </w:tcPr>
          <w:p>
            <w:pPr>
              <w:spacing w:line="360" w:lineRule="auto"/>
              <w:jc w:val="center"/>
              <w:rPr>
                <w:rFonts w:ascii="FangSong_GB2312" w:hAnsi="Courier New" w:eastAsia="FangSong_GB2312"/>
                <w:color w:val="000000" w:themeColor="text1"/>
                <w:sz w:val="28"/>
                <w:szCs w:val="28"/>
                <w:highlight w:val="none"/>
              </w:rPr>
            </w:pPr>
            <w:r>
              <w:rPr>
                <w:rFonts w:hint="eastAsia" w:ascii="FangSong_GB2312" w:hAnsi="Courier New" w:eastAsia="FangSong_GB2312"/>
                <w:color w:val="000000" w:themeColor="text1"/>
                <w:sz w:val="28"/>
                <w:szCs w:val="28"/>
                <w:highlight w:val="none"/>
              </w:rPr>
              <w:t>偏离情况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361" w:hRule="atLeast"/>
          <w:tblCellSpacing w:w="0" w:type="dxa"/>
          <w:jc w:val="center"/>
        </w:trPr>
        <w:tc>
          <w:tcPr>
            <w:tcW w:w="1297" w:type="dxa"/>
            <w:tcBorders>
              <w:left w:val="single" w:color="auto" w:sz="4" w:space="0"/>
            </w:tcBorders>
            <w:vAlign w:val="center"/>
          </w:tcPr>
          <w:p>
            <w:pPr>
              <w:spacing w:line="360" w:lineRule="auto"/>
              <w:rPr>
                <w:rFonts w:ascii="FangSong_GB2312" w:hAnsi="Courier New" w:eastAsia="FangSong_GB2312"/>
                <w:color w:val="000000" w:themeColor="text1"/>
                <w:sz w:val="28"/>
                <w:szCs w:val="28"/>
                <w:highlight w:val="none"/>
              </w:rPr>
            </w:pPr>
            <w:r>
              <w:rPr>
                <w:rFonts w:ascii="FangSong_GB2312" w:hAnsi="Courier New" w:eastAsia="FangSong_GB2312"/>
                <w:color w:val="000000" w:themeColor="text1"/>
                <w:sz w:val="28"/>
                <w:szCs w:val="28"/>
                <w:highlight w:val="none"/>
              </w:rPr>
              <w:t> </w:t>
            </w:r>
          </w:p>
        </w:tc>
        <w:tc>
          <w:tcPr>
            <w:tcW w:w="1298" w:type="dxa"/>
            <w:vAlign w:val="center"/>
          </w:tcPr>
          <w:p>
            <w:pPr>
              <w:spacing w:line="360" w:lineRule="auto"/>
              <w:rPr>
                <w:rFonts w:ascii="FangSong_GB2312" w:hAnsi="Courier New" w:eastAsia="FangSong_GB2312"/>
                <w:color w:val="000000" w:themeColor="text1"/>
                <w:sz w:val="28"/>
                <w:szCs w:val="28"/>
                <w:highlight w:val="none"/>
              </w:rPr>
            </w:pPr>
            <w:r>
              <w:rPr>
                <w:rFonts w:ascii="FangSong_GB2312" w:hAnsi="Courier New" w:eastAsia="FangSong_GB2312"/>
                <w:color w:val="000000" w:themeColor="text1"/>
                <w:sz w:val="28"/>
                <w:szCs w:val="28"/>
                <w:highlight w:val="none"/>
              </w:rPr>
              <w:t> </w:t>
            </w:r>
          </w:p>
        </w:tc>
        <w:tc>
          <w:tcPr>
            <w:tcW w:w="2151" w:type="dxa"/>
            <w:vAlign w:val="center"/>
          </w:tcPr>
          <w:p>
            <w:pPr>
              <w:spacing w:line="360" w:lineRule="auto"/>
              <w:rPr>
                <w:rFonts w:ascii="FangSong_GB2312" w:hAnsi="Courier New" w:eastAsia="FangSong_GB2312"/>
                <w:color w:val="000000" w:themeColor="text1"/>
                <w:sz w:val="28"/>
                <w:szCs w:val="28"/>
                <w:highlight w:val="none"/>
              </w:rPr>
            </w:pPr>
            <w:r>
              <w:rPr>
                <w:rFonts w:ascii="FangSong_GB2312" w:hAnsi="Courier New" w:eastAsia="FangSong_GB2312"/>
                <w:color w:val="000000" w:themeColor="text1"/>
                <w:sz w:val="28"/>
                <w:szCs w:val="28"/>
                <w:highlight w:val="none"/>
              </w:rPr>
              <w:t> </w:t>
            </w:r>
          </w:p>
        </w:tc>
        <w:tc>
          <w:tcPr>
            <w:tcW w:w="2255" w:type="dxa"/>
            <w:tcBorders>
              <w:right w:val="outset" w:color="auto" w:sz="6" w:space="0"/>
            </w:tcBorders>
            <w:vAlign w:val="center"/>
          </w:tcPr>
          <w:p>
            <w:pPr>
              <w:spacing w:line="360" w:lineRule="auto"/>
              <w:rPr>
                <w:rFonts w:ascii="FangSong_GB2312" w:hAnsi="Courier New" w:eastAsia="FangSong_GB2312"/>
                <w:color w:val="000000" w:themeColor="text1"/>
                <w:sz w:val="28"/>
                <w:szCs w:val="28"/>
                <w:highlight w:val="none"/>
              </w:rPr>
            </w:pPr>
            <w:r>
              <w:rPr>
                <w:rFonts w:ascii="FangSong_GB2312" w:hAnsi="Courier New" w:eastAsia="FangSong_GB2312"/>
                <w:color w:val="000000" w:themeColor="text1"/>
                <w:sz w:val="28"/>
                <w:szCs w:val="28"/>
                <w:highlight w:val="none"/>
              </w:rPr>
              <w:t> </w:t>
            </w:r>
          </w:p>
        </w:tc>
        <w:tc>
          <w:tcPr>
            <w:tcW w:w="1529" w:type="dxa"/>
            <w:tcBorders>
              <w:left w:val="outset" w:color="auto" w:sz="6" w:space="0"/>
              <w:right w:val="single" w:color="auto" w:sz="4" w:space="0"/>
            </w:tcBorders>
            <w:vAlign w:val="center"/>
          </w:tcPr>
          <w:p>
            <w:pPr>
              <w:spacing w:line="360" w:lineRule="auto"/>
              <w:rPr>
                <w:rFonts w:ascii="FangSong_GB2312" w:hAnsi="Courier New" w:eastAsia="FangSong_GB2312"/>
                <w:color w:val="000000" w:themeColor="text1"/>
                <w:sz w:val="28"/>
                <w:szCs w:val="28"/>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1297" w:type="dxa"/>
            <w:tcBorders>
              <w:left w:val="single" w:color="auto" w:sz="4" w:space="0"/>
            </w:tcBorders>
            <w:vAlign w:val="center"/>
          </w:tcPr>
          <w:p>
            <w:pPr>
              <w:spacing w:line="360" w:lineRule="auto"/>
              <w:rPr>
                <w:rFonts w:ascii="FangSong_GB2312" w:hAnsi="Courier New" w:eastAsia="FangSong_GB2312"/>
                <w:color w:val="000000" w:themeColor="text1"/>
                <w:sz w:val="28"/>
                <w:szCs w:val="28"/>
                <w:highlight w:val="none"/>
              </w:rPr>
            </w:pPr>
            <w:r>
              <w:rPr>
                <w:rFonts w:ascii="FangSong_GB2312" w:hAnsi="Courier New" w:eastAsia="FangSong_GB2312"/>
                <w:color w:val="000000" w:themeColor="text1"/>
                <w:sz w:val="28"/>
                <w:szCs w:val="28"/>
                <w:highlight w:val="none"/>
              </w:rPr>
              <w:t> </w:t>
            </w:r>
          </w:p>
        </w:tc>
        <w:tc>
          <w:tcPr>
            <w:tcW w:w="1298" w:type="dxa"/>
            <w:vAlign w:val="center"/>
          </w:tcPr>
          <w:p>
            <w:pPr>
              <w:spacing w:line="360" w:lineRule="auto"/>
              <w:rPr>
                <w:rFonts w:ascii="FangSong_GB2312" w:hAnsi="Courier New" w:eastAsia="FangSong_GB2312"/>
                <w:color w:val="000000" w:themeColor="text1"/>
                <w:sz w:val="28"/>
                <w:szCs w:val="28"/>
                <w:highlight w:val="none"/>
              </w:rPr>
            </w:pPr>
            <w:r>
              <w:rPr>
                <w:rFonts w:ascii="FangSong_GB2312" w:hAnsi="Courier New" w:eastAsia="FangSong_GB2312"/>
                <w:color w:val="000000" w:themeColor="text1"/>
                <w:sz w:val="28"/>
                <w:szCs w:val="28"/>
                <w:highlight w:val="none"/>
              </w:rPr>
              <w:t> </w:t>
            </w:r>
          </w:p>
        </w:tc>
        <w:tc>
          <w:tcPr>
            <w:tcW w:w="2151" w:type="dxa"/>
            <w:vAlign w:val="center"/>
          </w:tcPr>
          <w:p>
            <w:pPr>
              <w:spacing w:line="360" w:lineRule="auto"/>
              <w:rPr>
                <w:rFonts w:ascii="FangSong_GB2312" w:hAnsi="Courier New" w:eastAsia="FangSong_GB2312"/>
                <w:color w:val="000000" w:themeColor="text1"/>
                <w:sz w:val="28"/>
                <w:szCs w:val="28"/>
                <w:highlight w:val="none"/>
              </w:rPr>
            </w:pPr>
            <w:r>
              <w:rPr>
                <w:rFonts w:ascii="FangSong_GB2312" w:hAnsi="Courier New" w:eastAsia="FangSong_GB2312"/>
                <w:color w:val="000000" w:themeColor="text1"/>
                <w:sz w:val="28"/>
                <w:szCs w:val="28"/>
                <w:highlight w:val="none"/>
              </w:rPr>
              <w:t> </w:t>
            </w:r>
          </w:p>
        </w:tc>
        <w:tc>
          <w:tcPr>
            <w:tcW w:w="2255" w:type="dxa"/>
            <w:tcBorders>
              <w:right w:val="outset" w:color="auto" w:sz="6" w:space="0"/>
            </w:tcBorders>
            <w:vAlign w:val="center"/>
          </w:tcPr>
          <w:p>
            <w:pPr>
              <w:spacing w:line="360" w:lineRule="auto"/>
              <w:rPr>
                <w:rFonts w:ascii="FangSong_GB2312" w:hAnsi="Courier New" w:eastAsia="FangSong_GB2312"/>
                <w:color w:val="000000" w:themeColor="text1"/>
                <w:sz w:val="28"/>
                <w:szCs w:val="28"/>
                <w:highlight w:val="none"/>
              </w:rPr>
            </w:pPr>
            <w:r>
              <w:rPr>
                <w:rFonts w:ascii="FangSong_GB2312" w:hAnsi="Courier New" w:eastAsia="FangSong_GB2312"/>
                <w:color w:val="000000" w:themeColor="text1"/>
                <w:sz w:val="28"/>
                <w:szCs w:val="28"/>
                <w:highlight w:val="none"/>
              </w:rPr>
              <w:t> </w:t>
            </w:r>
          </w:p>
        </w:tc>
        <w:tc>
          <w:tcPr>
            <w:tcW w:w="1529" w:type="dxa"/>
            <w:tcBorders>
              <w:left w:val="outset" w:color="auto" w:sz="6" w:space="0"/>
              <w:right w:val="single" w:color="auto" w:sz="4" w:space="0"/>
            </w:tcBorders>
            <w:vAlign w:val="center"/>
          </w:tcPr>
          <w:p>
            <w:pPr>
              <w:spacing w:line="360" w:lineRule="auto"/>
              <w:rPr>
                <w:rFonts w:ascii="FangSong_GB2312" w:hAnsi="Courier New" w:eastAsia="FangSong_GB2312"/>
                <w:color w:val="000000" w:themeColor="text1"/>
                <w:sz w:val="28"/>
                <w:szCs w:val="28"/>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1297" w:type="dxa"/>
            <w:tcBorders>
              <w:left w:val="single" w:color="auto" w:sz="4" w:space="0"/>
            </w:tcBorders>
            <w:vAlign w:val="center"/>
          </w:tcPr>
          <w:p>
            <w:pPr>
              <w:spacing w:line="360" w:lineRule="auto"/>
              <w:rPr>
                <w:rFonts w:ascii="FangSong_GB2312" w:hAnsi="Courier New" w:eastAsia="FangSong_GB2312"/>
                <w:color w:val="000000" w:themeColor="text1"/>
                <w:sz w:val="28"/>
                <w:szCs w:val="28"/>
                <w:highlight w:val="none"/>
              </w:rPr>
            </w:pPr>
            <w:r>
              <w:rPr>
                <w:rFonts w:ascii="FangSong_GB2312" w:hAnsi="Courier New" w:eastAsia="FangSong_GB2312"/>
                <w:color w:val="000000" w:themeColor="text1"/>
                <w:sz w:val="28"/>
                <w:szCs w:val="28"/>
                <w:highlight w:val="none"/>
              </w:rPr>
              <w:t> </w:t>
            </w:r>
          </w:p>
        </w:tc>
        <w:tc>
          <w:tcPr>
            <w:tcW w:w="1298" w:type="dxa"/>
            <w:vAlign w:val="center"/>
          </w:tcPr>
          <w:p>
            <w:pPr>
              <w:spacing w:line="360" w:lineRule="auto"/>
              <w:rPr>
                <w:rFonts w:ascii="FangSong_GB2312" w:hAnsi="Courier New" w:eastAsia="FangSong_GB2312"/>
                <w:color w:val="000000" w:themeColor="text1"/>
                <w:sz w:val="28"/>
                <w:szCs w:val="28"/>
                <w:highlight w:val="none"/>
              </w:rPr>
            </w:pPr>
            <w:r>
              <w:rPr>
                <w:rFonts w:ascii="FangSong_GB2312" w:hAnsi="Courier New" w:eastAsia="FangSong_GB2312"/>
                <w:color w:val="000000" w:themeColor="text1"/>
                <w:sz w:val="28"/>
                <w:szCs w:val="28"/>
                <w:highlight w:val="none"/>
              </w:rPr>
              <w:t> </w:t>
            </w:r>
          </w:p>
        </w:tc>
        <w:tc>
          <w:tcPr>
            <w:tcW w:w="2151" w:type="dxa"/>
            <w:vAlign w:val="center"/>
          </w:tcPr>
          <w:p>
            <w:pPr>
              <w:spacing w:line="360" w:lineRule="auto"/>
              <w:rPr>
                <w:rFonts w:ascii="FangSong_GB2312" w:hAnsi="Courier New" w:eastAsia="FangSong_GB2312"/>
                <w:color w:val="000000" w:themeColor="text1"/>
                <w:sz w:val="28"/>
                <w:szCs w:val="28"/>
                <w:highlight w:val="none"/>
              </w:rPr>
            </w:pPr>
            <w:r>
              <w:rPr>
                <w:rFonts w:ascii="FangSong_GB2312" w:hAnsi="Courier New" w:eastAsia="FangSong_GB2312"/>
                <w:color w:val="000000" w:themeColor="text1"/>
                <w:sz w:val="28"/>
                <w:szCs w:val="28"/>
                <w:highlight w:val="none"/>
              </w:rPr>
              <w:t> </w:t>
            </w:r>
          </w:p>
        </w:tc>
        <w:tc>
          <w:tcPr>
            <w:tcW w:w="2255" w:type="dxa"/>
            <w:tcBorders>
              <w:right w:val="outset" w:color="auto" w:sz="6" w:space="0"/>
            </w:tcBorders>
            <w:vAlign w:val="center"/>
          </w:tcPr>
          <w:p>
            <w:pPr>
              <w:spacing w:line="360" w:lineRule="auto"/>
              <w:rPr>
                <w:rFonts w:ascii="FangSong_GB2312" w:hAnsi="Courier New" w:eastAsia="FangSong_GB2312"/>
                <w:color w:val="000000" w:themeColor="text1"/>
                <w:sz w:val="28"/>
                <w:szCs w:val="28"/>
                <w:highlight w:val="none"/>
              </w:rPr>
            </w:pPr>
            <w:r>
              <w:rPr>
                <w:rFonts w:ascii="FangSong_GB2312" w:hAnsi="Courier New" w:eastAsia="FangSong_GB2312"/>
                <w:color w:val="000000" w:themeColor="text1"/>
                <w:sz w:val="28"/>
                <w:szCs w:val="28"/>
                <w:highlight w:val="none"/>
              </w:rPr>
              <w:t> </w:t>
            </w:r>
          </w:p>
        </w:tc>
        <w:tc>
          <w:tcPr>
            <w:tcW w:w="1529" w:type="dxa"/>
            <w:tcBorders>
              <w:left w:val="outset" w:color="auto" w:sz="6" w:space="0"/>
              <w:right w:val="single" w:color="auto" w:sz="4" w:space="0"/>
            </w:tcBorders>
            <w:vAlign w:val="center"/>
          </w:tcPr>
          <w:p>
            <w:pPr>
              <w:spacing w:line="360" w:lineRule="auto"/>
              <w:rPr>
                <w:rFonts w:ascii="FangSong_GB2312" w:hAnsi="Courier New" w:eastAsia="FangSong_GB2312"/>
                <w:color w:val="000000" w:themeColor="text1"/>
                <w:sz w:val="28"/>
                <w:szCs w:val="28"/>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76" w:hRule="atLeast"/>
          <w:tblCellSpacing w:w="0" w:type="dxa"/>
          <w:jc w:val="center"/>
        </w:trPr>
        <w:tc>
          <w:tcPr>
            <w:tcW w:w="1297" w:type="dxa"/>
            <w:tcBorders>
              <w:left w:val="single" w:color="auto" w:sz="4" w:space="0"/>
            </w:tcBorders>
            <w:vAlign w:val="center"/>
          </w:tcPr>
          <w:p>
            <w:pPr>
              <w:spacing w:line="360" w:lineRule="auto"/>
              <w:rPr>
                <w:rFonts w:ascii="FangSong_GB2312" w:hAnsi="Courier New" w:eastAsia="FangSong_GB2312"/>
                <w:color w:val="000000" w:themeColor="text1"/>
                <w:sz w:val="28"/>
                <w:szCs w:val="28"/>
                <w:highlight w:val="none"/>
              </w:rPr>
            </w:pPr>
          </w:p>
        </w:tc>
        <w:tc>
          <w:tcPr>
            <w:tcW w:w="1298" w:type="dxa"/>
            <w:vAlign w:val="center"/>
          </w:tcPr>
          <w:p>
            <w:pPr>
              <w:spacing w:line="360" w:lineRule="auto"/>
              <w:rPr>
                <w:rFonts w:ascii="FangSong_GB2312" w:hAnsi="Courier New" w:eastAsia="FangSong_GB2312"/>
                <w:color w:val="000000" w:themeColor="text1"/>
                <w:sz w:val="28"/>
                <w:szCs w:val="28"/>
                <w:highlight w:val="none"/>
              </w:rPr>
            </w:pPr>
          </w:p>
        </w:tc>
        <w:tc>
          <w:tcPr>
            <w:tcW w:w="2151" w:type="dxa"/>
            <w:vAlign w:val="center"/>
          </w:tcPr>
          <w:p>
            <w:pPr>
              <w:spacing w:line="360" w:lineRule="auto"/>
              <w:rPr>
                <w:rFonts w:ascii="FangSong_GB2312" w:hAnsi="Courier New" w:eastAsia="FangSong_GB2312"/>
                <w:color w:val="000000" w:themeColor="text1"/>
                <w:sz w:val="28"/>
                <w:szCs w:val="28"/>
                <w:highlight w:val="none"/>
              </w:rPr>
            </w:pPr>
          </w:p>
        </w:tc>
        <w:tc>
          <w:tcPr>
            <w:tcW w:w="2255" w:type="dxa"/>
            <w:tcBorders>
              <w:right w:val="outset" w:color="auto" w:sz="6" w:space="0"/>
            </w:tcBorders>
            <w:vAlign w:val="center"/>
          </w:tcPr>
          <w:p>
            <w:pPr>
              <w:spacing w:line="360" w:lineRule="auto"/>
              <w:rPr>
                <w:rFonts w:ascii="FangSong_GB2312" w:hAnsi="Courier New" w:eastAsia="FangSong_GB2312"/>
                <w:color w:val="000000" w:themeColor="text1"/>
                <w:sz w:val="28"/>
                <w:szCs w:val="28"/>
                <w:highlight w:val="none"/>
              </w:rPr>
            </w:pPr>
          </w:p>
        </w:tc>
        <w:tc>
          <w:tcPr>
            <w:tcW w:w="1529" w:type="dxa"/>
            <w:tcBorders>
              <w:left w:val="outset" w:color="auto" w:sz="6" w:space="0"/>
              <w:right w:val="single" w:color="auto" w:sz="4" w:space="0"/>
            </w:tcBorders>
            <w:vAlign w:val="center"/>
          </w:tcPr>
          <w:p>
            <w:pPr>
              <w:spacing w:line="360" w:lineRule="auto"/>
              <w:rPr>
                <w:rFonts w:ascii="FangSong_GB2312" w:hAnsi="Courier New" w:eastAsia="FangSong_GB2312"/>
                <w:color w:val="000000" w:themeColor="text1"/>
                <w:sz w:val="28"/>
                <w:szCs w:val="28"/>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28" w:hRule="atLeast"/>
          <w:tblCellSpacing w:w="0" w:type="dxa"/>
          <w:jc w:val="center"/>
        </w:trPr>
        <w:tc>
          <w:tcPr>
            <w:tcW w:w="1297" w:type="dxa"/>
            <w:tcBorders>
              <w:left w:val="single" w:color="auto" w:sz="4" w:space="0"/>
            </w:tcBorders>
            <w:vAlign w:val="center"/>
          </w:tcPr>
          <w:p>
            <w:pPr>
              <w:spacing w:line="360" w:lineRule="auto"/>
              <w:rPr>
                <w:rFonts w:ascii="FangSong_GB2312" w:hAnsi="Courier New" w:eastAsia="FangSong_GB2312"/>
                <w:color w:val="000000" w:themeColor="text1"/>
                <w:sz w:val="28"/>
                <w:szCs w:val="28"/>
                <w:highlight w:val="none"/>
              </w:rPr>
            </w:pPr>
            <w:r>
              <w:rPr>
                <w:rFonts w:ascii="FangSong_GB2312" w:hAnsi="Courier New" w:eastAsia="FangSong_GB2312"/>
                <w:color w:val="000000" w:themeColor="text1"/>
                <w:sz w:val="28"/>
                <w:szCs w:val="28"/>
                <w:highlight w:val="none"/>
              </w:rPr>
              <w:t> </w:t>
            </w:r>
          </w:p>
        </w:tc>
        <w:tc>
          <w:tcPr>
            <w:tcW w:w="1298" w:type="dxa"/>
            <w:vAlign w:val="center"/>
          </w:tcPr>
          <w:p>
            <w:pPr>
              <w:spacing w:line="360" w:lineRule="auto"/>
              <w:rPr>
                <w:rFonts w:ascii="FangSong_GB2312" w:hAnsi="Courier New" w:eastAsia="FangSong_GB2312"/>
                <w:color w:val="000000" w:themeColor="text1"/>
                <w:sz w:val="28"/>
                <w:szCs w:val="28"/>
                <w:highlight w:val="none"/>
              </w:rPr>
            </w:pPr>
            <w:r>
              <w:rPr>
                <w:rFonts w:ascii="FangSong_GB2312" w:hAnsi="Courier New" w:eastAsia="FangSong_GB2312"/>
                <w:color w:val="000000" w:themeColor="text1"/>
                <w:sz w:val="28"/>
                <w:szCs w:val="28"/>
                <w:highlight w:val="none"/>
              </w:rPr>
              <w:t> </w:t>
            </w:r>
          </w:p>
        </w:tc>
        <w:tc>
          <w:tcPr>
            <w:tcW w:w="2151" w:type="dxa"/>
            <w:vAlign w:val="center"/>
          </w:tcPr>
          <w:p>
            <w:pPr>
              <w:spacing w:line="360" w:lineRule="auto"/>
              <w:rPr>
                <w:rFonts w:ascii="FangSong_GB2312" w:hAnsi="Courier New" w:eastAsia="FangSong_GB2312"/>
                <w:color w:val="000000" w:themeColor="text1"/>
                <w:sz w:val="28"/>
                <w:szCs w:val="28"/>
                <w:highlight w:val="none"/>
              </w:rPr>
            </w:pPr>
            <w:r>
              <w:rPr>
                <w:rFonts w:ascii="FangSong_GB2312" w:hAnsi="Courier New" w:eastAsia="FangSong_GB2312"/>
                <w:color w:val="000000" w:themeColor="text1"/>
                <w:sz w:val="28"/>
                <w:szCs w:val="28"/>
                <w:highlight w:val="none"/>
              </w:rPr>
              <w:t> </w:t>
            </w:r>
          </w:p>
        </w:tc>
        <w:tc>
          <w:tcPr>
            <w:tcW w:w="2255" w:type="dxa"/>
            <w:tcBorders>
              <w:right w:val="outset" w:color="auto" w:sz="6" w:space="0"/>
            </w:tcBorders>
            <w:vAlign w:val="center"/>
          </w:tcPr>
          <w:p>
            <w:pPr>
              <w:spacing w:line="360" w:lineRule="auto"/>
              <w:rPr>
                <w:rFonts w:ascii="FangSong_GB2312" w:hAnsi="Courier New" w:eastAsia="FangSong_GB2312"/>
                <w:color w:val="000000" w:themeColor="text1"/>
                <w:sz w:val="28"/>
                <w:szCs w:val="28"/>
                <w:highlight w:val="none"/>
              </w:rPr>
            </w:pPr>
            <w:r>
              <w:rPr>
                <w:rFonts w:ascii="FangSong_GB2312" w:hAnsi="Courier New" w:eastAsia="FangSong_GB2312"/>
                <w:color w:val="000000" w:themeColor="text1"/>
                <w:sz w:val="28"/>
                <w:szCs w:val="28"/>
                <w:highlight w:val="none"/>
              </w:rPr>
              <w:t> </w:t>
            </w:r>
          </w:p>
        </w:tc>
        <w:tc>
          <w:tcPr>
            <w:tcW w:w="1529" w:type="dxa"/>
            <w:tcBorders>
              <w:left w:val="outset" w:color="auto" w:sz="6" w:space="0"/>
              <w:right w:val="single" w:color="auto" w:sz="4" w:space="0"/>
            </w:tcBorders>
            <w:vAlign w:val="center"/>
          </w:tcPr>
          <w:p>
            <w:pPr>
              <w:spacing w:line="360" w:lineRule="auto"/>
              <w:rPr>
                <w:rFonts w:ascii="FangSong_GB2312" w:hAnsi="Courier New" w:eastAsia="FangSong_GB2312"/>
                <w:color w:val="000000" w:themeColor="text1"/>
                <w:sz w:val="28"/>
                <w:szCs w:val="28"/>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1297" w:type="dxa"/>
            <w:tcBorders>
              <w:left w:val="single" w:color="auto" w:sz="4" w:space="0"/>
            </w:tcBorders>
            <w:vAlign w:val="center"/>
          </w:tcPr>
          <w:p>
            <w:pPr>
              <w:spacing w:line="360" w:lineRule="auto"/>
              <w:rPr>
                <w:rFonts w:ascii="FangSong_GB2312" w:hAnsi="Courier New" w:eastAsia="FangSong_GB2312"/>
                <w:color w:val="000000" w:themeColor="text1"/>
                <w:sz w:val="28"/>
                <w:szCs w:val="28"/>
                <w:highlight w:val="none"/>
              </w:rPr>
            </w:pPr>
          </w:p>
        </w:tc>
        <w:tc>
          <w:tcPr>
            <w:tcW w:w="1298" w:type="dxa"/>
            <w:vAlign w:val="center"/>
          </w:tcPr>
          <w:p>
            <w:pPr>
              <w:spacing w:line="360" w:lineRule="auto"/>
              <w:rPr>
                <w:rFonts w:ascii="FangSong_GB2312" w:hAnsi="Courier New" w:eastAsia="FangSong_GB2312"/>
                <w:color w:val="000000" w:themeColor="text1"/>
                <w:sz w:val="28"/>
                <w:szCs w:val="28"/>
                <w:highlight w:val="none"/>
              </w:rPr>
            </w:pPr>
          </w:p>
        </w:tc>
        <w:tc>
          <w:tcPr>
            <w:tcW w:w="2151" w:type="dxa"/>
            <w:vAlign w:val="center"/>
          </w:tcPr>
          <w:p>
            <w:pPr>
              <w:spacing w:line="360" w:lineRule="auto"/>
              <w:rPr>
                <w:rFonts w:ascii="FangSong_GB2312" w:hAnsi="Courier New" w:eastAsia="FangSong_GB2312"/>
                <w:color w:val="000000" w:themeColor="text1"/>
                <w:sz w:val="28"/>
                <w:szCs w:val="28"/>
                <w:highlight w:val="none"/>
              </w:rPr>
            </w:pPr>
          </w:p>
        </w:tc>
        <w:tc>
          <w:tcPr>
            <w:tcW w:w="2255" w:type="dxa"/>
            <w:tcBorders>
              <w:right w:val="outset" w:color="auto" w:sz="6" w:space="0"/>
            </w:tcBorders>
            <w:vAlign w:val="center"/>
          </w:tcPr>
          <w:p>
            <w:pPr>
              <w:spacing w:line="360" w:lineRule="auto"/>
              <w:rPr>
                <w:rFonts w:ascii="FangSong_GB2312" w:hAnsi="Courier New" w:eastAsia="FangSong_GB2312"/>
                <w:color w:val="000000" w:themeColor="text1"/>
                <w:sz w:val="28"/>
                <w:szCs w:val="28"/>
                <w:highlight w:val="none"/>
              </w:rPr>
            </w:pPr>
          </w:p>
        </w:tc>
        <w:tc>
          <w:tcPr>
            <w:tcW w:w="1529" w:type="dxa"/>
            <w:tcBorders>
              <w:left w:val="outset" w:color="auto" w:sz="6" w:space="0"/>
              <w:right w:val="single" w:color="auto" w:sz="4" w:space="0"/>
            </w:tcBorders>
            <w:vAlign w:val="center"/>
          </w:tcPr>
          <w:p>
            <w:pPr>
              <w:spacing w:line="360" w:lineRule="auto"/>
              <w:rPr>
                <w:rFonts w:ascii="FangSong_GB2312" w:hAnsi="Courier New" w:eastAsia="FangSong_GB2312"/>
                <w:color w:val="000000" w:themeColor="text1"/>
                <w:sz w:val="28"/>
                <w:szCs w:val="28"/>
                <w:highlight w:val="none"/>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0" w:type="dxa"/>
          <w:jc w:val="center"/>
        </w:trPr>
        <w:tc>
          <w:tcPr>
            <w:tcW w:w="1297" w:type="dxa"/>
            <w:tcBorders>
              <w:left w:val="single" w:color="auto" w:sz="4" w:space="0"/>
              <w:bottom w:val="single" w:color="auto" w:sz="4" w:space="0"/>
            </w:tcBorders>
            <w:vAlign w:val="center"/>
          </w:tcPr>
          <w:p>
            <w:pPr>
              <w:spacing w:line="360" w:lineRule="auto"/>
              <w:rPr>
                <w:rFonts w:ascii="FangSong_GB2312" w:hAnsi="Courier New" w:eastAsia="FangSong_GB2312"/>
                <w:color w:val="000000" w:themeColor="text1"/>
                <w:sz w:val="28"/>
                <w:szCs w:val="28"/>
                <w:highlight w:val="none"/>
              </w:rPr>
            </w:pPr>
          </w:p>
        </w:tc>
        <w:tc>
          <w:tcPr>
            <w:tcW w:w="1298" w:type="dxa"/>
            <w:tcBorders>
              <w:bottom w:val="single" w:color="auto" w:sz="4" w:space="0"/>
            </w:tcBorders>
            <w:vAlign w:val="center"/>
          </w:tcPr>
          <w:p>
            <w:pPr>
              <w:spacing w:line="360" w:lineRule="auto"/>
              <w:rPr>
                <w:rFonts w:ascii="FangSong_GB2312" w:hAnsi="Courier New" w:eastAsia="FangSong_GB2312"/>
                <w:color w:val="000000" w:themeColor="text1"/>
                <w:sz w:val="28"/>
                <w:szCs w:val="28"/>
                <w:highlight w:val="none"/>
              </w:rPr>
            </w:pPr>
          </w:p>
        </w:tc>
        <w:tc>
          <w:tcPr>
            <w:tcW w:w="2151" w:type="dxa"/>
            <w:tcBorders>
              <w:bottom w:val="single" w:color="auto" w:sz="4" w:space="0"/>
            </w:tcBorders>
            <w:vAlign w:val="center"/>
          </w:tcPr>
          <w:p>
            <w:pPr>
              <w:spacing w:line="360" w:lineRule="auto"/>
              <w:rPr>
                <w:rFonts w:ascii="FangSong_GB2312" w:hAnsi="Courier New" w:eastAsia="FangSong_GB2312"/>
                <w:color w:val="000000" w:themeColor="text1"/>
                <w:sz w:val="28"/>
                <w:szCs w:val="28"/>
                <w:highlight w:val="none"/>
              </w:rPr>
            </w:pPr>
          </w:p>
        </w:tc>
        <w:tc>
          <w:tcPr>
            <w:tcW w:w="2255" w:type="dxa"/>
            <w:tcBorders>
              <w:bottom w:val="single" w:color="auto" w:sz="4" w:space="0"/>
              <w:right w:val="outset" w:color="auto" w:sz="6" w:space="0"/>
            </w:tcBorders>
            <w:vAlign w:val="center"/>
          </w:tcPr>
          <w:p>
            <w:pPr>
              <w:spacing w:line="360" w:lineRule="auto"/>
              <w:rPr>
                <w:rFonts w:ascii="FangSong_GB2312" w:hAnsi="Courier New" w:eastAsia="FangSong_GB2312"/>
                <w:color w:val="000000" w:themeColor="text1"/>
                <w:sz w:val="28"/>
                <w:szCs w:val="28"/>
                <w:highlight w:val="none"/>
              </w:rPr>
            </w:pPr>
          </w:p>
        </w:tc>
        <w:tc>
          <w:tcPr>
            <w:tcW w:w="1529" w:type="dxa"/>
            <w:tcBorders>
              <w:left w:val="outset" w:color="auto" w:sz="6" w:space="0"/>
              <w:bottom w:val="single" w:color="auto" w:sz="4" w:space="0"/>
              <w:right w:val="single" w:color="auto" w:sz="4" w:space="0"/>
            </w:tcBorders>
            <w:vAlign w:val="center"/>
          </w:tcPr>
          <w:p>
            <w:pPr>
              <w:spacing w:line="360" w:lineRule="auto"/>
              <w:rPr>
                <w:rFonts w:ascii="FangSong_GB2312" w:hAnsi="Courier New" w:eastAsia="FangSong_GB2312"/>
                <w:color w:val="000000" w:themeColor="text1"/>
                <w:sz w:val="28"/>
                <w:szCs w:val="28"/>
                <w:highlight w:val="none"/>
              </w:rPr>
            </w:pPr>
          </w:p>
        </w:tc>
      </w:tr>
    </w:tbl>
    <w:p>
      <w:pPr>
        <w:pStyle w:val="32"/>
        <w:spacing w:before="0" w:beforeAutospacing="0" w:after="0" w:afterAutospacing="0" w:line="400" w:lineRule="exact"/>
        <w:ind w:left="1797" w:leftChars="570" w:hanging="600" w:hangingChars="250"/>
        <w:rPr>
          <w:rFonts w:ascii="FangSong_GB2312" w:hAnsi="Courier New" w:eastAsia="FangSong_GB2312"/>
          <w:color w:val="000000" w:themeColor="text1"/>
          <w:kern w:val="2"/>
          <w:highlight w:val="none"/>
        </w:rPr>
      </w:pPr>
      <w:r>
        <w:rPr>
          <w:rFonts w:ascii="FangSong_GB2312" w:hAnsi="Courier New" w:eastAsia="FangSong_GB2312"/>
          <w:color w:val="000000" w:themeColor="text1"/>
          <w:kern w:val="2"/>
          <w:highlight w:val="none"/>
        </w:rPr>
        <w:t>说明：</w:t>
      </w:r>
      <w:r>
        <w:rPr>
          <w:rFonts w:hint="eastAsia" w:ascii="FangSong_GB2312" w:hAnsi="Courier New" w:eastAsia="FangSong_GB2312"/>
          <w:color w:val="000000" w:themeColor="text1"/>
          <w:kern w:val="2"/>
          <w:highlight w:val="none"/>
        </w:rPr>
        <w:t>1、投标人须将投标文件对招标文件的所有偏离填入此表。</w:t>
      </w:r>
    </w:p>
    <w:p>
      <w:pPr>
        <w:pStyle w:val="32"/>
        <w:spacing w:before="0" w:beforeAutospacing="0" w:after="0" w:afterAutospacing="0" w:line="400" w:lineRule="exact"/>
        <w:ind w:left="1797" w:leftChars="570" w:hanging="600" w:hangingChars="250"/>
        <w:rPr>
          <w:rFonts w:ascii="FangSong_GB2312" w:hAnsi="Courier New" w:eastAsia="FangSong_GB2312"/>
          <w:color w:val="000000" w:themeColor="text1"/>
          <w:kern w:val="2"/>
          <w:highlight w:val="none"/>
        </w:rPr>
      </w:pPr>
      <w:r>
        <w:rPr>
          <w:rFonts w:hint="eastAsia" w:ascii="FangSong_GB2312" w:hAnsi="Courier New" w:eastAsia="FangSong_GB2312"/>
          <w:color w:val="000000" w:themeColor="text1"/>
          <w:kern w:val="2"/>
          <w:highlight w:val="none"/>
        </w:rPr>
        <w:t>2、</w:t>
      </w:r>
      <w:r>
        <w:rPr>
          <w:rFonts w:ascii="FangSong_GB2312" w:eastAsia="FangSong_GB2312"/>
          <w:color w:val="000000" w:themeColor="text1"/>
          <w:spacing w:val="-6"/>
          <w:highlight w:val="none"/>
        </w:rPr>
        <w:t>表格中行数不够用时可按相同格式增加行数，其他一切内容和格式不得更改</w:t>
      </w:r>
      <w:r>
        <w:rPr>
          <w:rFonts w:hint="eastAsia" w:ascii="FangSong_GB2312" w:hAnsi="Courier New" w:eastAsia="FangSong_GB2312"/>
          <w:color w:val="000000" w:themeColor="text1"/>
          <w:spacing w:val="-6"/>
          <w:kern w:val="2"/>
          <w:highlight w:val="none"/>
        </w:rPr>
        <w:t>。</w:t>
      </w:r>
    </w:p>
    <w:p>
      <w:pPr>
        <w:spacing w:line="460" w:lineRule="exact"/>
        <w:ind w:firstLine="3500" w:firstLineChars="1250"/>
        <w:rPr>
          <w:rFonts w:ascii="FangSong_GB2312" w:hAnsi="宋体" w:eastAsia="FangSong_GB2312"/>
          <w:color w:val="000000" w:themeColor="text1"/>
          <w:sz w:val="28"/>
          <w:szCs w:val="28"/>
          <w:highlight w:val="none"/>
        </w:rPr>
      </w:pPr>
    </w:p>
    <w:p>
      <w:pPr>
        <w:spacing w:line="460" w:lineRule="exact"/>
        <w:ind w:firstLine="3500" w:firstLineChars="1250"/>
        <w:rPr>
          <w:rFonts w:hint="eastAsia" w:ascii="FangSong_GB2312" w:hAnsi="宋体" w:eastAsia="FangSong_GB2312"/>
          <w:color w:val="000000" w:themeColor="text1"/>
          <w:sz w:val="28"/>
          <w:szCs w:val="28"/>
          <w:highlight w:val="none"/>
        </w:rPr>
      </w:pPr>
    </w:p>
    <w:p>
      <w:pPr>
        <w:spacing w:line="460" w:lineRule="exact"/>
        <w:ind w:firstLine="3500" w:firstLineChars="1250"/>
        <w:rPr>
          <w:rFonts w:ascii="FangSong_GB2312" w:hAnsi="宋体" w:eastAsia="FangSong_GB2312"/>
          <w:color w:val="000000" w:themeColor="text1"/>
          <w:sz w:val="28"/>
          <w:szCs w:val="28"/>
          <w:highlight w:val="none"/>
        </w:rPr>
      </w:pPr>
      <w:r>
        <w:rPr>
          <w:rFonts w:hint="eastAsia" w:ascii="FangSong_GB2312" w:hAnsi="宋体" w:eastAsia="FangSong_GB2312"/>
          <w:color w:val="000000" w:themeColor="text1"/>
          <w:sz w:val="28"/>
          <w:szCs w:val="28"/>
          <w:highlight w:val="none"/>
        </w:rPr>
        <w:t>投标人全称：</w:t>
      </w:r>
      <w:r>
        <w:rPr>
          <w:rFonts w:hint="eastAsia" w:ascii="FangSong_GB2312" w:hAnsi="宋体" w:eastAsia="FangSong_GB2312"/>
          <w:color w:val="000000" w:themeColor="text1"/>
          <w:sz w:val="28"/>
          <w:szCs w:val="28"/>
          <w:highlight w:val="none"/>
          <w:u w:val="single"/>
        </w:rPr>
        <w:t xml:space="preserve">                   </w:t>
      </w:r>
      <w:r>
        <w:rPr>
          <w:rFonts w:hint="eastAsia" w:ascii="FangSong_GB2312" w:hAnsi="宋体" w:eastAsia="FangSong_GB2312"/>
          <w:color w:val="000000" w:themeColor="text1"/>
          <w:sz w:val="28"/>
          <w:szCs w:val="28"/>
          <w:highlight w:val="none"/>
        </w:rPr>
        <w:t>（盖公章）</w:t>
      </w:r>
    </w:p>
    <w:p>
      <w:pPr>
        <w:spacing w:line="460" w:lineRule="exact"/>
        <w:ind w:firstLine="1540" w:firstLineChars="550"/>
        <w:rPr>
          <w:rFonts w:ascii="FangSong_GB2312" w:hAnsi="Courier New" w:eastAsia="FangSong_GB2312"/>
          <w:i/>
          <w:color w:val="000000" w:themeColor="text1"/>
          <w:sz w:val="28"/>
          <w:szCs w:val="28"/>
          <w:highlight w:val="none"/>
        </w:rPr>
      </w:pPr>
    </w:p>
    <w:p>
      <w:pPr>
        <w:spacing w:line="460" w:lineRule="exact"/>
        <w:jc w:val="center"/>
        <w:rPr>
          <w:rFonts w:ascii="FangSong_GB2312" w:hAnsi="宋体" w:eastAsia="FangSong_GB2312"/>
          <w:color w:val="000000" w:themeColor="text1"/>
          <w:sz w:val="28"/>
          <w:szCs w:val="28"/>
          <w:highlight w:val="none"/>
        </w:rPr>
      </w:pPr>
      <w:r>
        <w:rPr>
          <w:rFonts w:hint="eastAsia" w:ascii="FangSong_GB2312" w:hAnsi="宋体" w:eastAsia="FangSong_GB2312"/>
          <w:color w:val="000000" w:themeColor="text1"/>
          <w:sz w:val="28"/>
          <w:szCs w:val="28"/>
          <w:highlight w:val="none"/>
        </w:rPr>
        <w:t xml:space="preserve">                               年    月    日</w:t>
      </w:r>
    </w:p>
    <w:p>
      <w:pPr>
        <w:spacing w:line="480" w:lineRule="auto"/>
        <w:rPr>
          <w:rFonts w:ascii="FangSong_GB2312" w:eastAsia="FangSong_GB2312"/>
          <w:b/>
          <w:bCs/>
          <w:color w:val="000000" w:themeColor="text1"/>
          <w:sz w:val="32"/>
          <w:highlight w:val="none"/>
        </w:rPr>
      </w:pPr>
    </w:p>
    <w:p>
      <w:pPr>
        <w:spacing w:line="480" w:lineRule="auto"/>
        <w:rPr>
          <w:rFonts w:ascii="FangSong_GB2312" w:eastAsia="FangSong_GB2312"/>
          <w:b/>
          <w:bCs/>
          <w:color w:val="000000" w:themeColor="text1"/>
          <w:sz w:val="32"/>
          <w:highlight w:val="none"/>
        </w:rPr>
      </w:pPr>
    </w:p>
    <w:p>
      <w:pPr>
        <w:pStyle w:val="32"/>
        <w:spacing w:line="360" w:lineRule="auto"/>
        <w:rPr>
          <w:rFonts w:ascii="FangSong_GB2312" w:eastAsia="FangSong_GB2312"/>
          <w:bCs/>
          <w:color w:val="000000" w:themeColor="text1"/>
          <w:sz w:val="21"/>
          <w:szCs w:val="21"/>
          <w:highlight w:val="none"/>
        </w:rPr>
      </w:pPr>
    </w:p>
    <w:p>
      <w:pPr>
        <w:pStyle w:val="32"/>
        <w:spacing w:line="360" w:lineRule="auto"/>
        <w:rPr>
          <w:rFonts w:ascii="FangSong_GB2312" w:eastAsia="FangSong_GB2312"/>
          <w:bCs/>
          <w:color w:val="000000" w:themeColor="text1"/>
          <w:sz w:val="21"/>
          <w:szCs w:val="21"/>
          <w:highlight w:val="none"/>
        </w:rPr>
      </w:pPr>
      <w:r>
        <w:rPr>
          <w:rFonts w:hint="eastAsia" w:ascii="FangSong_GB2312" w:eastAsia="FangSong_GB2312"/>
          <w:bCs/>
          <w:color w:val="000000" w:themeColor="text1"/>
          <w:sz w:val="21"/>
          <w:szCs w:val="21"/>
          <w:highlight w:val="none"/>
        </w:rPr>
        <w:t xml:space="preserve">附件十六： </w:t>
      </w:r>
    </w:p>
    <w:p>
      <w:pPr>
        <w:widowControl/>
        <w:spacing w:line="440" w:lineRule="exact"/>
        <w:jc w:val="center"/>
        <w:rPr>
          <w:rFonts w:ascii="宋体" w:hAnsi="宋体" w:eastAsia="FangSong_GB2312"/>
          <w:bCs/>
          <w:color w:val="000000" w:themeColor="text1"/>
          <w:kern w:val="0"/>
          <w:sz w:val="44"/>
          <w:szCs w:val="44"/>
          <w:highlight w:val="none"/>
        </w:rPr>
      </w:pPr>
      <w:r>
        <w:rPr>
          <w:rFonts w:hint="eastAsia" w:ascii="宋体" w:hAnsi="宋体" w:eastAsia="FangSong_GB2312"/>
          <w:bCs/>
          <w:color w:val="000000" w:themeColor="text1"/>
          <w:kern w:val="0"/>
          <w:sz w:val="44"/>
          <w:szCs w:val="44"/>
          <w:highlight w:val="none"/>
        </w:rPr>
        <w:t>售后服务承诺书</w:t>
      </w:r>
    </w:p>
    <w:p>
      <w:pPr>
        <w:widowControl/>
        <w:spacing w:line="440" w:lineRule="exact"/>
        <w:rPr>
          <w:rFonts w:ascii="宋体" w:hAnsi="宋体" w:eastAsia="FangSong_GB2312"/>
          <w:bCs/>
          <w:color w:val="000000" w:themeColor="text1"/>
          <w:kern w:val="0"/>
          <w:sz w:val="44"/>
          <w:szCs w:val="44"/>
          <w:highlight w:val="none"/>
        </w:rPr>
      </w:pPr>
    </w:p>
    <w:p>
      <w:pPr>
        <w:snapToGrid w:val="0"/>
        <w:spacing w:beforeLines="50" w:after="50"/>
        <w:ind w:firstLine="560" w:firstLineChars="200"/>
        <w:rPr>
          <w:rFonts w:ascii="FangSong_GB2312" w:hAnsi="宋体" w:eastAsia="FangSong_GB2312"/>
          <w:color w:val="000000" w:themeColor="text1"/>
          <w:sz w:val="28"/>
          <w:szCs w:val="28"/>
          <w:highlight w:val="none"/>
        </w:rPr>
      </w:pPr>
      <w:r>
        <w:rPr>
          <w:rFonts w:hint="eastAsia" w:ascii="FangSong_GB2312" w:hAnsi="宋体" w:eastAsia="FangSong_GB2312"/>
          <w:color w:val="000000" w:themeColor="text1"/>
          <w:sz w:val="28"/>
          <w:szCs w:val="28"/>
          <w:highlight w:val="none"/>
        </w:rPr>
        <w:t>项目名称：天台中学创新实验室和专用教室采购项目（标项   ）</w:t>
      </w:r>
    </w:p>
    <w:p>
      <w:pPr>
        <w:snapToGrid w:val="0"/>
        <w:spacing w:beforeLines="50" w:after="50"/>
        <w:ind w:firstLine="560" w:firstLineChars="200"/>
        <w:rPr>
          <w:rFonts w:ascii="FangSong_GB2312" w:hAnsi="宋体" w:eastAsia="FangSong_GB2312"/>
          <w:color w:val="000000" w:themeColor="text1"/>
          <w:sz w:val="28"/>
          <w:szCs w:val="28"/>
          <w:highlight w:val="none"/>
        </w:rPr>
      </w:pPr>
      <w:r>
        <w:rPr>
          <w:rFonts w:hint="eastAsia" w:ascii="FangSong_GB2312" w:hAnsi="宋体" w:eastAsia="FangSong_GB2312"/>
          <w:color w:val="000000" w:themeColor="text1"/>
          <w:sz w:val="28"/>
          <w:szCs w:val="28"/>
          <w:highlight w:val="none"/>
        </w:rPr>
        <w:t>项目编号：xzcg-2022-036(招)</w:t>
      </w:r>
    </w:p>
    <w:tbl>
      <w:tblPr>
        <w:tblStyle w:val="36"/>
        <w:tblW w:w="0" w:type="auto"/>
        <w:jc w:val="center"/>
        <w:tblLayout w:type="fixed"/>
        <w:tblCellMar>
          <w:top w:w="0" w:type="dxa"/>
          <w:left w:w="0" w:type="dxa"/>
          <w:bottom w:w="0" w:type="dxa"/>
          <w:right w:w="0" w:type="dxa"/>
        </w:tblCellMar>
      </w:tblPr>
      <w:tblGrid>
        <w:gridCol w:w="742"/>
        <w:gridCol w:w="4095"/>
        <w:gridCol w:w="2137"/>
        <w:gridCol w:w="1440"/>
      </w:tblGrid>
      <w:tr>
        <w:trPr>
          <w:cantSplit/>
          <w:trHeight w:val="737" w:hRule="atLeast"/>
          <w:jc w:val="center"/>
        </w:trPr>
        <w:tc>
          <w:tcPr>
            <w:tcW w:w="742" w:type="dxa"/>
            <w:tcBorders>
              <w:top w:val="single" w:color="auto" w:sz="8" w:space="0"/>
              <w:left w:val="single" w:color="auto" w:sz="8" w:space="0"/>
              <w:bottom w:val="single" w:color="auto" w:sz="8" w:space="0"/>
              <w:right w:val="single" w:color="auto" w:sz="8" w:space="0"/>
            </w:tcBorders>
            <w:vAlign w:val="center"/>
          </w:tcPr>
          <w:p>
            <w:pPr>
              <w:widowControl/>
              <w:jc w:val="center"/>
              <w:rPr>
                <w:rFonts w:ascii="FangSong_GB2312" w:hAnsi="宋体" w:eastAsia="FangSong_GB2312"/>
                <w:color w:val="000000" w:themeColor="text1"/>
                <w:kern w:val="0"/>
                <w:sz w:val="28"/>
                <w:highlight w:val="none"/>
              </w:rPr>
            </w:pPr>
            <w:r>
              <w:rPr>
                <w:rFonts w:hint="eastAsia" w:ascii="FangSong_GB2312" w:hAnsi="宋体" w:eastAsia="FangSong_GB2312"/>
                <w:color w:val="000000" w:themeColor="text1"/>
                <w:kern w:val="0"/>
                <w:sz w:val="28"/>
                <w:highlight w:val="none"/>
              </w:rPr>
              <w:t>序号</w:t>
            </w:r>
          </w:p>
        </w:tc>
        <w:tc>
          <w:tcPr>
            <w:tcW w:w="4095" w:type="dxa"/>
            <w:tcBorders>
              <w:top w:val="single" w:color="auto" w:sz="8" w:space="0"/>
              <w:left w:val="nil"/>
              <w:bottom w:val="single" w:color="auto" w:sz="8" w:space="0"/>
              <w:right w:val="single" w:color="auto" w:sz="4" w:space="0"/>
            </w:tcBorders>
            <w:vAlign w:val="center"/>
          </w:tcPr>
          <w:p>
            <w:pPr>
              <w:widowControl/>
              <w:jc w:val="center"/>
              <w:rPr>
                <w:rFonts w:ascii="FangSong_GB2312" w:hAnsi="宋体" w:eastAsia="FangSong_GB2312"/>
                <w:color w:val="000000" w:themeColor="text1"/>
                <w:kern w:val="0"/>
                <w:sz w:val="28"/>
                <w:highlight w:val="none"/>
              </w:rPr>
            </w:pPr>
            <w:r>
              <w:rPr>
                <w:rFonts w:hint="eastAsia" w:ascii="FangSong_GB2312" w:hAnsi="宋体" w:eastAsia="FangSong_GB2312"/>
                <w:color w:val="000000" w:themeColor="text1"/>
                <w:kern w:val="0"/>
                <w:sz w:val="28"/>
                <w:highlight w:val="none"/>
              </w:rPr>
              <w:t>质量保障措施及服务内容</w:t>
            </w:r>
          </w:p>
        </w:tc>
        <w:tc>
          <w:tcPr>
            <w:tcW w:w="2137" w:type="dxa"/>
            <w:tcBorders>
              <w:top w:val="single" w:color="auto" w:sz="8" w:space="0"/>
              <w:left w:val="single" w:color="auto" w:sz="4" w:space="0"/>
              <w:bottom w:val="single" w:color="auto" w:sz="8" w:space="0"/>
              <w:right w:val="single" w:color="auto" w:sz="8" w:space="0"/>
            </w:tcBorders>
            <w:vAlign w:val="center"/>
          </w:tcPr>
          <w:p>
            <w:pPr>
              <w:widowControl/>
              <w:jc w:val="center"/>
              <w:rPr>
                <w:rFonts w:ascii="FangSong_GB2312" w:hAnsi="宋体" w:eastAsia="FangSong_GB2312"/>
                <w:color w:val="000000" w:themeColor="text1"/>
                <w:kern w:val="0"/>
                <w:sz w:val="28"/>
                <w:highlight w:val="none"/>
              </w:rPr>
            </w:pPr>
            <w:r>
              <w:rPr>
                <w:rFonts w:hint="eastAsia" w:ascii="FangSong_GB2312" w:hAnsi="宋体" w:eastAsia="FangSong_GB2312"/>
                <w:color w:val="000000" w:themeColor="text1"/>
                <w:kern w:val="0"/>
                <w:sz w:val="28"/>
                <w:highlight w:val="none"/>
              </w:rPr>
              <w:t>承诺内容</w:t>
            </w:r>
          </w:p>
        </w:tc>
        <w:tc>
          <w:tcPr>
            <w:tcW w:w="144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FangSong_GB2312" w:hAnsi="宋体" w:eastAsia="FangSong_GB2312"/>
                <w:color w:val="000000" w:themeColor="text1"/>
                <w:kern w:val="0"/>
                <w:sz w:val="28"/>
                <w:highlight w:val="none"/>
              </w:rPr>
            </w:pPr>
            <w:r>
              <w:rPr>
                <w:rFonts w:hint="eastAsia" w:ascii="FangSong_GB2312" w:hAnsi="宋体" w:eastAsia="FangSong_GB2312"/>
                <w:color w:val="000000" w:themeColor="text1"/>
                <w:kern w:val="0"/>
                <w:sz w:val="28"/>
                <w:highlight w:val="none"/>
              </w:rPr>
              <w:t>备注</w:t>
            </w:r>
          </w:p>
        </w:tc>
      </w:tr>
      <w:tr>
        <w:tblPrEx>
          <w:tblCellMar>
            <w:top w:w="0" w:type="dxa"/>
            <w:left w:w="0" w:type="dxa"/>
            <w:bottom w:w="0" w:type="dxa"/>
            <w:right w:w="0" w:type="dxa"/>
          </w:tblCellMar>
        </w:tblPrEx>
        <w:trPr>
          <w:cantSplit/>
          <w:trHeight w:val="567" w:hRule="atLeast"/>
          <w:jc w:val="center"/>
        </w:trPr>
        <w:tc>
          <w:tcPr>
            <w:tcW w:w="742" w:type="dxa"/>
            <w:tcBorders>
              <w:top w:val="nil"/>
              <w:left w:val="single" w:color="auto" w:sz="8" w:space="0"/>
              <w:bottom w:val="single" w:color="auto" w:sz="8" w:space="0"/>
              <w:right w:val="single" w:color="auto" w:sz="8" w:space="0"/>
            </w:tcBorders>
            <w:vAlign w:val="center"/>
          </w:tcPr>
          <w:p>
            <w:pPr>
              <w:widowControl/>
              <w:jc w:val="center"/>
              <w:rPr>
                <w:rFonts w:ascii="FangSong_GB2312" w:eastAsia="FangSong_GB2312"/>
                <w:color w:val="000000" w:themeColor="text1"/>
                <w:kern w:val="0"/>
                <w:sz w:val="28"/>
                <w:highlight w:val="none"/>
              </w:rPr>
            </w:pPr>
            <w:r>
              <w:rPr>
                <w:rFonts w:hint="eastAsia" w:ascii="FangSong_GB2312" w:hAnsi="宋体" w:eastAsia="FangSong_GB2312"/>
                <w:color w:val="000000" w:themeColor="text1"/>
                <w:kern w:val="0"/>
                <w:sz w:val="28"/>
                <w:highlight w:val="none"/>
              </w:rPr>
              <w:t>1</w:t>
            </w:r>
          </w:p>
        </w:tc>
        <w:tc>
          <w:tcPr>
            <w:tcW w:w="4095" w:type="dxa"/>
            <w:tcBorders>
              <w:top w:val="nil"/>
              <w:left w:val="nil"/>
              <w:bottom w:val="single" w:color="auto" w:sz="8" w:space="0"/>
              <w:right w:val="single" w:color="auto" w:sz="4" w:space="0"/>
            </w:tcBorders>
            <w:vAlign w:val="center"/>
          </w:tcPr>
          <w:p>
            <w:pPr>
              <w:widowControl/>
              <w:jc w:val="center"/>
              <w:textAlignment w:val="baseline"/>
              <w:rPr>
                <w:rFonts w:ascii="FangSong_GB2312" w:hAnsi="宋体" w:eastAsia="FangSong_GB2312"/>
                <w:color w:val="000000" w:themeColor="text1"/>
                <w:kern w:val="0"/>
                <w:sz w:val="28"/>
                <w:highlight w:val="none"/>
              </w:rPr>
            </w:pPr>
            <w:r>
              <w:rPr>
                <w:rFonts w:hint="eastAsia" w:ascii="FangSong_GB2312" w:hAnsi="宋体" w:eastAsia="FangSong_GB2312"/>
                <w:color w:val="000000" w:themeColor="text1"/>
                <w:kern w:val="0"/>
                <w:sz w:val="28"/>
                <w:highlight w:val="none"/>
              </w:rPr>
              <w:t>硬件设备免费质保期</w:t>
            </w:r>
          </w:p>
        </w:tc>
        <w:tc>
          <w:tcPr>
            <w:tcW w:w="2137" w:type="dxa"/>
            <w:tcBorders>
              <w:top w:val="nil"/>
              <w:left w:val="single" w:color="auto" w:sz="4" w:space="0"/>
              <w:bottom w:val="single" w:color="auto" w:sz="8" w:space="0"/>
              <w:right w:val="single" w:color="auto" w:sz="8" w:space="0"/>
            </w:tcBorders>
            <w:vAlign w:val="center"/>
          </w:tcPr>
          <w:p>
            <w:pPr>
              <w:widowControl/>
              <w:jc w:val="center"/>
              <w:rPr>
                <w:rFonts w:ascii="FangSong_GB2312" w:eastAsia="FangSong_GB2312"/>
                <w:color w:val="000000" w:themeColor="text1"/>
                <w:kern w:val="0"/>
                <w:sz w:val="28"/>
                <w:highlight w:val="none"/>
              </w:rPr>
            </w:pPr>
          </w:p>
        </w:tc>
        <w:tc>
          <w:tcPr>
            <w:tcW w:w="144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FangSong_GB2312" w:eastAsia="FangSong_GB2312"/>
                <w:color w:val="000000" w:themeColor="text1"/>
                <w:kern w:val="0"/>
                <w:sz w:val="28"/>
                <w:highlight w:val="none"/>
              </w:rPr>
            </w:pPr>
          </w:p>
        </w:tc>
      </w:tr>
      <w:tr>
        <w:trPr>
          <w:cantSplit/>
          <w:trHeight w:val="567" w:hRule="atLeast"/>
          <w:jc w:val="center"/>
        </w:trPr>
        <w:tc>
          <w:tcPr>
            <w:tcW w:w="742" w:type="dxa"/>
            <w:tcBorders>
              <w:top w:val="nil"/>
              <w:left w:val="single" w:color="auto" w:sz="8" w:space="0"/>
              <w:bottom w:val="single" w:color="auto" w:sz="8" w:space="0"/>
              <w:right w:val="single" w:color="auto" w:sz="8" w:space="0"/>
            </w:tcBorders>
            <w:vAlign w:val="center"/>
          </w:tcPr>
          <w:p>
            <w:pPr>
              <w:widowControl/>
              <w:jc w:val="center"/>
              <w:rPr>
                <w:rFonts w:ascii="FangSong_GB2312" w:hAnsi="宋体" w:eastAsia="FangSong_GB2312"/>
                <w:color w:val="000000" w:themeColor="text1"/>
                <w:kern w:val="0"/>
                <w:sz w:val="28"/>
                <w:highlight w:val="none"/>
              </w:rPr>
            </w:pPr>
            <w:r>
              <w:rPr>
                <w:rFonts w:hint="eastAsia" w:ascii="FangSong_GB2312" w:hAnsi="宋体" w:eastAsia="FangSong_GB2312"/>
                <w:color w:val="000000" w:themeColor="text1"/>
                <w:kern w:val="0"/>
                <w:sz w:val="28"/>
                <w:highlight w:val="none"/>
              </w:rPr>
              <w:t>2</w:t>
            </w:r>
          </w:p>
        </w:tc>
        <w:tc>
          <w:tcPr>
            <w:tcW w:w="4095" w:type="dxa"/>
            <w:tcBorders>
              <w:top w:val="nil"/>
              <w:left w:val="nil"/>
              <w:bottom w:val="single" w:color="auto" w:sz="8" w:space="0"/>
              <w:right w:val="single" w:color="auto" w:sz="4" w:space="0"/>
            </w:tcBorders>
            <w:vAlign w:val="center"/>
          </w:tcPr>
          <w:p>
            <w:pPr>
              <w:widowControl/>
              <w:jc w:val="center"/>
              <w:textAlignment w:val="baseline"/>
              <w:rPr>
                <w:rFonts w:ascii="FangSong_GB2312" w:hAnsi="宋体" w:eastAsia="FangSong_GB2312"/>
                <w:color w:val="000000" w:themeColor="text1"/>
                <w:kern w:val="0"/>
                <w:sz w:val="28"/>
                <w:highlight w:val="none"/>
              </w:rPr>
            </w:pPr>
            <w:r>
              <w:rPr>
                <w:rFonts w:hint="eastAsia" w:ascii="FangSong_GB2312" w:hAnsi="宋体" w:eastAsia="FangSong_GB2312"/>
                <w:color w:val="000000" w:themeColor="text1"/>
                <w:kern w:val="0"/>
                <w:sz w:val="28"/>
                <w:highlight w:val="none"/>
              </w:rPr>
              <w:t>软件系统免费维护期</w:t>
            </w:r>
          </w:p>
        </w:tc>
        <w:tc>
          <w:tcPr>
            <w:tcW w:w="2137" w:type="dxa"/>
            <w:tcBorders>
              <w:top w:val="nil"/>
              <w:left w:val="single" w:color="auto" w:sz="4" w:space="0"/>
              <w:bottom w:val="single" w:color="auto" w:sz="8" w:space="0"/>
              <w:right w:val="single" w:color="auto" w:sz="8" w:space="0"/>
            </w:tcBorders>
            <w:vAlign w:val="center"/>
          </w:tcPr>
          <w:p>
            <w:pPr>
              <w:widowControl/>
              <w:jc w:val="center"/>
              <w:rPr>
                <w:rFonts w:ascii="FangSong_GB2312" w:eastAsia="FangSong_GB2312"/>
                <w:color w:val="000000" w:themeColor="text1"/>
                <w:kern w:val="0"/>
                <w:sz w:val="28"/>
                <w:highlight w:val="none"/>
              </w:rPr>
            </w:pPr>
          </w:p>
        </w:tc>
        <w:tc>
          <w:tcPr>
            <w:tcW w:w="144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FangSong_GB2312" w:eastAsia="FangSong_GB2312"/>
                <w:color w:val="000000" w:themeColor="text1"/>
                <w:kern w:val="0"/>
                <w:sz w:val="28"/>
                <w:highlight w:val="none"/>
              </w:rPr>
            </w:pPr>
          </w:p>
        </w:tc>
      </w:tr>
      <w:tr>
        <w:trPr>
          <w:cantSplit/>
          <w:trHeight w:val="567" w:hRule="atLeast"/>
          <w:jc w:val="center"/>
        </w:trPr>
        <w:tc>
          <w:tcPr>
            <w:tcW w:w="742" w:type="dxa"/>
            <w:tcBorders>
              <w:top w:val="nil"/>
              <w:left w:val="single" w:color="auto" w:sz="8" w:space="0"/>
              <w:bottom w:val="single" w:color="auto" w:sz="8" w:space="0"/>
              <w:right w:val="single" w:color="auto" w:sz="8" w:space="0"/>
            </w:tcBorders>
            <w:vAlign w:val="center"/>
          </w:tcPr>
          <w:p>
            <w:pPr>
              <w:widowControl/>
              <w:jc w:val="center"/>
              <w:rPr>
                <w:rFonts w:ascii="FangSong_GB2312" w:eastAsia="FangSong_GB2312"/>
                <w:color w:val="000000" w:themeColor="text1"/>
                <w:kern w:val="0"/>
                <w:sz w:val="28"/>
                <w:highlight w:val="none"/>
              </w:rPr>
            </w:pPr>
            <w:r>
              <w:rPr>
                <w:rFonts w:hint="eastAsia" w:ascii="FangSong_GB2312" w:eastAsia="FangSong_GB2312"/>
                <w:color w:val="000000" w:themeColor="text1"/>
                <w:kern w:val="0"/>
                <w:sz w:val="28"/>
                <w:highlight w:val="none"/>
              </w:rPr>
              <w:t>3</w:t>
            </w:r>
          </w:p>
        </w:tc>
        <w:tc>
          <w:tcPr>
            <w:tcW w:w="4095" w:type="dxa"/>
            <w:tcBorders>
              <w:top w:val="nil"/>
              <w:left w:val="nil"/>
              <w:bottom w:val="single" w:color="auto" w:sz="8" w:space="0"/>
              <w:right w:val="single" w:color="auto" w:sz="4" w:space="0"/>
            </w:tcBorders>
            <w:vAlign w:val="center"/>
          </w:tcPr>
          <w:p>
            <w:pPr>
              <w:widowControl/>
              <w:jc w:val="center"/>
              <w:textAlignment w:val="baseline"/>
              <w:rPr>
                <w:rFonts w:ascii="FangSong_GB2312" w:hAnsi="宋体" w:eastAsia="FangSong_GB2312" w:cs="宋体"/>
                <w:color w:val="000000" w:themeColor="text1"/>
                <w:kern w:val="0"/>
                <w:sz w:val="28"/>
                <w:highlight w:val="none"/>
              </w:rPr>
            </w:pPr>
            <w:r>
              <w:rPr>
                <w:rFonts w:hint="eastAsia" w:ascii="FangSong_GB2312" w:hAnsi="宋体" w:eastAsia="FangSong_GB2312"/>
                <w:color w:val="000000" w:themeColor="text1"/>
                <w:kern w:val="0"/>
                <w:sz w:val="28"/>
                <w:highlight w:val="none"/>
              </w:rPr>
              <w:t>服务响应时间</w:t>
            </w:r>
          </w:p>
        </w:tc>
        <w:tc>
          <w:tcPr>
            <w:tcW w:w="2137" w:type="dxa"/>
            <w:tcBorders>
              <w:top w:val="nil"/>
              <w:left w:val="single" w:color="auto" w:sz="4" w:space="0"/>
              <w:bottom w:val="single" w:color="auto" w:sz="8" w:space="0"/>
              <w:right w:val="single" w:color="auto" w:sz="8" w:space="0"/>
            </w:tcBorders>
            <w:vAlign w:val="center"/>
          </w:tcPr>
          <w:p>
            <w:pPr>
              <w:widowControl/>
              <w:jc w:val="center"/>
              <w:rPr>
                <w:rFonts w:ascii="FangSong_GB2312" w:eastAsia="FangSong_GB2312"/>
                <w:color w:val="000000" w:themeColor="text1"/>
                <w:kern w:val="0"/>
                <w:sz w:val="28"/>
                <w:highlight w:val="none"/>
              </w:rPr>
            </w:pPr>
          </w:p>
        </w:tc>
        <w:tc>
          <w:tcPr>
            <w:tcW w:w="144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FangSong_GB2312" w:eastAsia="FangSong_GB2312"/>
                <w:color w:val="000000" w:themeColor="text1"/>
                <w:kern w:val="0"/>
                <w:sz w:val="28"/>
                <w:highlight w:val="none"/>
              </w:rPr>
            </w:pPr>
          </w:p>
        </w:tc>
      </w:tr>
      <w:tr>
        <w:trPr>
          <w:cantSplit/>
          <w:trHeight w:val="567" w:hRule="atLeast"/>
          <w:jc w:val="center"/>
        </w:trPr>
        <w:tc>
          <w:tcPr>
            <w:tcW w:w="742" w:type="dxa"/>
            <w:tcBorders>
              <w:top w:val="nil"/>
              <w:left w:val="single" w:color="auto" w:sz="8" w:space="0"/>
              <w:bottom w:val="single" w:color="auto" w:sz="8" w:space="0"/>
              <w:right w:val="single" w:color="auto" w:sz="8" w:space="0"/>
            </w:tcBorders>
            <w:vAlign w:val="center"/>
          </w:tcPr>
          <w:p>
            <w:pPr>
              <w:widowControl/>
              <w:jc w:val="center"/>
              <w:rPr>
                <w:rFonts w:ascii="FangSong_GB2312" w:eastAsia="FangSong_GB2312"/>
                <w:color w:val="000000" w:themeColor="text1"/>
                <w:kern w:val="0"/>
                <w:sz w:val="28"/>
                <w:highlight w:val="none"/>
              </w:rPr>
            </w:pPr>
            <w:r>
              <w:rPr>
                <w:rFonts w:hint="eastAsia" w:ascii="FangSong_GB2312" w:eastAsia="FangSong_GB2312"/>
                <w:color w:val="000000" w:themeColor="text1"/>
                <w:kern w:val="0"/>
                <w:sz w:val="28"/>
                <w:highlight w:val="none"/>
              </w:rPr>
              <w:t>4</w:t>
            </w:r>
          </w:p>
        </w:tc>
        <w:tc>
          <w:tcPr>
            <w:tcW w:w="4095" w:type="dxa"/>
            <w:tcBorders>
              <w:top w:val="nil"/>
              <w:left w:val="nil"/>
              <w:bottom w:val="single" w:color="auto" w:sz="8" w:space="0"/>
              <w:right w:val="single" w:color="auto" w:sz="4" w:space="0"/>
            </w:tcBorders>
            <w:vAlign w:val="center"/>
          </w:tcPr>
          <w:p>
            <w:pPr>
              <w:widowControl/>
              <w:jc w:val="center"/>
              <w:rPr>
                <w:rFonts w:ascii="FangSong_GB2312" w:eastAsia="FangSong_GB2312"/>
                <w:i/>
                <w:color w:val="000000" w:themeColor="text1"/>
                <w:kern w:val="0"/>
                <w:sz w:val="28"/>
                <w:highlight w:val="none"/>
                <w:u w:val="single"/>
              </w:rPr>
            </w:pPr>
            <w:r>
              <w:rPr>
                <w:rFonts w:hint="eastAsia" w:ascii="FangSong_GB2312" w:hAnsi="宋体" w:eastAsia="FangSong_GB2312"/>
                <w:i/>
                <w:color w:val="000000" w:themeColor="text1"/>
                <w:kern w:val="0"/>
                <w:sz w:val="28"/>
                <w:highlight w:val="none"/>
                <w:u w:val="single"/>
              </w:rPr>
              <w:t>整机免费换货期限</w:t>
            </w:r>
          </w:p>
        </w:tc>
        <w:tc>
          <w:tcPr>
            <w:tcW w:w="2137" w:type="dxa"/>
            <w:tcBorders>
              <w:top w:val="nil"/>
              <w:left w:val="single" w:color="auto" w:sz="4" w:space="0"/>
              <w:bottom w:val="single" w:color="auto" w:sz="8" w:space="0"/>
              <w:right w:val="single" w:color="auto" w:sz="8" w:space="0"/>
            </w:tcBorders>
            <w:vAlign w:val="center"/>
          </w:tcPr>
          <w:p>
            <w:pPr>
              <w:widowControl/>
              <w:jc w:val="center"/>
              <w:rPr>
                <w:rFonts w:ascii="FangSong_GB2312" w:eastAsia="FangSong_GB2312"/>
                <w:color w:val="000000" w:themeColor="text1"/>
                <w:kern w:val="0"/>
                <w:sz w:val="28"/>
                <w:highlight w:val="none"/>
              </w:rPr>
            </w:pPr>
          </w:p>
        </w:tc>
        <w:tc>
          <w:tcPr>
            <w:tcW w:w="144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FangSong_GB2312" w:eastAsia="FangSong_GB2312"/>
                <w:color w:val="000000" w:themeColor="text1"/>
                <w:kern w:val="0"/>
                <w:sz w:val="28"/>
                <w:highlight w:val="none"/>
              </w:rPr>
            </w:pPr>
          </w:p>
        </w:tc>
      </w:tr>
      <w:tr>
        <w:trPr>
          <w:cantSplit/>
          <w:trHeight w:val="567" w:hRule="atLeast"/>
          <w:jc w:val="center"/>
        </w:trPr>
        <w:tc>
          <w:tcPr>
            <w:tcW w:w="742" w:type="dxa"/>
            <w:tcBorders>
              <w:top w:val="nil"/>
              <w:left w:val="single" w:color="auto" w:sz="8" w:space="0"/>
              <w:bottom w:val="single" w:color="auto" w:sz="8" w:space="0"/>
              <w:right w:val="single" w:color="auto" w:sz="8" w:space="0"/>
            </w:tcBorders>
            <w:vAlign w:val="center"/>
          </w:tcPr>
          <w:p>
            <w:pPr>
              <w:widowControl/>
              <w:jc w:val="center"/>
              <w:rPr>
                <w:rFonts w:ascii="FangSong_GB2312" w:eastAsia="FangSong_GB2312"/>
                <w:color w:val="000000" w:themeColor="text1"/>
                <w:kern w:val="0"/>
                <w:sz w:val="28"/>
                <w:highlight w:val="none"/>
              </w:rPr>
            </w:pPr>
            <w:r>
              <w:rPr>
                <w:rFonts w:hint="eastAsia" w:ascii="FangSong_GB2312" w:eastAsia="FangSong_GB2312"/>
                <w:color w:val="000000" w:themeColor="text1"/>
                <w:kern w:val="0"/>
                <w:sz w:val="28"/>
                <w:highlight w:val="none"/>
              </w:rPr>
              <w:t>5</w:t>
            </w:r>
          </w:p>
        </w:tc>
        <w:tc>
          <w:tcPr>
            <w:tcW w:w="4095" w:type="dxa"/>
            <w:tcBorders>
              <w:top w:val="nil"/>
              <w:left w:val="nil"/>
              <w:bottom w:val="single" w:color="auto" w:sz="8" w:space="0"/>
              <w:right w:val="single" w:color="auto" w:sz="4" w:space="0"/>
            </w:tcBorders>
            <w:vAlign w:val="center"/>
          </w:tcPr>
          <w:p>
            <w:pPr>
              <w:widowControl/>
              <w:jc w:val="center"/>
              <w:rPr>
                <w:rFonts w:ascii="FangSong_GB2312" w:eastAsia="FangSong_GB2312"/>
                <w:color w:val="000000" w:themeColor="text1"/>
                <w:kern w:val="0"/>
                <w:sz w:val="28"/>
                <w:highlight w:val="none"/>
              </w:rPr>
            </w:pPr>
            <w:r>
              <w:rPr>
                <w:rFonts w:hint="eastAsia" w:ascii="FangSong_GB2312" w:hAnsi="宋体" w:eastAsia="FangSong_GB2312"/>
                <w:color w:val="000000" w:themeColor="text1"/>
                <w:kern w:val="0"/>
                <w:sz w:val="28"/>
                <w:highlight w:val="none"/>
              </w:rPr>
              <w:t>免费上门服务期限</w:t>
            </w:r>
          </w:p>
        </w:tc>
        <w:tc>
          <w:tcPr>
            <w:tcW w:w="2137" w:type="dxa"/>
            <w:tcBorders>
              <w:top w:val="nil"/>
              <w:left w:val="single" w:color="auto" w:sz="4" w:space="0"/>
              <w:bottom w:val="single" w:color="auto" w:sz="8" w:space="0"/>
              <w:right w:val="single" w:color="auto" w:sz="8" w:space="0"/>
            </w:tcBorders>
            <w:vAlign w:val="center"/>
          </w:tcPr>
          <w:p>
            <w:pPr>
              <w:widowControl/>
              <w:rPr>
                <w:rFonts w:ascii="FangSong_GB2312" w:eastAsia="FangSong_GB2312"/>
                <w:color w:val="000000" w:themeColor="text1"/>
                <w:kern w:val="0"/>
                <w:sz w:val="28"/>
                <w:highlight w:val="none"/>
              </w:rPr>
            </w:pPr>
          </w:p>
        </w:tc>
        <w:tc>
          <w:tcPr>
            <w:tcW w:w="1440" w:type="dxa"/>
            <w:tcBorders>
              <w:top w:val="nil"/>
              <w:left w:val="nil"/>
              <w:bottom w:val="single" w:color="auto" w:sz="8" w:space="0"/>
              <w:right w:val="single" w:color="auto" w:sz="8" w:space="0"/>
            </w:tcBorders>
            <w:tcMar>
              <w:top w:w="0" w:type="dxa"/>
              <w:left w:w="108" w:type="dxa"/>
              <w:bottom w:w="0" w:type="dxa"/>
              <w:right w:w="108" w:type="dxa"/>
            </w:tcMar>
            <w:vAlign w:val="center"/>
          </w:tcPr>
          <w:p>
            <w:pPr>
              <w:widowControl/>
              <w:jc w:val="center"/>
              <w:rPr>
                <w:rFonts w:ascii="FangSong_GB2312" w:eastAsia="FangSong_GB2312"/>
                <w:color w:val="000000" w:themeColor="text1"/>
                <w:kern w:val="0"/>
                <w:sz w:val="28"/>
                <w:highlight w:val="none"/>
              </w:rPr>
            </w:pPr>
          </w:p>
        </w:tc>
      </w:tr>
      <w:tr>
        <w:trPr>
          <w:cantSplit/>
          <w:trHeight w:val="567" w:hRule="atLeast"/>
          <w:jc w:val="center"/>
        </w:trPr>
        <w:tc>
          <w:tcPr>
            <w:tcW w:w="742" w:type="dxa"/>
            <w:tcBorders>
              <w:top w:val="nil"/>
              <w:left w:val="single" w:color="auto" w:sz="8" w:space="0"/>
              <w:bottom w:val="single" w:color="auto" w:sz="4" w:space="0"/>
              <w:right w:val="single" w:color="auto" w:sz="8" w:space="0"/>
            </w:tcBorders>
            <w:vAlign w:val="center"/>
          </w:tcPr>
          <w:p>
            <w:pPr>
              <w:widowControl/>
              <w:jc w:val="center"/>
              <w:rPr>
                <w:rFonts w:ascii="FangSong_GB2312" w:eastAsia="FangSong_GB2312"/>
                <w:color w:val="000000" w:themeColor="text1"/>
                <w:kern w:val="0"/>
                <w:sz w:val="28"/>
                <w:highlight w:val="none"/>
              </w:rPr>
            </w:pPr>
            <w:r>
              <w:rPr>
                <w:rFonts w:hint="eastAsia" w:ascii="FangSong_GB2312" w:eastAsia="FangSong_GB2312"/>
                <w:color w:val="000000" w:themeColor="text1"/>
                <w:kern w:val="0"/>
                <w:sz w:val="28"/>
                <w:highlight w:val="none"/>
              </w:rPr>
              <w:t>6</w:t>
            </w:r>
          </w:p>
        </w:tc>
        <w:tc>
          <w:tcPr>
            <w:tcW w:w="4095" w:type="dxa"/>
            <w:tcBorders>
              <w:top w:val="nil"/>
              <w:left w:val="nil"/>
              <w:bottom w:val="single" w:color="auto" w:sz="4" w:space="0"/>
              <w:right w:val="single" w:color="auto" w:sz="4" w:space="0"/>
            </w:tcBorders>
            <w:vAlign w:val="center"/>
          </w:tcPr>
          <w:p>
            <w:pPr>
              <w:spacing w:line="460" w:lineRule="exact"/>
              <w:jc w:val="center"/>
              <w:rPr>
                <w:rFonts w:ascii="FangSong_GB2312" w:hAnsi="宋体" w:eastAsia="FangSong_GB2312"/>
                <w:color w:val="000000" w:themeColor="text1"/>
                <w:sz w:val="28"/>
                <w:szCs w:val="28"/>
                <w:highlight w:val="none"/>
              </w:rPr>
            </w:pPr>
            <w:r>
              <w:rPr>
                <w:rFonts w:hint="eastAsia" w:ascii="FangSong_GB2312" w:hAnsi="宋体" w:eastAsia="FangSong_GB2312"/>
                <w:color w:val="000000" w:themeColor="text1"/>
                <w:sz w:val="28"/>
                <w:szCs w:val="28"/>
                <w:highlight w:val="none"/>
              </w:rPr>
              <w:t>故障修复时间</w:t>
            </w:r>
          </w:p>
        </w:tc>
        <w:tc>
          <w:tcPr>
            <w:tcW w:w="2137" w:type="dxa"/>
            <w:tcBorders>
              <w:top w:val="nil"/>
              <w:left w:val="single" w:color="auto" w:sz="4" w:space="0"/>
              <w:bottom w:val="single" w:color="auto" w:sz="4" w:space="0"/>
              <w:right w:val="single" w:color="auto" w:sz="8" w:space="0"/>
            </w:tcBorders>
            <w:vAlign w:val="center"/>
          </w:tcPr>
          <w:p>
            <w:pPr>
              <w:widowControl/>
              <w:rPr>
                <w:rFonts w:ascii="FangSong_GB2312" w:eastAsia="FangSong_GB2312"/>
                <w:color w:val="000000" w:themeColor="text1"/>
                <w:kern w:val="0"/>
                <w:sz w:val="28"/>
                <w:highlight w:val="none"/>
              </w:rPr>
            </w:pPr>
          </w:p>
        </w:tc>
        <w:tc>
          <w:tcPr>
            <w:tcW w:w="1440"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rPr>
                <w:rFonts w:ascii="FangSong_GB2312" w:eastAsia="FangSong_GB2312"/>
                <w:color w:val="000000" w:themeColor="text1"/>
                <w:kern w:val="0"/>
                <w:sz w:val="28"/>
                <w:highlight w:val="none"/>
              </w:rPr>
            </w:pPr>
          </w:p>
        </w:tc>
      </w:tr>
      <w:tr>
        <w:trPr>
          <w:cantSplit/>
          <w:trHeight w:val="567" w:hRule="atLeast"/>
          <w:jc w:val="center"/>
        </w:trPr>
        <w:tc>
          <w:tcPr>
            <w:tcW w:w="742" w:type="dxa"/>
            <w:tcBorders>
              <w:top w:val="nil"/>
              <w:left w:val="single" w:color="auto" w:sz="8" w:space="0"/>
              <w:bottom w:val="single" w:color="auto" w:sz="4" w:space="0"/>
              <w:right w:val="single" w:color="auto" w:sz="8" w:space="0"/>
            </w:tcBorders>
            <w:vAlign w:val="center"/>
          </w:tcPr>
          <w:p>
            <w:pPr>
              <w:widowControl/>
              <w:jc w:val="center"/>
              <w:rPr>
                <w:rFonts w:ascii="FangSong_GB2312" w:eastAsia="FangSong_GB2312"/>
                <w:color w:val="000000" w:themeColor="text1"/>
                <w:kern w:val="0"/>
                <w:sz w:val="28"/>
                <w:highlight w:val="none"/>
              </w:rPr>
            </w:pPr>
            <w:r>
              <w:rPr>
                <w:rFonts w:hint="eastAsia" w:ascii="FangSong_GB2312" w:eastAsia="FangSong_GB2312"/>
                <w:color w:val="000000" w:themeColor="text1"/>
                <w:kern w:val="0"/>
                <w:sz w:val="28"/>
                <w:highlight w:val="none"/>
              </w:rPr>
              <w:t>7</w:t>
            </w:r>
          </w:p>
        </w:tc>
        <w:tc>
          <w:tcPr>
            <w:tcW w:w="4095" w:type="dxa"/>
            <w:tcBorders>
              <w:top w:val="nil"/>
              <w:left w:val="nil"/>
              <w:bottom w:val="single" w:color="auto" w:sz="4" w:space="0"/>
              <w:right w:val="single" w:color="auto" w:sz="4" w:space="0"/>
            </w:tcBorders>
            <w:vAlign w:val="center"/>
          </w:tcPr>
          <w:p>
            <w:pPr>
              <w:widowControl/>
              <w:jc w:val="center"/>
              <w:rPr>
                <w:rFonts w:ascii="FangSong_GB2312" w:hAnsi="宋体" w:eastAsia="FangSong_GB2312"/>
                <w:color w:val="000000" w:themeColor="text1"/>
                <w:kern w:val="0"/>
                <w:sz w:val="28"/>
                <w:highlight w:val="none"/>
              </w:rPr>
            </w:pPr>
            <w:r>
              <w:rPr>
                <w:rFonts w:hint="eastAsia" w:ascii="FangSong_GB2312" w:hAnsi="宋体" w:eastAsia="FangSong_GB2312"/>
                <w:color w:val="000000" w:themeColor="text1"/>
                <w:kern w:val="0"/>
                <w:sz w:val="24"/>
                <w:highlight w:val="none"/>
              </w:rPr>
              <w:t>硬件设备免费质保期满后维修服务费用</w:t>
            </w:r>
          </w:p>
        </w:tc>
        <w:tc>
          <w:tcPr>
            <w:tcW w:w="2137" w:type="dxa"/>
            <w:tcBorders>
              <w:top w:val="nil"/>
              <w:left w:val="single" w:color="auto" w:sz="4" w:space="0"/>
              <w:bottom w:val="single" w:color="auto" w:sz="4" w:space="0"/>
              <w:right w:val="single" w:color="auto" w:sz="8" w:space="0"/>
            </w:tcBorders>
            <w:vAlign w:val="center"/>
          </w:tcPr>
          <w:p>
            <w:pPr>
              <w:widowControl/>
              <w:rPr>
                <w:rFonts w:ascii="FangSong_GB2312" w:eastAsia="FangSong_GB2312"/>
                <w:color w:val="000000" w:themeColor="text1"/>
                <w:kern w:val="0"/>
                <w:sz w:val="28"/>
                <w:highlight w:val="none"/>
              </w:rPr>
            </w:pPr>
          </w:p>
        </w:tc>
        <w:tc>
          <w:tcPr>
            <w:tcW w:w="1440" w:type="dxa"/>
            <w:tcBorders>
              <w:top w:val="nil"/>
              <w:left w:val="nil"/>
              <w:bottom w:val="single" w:color="auto" w:sz="4" w:space="0"/>
              <w:right w:val="single" w:color="auto" w:sz="8" w:space="0"/>
            </w:tcBorders>
            <w:tcMar>
              <w:top w:w="0" w:type="dxa"/>
              <w:left w:w="108" w:type="dxa"/>
              <w:bottom w:w="0" w:type="dxa"/>
              <w:right w:w="108" w:type="dxa"/>
            </w:tcMar>
            <w:vAlign w:val="center"/>
          </w:tcPr>
          <w:p>
            <w:pPr>
              <w:widowControl/>
              <w:rPr>
                <w:rFonts w:ascii="FangSong_GB2312" w:eastAsia="FangSong_GB2312"/>
                <w:color w:val="000000" w:themeColor="text1"/>
                <w:kern w:val="0"/>
                <w:sz w:val="28"/>
                <w:highlight w:val="none"/>
              </w:rPr>
            </w:pPr>
          </w:p>
        </w:tc>
      </w:tr>
      <w:tr>
        <w:trPr>
          <w:cantSplit/>
          <w:trHeight w:val="567" w:hRule="atLeast"/>
          <w:jc w:val="center"/>
        </w:trPr>
        <w:tc>
          <w:tcPr>
            <w:tcW w:w="742" w:type="dxa"/>
            <w:tcBorders>
              <w:top w:val="single" w:color="auto" w:sz="4" w:space="0"/>
              <w:left w:val="single" w:color="auto" w:sz="8" w:space="0"/>
              <w:bottom w:val="single" w:color="auto" w:sz="4" w:space="0"/>
              <w:right w:val="single" w:color="auto" w:sz="8" w:space="0"/>
            </w:tcBorders>
            <w:vAlign w:val="center"/>
          </w:tcPr>
          <w:p>
            <w:pPr>
              <w:widowControl/>
              <w:jc w:val="center"/>
              <w:rPr>
                <w:rFonts w:ascii="FangSong_GB2312" w:eastAsia="FangSong_GB2312"/>
                <w:color w:val="000000" w:themeColor="text1"/>
                <w:kern w:val="0"/>
                <w:sz w:val="28"/>
                <w:highlight w:val="none"/>
              </w:rPr>
            </w:pPr>
            <w:r>
              <w:rPr>
                <w:rFonts w:hint="eastAsia" w:ascii="FangSong_GB2312" w:eastAsia="FangSong_GB2312"/>
                <w:color w:val="000000" w:themeColor="text1"/>
                <w:kern w:val="0"/>
                <w:sz w:val="28"/>
                <w:highlight w:val="none"/>
              </w:rPr>
              <w:t>8</w:t>
            </w:r>
          </w:p>
        </w:tc>
        <w:tc>
          <w:tcPr>
            <w:tcW w:w="4095" w:type="dxa"/>
            <w:tcBorders>
              <w:top w:val="single" w:color="auto" w:sz="4" w:space="0"/>
              <w:left w:val="nil"/>
              <w:bottom w:val="single" w:color="auto" w:sz="4" w:space="0"/>
              <w:right w:val="single" w:color="auto" w:sz="4" w:space="0"/>
            </w:tcBorders>
            <w:vAlign w:val="center"/>
          </w:tcPr>
          <w:p>
            <w:pPr>
              <w:widowControl/>
              <w:jc w:val="center"/>
              <w:rPr>
                <w:rFonts w:ascii="FangSong_GB2312" w:hAnsi="宋体" w:eastAsia="FangSong_GB2312"/>
                <w:color w:val="000000" w:themeColor="text1"/>
                <w:kern w:val="0"/>
                <w:sz w:val="28"/>
                <w:highlight w:val="none"/>
              </w:rPr>
            </w:pPr>
            <w:r>
              <w:rPr>
                <w:rFonts w:hint="eastAsia" w:ascii="FangSong_GB2312" w:hAnsi="宋体" w:eastAsia="FangSong_GB2312"/>
                <w:color w:val="000000" w:themeColor="text1"/>
                <w:kern w:val="0"/>
                <w:sz w:val="24"/>
                <w:highlight w:val="none"/>
              </w:rPr>
              <w:t>软件系统免费维护期满后维护服务费用</w:t>
            </w:r>
          </w:p>
        </w:tc>
        <w:tc>
          <w:tcPr>
            <w:tcW w:w="2137" w:type="dxa"/>
            <w:tcBorders>
              <w:top w:val="single" w:color="auto" w:sz="4" w:space="0"/>
              <w:left w:val="single" w:color="auto" w:sz="4" w:space="0"/>
              <w:bottom w:val="single" w:color="auto" w:sz="4" w:space="0"/>
              <w:right w:val="single" w:color="auto" w:sz="8" w:space="0"/>
            </w:tcBorders>
            <w:vAlign w:val="center"/>
          </w:tcPr>
          <w:p>
            <w:pPr>
              <w:widowControl/>
              <w:jc w:val="center"/>
              <w:rPr>
                <w:rFonts w:ascii="FangSong_GB2312" w:eastAsia="FangSong_GB2312"/>
                <w:color w:val="000000" w:themeColor="text1"/>
                <w:kern w:val="0"/>
                <w:sz w:val="28"/>
                <w:highlight w:val="none"/>
              </w:rPr>
            </w:pPr>
          </w:p>
        </w:tc>
        <w:tc>
          <w:tcPr>
            <w:tcW w:w="144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jc w:val="center"/>
              <w:rPr>
                <w:rFonts w:ascii="FangSong_GB2312" w:eastAsia="FangSong_GB2312"/>
                <w:color w:val="000000" w:themeColor="text1"/>
                <w:kern w:val="0"/>
                <w:sz w:val="28"/>
                <w:highlight w:val="none"/>
              </w:rPr>
            </w:pPr>
          </w:p>
        </w:tc>
      </w:tr>
      <w:tr>
        <w:trPr>
          <w:cantSplit/>
          <w:trHeight w:val="567" w:hRule="atLeast"/>
          <w:jc w:val="center"/>
        </w:trPr>
        <w:tc>
          <w:tcPr>
            <w:tcW w:w="742" w:type="dxa"/>
            <w:tcBorders>
              <w:top w:val="single" w:color="auto" w:sz="4" w:space="0"/>
              <w:left w:val="single" w:color="auto" w:sz="8" w:space="0"/>
              <w:bottom w:val="single" w:color="auto" w:sz="4" w:space="0"/>
              <w:right w:val="single" w:color="auto" w:sz="8" w:space="0"/>
            </w:tcBorders>
            <w:vAlign w:val="center"/>
          </w:tcPr>
          <w:p>
            <w:pPr>
              <w:widowControl/>
              <w:jc w:val="center"/>
              <w:rPr>
                <w:rFonts w:ascii="FangSong_GB2312" w:eastAsia="FangSong_GB2312"/>
                <w:color w:val="000000" w:themeColor="text1"/>
                <w:kern w:val="0"/>
                <w:sz w:val="28"/>
                <w:highlight w:val="none"/>
              </w:rPr>
            </w:pPr>
            <w:r>
              <w:rPr>
                <w:rFonts w:hint="eastAsia" w:ascii="FangSong_GB2312" w:eastAsia="FangSong_GB2312"/>
                <w:color w:val="000000" w:themeColor="text1"/>
                <w:kern w:val="0"/>
                <w:sz w:val="28"/>
                <w:highlight w:val="none"/>
              </w:rPr>
              <w:t>9</w:t>
            </w:r>
          </w:p>
        </w:tc>
        <w:tc>
          <w:tcPr>
            <w:tcW w:w="4095" w:type="dxa"/>
            <w:tcBorders>
              <w:top w:val="single" w:color="auto" w:sz="4" w:space="0"/>
              <w:left w:val="nil"/>
              <w:bottom w:val="single" w:color="auto" w:sz="4" w:space="0"/>
              <w:right w:val="single" w:color="auto" w:sz="4" w:space="0"/>
            </w:tcBorders>
            <w:vAlign w:val="center"/>
          </w:tcPr>
          <w:p>
            <w:pPr>
              <w:widowControl/>
              <w:jc w:val="center"/>
              <w:rPr>
                <w:rFonts w:ascii="FangSong_GB2312" w:hAnsi="宋体" w:eastAsia="FangSong_GB2312"/>
                <w:color w:val="000000" w:themeColor="text1"/>
                <w:kern w:val="0"/>
                <w:sz w:val="28"/>
                <w:highlight w:val="none"/>
              </w:rPr>
            </w:pPr>
            <w:r>
              <w:rPr>
                <w:rFonts w:hint="eastAsia" w:ascii="FangSong_GB2312" w:hAnsi="宋体" w:eastAsia="FangSong_GB2312"/>
                <w:color w:val="000000" w:themeColor="text1"/>
                <w:kern w:val="0"/>
                <w:sz w:val="28"/>
                <w:highlight w:val="none"/>
              </w:rPr>
              <w:t>免费培训</w:t>
            </w:r>
          </w:p>
        </w:tc>
        <w:tc>
          <w:tcPr>
            <w:tcW w:w="2137" w:type="dxa"/>
            <w:tcBorders>
              <w:top w:val="single" w:color="auto" w:sz="4" w:space="0"/>
              <w:left w:val="single" w:color="auto" w:sz="4" w:space="0"/>
              <w:bottom w:val="single" w:color="auto" w:sz="4" w:space="0"/>
              <w:right w:val="single" w:color="auto" w:sz="8" w:space="0"/>
            </w:tcBorders>
            <w:vAlign w:val="center"/>
          </w:tcPr>
          <w:p>
            <w:pPr>
              <w:widowControl/>
              <w:jc w:val="center"/>
              <w:rPr>
                <w:rFonts w:ascii="FangSong_GB2312" w:eastAsia="FangSong_GB2312"/>
                <w:color w:val="000000" w:themeColor="text1"/>
                <w:kern w:val="0"/>
                <w:sz w:val="28"/>
                <w:highlight w:val="none"/>
              </w:rPr>
            </w:pPr>
          </w:p>
        </w:tc>
        <w:tc>
          <w:tcPr>
            <w:tcW w:w="144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jc w:val="center"/>
              <w:rPr>
                <w:rFonts w:ascii="FangSong_GB2312" w:eastAsia="FangSong_GB2312"/>
                <w:color w:val="000000" w:themeColor="text1"/>
                <w:kern w:val="0"/>
                <w:sz w:val="28"/>
                <w:highlight w:val="none"/>
              </w:rPr>
            </w:pPr>
          </w:p>
        </w:tc>
      </w:tr>
      <w:tr>
        <w:trPr>
          <w:cantSplit/>
          <w:trHeight w:val="567" w:hRule="atLeast"/>
          <w:jc w:val="center"/>
        </w:trPr>
        <w:tc>
          <w:tcPr>
            <w:tcW w:w="742" w:type="dxa"/>
            <w:tcBorders>
              <w:top w:val="single" w:color="auto" w:sz="4" w:space="0"/>
              <w:left w:val="single" w:color="auto" w:sz="8" w:space="0"/>
              <w:bottom w:val="single" w:color="auto" w:sz="4" w:space="0"/>
              <w:right w:val="single" w:color="auto" w:sz="8" w:space="0"/>
            </w:tcBorders>
            <w:vAlign w:val="center"/>
          </w:tcPr>
          <w:p>
            <w:pPr>
              <w:widowControl/>
              <w:jc w:val="center"/>
              <w:rPr>
                <w:rFonts w:ascii="FangSong_GB2312" w:eastAsia="FangSong_GB2312"/>
                <w:color w:val="000000" w:themeColor="text1"/>
                <w:kern w:val="0"/>
                <w:sz w:val="28"/>
                <w:highlight w:val="none"/>
              </w:rPr>
            </w:pPr>
            <w:r>
              <w:rPr>
                <w:rFonts w:hint="eastAsia" w:ascii="FangSong_GB2312" w:eastAsia="FangSong_GB2312"/>
                <w:color w:val="000000" w:themeColor="text1"/>
                <w:kern w:val="0"/>
                <w:sz w:val="28"/>
                <w:highlight w:val="none"/>
              </w:rPr>
              <w:t>1</w:t>
            </w:r>
            <w:r>
              <w:rPr>
                <w:rFonts w:ascii="FangSong_GB2312" w:eastAsia="FangSong_GB2312"/>
                <w:color w:val="000000" w:themeColor="text1"/>
                <w:kern w:val="0"/>
                <w:sz w:val="28"/>
                <w:highlight w:val="none"/>
              </w:rPr>
              <w:t>0</w:t>
            </w:r>
          </w:p>
        </w:tc>
        <w:tc>
          <w:tcPr>
            <w:tcW w:w="4095" w:type="dxa"/>
            <w:tcBorders>
              <w:top w:val="single" w:color="auto" w:sz="4" w:space="0"/>
              <w:left w:val="nil"/>
              <w:bottom w:val="single" w:color="auto" w:sz="4" w:space="0"/>
              <w:right w:val="single" w:color="auto" w:sz="4" w:space="0"/>
            </w:tcBorders>
            <w:vAlign w:val="center"/>
          </w:tcPr>
          <w:p>
            <w:pPr>
              <w:widowControl/>
              <w:jc w:val="center"/>
              <w:rPr>
                <w:rFonts w:ascii="FangSong_GB2312" w:hAnsi="宋体" w:eastAsia="FangSong_GB2312"/>
                <w:color w:val="000000" w:themeColor="text1"/>
                <w:kern w:val="0"/>
                <w:sz w:val="28"/>
                <w:highlight w:val="none"/>
              </w:rPr>
            </w:pPr>
            <w:r>
              <w:rPr>
                <w:rFonts w:hint="eastAsia" w:ascii="FangSong_GB2312" w:hAnsi="宋体" w:eastAsia="FangSong_GB2312"/>
                <w:i/>
                <w:color w:val="000000" w:themeColor="text1"/>
                <w:kern w:val="0"/>
                <w:sz w:val="28"/>
                <w:highlight w:val="none"/>
                <w:u w:val="single"/>
              </w:rPr>
              <w:t>其他优惠条件</w:t>
            </w:r>
          </w:p>
        </w:tc>
        <w:tc>
          <w:tcPr>
            <w:tcW w:w="2137" w:type="dxa"/>
            <w:tcBorders>
              <w:top w:val="single" w:color="auto" w:sz="4" w:space="0"/>
              <w:left w:val="single" w:color="auto" w:sz="4" w:space="0"/>
              <w:bottom w:val="single" w:color="auto" w:sz="4" w:space="0"/>
              <w:right w:val="single" w:color="auto" w:sz="8" w:space="0"/>
            </w:tcBorders>
            <w:vAlign w:val="center"/>
          </w:tcPr>
          <w:p>
            <w:pPr>
              <w:widowControl/>
              <w:jc w:val="center"/>
              <w:rPr>
                <w:rFonts w:ascii="FangSong_GB2312" w:eastAsia="FangSong_GB2312"/>
                <w:color w:val="000000" w:themeColor="text1"/>
                <w:kern w:val="0"/>
                <w:sz w:val="28"/>
                <w:highlight w:val="none"/>
              </w:rPr>
            </w:pPr>
          </w:p>
        </w:tc>
        <w:tc>
          <w:tcPr>
            <w:tcW w:w="144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jc w:val="center"/>
              <w:rPr>
                <w:rFonts w:ascii="FangSong_GB2312" w:eastAsia="FangSong_GB2312"/>
                <w:color w:val="000000" w:themeColor="text1"/>
                <w:kern w:val="0"/>
                <w:sz w:val="28"/>
                <w:highlight w:val="none"/>
              </w:rPr>
            </w:pPr>
          </w:p>
        </w:tc>
      </w:tr>
      <w:tr>
        <w:trPr>
          <w:cantSplit/>
          <w:trHeight w:val="567" w:hRule="atLeast"/>
          <w:jc w:val="center"/>
        </w:trPr>
        <w:tc>
          <w:tcPr>
            <w:tcW w:w="742" w:type="dxa"/>
            <w:tcBorders>
              <w:top w:val="single" w:color="auto" w:sz="4" w:space="0"/>
              <w:left w:val="single" w:color="auto" w:sz="8" w:space="0"/>
              <w:bottom w:val="single" w:color="auto" w:sz="4" w:space="0"/>
              <w:right w:val="single" w:color="auto" w:sz="8" w:space="0"/>
            </w:tcBorders>
            <w:vAlign w:val="center"/>
          </w:tcPr>
          <w:p>
            <w:pPr>
              <w:widowControl/>
              <w:jc w:val="center"/>
              <w:rPr>
                <w:rFonts w:ascii="FangSong_GB2312" w:eastAsia="FangSong_GB2312"/>
                <w:color w:val="000000" w:themeColor="text1"/>
                <w:kern w:val="0"/>
                <w:sz w:val="28"/>
                <w:highlight w:val="none"/>
              </w:rPr>
            </w:pPr>
            <w:r>
              <w:rPr>
                <w:rFonts w:hint="eastAsia" w:ascii="FangSong_GB2312" w:eastAsia="FangSong_GB2312"/>
                <w:color w:val="000000" w:themeColor="text1"/>
                <w:kern w:val="0"/>
                <w:sz w:val="28"/>
                <w:highlight w:val="none"/>
              </w:rPr>
              <w:t>1</w:t>
            </w:r>
            <w:r>
              <w:rPr>
                <w:rFonts w:ascii="FangSong_GB2312" w:eastAsia="FangSong_GB2312"/>
                <w:color w:val="000000" w:themeColor="text1"/>
                <w:kern w:val="0"/>
                <w:sz w:val="28"/>
                <w:highlight w:val="none"/>
              </w:rPr>
              <w:t>1</w:t>
            </w:r>
          </w:p>
        </w:tc>
        <w:tc>
          <w:tcPr>
            <w:tcW w:w="4095" w:type="dxa"/>
            <w:tcBorders>
              <w:top w:val="single" w:color="auto" w:sz="4" w:space="0"/>
              <w:left w:val="nil"/>
              <w:bottom w:val="single" w:color="auto" w:sz="4" w:space="0"/>
              <w:right w:val="single" w:color="auto" w:sz="4" w:space="0"/>
            </w:tcBorders>
            <w:vAlign w:val="center"/>
          </w:tcPr>
          <w:p>
            <w:pPr>
              <w:widowControl/>
              <w:jc w:val="center"/>
              <w:rPr>
                <w:rFonts w:ascii="FangSong_GB2312" w:hAnsi="宋体" w:eastAsia="FangSong_GB2312"/>
                <w:color w:val="000000" w:themeColor="text1"/>
                <w:kern w:val="0"/>
                <w:sz w:val="28"/>
                <w:highlight w:val="none"/>
              </w:rPr>
            </w:pPr>
            <w:r>
              <w:rPr>
                <w:rFonts w:hint="eastAsia" w:ascii="FangSong_GB2312" w:hAnsi="宋体" w:eastAsia="FangSong_GB2312"/>
                <w:color w:val="000000" w:themeColor="text1"/>
                <w:sz w:val="28"/>
                <w:szCs w:val="28"/>
                <w:highlight w:val="none"/>
              </w:rPr>
              <w:t>维修联系人</w:t>
            </w:r>
          </w:p>
        </w:tc>
        <w:tc>
          <w:tcPr>
            <w:tcW w:w="2137" w:type="dxa"/>
            <w:tcBorders>
              <w:top w:val="single" w:color="auto" w:sz="4" w:space="0"/>
              <w:left w:val="single" w:color="auto" w:sz="4" w:space="0"/>
              <w:bottom w:val="single" w:color="auto" w:sz="4" w:space="0"/>
              <w:right w:val="single" w:color="auto" w:sz="8" w:space="0"/>
            </w:tcBorders>
            <w:vAlign w:val="center"/>
          </w:tcPr>
          <w:p>
            <w:pPr>
              <w:widowControl/>
              <w:jc w:val="center"/>
              <w:rPr>
                <w:rFonts w:ascii="FangSong_GB2312" w:eastAsia="FangSong_GB2312"/>
                <w:color w:val="000000" w:themeColor="text1"/>
                <w:kern w:val="0"/>
                <w:sz w:val="28"/>
                <w:highlight w:val="none"/>
              </w:rPr>
            </w:pPr>
          </w:p>
        </w:tc>
        <w:tc>
          <w:tcPr>
            <w:tcW w:w="1440"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widowControl/>
              <w:jc w:val="center"/>
              <w:rPr>
                <w:rFonts w:ascii="FangSong_GB2312" w:eastAsia="FangSong_GB2312"/>
                <w:color w:val="000000" w:themeColor="text1"/>
                <w:kern w:val="0"/>
                <w:sz w:val="28"/>
                <w:highlight w:val="none"/>
              </w:rPr>
            </w:pPr>
          </w:p>
        </w:tc>
      </w:tr>
    </w:tbl>
    <w:p>
      <w:pPr>
        <w:spacing w:line="460" w:lineRule="exact"/>
        <w:ind w:firstLine="240" w:firstLineChars="100"/>
        <w:rPr>
          <w:rFonts w:ascii="FangSong_GB2312" w:hAnsi="宋体" w:eastAsia="FangSong_GB2312"/>
          <w:color w:val="000000" w:themeColor="text1"/>
          <w:sz w:val="24"/>
          <w:highlight w:val="none"/>
        </w:rPr>
      </w:pPr>
      <w:r>
        <w:rPr>
          <w:rFonts w:hint="eastAsia" w:ascii="FangSong_GB2312" w:hAnsi="宋体" w:eastAsia="FangSong_GB2312"/>
          <w:color w:val="000000" w:themeColor="text1"/>
          <w:sz w:val="24"/>
          <w:highlight w:val="none"/>
        </w:rPr>
        <w:t>说明：</w:t>
      </w:r>
      <w:r>
        <w:rPr>
          <w:rFonts w:ascii="FangSong_GB2312" w:hAnsi="宋体" w:eastAsia="FangSong_GB2312"/>
          <w:color w:val="000000" w:themeColor="text1"/>
          <w:sz w:val="24"/>
          <w:highlight w:val="none"/>
        </w:rPr>
        <w:t>表格中行数不够用时可按相同格式增加行数，其他一切内容和格式不得更改</w:t>
      </w:r>
      <w:r>
        <w:rPr>
          <w:rFonts w:hint="eastAsia" w:ascii="FangSong_GB2312" w:hAnsi="宋体" w:eastAsia="FangSong_GB2312"/>
          <w:color w:val="000000" w:themeColor="text1"/>
          <w:sz w:val="24"/>
          <w:highlight w:val="none"/>
        </w:rPr>
        <w:t>。</w:t>
      </w:r>
    </w:p>
    <w:p>
      <w:pPr>
        <w:spacing w:line="460" w:lineRule="exact"/>
        <w:ind w:firstLine="3500" w:firstLineChars="1250"/>
        <w:rPr>
          <w:rFonts w:ascii="FangSong_GB2312" w:hAnsi="宋体" w:eastAsia="FangSong_GB2312"/>
          <w:color w:val="000000" w:themeColor="text1"/>
          <w:sz w:val="28"/>
          <w:szCs w:val="28"/>
          <w:highlight w:val="none"/>
        </w:rPr>
      </w:pPr>
    </w:p>
    <w:p>
      <w:pPr>
        <w:spacing w:line="460" w:lineRule="exact"/>
        <w:ind w:firstLine="3500" w:firstLineChars="1250"/>
        <w:rPr>
          <w:rFonts w:hint="eastAsia" w:ascii="FangSong_GB2312" w:hAnsi="宋体" w:eastAsia="FangSong_GB2312"/>
          <w:color w:val="000000" w:themeColor="text1"/>
          <w:sz w:val="28"/>
          <w:szCs w:val="28"/>
          <w:highlight w:val="none"/>
        </w:rPr>
      </w:pPr>
    </w:p>
    <w:p>
      <w:pPr>
        <w:spacing w:line="460" w:lineRule="exact"/>
        <w:ind w:firstLine="3500" w:firstLineChars="1250"/>
        <w:rPr>
          <w:rFonts w:ascii="FangSong_GB2312" w:hAnsi="宋体" w:eastAsia="FangSong_GB2312"/>
          <w:color w:val="000000" w:themeColor="text1"/>
          <w:sz w:val="28"/>
          <w:szCs w:val="28"/>
          <w:highlight w:val="none"/>
        </w:rPr>
      </w:pPr>
      <w:r>
        <w:rPr>
          <w:rFonts w:hint="eastAsia" w:ascii="FangSong_GB2312" w:hAnsi="宋体" w:eastAsia="FangSong_GB2312"/>
          <w:color w:val="000000" w:themeColor="text1"/>
          <w:sz w:val="28"/>
          <w:szCs w:val="28"/>
          <w:highlight w:val="none"/>
        </w:rPr>
        <w:t>投标人全称：</w:t>
      </w:r>
      <w:r>
        <w:rPr>
          <w:rFonts w:hint="eastAsia" w:ascii="FangSong_GB2312" w:hAnsi="宋体" w:eastAsia="FangSong_GB2312"/>
          <w:color w:val="000000" w:themeColor="text1"/>
          <w:sz w:val="28"/>
          <w:szCs w:val="28"/>
          <w:highlight w:val="none"/>
          <w:u w:val="single"/>
        </w:rPr>
        <w:t xml:space="preserve">                   </w:t>
      </w:r>
      <w:r>
        <w:rPr>
          <w:rFonts w:hint="eastAsia" w:ascii="FangSong_GB2312" w:hAnsi="宋体" w:eastAsia="FangSong_GB2312"/>
          <w:color w:val="000000" w:themeColor="text1"/>
          <w:sz w:val="28"/>
          <w:szCs w:val="28"/>
          <w:highlight w:val="none"/>
        </w:rPr>
        <w:t>（盖公章）</w:t>
      </w:r>
    </w:p>
    <w:p>
      <w:pPr>
        <w:spacing w:line="460" w:lineRule="exact"/>
        <w:ind w:firstLine="6160" w:firstLineChars="2200"/>
        <w:rPr>
          <w:rFonts w:ascii="FangSong_GB2312" w:hAnsi="宋体" w:eastAsia="FangSong_GB2312"/>
          <w:color w:val="000000" w:themeColor="text1"/>
          <w:sz w:val="28"/>
          <w:szCs w:val="28"/>
          <w:highlight w:val="none"/>
        </w:rPr>
      </w:pPr>
    </w:p>
    <w:p>
      <w:pPr>
        <w:spacing w:line="460" w:lineRule="exact"/>
        <w:ind w:firstLine="6160" w:firstLineChars="2200"/>
        <w:rPr>
          <w:rFonts w:ascii="FangSong_GB2312" w:hAnsi="宋体" w:eastAsia="FangSong_GB2312"/>
          <w:color w:val="000000" w:themeColor="text1"/>
          <w:sz w:val="28"/>
          <w:szCs w:val="28"/>
          <w:highlight w:val="none"/>
        </w:rPr>
        <w:sectPr>
          <w:headerReference r:id="rId9" w:type="default"/>
          <w:footerReference r:id="rId10" w:type="default"/>
          <w:pgSz w:w="11906" w:h="16838"/>
          <w:pgMar w:top="1701" w:right="1286" w:bottom="1418" w:left="1440" w:header="851" w:footer="992" w:gutter="0"/>
          <w:cols w:space="720" w:num="1"/>
          <w:docGrid w:type="lines" w:linePitch="312" w:charSpace="0"/>
        </w:sectPr>
      </w:pPr>
      <w:r>
        <w:rPr>
          <w:rFonts w:hint="eastAsia" w:ascii="FangSong_GB2312" w:hAnsi="宋体" w:eastAsia="FangSong_GB2312"/>
          <w:color w:val="000000" w:themeColor="text1"/>
          <w:sz w:val="28"/>
          <w:szCs w:val="28"/>
          <w:highlight w:val="none"/>
        </w:rPr>
        <w:t>年      月     日</w:t>
      </w:r>
    </w:p>
    <w:p>
      <w:pPr>
        <w:snapToGrid w:val="0"/>
        <w:spacing w:beforeLines="50" w:after="50"/>
        <w:jc w:val="left"/>
        <w:rPr>
          <w:rFonts w:ascii="仿宋" w:hAnsi="仿宋" w:eastAsia="仿宋"/>
          <w:b/>
          <w:i/>
          <w:color w:val="000000" w:themeColor="text1"/>
          <w:sz w:val="30"/>
          <w:szCs w:val="30"/>
          <w:highlight w:val="none"/>
          <w:u w:val="single"/>
        </w:rPr>
      </w:pPr>
      <w:r>
        <w:rPr>
          <w:rFonts w:hint="eastAsia" w:ascii="FangSong_GB2312" w:hAnsi="宋体" w:eastAsia="FangSong_GB2312"/>
          <w:bCs/>
          <w:color w:val="000000" w:themeColor="text1"/>
          <w:highlight w:val="none"/>
        </w:rPr>
        <w:t xml:space="preserve">附件十七1：       </w:t>
      </w:r>
    </w:p>
    <w:p>
      <w:pPr>
        <w:spacing w:line="640" w:lineRule="exact"/>
        <w:rPr>
          <w:rFonts w:ascii="仿宋" w:hAnsi="仿宋" w:eastAsia="仿宋"/>
          <w:color w:val="000000" w:themeColor="text1"/>
          <w:sz w:val="44"/>
          <w:szCs w:val="44"/>
          <w:highlight w:val="none"/>
        </w:rPr>
      </w:pPr>
    </w:p>
    <w:p>
      <w:pPr>
        <w:spacing w:beforeLines="50" w:afterLines="50" w:line="640" w:lineRule="exact"/>
        <w:jc w:val="center"/>
        <w:rPr>
          <w:rFonts w:ascii="仿宋" w:hAnsi="仿宋" w:eastAsia="仿宋"/>
          <w:color w:val="000000" w:themeColor="text1"/>
          <w:sz w:val="44"/>
          <w:szCs w:val="44"/>
          <w:highlight w:val="none"/>
        </w:rPr>
      </w:pPr>
      <w:r>
        <w:rPr>
          <w:rFonts w:hint="eastAsia" w:ascii="仿宋" w:hAnsi="仿宋" w:eastAsia="仿宋"/>
          <w:color w:val="000000" w:themeColor="text1"/>
          <w:sz w:val="44"/>
          <w:szCs w:val="44"/>
          <w:highlight w:val="none"/>
        </w:rPr>
        <w:t xml:space="preserve"> 天台中学创新实验室和专用教室采购项目</w:t>
      </w:r>
    </w:p>
    <w:p>
      <w:pPr>
        <w:spacing w:beforeLines="50" w:afterLines="50" w:line="640" w:lineRule="exact"/>
        <w:jc w:val="center"/>
        <w:rPr>
          <w:rFonts w:ascii="仿宋" w:hAnsi="仿宋" w:eastAsia="仿宋"/>
          <w:color w:val="000000" w:themeColor="text1"/>
          <w:sz w:val="48"/>
          <w:szCs w:val="48"/>
          <w:highlight w:val="none"/>
        </w:rPr>
      </w:pPr>
      <w:r>
        <w:rPr>
          <w:rFonts w:hint="eastAsia" w:ascii="仿宋" w:hAnsi="仿宋" w:eastAsia="仿宋"/>
          <w:color w:val="000000" w:themeColor="text1"/>
          <w:sz w:val="44"/>
          <w:szCs w:val="44"/>
          <w:highlight w:val="none"/>
        </w:rPr>
        <w:t>（标项   ）</w:t>
      </w:r>
    </w:p>
    <w:p>
      <w:pPr>
        <w:spacing w:beforeLines="50" w:afterLines="50" w:line="640" w:lineRule="exact"/>
        <w:ind w:firstLine="2880" w:firstLineChars="800"/>
        <w:rPr>
          <w:rFonts w:ascii="仿宋" w:hAnsi="仿宋" w:eastAsia="仿宋"/>
          <w:color w:val="000000" w:themeColor="text1"/>
          <w:sz w:val="36"/>
          <w:szCs w:val="36"/>
          <w:highlight w:val="none"/>
        </w:rPr>
      </w:pPr>
      <w:r>
        <w:rPr>
          <w:rFonts w:hint="eastAsia" w:ascii="仿宋" w:hAnsi="仿宋" w:eastAsia="仿宋"/>
          <w:color w:val="000000" w:themeColor="text1"/>
          <w:sz w:val="36"/>
          <w:szCs w:val="36"/>
          <w:highlight w:val="none"/>
        </w:rPr>
        <w:t xml:space="preserve">xzcg-2022-036（招） </w:t>
      </w:r>
    </w:p>
    <w:p>
      <w:pPr>
        <w:spacing w:beforeLines="50" w:afterLines="50" w:line="640" w:lineRule="exact"/>
        <w:ind w:firstLine="2880" w:firstLineChars="800"/>
        <w:rPr>
          <w:rFonts w:ascii="仿宋" w:hAnsi="仿宋" w:eastAsia="仿宋"/>
          <w:color w:val="000000" w:themeColor="text1"/>
          <w:sz w:val="36"/>
          <w:szCs w:val="36"/>
          <w:highlight w:val="none"/>
        </w:rPr>
      </w:pPr>
    </w:p>
    <w:p>
      <w:pPr>
        <w:spacing w:line="900" w:lineRule="exact"/>
        <w:jc w:val="center"/>
        <w:rPr>
          <w:rFonts w:ascii="仿宋" w:hAnsi="仿宋" w:eastAsia="仿宋"/>
          <w:color w:val="000000" w:themeColor="text1"/>
          <w:sz w:val="84"/>
          <w:highlight w:val="none"/>
        </w:rPr>
      </w:pPr>
    </w:p>
    <w:p>
      <w:pPr>
        <w:spacing w:line="900" w:lineRule="exact"/>
        <w:jc w:val="center"/>
        <w:rPr>
          <w:rFonts w:ascii="仿宋" w:hAnsi="仿宋" w:eastAsia="仿宋"/>
          <w:color w:val="000000" w:themeColor="text1"/>
          <w:sz w:val="84"/>
          <w:highlight w:val="none"/>
        </w:rPr>
      </w:pPr>
      <w:r>
        <w:rPr>
          <w:rFonts w:hint="eastAsia" w:ascii="仿宋" w:hAnsi="仿宋" w:eastAsia="仿宋"/>
          <w:color w:val="000000" w:themeColor="text1"/>
          <w:sz w:val="84"/>
          <w:highlight w:val="none"/>
        </w:rPr>
        <w:t>资</w:t>
      </w:r>
    </w:p>
    <w:p>
      <w:pPr>
        <w:spacing w:line="900" w:lineRule="exact"/>
        <w:jc w:val="center"/>
        <w:rPr>
          <w:rFonts w:ascii="仿宋" w:hAnsi="仿宋" w:eastAsia="仿宋"/>
          <w:color w:val="000000" w:themeColor="text1"/>
          <w:sz w:val="84"/>
          <w:highlight w:val="none"/>
        </w:rPr>
      </w:pPr>
      <w:r>
        <w:rPr>
          <w:rFonts w:hint="eastAsia" w:ascii="仿宋" w:hAnsi="仿宋" w:eastAsia="仿宋"/>
          <w:color w:val="000000" w:themeColor="text1"/>
          <w:sz w:val="84"/>
          <w:highlight w:val="none"/>
        </w:rPr>
        <w:t>格</w:t>
      </w:r>
    </w:p>
    <w:p>
      <w:pPr>
        <w:spacing w:line="900" w:lineRule="exact"/>
        <w:jc w:val="center"/>
        <w:rPr>
          <w:rFonts w:ascii="仿宋" w:hAnsi="仿宋" w:eastAsia="仿宋"/>
          <w:color w:val="000000" w:themeColor="text1"/>
          <w:sz w:val="84"/>
          <w:highlight w:val="none"/>
        </w:rPr>
      </w:pPr>
      <w:r>
        <w:rPr>
          <w:rFonts w:hint="eastAsia" w:ascii="仿宋" w:hAnsi="仿宋" w:eastAsia="仿宋"/>
          <w:color w:val="000000" w:themeColor="text1"/>
          <w:sz w:val="84"/>
          <w:highlight w:val="none"/>
        </w:rPr>
        <w:t>文</w:t>
      </w:r>
    </w:p>
    <w:p>
      <w:pPr>
        <w:spacing w:line="900" w:lineRule="exact"/>
        <w:jc w:val="center"/>
        <w:rPr>
          <w:rFonts w:ascii="仿宋" w:hAnsi="仿宋" w:eastAsia="仿宋"/>
          <w:color w:val="000000" w:themeColor="text1"/>
          <w:sz w:val="84"/>
          <w:highlight w:val="none"/>
        </w:rPr>
      </w:pPr>
      <w:r>
        <w:rPr>
          <w:rFonts w:hint="eastAsia" w:ascii="仿宋" w:hAnsi="仿宋" w:eastAsia="仿宋"/>
          <w:color w:val="000000" w:themeColor="text1"/>
          <w:sz w:val="84"/>
          <w:highlight w:val="none"/>
        </w:rPr>
        <w:t>件</w:t>
      </w:r>
    </w:p>
    <w:p>
      <w:pPr>
        <w:spacing w:line="900" w:lineRule="exact"/>
        <w:ind w:firstLine="2400" w:firstLineChars="750"/>
        <w:rPr>
          <w:rFonts w:ascii="仿宋" w:hAnsi="仿宋" w:eastAsia="仿宋"/>
          <w:color w:val="000000" w:themeColor="text1"/>
          <w:sz w:val="32"/>
          <w:highlight w:val="none"/>
        </w:rPr>
      </w:pPr>
    </w:p>
    <w:p>
      <w:pPr>
        <w:spacing w:afterLines="50" w:line="900" w:lineRule="exact"/>
        <w:rPr>
          <w:rFonts w:ascii="仿宋" w:hAnsi="仿宋" w:eastAsia="仿宋"/>
          <w:color w:val="000000" w:themeColor="text1"/>
          <w:sz w:val="36"/>
          <w:szCs w:val="36"/>
          <w:highlight w:val="none"/>
          <w:u w:val="single"/>
        </w:rPr>
      </w:pPr>
      <w:r>
        <w:rPr>
          <w:rFonts w:hint="eastAsia" w:ascii="仿宋" w:hAnsi="仿宋" w:eastAsia="仿宋"/>
          <w:color w:val="000000" w:themeColor="text1"/>
          <w:sz w:val="36"/>
          <w:szCs w:val="36"/>
          <w:highlight w:val="none"/>
        </w:rPr>
        <w:t>投标人全称</w:t>
      </w:r>
      <w:r>
        <w:rPr>
          <w:rFonts w:hint="eastAsia" w:ascii="仿宋" w:hAnsi="仿宋" w:eastAsia="仿宋"/>
          <w:color w:val="000000" w:themeColor="text1"/>
          <w:sz w:val="36"/>
          <w:szCs w:val="36"/>
          <w:highlight w:val="none"/>
          <w:u w:val="single"/>
        </w:rPr>
        <w:t xml:space="preserve">                                 </w:t>
      </w:r>
      <w:r>
        <w:rPr>
          <w:rFonts w:hint="eastAsia" w:ascii="仿宋" w:hAnsi="仿宋" w:eastAsia="仿宋"/>
          <w:color w:val="000000" w:themeColor="text1"/>
          <w:sz w:val="36"/>
          <w:szCs w:val="36"/>
          <w:highlight w:val="none"/>
        </w:rPr>
        <w:t>（盖公章）</w:t>
      </w:r>
    </w:p>
    <w:p>
      <w:pPr>
        <w:spacing w:afterLines="50" w:line="900" w:lineRule="exact"/>
        <w:ind w:firstLine="3600" w:firstLineChars="1000"/>
        <w:rPr>
          <w:rFonts w:ascii="仿宋" w:hAnsi="仿宋" w:eastAsia="仿宋"/>
          <w:color w:val="000000" w:themeColor="text1"/>
          <w:sz w:val="28"/>
          <w:szCs w:val="28"/>
          <w:highlight w:val="none"/>
        </w:rPr>
      </w:pPr>
      <w:r>
        <w:rPr>
          <w:rFonts w:hint="eastAsia" w:ascii="仿宋" w:hAnsi="仿宋" w:eastAsia="仿宋"/>
          <w:color w:val="000000" w:themeColor="text1"/>
          <w:sz w:val="36"/>
          <w:szCs w:val="36"/>
          <w:highlight w:val="none"/>
        </w:rPr>
        <w:t>年  月  日</w:t>
      </w:r>
      <w:r>
        <w:rPr>
          <w:rFonts w:hint="eastAsia" w:ascii="仿宋" w:hAnsi="仿宋" w:eastAsia="仿宋"/>
          <w:color w:val="000000" w:themeColor="text1"/>
          <w:sz w:val="28"/>
          <w:szCs w:val="28"/>
          <w:highlight w:val="none"/>
        </w:rPr>
        <w:t xml:space="preserve"> </w:t>
      </w:r>
    </w:p>
    <w:p>
      <w:pPr>
        <w:pStyle w:val="35"/>
        <w:rPr>
          <w:rFonts w:ascii="仿宋" w:hAnsi="仿宋" w:eastAsia="仿宋"/>
          <w:color w:val="000000" w:themeColor="text1"/>
          <w:highlight w:val="none"/>
        </w:rPr>
      </w:pPr>
    </w:p>
    <w:p>
      <w:pPr>
        <w:pStyle w:val="35"/>
        <w:rPr>
          <w:rFonts w:ascii="仿宋" w:hAnsi="仿宋" w:eastAsia="仿宋"/>
          <w:color w:val="000000" w:themeColor="text1"/>
          <w:highlight w:val="none"/>
        </w:rPr>
      </w:pPr>
    </w:p>
    <w:p>
      <w:pPr>
        <w:spacing w:line="400" w:lineRule="exact"/>
        <w:rPr>
          <w:rFonts w:ascii="仿宋" w:hAnsi="仿宋" w:eastAsia="仿宋"/>
          <w:color w:val="000000" w:themeColor="text1"/>
          <w:szCs w:val="21"/>
          <w:highlight w:val="none"/>
        </w:rPr>
      </w:pPr>
    </w:p>
    <w:p>
      <w:pPr>
        <w:spacing w:line="400" w:lineRule="exact"/>
        <w:rPr>
          <w:rFonts w:ascii="仿宋" w:hAnsi="仿宋" w:eastAsia="仿宋"/>
          <w:color w:val="000000" w:themeColor="text1"/>
          <w:szCs w:val="21"/>
          <w:highlight w:val="none"/>
        </w:rPr>
      </w:pPr>
    </w:p>
    <w:p>
      <w:pPr>
        <w:spacing w:line="400" w:lineRule="exact"/>
        <w:rPr>
          <w:rFonts w:ascii="仿宋" w:hAnsi="仿宋" w:eastAsia="仿宋"/>
          <w:b/>
          <w:i/>
          <w:color w:val="000000" w:themeColor="text1"/>
          <w:sz w:val="30"/>
          <w:szCs w:val="30"/>
          <w:highlight w:val="none"/>
          <w:u w:val="single"/>
        </w:rPr>
      </w:pPr>
      <w:r>
        <w:rPr>
          <w:rFonts w:hint="eastAsia" w:ascii="仿宋" w:hAnsi="仿宋" w:eastAsia="仿宋"/>
          <w:color w:val="000000" w:themeColor="text1"/>
          <w:szCs w:val="21"/>
          <w:highlight w:val="none"/>
        </w:rPr>
        <w:t>附件十七2：</w:t>
      </w:r>
    </w:p>
    <w:p>
      <w:pPr>
        <w:spacing w:line="640" w:lineRule="exact"/>
        <w:ind w:firstLine="2200" w:firstLineChars="500"/>
        <w:rPr>
          <w:rFonts w:ascii="仿宋" w:hAnsi="仿宋" w:eastAsia="仿宋"/>
          <w:color w:val="000000" w:themeColor="text1"/>
          <w:sz w:val="44"/>
          <w:szCs w:val="44"/>
          <w:highlight w:val="none"/>
        </w:rPr>
      </w:pPr>
    </w:p>
    <w:p>
      <w:pPr>
        <w:spacing w:beforeLines="50" w:afterLines="50" w:line="640" w:lineRule="exact"/>
        <w:jc w:val="center"/>
        <w:rPr>
          <w:rFonts w:ascii="仿宋" w:hAnsi="仿宋" w:eastAsia="仿宋"/>
          <w:color w:val="000000" w:themeColor="text1"/>
          <w:sz w:val="48"/>
          <w:szCs w:val="48"/>
          <w:highlight w:val="none"/>
        </w:rPr>
      </w:pPr>
      <w:r>
        <w:rPr>
          <w:rFonts w:hint="eastAsia" w:ascii="仿宋" w:hAnsi="仿宋" w:eastAsia="仿宋"/>
          <w:color w:val="000000" w:themeColor="text1"/>
          <w:sz w:val="44"/>
          <w:szCs w:val="44"/>
          <w:highlight w:val="none"/>
        </w:rPr>
        <w:t xml:space="preserve"> 天台中学创新实验室和专用教室采购项目</w:t>
      </w:r>
    </w:p>
    <w:p>
      <w:pPr>
        <w:spacing w:beforeLines="50" w:afterLines="50" w:line="640" w:lineRule="exact"/>
        <w:jc w:val="center"/>
        <w:rPr>
          <w:rFonts w:ascii="仿宋" w:hAnsi="仿宋" w:eastAsia="仿宋"/>
          <w:color w:val="000000" w:themeColor="text1"/>
          <w:sz w:val="48"/>
          <w:szCs w:val="48"/>
          <w:highlight w:val="none"/>
        </w:rPr>
      </w:pPr>
      <w:r>
        <w:rPr>
          <w:rFonts w:hint="eastAsia" w:ascii="仿宋" w:hAnsi="仿宋" w:eastAsia="仿宋"/>
          <w:color w:val="000000" w:themeColor="text1"/>
          <w:sz w:val="44"/>
          <w:szCs w:val="44"/>
          <w:highlight w:val="none"/>
        </w:rPr>
        <w:t>（标项   ）</w:t>
      </w:r>
    </w:p>
    <w:p>
      <w:pPr>
        <w:spacing w:beforeLines="50" w:afterLines="50" w:line="640" w:lineRule="exact"/>
        <w:ind w:firstLine="2880" w:firstLineChars="800"/>
        <w:rPr>
          <w:rFonts w:ascii="仿宋" w:hAnsi="仿宋" w:eastAsia="仿宋"/>
          <w:color w:val="000000" w:themeColor="text1"/>
          <w:sz w:val="36"/>
          <w:szCs w:val="36"/>
          <w:highlight w:val="none"/>
        </w:rPr>
      </w:pPr>
      <w:r>
        <w:rPr>
          <w:rFonts w:hint="eastAsia" w:ascii="仿宋" w:hAnsi="仿宋" w:eastAsia="仿宋"/>
          <w:color w:val="000000" w:themeColor="text1"/>
          <w:sz w:val="36"/>
          <w:szCs w:val="36"/>
          <w:highlight w:val="none"/>
        </w:rPr>
        <w:t xml:space="preserve">xzcg-2022-036（招） </w:t>
      </w:r>
    </w:p>
    <w:p>
      <w:pPr>
        <w:spacing w:line="900" w:lineRule="exact"/>
        <w:jc w:val="center"/>
        <w:rPr>
          <w:rFonts w:ascii="仿宋" w:hAnsi="仿宋" w:eastAsia="仿宋"/>
          <w:color w:val="000000" w:themeColor="text1"/>
          <w:sz w:val="84"/>
          <w:highlight w:val="none"/>
        </w:rPr>
      </w:pPr>
    </w:p>
    <w:p>
      <w:pPr>
        <w:spacing w:line="900" w:lineRule="exact"/>
        <w:jc w:val="center"/>
        <w:rPr>
          <w:rFonts w:ascii="仿宋" w:hAnsi="仿宋" w:eastAsia="仿宋"/>
          <w:color w:val="000000" w:themeColor="text1"/>
          <w:sz w:val="84"/>
          <w:highlight w:val="none"/>
        </w:rPr>
      </w:pPr>
      <w:r>
        <w:rPr>
          <w:rFonts w:hint="eastAsia" w:ascii="仿宋" w:hAnsi="仿宋" w:eastAsia="仿宋"/>
          <w:color w:val="000000" w:themeColor="text1"/>
          <w:sz w:val="84"/>
          <w:highlight w:val="none"/>
        </w:rPr>
        <w:t>商</w:t>
      </w:r>
    </w:p>
    <w:p>
      <w:pPr>
        <w:spacing w:line="900" w:lineRule="exact"/>
        <w:jc w:val="center"/>
        <w:rPr>
          <w:rFonts w:ascii="仿宋" w:hAnsi="仿宋" w:eastAsia="仿宋"/>
          <w:color w:val="000000" w:themeColor="text1"/>
          <w:sz w:val="84"/>
          <w:highlight w:val="none"/>
        </w:rPr>
      </w:pPr>
      <w:r>
        <w:rPr>
          <w:rFonts w:hint="eastAsia" w:ascii="仿宋" w:hAnsi="仿宋" w:eastAsia="仿宋"/>
          <w:color w:val="000000" w:themeColor="text1"/>
          <w:sz w:val="84"/>
          <w:highlight w:val="none"/>
        </w:rPr>
        <w:t>务</w:t>
      </w:r>
    </w:p>
    <w:p>
      <w:pPr>
        <w:spacing w:line="900" w:lineRule="exact"/>
        <w:jc w:val="center"/>
        <w:rPr>
          <w:rFonts w:ascii="仿宋" w:hAnsi="仿宋" w:eastAsia="仿宋"/>
          <w:color w:val="000000" w:themeColor="text1"/>
          <w:sz w:val="84"/>
          <w:highlight w:val="none"/>
        </w:rPr>
      </w:pPr>
      <w:r>
        <w:rPr>
          <w:rFonts w:hint="eastAsia" w:ascii="仿宋" w:hAnsi="仿宋" w:eastAsia="仿宋"/>
          <w:color w:val="000000" w:themeColor="text1"/>
          <w:sz w:val="84"/>
          <w:highlight w:val="none"/>
        </w:rPr>
        <w:t>技</w:t>
      </w:r>
    </w:p>
    <w:p>
      <w:pPr>
        <w:spacing w:line="900" w:lineRule="exact"/>
        <w:jc w:val="center"/>
        <w:rPr>
          <w:rFonts w:ascii="仿宋" w:hAnsi="仿宋" w:eastAsia="仿宋"/>
          <w:color w:val="000000" w:themeColor="text1"/>
          <w:sz w:val="84"/>
          <w:highlight w:val="none"/>
        </w:rPr>
      </w:pPr>
      <w:r>
        <w:rPr>
          <w:rFonts w:hint="eastAsia" w:ascii="仿宋" w:hAnsi="仿宋" w:eastAsia="仿宋"/>
          <w:color w:val="000000" w:themeColor="text1"/>
          <w:sz w:val="84"/>
          <w:highlight w:val="none"/>
        </w:rPr>
        <w:t>术</w:t>
      </w:r>
    </w:p>
    <w:p>
      <w:pPr>
        <w:spacing w:line="900" w:lineRule="exact"/>
        <w:jc w:val="center"/>
        <w:rPr>
          <w:rFonts w:ascii="仿宋" w:hAnsi="仿宋" w:eastAsia="仿宋"/>
          <w:color w:val="000000" w:themeColor="text1"/>
          <w:sz w:val="84"/>
          <w:highlight w:val="none"/>
        </w:rPr>
      </w:pPr>
      <w:r>
        <w:rPr>
          <w:rFonts w:hint="eastAsia" w:ascii="仿宋" w:hAnsi="仿宋" w:eastAsia="仿宋"/>
          <w:color w:val="000000" w:themeColor="text1"/>
          <w:sz w:val="84"/>
          <w:highlight w:val="none"/>
        </w:rPr>
        <w:t>文</w:t>
      </w:r>
    </w:p>
    <w:p>
      <w:pPr>
        <w:spacing w:line="900" w:lineRule="exact"/>
        <w:jc w:val="center"/>
        <w:rPr>
          <w:rFonts w:ascii="仿宋" w:hAnsi="仿宋" w:eastAsia="仿宋"/>
          <w:color w:val="000000" w:themeColor="text1"/>
          <w:sz w:val="84"/>
          <w:highlight w:val="none"/>
        </w:rPr>
      </w:pPr>
      <w:r>
        <w:rPr>
          <w:rFonts w:hint="eastAsia" w:ascii="仿宋" w:hAnsi="仿宋" w:eastAsia="仿宋"/>
          <w:color w:val="000000" w:themeColor="text1"/>
          <w:sz w:val="84"/>
          <w:highlight w:val="none"/>
        </w:rPr>
        <w:t>件</w:t>
      </w:r>
    </w:p>
    <w:p>
      <w:pPr>
        <w:spacing w:line="900" w:lineRule="exact"/>
        <w:ind w:firstLine="2400" w:firstLineChars="750"/>
        <w:rPr>
          <w:rFonts w:ascii="仿宋" w:hAnsi="仿宋" w:eastAsia="仿宋"/>
          <w:color w:val="000000" w:themeColor="text1"/>
          <w:sz w:val="32"/>
          <w:highlight w:val="none"/>
        </w:rPr>
      </w:pPr>
    </w:p>
    <w:p>
      <w:pPr>
        <w:spacing w:afterLines="50" w:line="900" w:lineRule="exact"/>
        <w:rPr>
          <w:rFonts w:ascii="仿宋" w:hAnsi="仿宋" w:eastAsia="仿宋"/>
          <w:color w:val="000000" w:themeColor="text1"/>
          <w:sz w:val="36"/>
          <w:szCs w:val="36"/>
          <w:highlight w:val="none"/>
          <w:u w:val="single"/>
        </w:rPr>
      </w:pPr>
      <w:r>
        <w:rPr>
          <w:rFonts w:hint="eastAsia" w:ascii="仿宋" w:hAnsi="仿宋" w:eastAsia="仿宋"/>
          <w:color w:val="000000" w:themeColor="text1"/>
          <w:sz w:val="36"/>
          <w:szCs w:val="36"/>
          <w:highlight w:val="none"/>
        </w:rPr>
        <w:t>投标人全称</w:t>
      </w:r>
      <w:r>
        <w:rPr>
          <w:rFonts w:hint="eastAsia" w:ascii="仿宋" w:hAnsi="仿宋" w:eastAsia="仿宋"/>
          <w:color w:val="000000" w:themeColor="text1"/>
          <w:sz w:val="36"/>
          <w:szCs w:val="36"/>
          <w:highlight w:val="none"/>
          <w:u w:val="single"/>
        </w:rPr>
        <w:t xml:space="preserve">                                 </w:t>
      </w:r>
      <w:r>
        <w:rPr>
          <w:rFonts w:hint="eastAsia" w:ascii="仿宋" w:hAnsi="仿宋" w:eastAsia="仿宋"/>
          <w:color w:val="000000" w:themeColor="text1"/>
          <w:sz w:val="36"/>
          <w:szCs w:val="36"/>
          <w:highlight w:val="none"/>
        </w:rPr>
        <w:t>（盖公章）</w:t>
      </w:r>
    </w:p>
    <w:p>
      <w:pPr>
        <w:spacing w:afterLines="50" w:line="900" w:lineRule="exact"/>
        <w:ind w:firstLine="3600" w:firstLineChars="1000"/>
        <w:rPr>
          <w:rFonts w:ascii="仿宋" w:hAnsi="仿宋" w:eastAsia="仿宋"/>
          <w:color w:val="000000" w:themeColor="text1"/>
          <w:sz w:val="28"/>
          <w:szCs w:val="28"/>
          <w:highlight w:val="none"/>
        </w:rPr>
      </w:pPr>
      <w:r>
        <w:rPr>
          <w:rFonts w:hint="eastAsia" w:ascii="仿宋" w:hAnsi="仿宋" w:eastAsia="仿宋"/>
          <w:color w:val="000000" w:themeColor="text1"/>
          <w:sz w:val="36"/>
          <w:szCs w:val="36"/>
          <w:highlight w:val="none"/>
        </w:rPr>
        <w:t>年  月  日</w:t>
      </w:r>
      <w:r>
        <w:rPr>
          <w:rFonts w:hint="eastAsia" w:ascii="仿宋" w:hAnsi="仿宋" w:eastAsia="仿宋"/>
          <w:color w:val="000000" w:themeColor="text1"/>
          <w:sz w:val="28"/>
          <w:szCs w:val="28"/>
          <w:highlight w:val="none"/>
        </w:rPr>
        <w:t xml:space="preserve"> </w:t>
      </w:r>
    </w:p>
    <w:p>
      <w:pPr>
        <w:spacing w:line="400" w:lineRule="exact"/>
        <w:rPr>
          <w:rFonts w:ascii="仿宋" w:hAnsi="仿宋" w:eastAsia="仿宋"/>
          <w:color w:val="000000" w:themeColor="text1"/>
          <w:highlight w:val="none"/>
        </w:rPr>
      </w:pPr>
    </w:p>
    <w:p>
      <w:pPr>
        <w:pStyle w:val="35"/>
        <w:rPr>
          <w:color w:val="000000" w:themeColor="text1"/>
          <w:highlight w:val="none"/>
        </w:rPr>
      </w:pPr>
    </w:p>
    <w:p>
      <w:pPr>
        <w:spacing w:line="400" w:lineRule="exact"/>
        <w:rPr>
          <w:rFonts w:ascii="仿宋" w:hAnsi="仿宋" w:eastAsia="仿宋"/>
          <w:b/>
          <w:i/>
          <w:color w:val="000000" w:themeColor="text1"/>
          <w:sz w:val="30"/>
          <w:szCs w:val="30"/>
          <w:highlight w:val="none"/>
          <w:u w:val="single"/>
        </w:rPr>
      </w:pPr>
      <w:r>
        <w:rPr>
          <w:rFonts w:hint="eastAsia" w:ascii="仿宋" w:hAnsi="仿宋" w:eastAsia="仿宋"/>
          <w:color w:val="000000" w:themeColor="text1"/>
          <w:szCs w:val="21"/>
          <w:highlight w:val="none"/>
        </w:rPr>
        <w:t>附件十七3：</w:t>
      </w:r>
    </w:p>
    <w:p>
      <w:pPr>
        <w:spacing w:line="640" w:lineRule="exact"/>
        <w:ind w:firstLine="2200" w:firstLineChars="500"/>
        <w:rPr>
          <w:rFonts w:ascii="仿宋" w:hAnsi="仿宋" w:eastAsia="仿宋"/>
          <w:color w:val="000000" w:themeColor="text1"/>
          <w:sz w:val="44"/>
          <w:szCs w:val="44"/>
          <w:highlight w:val="none"/>
        </w:rPr>
      </w:pPr>
    </w:p>
    <w:p>
      <w:pPr>
        <w:spacing w:beforeLines="50" w:afterLines="50" w:line="640" w:lineRule="exact"/>
        <w:jc w:val="center"/>
        <w:rPr>
          <w:rFonts w:ascii="仿宋" w:hAnsi="仿宋" w:eastAsia="仿宋"/>
          <w:color w:val="000000" w:themeColor="text1"/>
          <w:sz w:val="48"/>
          <w:szCs w:val="48"/>
          <w:highlight w:val="none"/>
        </w:rPr>
      </w:pPr>
      <w:r>
        <w:rPr>
          <w:rFonts w:hint="eastAsia" w:ascii="仿宋" w:hAnsi="仿宋" w:eastAsia="仿宋"/>
          <w:color w:val="000000" w:themeColor="text1"/>
          <w:sz w:val="44"/>
          <w:szCs w:val="44"/>
          <w:highlight w:val="none"/>
        </w:rPr>
        <w:t xml:space="preserve"> 天台中学创新实验室和专用教室采购项目</w:t>
      </w:r>
    </w:p>
    <w:p>
      <w:pPr>
        <w:spacing w:beforeLines="50" w:afterLines="50" w:line="640" w:lineRule="exact"/>
        <w:jc w:val="center"/>
        <w:rPr>
          <w:rFonts w:ascii="仿宋" w:hAnsi="仿宋" w:eastAsia="仿宋"/>
          <w:color w:val="000000" w:themeColor="text1"/>
          <w:sz w:val="48"/>
          <w:szCs w:val="48"/>
          <w:highlight w:val="none"/>
        </w:rPr>
      </w:pPr>
      <w:r>
        <w:rPr>
          <w:rFonts w:hint="eastAsia" w:ascii="仿宋" w:hAnsi="仿宋" w:eastAsia="仿宋"/>
          <w:color w:val="000000" w:themeColor="text1"/>
          <w:sz w:val="44"/>
          <w:szCs w:val="44"/>
          <w:highlight w:val="none"/>
        </w:rPr>
        <w:t>（标项   ）</w:t>
      </w:r>
    </w:p>
    <w:p>
      <w:pPr>
        <w:spacing w:beforeLines="50" w:afterLines="50" w:line="640" w:lineRule="exact"/>
        <w:ind w:firstLine="2880" w:firstLineChars="800"/>
        <w:rPr>
          <w:rFonts w:ascii="仿宋" w:hAnsi="仿宋" w:eastAsia="仿宋"/>
          <w:color w:val="000000" w:themeColor="text1"/>
          <w:sz w:val="36"/>
          <w:szCs w:val="36"/>
          <w:highlight w:val="none"/>
        </w:rPr>
      </w:pPr>
      <w:r>
        <w:rPr>
          <w:rFonts w:hint="eastAsia" w:ascii="仿宋" w:hAnsi="仿宋" w:eastAsia="仿宋"/>
          <w:color w:val="000000" w:themeColor="text1"/>
          <w:sz w:val="36"/>
          <w:szCs w:val="36"/>
          <w:highlight w:val="none"/>
        </w:rPr>
        <w:t xml:space="preserve">xzcg-2022-036（招） </w:t>
      </w:r>
    </w:p>
    <w:p>
      <w:pPr>
        <w:spacing w:line="900" w:lineRule="exact"/>
        <w:jc w:val="center"/>
        <w:rPr>
          <w:rFonts w:ascii="仿宋" w:hAnsi="仿宋" w:eastAsia="仿宋"/>
          <w:color w:val="000000" w:themeColor="text1"/>
          <w:sz w:val="84"/>
          <w:highlight w:val="none"/>
        </w:rPr>
      </w:pPr>
    </w:p>
    <w:p>
      <w:pPr>
        <w:spacing w:line="900" w:lineRule="exact"/>
        <w:jc w:val="center"/>
        <w:rPr>
          <w:rFonts w:ascii="仿宋" w:hAnsi="仿宋" w:eastAsia="仿宋"/>
          <w:color w:val="000000" w:themeColor="text1"/>
          <w:sz w:val="84"/>
          <w:highlight w:val="none"/>
        </w:rPr>
      </w:pPr>
      <w:r>
        <w:rPr>
          <w:rFonts w:hint="eastAsia" w:ascii="仿宋" w:hAnsi="仿宋" w:eastAsia="仿宋"/>
          <w:color w:val="000000" w:themeColor="text1"/>
          <w:sz w:val="84"/>
          <w:highlight w:val="none"/>
        </w:rPr>
        <w:t>报</w:t>
      </w:r>
    </w:p>
    <w:p>
      <w:pPr>
        <w:spacing w:line="900" w:lineRule="exact"/>
        <w:jc w:val="center"/>
        <w:rPr>
          <w:rFonts w:ascii="仿宋" w:hAnsi="仿宋" w:eastAsia="仿宋"/>
          <w:color w:val="000000" w:themeColor="text1"/>
          <w:sz w:val="84"/>
          <w:highlight w:val="none"/>
        </w:rPr>
      </w:pPr>
      <w:r>
        <w:rPr>
          <w:rFonts w:hint="eastAsia" w:ascii="仿宋" w:hAnsi="仿宋" w:eastAsia="仿宋"/>
          <w:color w:val="000000" w:themeColor="text1"/>
          <w:sz w:val="84"/>
          <w:highlight w:val="none"/>
        </w:rPr>
        <w:t>价</w:t>
      </w:r>
    </w:p>
    <w:p>
      <w:pPr>
        <w:spacing w:line="900" w:lineRule="exact"/>
        <w:jc w:val="center"/>
        <w:rPr>
          <w:rFonts w:ascii="仿宋" w:hAnsi="仿宋" w:eastAsia="仿宋"/>
          <w:color w:val="000000" w:themeColor="text1"/>
          <w:sz w:val="84"/>
          <w:highlight w:val="none"/>
        </w:rPr>
      </w:pPr>
      <w:r>
        <w:rPr>
          <w:rFonts w:hint="eastAsia" w:ascii="仿宋" w:hAnsi="仿宋" w:eastAsia="仿宋"/>
          <w:color w:val="000000" w:themeColor="text1"/>
          <w:sz w:val="84"/>
          <w:highlight w:val="none"/>
        </w:rPr>
        <w:t>文</w:t>
      </w:r>
    </w:p>
    <w:p>
      <w:pPr>
        <w:spacing w:line="900" w:lineRule="exact"/>
        <w:jc w:val="center"/>
        <w:rPr>
          <w:rFonts w:ascii="仿宋" w:hAnsi="仿宋" w:eastAsia="仿宋"/>
          <w:color w:val="000000" w:themeColor="text1"/>
          <w:sz w:val="84"/>
          <w:highlight w:val="none"/>
        </w:rPr>
      </w:pPr>
      <w:r>
        <w:rPr>
          <w:rFonts w:hint="eastAsia" w:ascii="仿宋" w:hAnsi="仿宋" w:eastAsia="仿宋"/>
          <w:color w:val="000000" w:themeColor="text1"/>
          <w:sz w:val="84"/>
          <w:highlight w:val="none"/>
        </w:rPr>
        <w:t>件</w:t>
      </w:r>
    </w:p>
    <w:p>
      <w:pPr>
        <w:spacing w:line="900" w:lineRule="exact"/>
        <w:ind w:firstLine="2400" w:firstLineChars="750"/>
        <w:rPr>
          <w:rFonts w:ascii="仿宋" w:hAnsi="仿宋" w:eastAsia="仿宋"/>
          <w:color w:val="000000" w:themeColor="text1"/>
          <w:sz w:val="32"/>
          <w:highlight w:val="none"/>
        </w:rPr>
      </w:pPr>
    </w:p>
    <w:p>
      <w:pPr>
        <w:spacing w:afterLines="50" w:line="900" w:lineRule="exact"/>
        <w:rPr>
          <w:rFonts w:ascii="仿宋" w:hAnsi="仿宋" w:eastAsia="仿宋"/>
          <w:color w:val="000000" w:themeColor="text1"/>
          <w:sz w:val="36"/>
          <w:szCs w:val="36"/>
          <w:highlight w:val="none"/>
          <w:u w:val="single"/>
        </w:rPr>
      </w:pPr>
      <w:r>
        <w:rPr>
          <w:rFonts w:hint="eastAsia" w:ascii="仿宋" w:hAnsi="仿宋" w:eastAsia="仿宋"/>
          <w:color w:val="000000" w:themeColor="text1"/>
          <w:sz w:val="36"/>
          <w:szCs w:val="36"/>
          <w:highlight w:val="none"/>
        </w:rPr>
        <w:t>投标人全称</w:t>
      </w:r>
      <w:r>
        <w:rPr>
          <w:rFonts w:hint="eastAsia" w:ascii="仿宋" w:hAnsi="仿宋" w:eastAsia="仿宋"/>
          <w:color w:val="000000" w:themeColor="text1"/>
          <w:sz w:val="36"/>
          <w:szCs w:val="36"/>
          <w:highlight w:val="none"/>
          <w:u w:val="single"/>
        </w:rPr>
        <w:t xml:space="preserve">                                 </w:t>
      </w:r>
      <w:r>
        <w:rPr>
          <w:rFonts w:hint="eastAsia" w:ascii="仿宋" w:hAnsi="仿宋" w:eastAsia="仿宋"/>
          <w:color w:val="000000" w:themeColor="text1"/>
          <w:sz w:val="36"/>
          <w:szCs w:val="36"/>
          <w:highlight w:val="none"/>
        </w:rPr>
        <w:t>（盖公章）</w:t>
      </w:r>
    </w:p>
    <w:p>
      <w:pPr>
        <w:spacing w:afterLines="50" w:line="900" w:lineRule="exact"/>
        <w:ind w:firstLine="3600" w:firstLineChars="1000"/>
        <w:rPr>
          <w:rFonts w:ascii="仿宋" w:hAnsi="仿宋" w:eastAsia="仿宋"/>
          <w:color w:val="000000" w:themeColor="text1"/>
          <w:sz w:val="28"/>
          <w:szCs w:val="28"/>
          <w:highlight w:val="none"/>
        </w:rPr>
      </w:pPr>
      <w:r>
        <w:rPr>
          <w:rFonts w:hint="eastAsia" w:ascii="仿宋" w:hAnsi="仿宋" w:eastAsia="仿宋"/>
          <w:color w:val="000000" w:themeColor="text1"/>
          <w:sz w:val="36"/>
          <w:szCs w:val="36"/>
          <w:highlight w:val="none"/>
        </w:rPr>
        <w:t>年  月  日</w:t>
      </w:r>
      <w:r>
        <w:rPr>
          <w:rFonts w:hint="eastAsia" w:ascii="仿宋" w:hAnsi="仿宋" w:eastAsia="仿宋"/>
          <w:color w:val="000000" w:themeColor="text1"/>
          <w:sz w:val="28"/>
          <w:szCs w:val="28"/>
          <w:highlight w:val="none"/>
        </w:rPr>
        <w:t xml:space="preserve"> </w:t>
      </w:r>
    </w:p>
    <w:p>
      <w:pPr>
        <w:pStyle w:val="35"/>
        <w:rPr>
          <w:color w:val="000000" w:themeColor="text1"/>
        </w:rPr>
      </w:pPr>
    </w:p>
    <w:p>
      <w:pPr>
        <w:pStyle w:val="34"/>
        <w:rPr>
          <w:color w:val="000000" w:themeColor="text1"/>
        </w:rPr>
      </w:pPr>
    </w:p>
    <w:p>
      <w:pPr>
        <w:pStyle w:val="28"/>
        <w:rPr>
          <w:color w:val="000000" w:themeColor="text1"/>
        </w:rPr>
      </w:pPr>
    </w:p>
    <w:p>
      <w:pPr>
        <w:pStyle w:val="34"/>
        <w:ind w:firstLine="0"/>
        <w:rPr>
          <w:color w:val="000000" w:themeColor="text1"/>
        </w:rPr>
      </w:pPr>
    </w:p>
    <w:sectPr>
      <w:headerReference r:id="rId11" w:type="default"/>
      <w:footerReference r:id="rId12" w:type="default"/>
      <w:pgSz w:w="11906" w:h="16838"/>
      <w:pgMar w:top="1701" w:right="1286" w:bottom="1418"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angSong_GB2312">
    <w:altName w:val="仿宋"/>
    <w:panose1 w:val="02010609060101010101"/>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roman"/>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hakuyoxingshu7000">
    <w:altName w:val="Arial Unicode MS"/>
    <w:panose1 w:val="00000000000000000000"/>
    <w:charset w:val="7A"/>
    <w:family w:val="auto"/>
    <w:pitch w:val="default"/>
    <w:sig w:usb0="00000000" w:usb1="00000000" w:usb2="0000003F" w:usb3="00000000" w:csb0="603F00FF" w:csb1="FFFF0000"/>
  </w:font>
  <w:font w:name="等线">
    <w:altName w:val="微软雅黑"/>
    <w:panose1 w:val="00000000000000000000"/>
    <w:charset w:val="86"/>
    <w:family w:val="auto"/>
    <w:pitch w:val="default"/>
    <w:sig w:usb0="00000000" w:usb1="00000000" w:usb2="00000016" w:usb3="00000000" w:csb0="0004000F" w:csb1="00000000"/>
  </w:font>
  <w:font w:name="Meiryo">
    <w:panose1 w:val="020B0604030504040204"/>
    <w:charset w:val="80"/>
    <w:family w:val="swiss"/>
    <w:pitch w:val="default"/>
    <w:sig w:usb0="E10102FF" w:usb1="EAC7FFFF" w:usb2="00010012" w:usb3="00000000" w:csb0="6002009F" w:csb1="DFD7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pPr>
    <w:r>
      <w:pict>
        <v:shape id="文本框 2" o:spid="_x0000_s2051" o:spt="202" type="#_x0000_t202" style="position:absolute;left:0pt;margin-top:0pt;height:144pt;width:144pt;mso-position-horizontal:center;mso-position-horizontal-relative:margin;mso-wrap-style:none;z-index:2526197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xn2LV8oBAACbAwAADgAAAAAAAAABACAAAAAeAQAAZHJzL2Uyb0Rv&#10;Yy54bWxQSwUGAAAAAAYABgBZAQAAWgUAAAAA&#10;">
          <v:path/>
          <v:fill on="f" focussize="0,0"/>
          <v:stroke on="f" joinstyle="miter"/>
          <v:imagedata o:title=""/>
          <o:lock v:ext="edit"/>
          <v:textbox inset="0mm,0mm,0mm,0mm" style="mso-fit-shape-to-text:t;">
            <w:txbxContent>
              <w:p>
                <w:pPr>
                  <w:pStyle w:val="24"/>
                </w:pPr>
                <w:r>
                  <w:fldChar w:fldCharType="begin"/>
                </w:r>
                <w:r>
                  <w:instrText xml:space="preserve"> PAGE  \* MERGEFORMAT </w:instrText>
                </w:r>
                <w:r>
                  <w:fldChar w:fldCharType="separate"/>
                </w:r>
                <w:r>
                  <w:t>2</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pict>
        <v:shape id="文本框 3" o:spid="_x0000_s2052" o:spt="202" type="#_x0000_t202" style="position:absolute;left:0pt;margin-top:0pt;height:144pt;width:144pt;mso-position-horizontal:center;mso-position-horizontal-relative:margin;mso-wrap-style:none;z-index:2526208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egzaRyQEAAJwDAAAOAAAAAAAAAAEAIAAAAB4BAABkcnMvZTJvRG9j&#10;LnhtbFBLBQYAAAAABgAGAFkBAABZBQAAAAA=&#10;">
          <v:path/>
          <v:fill on="f" focussize="0,0"/>
          <v:stroke on="f" joinstyle="miter"/>
          <v:imagedata o:title=""/>
          <o:lock v:ext="edit"/>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pPr>
    <w:r>
      <w:pict>
        <v:shape id="_x0000_s2055" o:spid="_x0000_s2055" o:spt="202" type="#_x0000_t202" style="position:absolute;left:0pt;margin-top:0pt;height:144pt;width:144pt;mso-position-horizontal:center;mso-position-horizontal-relative:margin;mso-wrap-style:none;z-index:2526238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yORP8oBAACcAwAADgAAAAAAAAABACAAAAAeAQAAZHJzL2Uyb0Rv&#10;Yy54bWxQSwUGAAAAAAYABgBZAQAAWgUAAAAA&#10;">
          <v:path/>
          <v:fill on="f" focussize="0,0"/>
          <v:stroke on="f"/>
          <v:imagedata o:title=""/>
          <o:lock v:ext="edit" aspectratio="f"/>
          <v:textbox inset="0mm,0mm,0mm,0mm" style="mso-fit-shape-to-text:t;">
            <w:txbxContent>
              <w:p>
                <w:pPr>
                  <w:pStyle w:val="24"/>
                </w:pPr>
                <w:r>
                  <w:fldChar w:fldCharType="begin"/>
                </w:r>
                <w:r>
                  <w:instrText xml:space="preserve"> PAGE  \* MERGEFORMAT </w:instrText>
                </w:r>
                <w:r>
                  <w:fldChar w:fldCharType="separate"/>
                </w:r>
                <w:r>
                  <w:t>25</w:t>
                </w:r>
                <w:r>
                  <w:fldChar w:fldCharType="end"/>
                </w:r>
              </w:p>
            </w:txbxContent>
          </v:textbox>
        </v:shape>
      </w:pict>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pPr>
    <w:r>
      <w:pict>
        <v:shape id="_x0000_s2056" o:spid="_x0000_s2056" o:spt="202" type="#_x0000_t202" style="position:absolute;left:0pt;margin-top:0pt;height:144pt;width:144pt;mso-position-horizontal:center;mso-position-horizontal-relative:margin;mso-wrap-style:none;z-index:2526228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K7Sf0MoBAACcAwAADgAAAAAAAAABACAAAAAeAQAAZHJzL2Uyb0Rv&#10;Yy54bWxQSwUGAAAAAAYABgBZAQAAWgUAAAAA&#10;">
          <v:path/>
          <v:fill on="f" focussize="0,0"/>
          <v:stroke on="f"/>
          <v:imagedata o:title=""/>
          <o:lock v:ext="edit" aspectratio="f"/>
          <v:textbox inset="0mm,0mm,0mm,0mm" style="mso-fit-shape-to-text:t;">
            <w:txbxContent>
              <w:p>
                <w:pPr>
                  <w:pStyle w:val="24"/>
                </w:pPr>
                <w:r>
                  <w:fldChar w:fldCharType="begin"/>
                </w:r>
                <w:r>
                  <w:instrText xml:space="preserve"> PAGE  \* MERGEFORMAT </w:instrText>
                </w:r>
                <w:r>
                  <w:fldChar w:fldCharType="separate"/>
                </w:r>
                <w:r>
                  <w:t>370</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pPr>
    <w:r>
      <w:pict>
        <v:shape id="文本框 7" o:spid="_x0000_s2049" o:spt="202" type="#_x0000_t202" style="position:absolute;left:0pt;margin-top:0pt;height:144pt;width:144pt;mso-position-horizontal:center;mso-position-horizontal-relative:margin;mso-wrap-style:none;z-index:2526218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K7Sf0MoBAACcAwAADgAAAAAAAAABACAAAAAeAQAAZHJzL2Uyb0Rv&#10;Yy54bWxQSwUGAAAAAAYABgBZAQAAWgUAAAAA&#10;">
          <v:path/>
          <v:fill on="f" focussize="0,0"/>
          <v:stroke on="f" joinstyle="miter"/>
          <v:imagedata o:title=""/>
          <o:lock v:ext="edit"/>
          <v:textbox inset="0mm,0mm,0mm,0mm" style="mso-fit-shape-to-text:t;">
            <w:txbxContent>
              <w:p>
                <w:pPr>
                  <w:pStyle w:val="24"/>
                </w:pPr>
                <w:r>
                  <w:fldChar w:fldCharType="begin"/>
                </w:r>
                <w:r>
                  <w:instrText xml:space="preserve"> PAGE  \* MERGEFORMAT </w:instrText>
                </w:r>
                <w:r>
                  <w:fldChar w:fldCharType="separate"/>
                </w:r>
                <w:r>
                  <w:t>370</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both"/>
    </w:pPr>
    <w:r>
      <w:rPr>
        <w:rFonts w:ascii="FangSong_GB2312" w:eastAsia="FangSong_GB2312"/>
      </w:rPr>
      <w:drawing>
        <wp:inline distT="0" distB="0" distL="0" distR="0">
          <wp:extent cx="508635" cy="167005"/>
          <wp:effectExtent l="19050" t="0" r="5715" b="0"/>
          <wp:docPr id="3" name="图片 4" descr="dbde095b04c3af409cd30d4bfbf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dbde095b04c3af409cd30d4bfbf8aa0"/>
                  <pic:cNvPicPr>
                    <a:picLocks noChangeAspect="1" noChangeArrowheads="1"/>
                  </pic:cNvPicPr>
                </pic:nvPicPr>
                <pic:blipFill>
                  <a:blip r:embed="rId1"/>
                  <a:srcRect/>
                  <a:stretch>
                    <a:fillRect/>
                  </a:stretch>
                </pic:blipFill>
                <pic:spPr>
                  <a:xfrm>
                    <a:off x="0" y="0"/>
                    <a:ext cx="508635" cy="167005"/>
                  </a:xfrm>
                  <a:prstGeom prst="rect">
                    <a:avLst/>
                  </a:prstGeom>
                  <a:noFill/>
                  <a:ln w="9525" cmpd="sng">
                    <a:noFill/>
                    <a:miter lim="800000"/>
                    <a:headEnd/>
                    <a:tailEnd/>
                  </a:ln>
                </pic:spPr>
              </pic:pic>
            </a:graphicData>
          </a:graphic>
        </wp:inline>
      </w:drawing>
    </w:r>
    <w:r>
      <w:rPr>
        <w:rFonts w:hint="eastAsia" w:eastAsia="FangSong_GB2312"/>
      </w:rPr>
      <w:t>天台中学创新实验室和专用教室采购项目</w:t>
    </w:r>
    <w:r>
      <w:rPr>
        <w:rFonts w:hint="eastAsia" w:eastAsia="FangSong_GB2312"/>
        <w:lang w:val="en-US" w:eastAsia="zh-CN"/>
      </w:rPr>
      <w:t xml:space="preserve">                     </w:t>
    </w:r>
    <w:r>
      <w:rPr>
        <w:rFonts w:hint="eastAsia"/>
      </w:rPr>
      <w:t>xzcg-2022-036（招）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both"/>
    </w:pPr>
    <w:r>
      <w:rPr>
        <w:rFonts w:ascii="FangSong_GB2312" w:eastAsia="FangSong_GB2312"/>
      </w:rPr>
      <w:drawing>
        <wp:inline distT="0" distB="0" distL="0" distR="0">
          <wp:extent cx="508635" cy="167005"/>
          <wp:effectExtent l="19050" t="0" r="5715" b="0"/>
          <wp:docPr id="2" name="图片 3" descr="dbde095b04c3af409cd30d4bfbf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dbde095b04c3af409cd30d4bfbf8aa0"/>
                  <pic:cNvPicPr>
                    <a:picLocks noChangeAspect="1" noChangeArrowheads="1"/>
                  </pic:cNvPicPr>
                </pic:nvPicPr>
                <pic:blipFill>
                  <a:blip r:embed="rId1"/>
                  <a:srcRect/>
                  <a:stretch>
                    <a:fillRect/>
                  </a:stretch>
                </pic:blipFill>
                <pic:spPr>
                  <a:xfrm>
                    <a:off x="0" y="0"/>
                    <a:ext cx="508635" cy="167005"/>
                  </a:xfrm>
                  <a:prstGeom prst="rect">
                    <a:avLst/>
                  </a:prstGeom>
                  <a:noFill/>
                  <a:ln w="9525" cmpd="sng">
                    <a:noFill/>
                    <a:miter lim="800000"/>
                    <a:headEnd/>
                    <a:tailEnd/>
                  </a:ln>
                </pic:spPr>
              </pic:pic>
            </a:graphicData>
          </a:graphic>
        </wp:inline>
      </w:drawing>
    </w:r>
    <w:r>
      <w:rPr>
        <w:rFonts w:hint="eastAsia" w:eastAsia="FangSong_GB2312"/>
      </w:rPr>
      <w:t>天台中学创新实验室和专用教室采购项目</w:t>
    </w:r>
    <w:r>
      <w:rPr>
        <w:rFonts w:hint="eastAsia"/>
      </w:rPr>
      <w:t xml:space="preserve">                        xzcg-2022-036（招）</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both"/>
    </w:pPr>
    <w:r>
      <w:rPr>
        <w:rFonts w:ascii="FangSong_GB2312" w:eastAsia="FangSong_GB2312"/>
      </w:rPr>
      <w:drawing>
        <wp:inline distT="0" distB="0" distL="0" distR="0">
          <wp:extent cx="508635" cy="167005"/>
          <wp:effectExtent l="0" t="0" r="5715" b="4445"/>
          <wp:docPr id="43" name="图片 9" descr="dbde095b04c3af409cd30d4bfbf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dbde095b04c3af409cd30d4bfbf8aa0"/>
                  <pic:cNvPicPr>
                    <a:picLocks noChangeAspect="1" noChangeArrowheads="1"/>
                  </pic:cNvPicPr>
                </pic:nvPicPr>
                <pic:blipFill>
                  <a:blip r:embed="rId1"/>
                  <a:srcRect/>
                  <a:stretch>
                    <a:fillRect/>
                  </a:stretch>
                </pic:blipFill>
                <pic:spPr>
                  <a:xfrm>
                    <a:off x="0" y="0"/>
                    <a:ext cx="508635" cy="167005"/>
                  </a:xfrm>
                  <a:prstGeom prst="rect">
                    <a:avLst/>
                  </a:prstGeom>
                  <a:noFill/>
                  <a:ln w="9525" cmpd="sng">
                    <a:noFill/>
                    <a:miter lim="800000"/>
                    <a:headEnd/>
                    <a:tailEnd/>
                  </a:ln>
                </pic:spPr>
              </pic:pic>
            </a:graphicData>
          </a:graphic>
        </wp:inline>
      </w:drawing>
    </w:r>
    <w:r>
      <w:rPr>
        <w:rFonts w:hint="eastAsia" w:eastAsia="FangSong_GB2312"/>
      </w:rPr>
      <w:t>天台中学创新实验室和专用教室采购项目</w:t>
    </w:r>
    <w:r>
      <w:rPr>
        <w:rFonts w:hint="eastAsia"/>
      </w:rPr>
      <w:t xml:space="preserve">                        xzcg-2022-036（招）</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both"/>
    </w:pPr>
    <w:r>
      <w:rPr>
        <w:rFonts w:ascii="FangSong_GB2312" w:eastAsia="FangSong_GB2312"/>
      </w:rPr>
      <w:drawing>
        <wp:inline distT="0" distB="0" distL="0" distR="0">
          <wp:extent cx="508635" cy="167005"/>
          <wp:effectExtent l="0" t="0" r="5715" b="4445"/>
          <wp:docPr id="60" name="图片 9" descr="dbde095b04c3af409cd30d4bfbf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descr="dbde095b04c3af409cd30d4bfbf8aa0"/>
                  <pic:cNvPicPr>
                    <a:picLocks noChangeAspect="1" noChangeArrowheads="1"/>
                  </pic:cNvPicPr>
                </pic:nvPicPr>
                <pic:blipFill>
                  <a:blip r:embed="rId1"/>
                  <a:srcRect/>
                  <a:stretch>
                    <a:fillRect/>
                  </a:stretch>
                </pic:blipFill>
                <pic:spPr>
                  <a:xfrm>
                    <a:off x="0" y="0"/>
                    <a:ext cx="508635" cy="167005"/>
                  </a:xfrm>
                  <a:prstGeom prst="rect">
                    <a:avLst/>
                  </a:prstGeom>
                  <a:noFill/>
                  <a:ln w="9525" cmpd="sng">
                    <a:noFill/>
                    <a:miter lim="800000"/>
                    <a:headEnd/>
                    <a:tailEnd/>
                  </a:ln>
                </pic:spPr>
              </pic:pic>
            </a:graphicData>
          </a:graphic>
        </wp:inline>
      </w:drawing>
    </w:r>
    <w:r>
      <w:rPr>
        <w:rFonts w:hint="eastAsia" w:eastAsia="FangSong_GB2312"/>
      </w:rPr>
      <w:t>天台中学创新实验室和专用教室采购项目</w:t>
    </w:r>
    <w:r>
      <w:rPr>
        <w:rFonts w:hint="eastAsia"/>
      </w:rPr>
      <w:t xml:space="preserve">                        xzcg-2022-036（招）</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18"/>
        <w:szCs w:val="18"/>
        <w:u w:val="single"/>
      </w:rPr>
    </w:pPr>
    <w:r>
      <w:rPr>
        <w:rFonts w:ascii="FangSong_GB2312" w:eastAsia="FangSong_GB2312"/>
        <w:sz w:val="15"/>
        <w:szCs w:val="15"/>
        <w:u w:val="single"/>
      </w:rPr>
      <w:drawing>
        <wp:inline distT="0" distB="0" distL="0" distR="0">
          <wp:extent cx="469265" cy="158750"/>
          <wp:effectExtent l="19050" t="0" r="6985" b="0"/>
          <wp:docPr id="61" name="图片 7" descr="dbde095b04c3af409cd30d4bfbf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descr="dbde095b04c3af409cd30d4bfbf8aa0"/>
                  <pic:cNvPicPr>
                    <a:picLocks noChangeAspect="1" noChangeArrowheads="1"/>
                  </pic:cNvPicPr>
                </pic:nvPicPr>
                <pic:blipFill>
                  <a:blip r:embed="rId1"/>
                  <a:srcRect/>
                  <a:stretch>
                    <a:fillRect/>
                  </a:stretch>
                </pic:blipFill>
                <pic:spPr>
                  <a:xfrm>
                    <a:off x="0" y="0"/>
                    <a:ext cx="469265" cy="158750"/>
                  </a:xfrm>
                  <a:prstGeom prst="rect">
                    <a:avLst/>
                  </a:prstGeom>
                  <a:noFill/>
                  <a:ln w="9525" cmpd="sng">
                    <a:noFill/>
                    <a:miter lim="800000"/>
                    <a:headEnd/>
                    <a:tailEnd/>
                  </a:ln>
                </pic:spPr>
              </pic:pic>
            </a:graphicData>
          </a:graphic>
        </wp:inline>
      </w:drawing>
    </w:r>
    <w:r>
      <w:rPr>
        <w:rFonts w:hint="eastAsia" w:eastAsia="FangSong_GB2312"/>
        <w:sz w:val="18"/>
        <w:szCs w:val="18"/>
        <w:u w:val="single"/>
      </w:rPr>
      <w:t>天台中学创新实验室和专用教室采购项目</w:t>
    </w:r>
    <w:r>
      <w:rPr>
        <w:rFonts w:hint="eastAsia"/>
        <w:sz w:val="18"/>
        <w:szCs w:val="18"/>
        <w:u w:val="single"/>
      </w:rPr>
      <w:t xml:space="preserve">      xzcg-2022-036(招)</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47DB4C"/>
    <w:multiLevelType w:val="singleLevel"/>
    <w:tmpl w:val="B347DB4C"/>
    <w:lvl w:ilvl="0" w:tentative="0">
      <w:start w:val="1"/>
      <w:numFmt w:val="decimal"/>
      <w:suff w:val="nothing"/>
      <w:lvlText w:val="%1、"/>
      <w:lvlJc w:val="left"/>
    </w:lvl>
  </w:abstractNum>
  <w:abstractNum w:abstractNumId="1">
    <w:nsid w:val="02EF4944"/>
    <w:multiLevelType w:val="multilevel"/>
    <w:tmpl w:val="02EF494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ADAEC54"/>
    <w:multiLevelType w:val="singleLevel"/>
    <w:tmpl w:val="0ADAEC54"/>
    <w:lvl w:ilvl="0" w:tentative="0">
      <w:start w:val="1"/>
      <w:numFmt w:val="decimal"/>
      <w:lvlText w:val="%1."/>
      <w:lvlJc w:val="left"/>
      <w:pPr>
        <w:ind w:left="425" w:hanging="425"/>
      </w:pPr>
      <w:rPr>
        <w:rFonts w:hint="default"/>
      </w:rPr>
    </w:lvl>
  </w:abstractNum>
  <w:abstractNum w:abstractNumId="3">
    <w:nsid w:val="16073532"/>
    <w:multiLevelType w:val="multilevel"/>
    <w:tmpl w:val="16073532"/>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383230E"/>
    <w:multiLevelType w:val="multilevel"/>
    <w:tmpl w:val="2383230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5C98832"/>
    <w:multiLevelType w:val="singleLevel"/>
    <w:tmpl w:val="25C98832"/>
    <w:lvl w:ilvl="0" w:tentative="0">
      <w:start w:val="1"/>
      <w:numFmt w:val="decimal"/>
      <w:lvlText w:val="%1."/>
      <w:lvlJc w:val="left"/>
      <w:pPr>
        <w:tabs>
          <w:tab w:val="left" w:pos="312"/>
        </w:tabs>
      </w:pPr>
    </w:lvl>
  </w:abstractNum>
  <w:abstractNum w:abstractNumId="6">
    <w:nsid w:val="26F829E9"/>
    <w:multiLevelType w:val="multilevel"/>
    <w:tmpl w:val="26F829E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8E1ACE8"/>
    <w:multiLevelType w:val="singleLevel"/>
    <w:tmpl w:val="28E1ACE8"/>
    <w:lvl w:ilvl="0" w:tentative="0">
      <w:start w:val="6"/>
      <w:numFmt w:val="decimal"/>
      <w:suff w:val="space"/>
      <w:lvlText w:val="%1、"/>
      <w:lvlJc w:val="left"/>
    </w:lvl>
  </w:abstractNum>
  <w:abstractNum w:abstractNumId="8">
    <w:nsid w:val="3442138E"/>
    <w:multiLevelType w:val="multilevel"/>
    <w:tmpl w:val="3442138E"/>
    <w:lvl w:ilvl="0" w:tentative="0">
      <w:start w:val="19"/>
      <w:numFmt w:val="decimal"/>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C293043"/>
    <w:multiLevelType w:val="multilevel"/>
    <w:tmpl w:val="3C29304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FDB6D0D"/>
    <w:multiLevelType w:val="multilevel"/>
    <w:tmpl w:val="3FDB6D0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3D4521F"/>
    <w:multiLevelType w:val="multilevel"/>
    <w:tmpl w:val="43D4521F"/>
    <w:lvl w:ilvl="0" w:tentative="0">
      <w:start w:val="1"/>
      <w:numFmt w:val="japaneseCounting"/>
      <w:lvlText w:val="%1、"/>
      <w:lvlJc w:val="left"/>
      <w:pPr>
        <w:ind w:left="63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0226597"/>
    <w:multiLevelType w:val="multilevel"/>
    <w:tmpl w:val="5022659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4F403B5"/>
    <w:multiLevelType w:val="singleLevel"/>
    <w:tmpl w:val="54F403B5"/>
    <w:lvl w:ilvl="0" w:tentative="0">
      <w:start w:val="1"/>
      <w:numFmt w:val="chineseCounting"/>
      <w:suff w:val="nothing"/>
      <w:lvlText w:val="%1、"/>
      <w:lvlJc w:val="left"/>
      <w:pPr>
        <w:ind w:left="0" w:firstLine="0"/>
      </w:pPr>
    </w:lvl>
  </w:abstractNum>
  <w:abstractNum w:abstractNumId="14">
    <w:nsid w:val="557FD3DA"/>
    <w:multiLevelType w:val="singleLevel"/>
    <w:tmpl w:val="557FD3DA"/>
    <w:lvl w:ilvl="0" w:tentative="0">
      <w:start w:val="3"/>
      <w:numFmt w:val="chineseCounting"/>
      <w:suff w:val="nothing"/>
      <w:lvlText w:val="%1、"/>
      <w:lvlJc w:val="left"/>
      <w:pPr>
        <w:ind w:left="0" w:firstLine="0"/>
      </w:pPr>
    </w:lvl>
  </w:abstractNum>
  <w:abstractNum w:abstractNumId="15">
    <w:nsid w:val="5C2A7356"/>
    <w:multiLevelType w:val="multilevel"/>
    <w:tmpl w:val="5C2A7356"/>
    <w:lvl w:ilvl="0" w:tentative="0">
      <w:start w:val="1"/>
      <w:numFmt w:val="decimal"/>
      <w:lvlText w:val="%1."/>
      <w:lvlJc w:val="left"/>
      <w:pPr>
        <w:ind w:left="282" w:hanging="360"/>
      </w:pPr>
      <w:rPr>
        <w:rFonts w:hint="default"/>
      </w:rPr>
    </w:lvl>
    <w:lvl w:ilvl="1" w:tentative="0">
      <w:start w:val="1"/>
      <w:numFmt w:val="lowerLetter"/>
      <w:lvlText w:val="%2)"/>
      <w:lvlJc w:val="left"/>
      <w:pPr>
        <w:ind w:left="762" w:hanging="420"/>
      </w:pPr>
    </w:lvl>
    <w:lvl w:ilvl="2" w:tentative="0">
      <w:start w:val="1"/>
      <w:numFmt w:val="lowerRoman"/>
      <w:lvlText w:val="%3."/>
      <w:lvlJc w:val="right"/>
      <w:pPr>
        <w:ind w:left="1182" w:hanging="420"/>
      </w:pPr>
    </w:lvl>
    <w:lvl w:ilvl="3" w:tentative="0">
      <w:start w:val="1"/>
      <w:numFmt w:val="decimal"/>
      <w:lvlText w:val="%4."/>
      <w:lvlJc w:val="left"/>
      <w:pPr>
        <w:ind w:left="1602" w:hanging="420"/>
      </w:pPr>
    </w:lvl>
    <w:lvl w:ilvl="4" w:tentative="0">
      <w:start w:val="1"/>
      <w:numFmt w:val="lowerLetter"/>
      <w:lvlText w:val="%5)"/>
      <w:lvlJc w:val="left"/>
      <w:pPr>
        <w:ind w:left="2022" w:hanging="420"/>
      </w:pPr>
    </w:lvl>
    <w:lvl w:ilvl="5" w:tentative="0">
      <w:start w:val="1"/>
      <w:numFmt w:val="lowerRoman"/>
      <w:lvlText w:val="%6."/>
      <w:lvlJc w:val="right"/>
      <w:pPr>
        <w:ind w:left="2442" w:hanging="420"/>
      </w:pPr>
    </w:lvl>
    <w:lvl w:ilvl="6" w:tentative="0">
      <w:start w:val="1"/>
      <w:numFmt w:val="decimal"/>
      <w:lvlText w:val="%7."/>
      <w:lvlJc w:val="left"/>
      <w:pPr>
        <w:ind w:left="2862" w:hanging="420"/>
      </w:pPr>
    </w:lvl>
    <w:lvl w:ilvl="7" w:tentative="0">
      <w:start w:val="1"/>
      <w:numFmt w:val="lowerLetter"/>
      <w:lvlText w:val="%8)"/>
      <w:lvlJc w:val="left"/>
      <w:pPr>
        <w:ind w:left="3282" w:hanging="420"/>
      </w:pPr>
    </w:lvl>
    <w:lvl w:ilvl="8" w:tentative="0">
      <w:start w:val="1"/>
      <w:numFmt w:val="lowerRoman"/>
      <w:lvlText w:val="%9."/>
      <w:lvlJc w:val="right"/>
      <w:pPr>
        <w:ind w:left="3702" w:hanging="420"/>
      </w:pPr>
    </w:lvl>
  </w:abstractNum>
  <w:abstractNum w:abstractNumId="16">
    <w:nsid w:val="61ED0B58"/>
    <w:multiLevelType w:val="multilevel"/>
    <w:tmpl w:val="61ED0B58"/>
    <w:lvl w:ilvl="0" w:tentative="0">
      <w:start w:val="7"/>
      <w:numFmt w:val="decimal"/>
      <w:lvlText w:val="%1"/>
      <w:lvlJc w:val="left"/>
      <w:pPr>
        <w:ind w:left="360" w:hanging="360"/>
      </w:pPr>
      <w:rPr>
        <w:rFonts w:hint="default"/>
      </w:rPr>
    </w:lvl>
    <w:lvl w:ilvl="1" w:tentative="0">
      <w:start w:val="4"/>
      <w:numFmt w:val="decimal"/>
      <w:lvlText w:val="%1.%2"/>
      <w:lvlJc w:val="left"/>
      <w:pPr>
        <w:ind w:left="600" w:hanging="360"/>
      </w:pPr>
      <w:rPr>
        <w:rFonts w:hint="default"/>
      </w:rPr>
    </w:lvl>
    <w:lvl w:ilvl="2" w:tentative="0">
      <w:start w:val="1"/>
      <w:numFmt w:val="decimal"/>
      <w:lvlText w:val="%1.%2.%3"/>
      <w:lvlJc w:val="left"/>
      <w:pPr>
        <w:ind w:left="1200" w:hanging="720"/>
      </w:pPr>
      <w:rPr>
        <w:rFonts w:hint="default"/>
      </w:rPr>
    </w:lvl>
    <w:lvl w:ilvl="3" w:tentative="0">
      <w:start w:val="1"/>
      <w:numFmt w:val="decimal"/>
      <w:lvlText w:val="%1.%2.%3.%4"/>
      <w:lvlJc w:val="left"/>
      <w:pPr>
        <w:ind w:left="1800" w:hanging="1080"/>
      </w:pPr>
      <w:rPr>
        <w:rFonts w:hint="default"/>
      </w:rPr>
    </w:lvl>
    <w:lvl w:ilvl="4" w:tentative="0">
      <w:start w:val="1"/>
      <w:numFmt w:val="decimal"/>
      <w:lvlText w:val="%1.%2.%3.%4.%5"/>
      <w:lvlJc w:val="left"/>
      <w:pPr>
        <w:ind w:left="2040" w:hanging="1080"/>
      </w:pPr>
      <w:rPr>
        <w:rFonts w:hint="default"/>
      </w:rPr>
    </w:lvl>
    <w:lvl w:ilvl="5" w:tentative="0">
      <w:start w:val="1"/>
      <w:numFmt w:val="decimal"/>
      <w:lvlText w:val="%1.%2.%3.%4.%5.%6"/>
      <w:lvlJc w:val="left"/>
      <w:pPr>
        <w:ind w:left="2640" w:hanging="1440"/>
      </w:pPr>
      <w:rPr>
        <w:rFonts w:hint="default"/>
      </w:rPr>
    </w:lvl>
    <w:lvl w:ilvl="6" w:tentative="0">
      <w:start w:val="1"/>
      <w:numFmt w:val="decimal"/>
      <w:lvlText w:val="%1.%2.%3.%4.%5.%6.%7"/>
      <w:lvlJc w:val="left"/>
      <w:pPr>
        <w:ind w:left="3240" w:hanging="1800"/>
      </w:pPr>
      <w:rPr>
        <w:rFonts w:hint="default"/>
      </w:rPr>
    </w:lvl>
    <w:lvl w:ilvl="7" w:tentative="0">
      <w:start w:val="1"/>
      <w:numFmt w:val="decimal"/>
      <w:lvlText w:val="%1.%2.%3.%4.%5.%6.%7.%8"/>
      <w:lvlJc w:val="left"/>
      <w:pPr>
        <w:ind w:left="3480" w:hanging="1800"/>
      </w:pPr>
      <w:rPr>
        <w:rFonts w:hint="default"/>
      </w:rPr>
    </w:lvl>
    <w:lvl w:ilvl="8" w:tentative="0">
      <w:start w:val="1"/>
      <w:numFmt w:val="decimal"/>
      <w:lvlText w:val="%1.%2.%3.%4.%5.%6.%7.%8.%9"/>
      <w:lvlJc w:val="left"/>
      <w:pPr>
        <w:ind w:left="4080" w:hanging="2160"/>
      </w:pPr>
      <w:rPr>
        <w:rFonts w:hint="default"/>
      </w:rPr>
    </w:lvl>
  </w:abstractNum>
  <w:abstractNum w:abstractNumId="17">
    <w:nsid w:val="6F433F4F"/>
    <w:multiLevelType w:val="multilevel"/>
    <w:tmpl w:val="6F433F4F"/>
    <w:lvl w:ilvl="0" w:tentative="0">
      <w:start w:val="21"/>
      <w:numFmt w:val="decimal"/>
      <w:lvlText w:val="%1．"/>
      <w:lvlJc w:val="left"/>
      <w:pPr>
        <w:ind w:left="1028" w:hanging="615"/>
      </w:pPr>
      <w:rPr>
        <w:rFonts w:hint="default"/>
      </w:rPr>
    </w:lvl>
    <w:lvl w:ilvl="1" w:tentative="0">
      <w:start w:val="1"/>
      <w:numFmt w:val="lowerLetter"/>
      <w:lvlText w:val="%2)"/>
      <w:lvlJc w:val="left"/>
      <w:pPr>
        <w:ind w:left="1253" w:hanging="420"/>
      </w:pPr>
    </w:lvl>
    <w:lvl w:ilvl="2" w:tentative="0">
      <w:start w:val="1"/>
      <w:numFmt w:val="lowerRoman"/>
      <w:lvlText w:val="%3."/>
      <w:lvlJc w:val="right"/>
      <w:pPr>
        <w:ind w:left="1673" w:hanging="420"/>
      </w:pPr>
    </w:lvl>
    <w:lvl w:ilvl="3" w:tentative="0">
      <w:start w:val="1"/>
      <w:numFmt w:val="decimal"/>
      <w:lvlText w:val="%4."/>
      <w:lvlJc w:val="left"/>
      <w:pPr>
        <w:ind w:left="2093" w:hanging="420"/>
      </w:pPr>
    </w:lvl>
    <w:lvl w:ilvl="4" w:tentative="0">
      <w:start w:val="1"/>
      <w:numFmt w:val="lowerLetter"/>
      <w:lvlText w:val="%5)"/>
      <w:lvlJc w:val="left"/>
      <w:pPr>
        <w:ind w:left="2513" w:hanging="420"/>
      </w:pPr>
    </w:lvl>
    <w:lvl w:ilvl="5" w:tentative="0">
      <w:start w:val="1"/>
      <w:numFmt w:val="lowerRoman"/>
      <w:lvlText w:val="%6."/>
      <w:lvlJc w:val="right"/>
      <w:pPr>
        <w:ind w:left="2933" w:hanging="420"/>
      </w:pPr>
    </w:lvl>
    <w:lvl w:ilvl="6" w:tentative="0">
      <w:start w:val="1"/>
      <w:numFmt w:val="decimal"/>
      <w:lvlText w:val="%7."/>
      <w:lvlJc w:val="left"/>
      <w:pPr>
        <w:ind w:left="3353" w:hanging="420"/>
      </w:pPr>
    </w:lvl>
    <w:lvl w:ilvl="7" w:tentative="0">
      <w:start w:val="1"/>
      <w:numFmt w:val="lowerLetter"/>
      <w:lvlText w:val="%8)"/>
      <w:lvlJc w:val="left"/>
      <w:pPr>
        <w:ind w:left="3773" w:hanging="420"/>
      </w:pPr>
    </w:lvl>
    <w:lvl w:ilvl="8" w:tentative="0">
      <w:start w:val="1"/>
      <w:numFmt w:val="lowerRoman"/>
      <w:lvlText w:val="%9."/>
      <w:lvlJc w:val="right"/>
      <w:pPr>
        <w:ind w:left="4193" w:hanging="420"/>
      </w:pPr>
    </w:lvl>
  </w:abstractNum>
  <w:num w:numId="1">
    <w:abstractNumId w:val="16"/>
  </w:num>
  <w:num w:numId="2">
    <w:abstractNumId w:val="17"/>
  </w:num>
  <w:num w:numId="3">
    <w:abstractNumId w:val="6"/>
  </w:num>
  <w:num w:numId="4">
    <w:abstractNumId w:val="1"/>
  </w:num>
  <w:num w:numId="5">
    <w:abstractNumId w:val="12"/>
  </w:num>
  <w:num w:numId="6">
    <w:abstractNumId w:val="8"/>
  </w:num>
  <w:num w:numId="7">
    <w:abstractNumId w:val="9"/>
  </w:num>
  <w:num w:numId="8">
    <w:abstractNumId w:val="4"/>
  </w:num>
  <w:num w:numId="9">
    <w:abstractNumId w:val="10"/>
  </w:num>
  <w:num w:numId="10">
    <w:abstractNumId w:val="0"/>
  </w:num>
  <w:num w:numId="11">
    <w:abstractNumId w:val="5"/>
  </w:num>
  <w:num w:numId="12">
    <w:abstractNumId w:val="2"/>
  </w:num>
  <w:num w:numId="13">
    <w:abstractNumId w:val="7"/>
  </w:num>
  <w:num w:numId="14">
    <w:abstractNumId w:val="3"/>
  </w:num>
  <w:num w:numId="15">
    <w:abstractNumId w:val="11"/>
  </w:num>
  <w:num w:numId="16">
    <w:abstractNumId w:val="15"/>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QwMWU5MTQyNmY0YjYxYjgxMGFhYTY0N2E5OGMyYTQifQ=="/>
  </w:docVars>
  <w:rsids>
    <w:rsidRoot w:val="00172A27"/>
    <w:rsid w:val="00003DDE"/>
    <w:rsid w:val="00010F38"/>
    <w:rsid w:val="00015754"/>
    <w:rsid w:val="000212FA"/>
    <w:rsid w:val="00023C0C"/>
    <w:rsid w:val="00025C64"/>
    <w:rsid w:val="000311B7"/>
    <w:rsid w:val="00032085"/>
    <w:rsid w:val="00032F42"/>
    <w:rsid w:val="00033059"/>
    <w:rsid w:val="000375AF"/>
    <w:rsid w:val="000377A2"/>
    <w:rsid w:val="00037DB1"/>
    <w:rsid w:val="0004047E"/>
    <w:rsid w:val="00040B82"/>
    <w:rsid w:val="000475DD"/>
    <w:rsid w:val="0005012A"/>
    <w:rsid w:val="0005181A"/>
    <w:rsid w:val="00053F6F"/>
    <w:rsid w:val="00056F1E"/>
    <w:rsid w:val="00057C49"/>
    <w:rsid w:val="000604D9"/>
    <w:rsid w:val="00062E68"/>
    <w:rsid w:val="00064F81"/>
    <w:rsid w:val="000738CA"/>
    <w:rsid w:val="0008037A"/>
    <w:rsid w:val="00082DC0"/>
    <w:rsid w:val="00083C99"/>
    <w:rsid w:val="00086074"/>
    <w:rsid w:val="00087E56"/>
    <w:rsid w:val="00092AAA"/>
    <w:rsid w:val="00094765"/>
    <w:rsid w:val="000955B1"/>
    <w:rsid w:val="0009679C"/>
    <w:rsid w:val="0009695C"/>
    <w:rsid w:val="000A68F3"/>
    <w:rsid w:val="000A721C"/>
    <w:rsid w:val="000A794C"/>
    <w:rsid w:val="000A7BD7"/>
    <w:rsid w:val="000B1A1D"/>
    <w:rsid w:val="000B1DDB"/>
    <w:rsid w:val="000B5820"/>
    <w:rsid w:val="000B664A"/>
    <w:rsid w:val="000C0B49"/>
    <w:rsid w:val="000C0D19"/>
    <w:rsid w:val="000C155F"/>
    <w:rsid w:val="000C39C2"/>
    <w:rsid w:val="000C3E31"/>
    <w:rsid w:val="000C42FA"/>
    <w:rsid w:val="000C5DF2"/>
    <w:rsid w:val="000C6640"/>
    <w:rsid w:val="000C6CF8"/>
    <w:rsid w:val="000D4EF0"/>
    <w:rsid w:val="000E1C02"/>
    <w:rsid w:val="000F3FB1"/>
    <w:rsid w:val="000F4783"/>
    <w:rsid w:val="000F7A12"/>
    <w:rsid w:val="00101713"/>
    <w:rsid w:val="00102352"/>
    <w:rsid w:val="00102DCD"/>
    <w:rsid w:val="00105DE4"/>
    <w:rsid w:val="00115E14"/>
    <w:rsid w:val="001200C0"/>
    <w:rsid w:val="00125EEF"/>
    <w:rsid w:val="00127863"/>
    <w:rsid w:val="00127D95"/>
    <w:rsid w:val="00133333"/>
    <w:rsid w:val="00135BC2"/>
    <w:rsid w:val="001363DA"/>
    <w:rsid w:val="00137C92"/>
    <w:rsid w:val="001434C2"/>
    <w:rsid w:val="001466D7"/>
    <w:rsid w:val="00147055"/>
    <w:rsid w:val="00150046"/>
    <w:rsid w:val="001525A9"/>
    <w:rsid w:val="001553D3"/>
    <w:rsid w:val="0015730F"/>
    <w:rsid w:val="001574F4"/>
    <w:rsid w:val="00162D9F"/>
    <w:rsid w:val="001641E4"/>
    <w:rsid w:val="00164DC9"/>
    <w:rsid w:val="001671A8"/>
    <w:rsid w:val="0017066F"/>
    <w:rsid w:val="00172322"/>
    <w:rsid w:val="00172A27"/>
    <w:rsid w:val="00173106"/>
    <w:rsid w:val="00174482"/>
    <w:rsid w:val="0017683D"/>
    <w:rsid w:val="00180CCA"/>
    <w:rsid w:val="00187EB1"/>
    <w:rsid w:val="00190BA5"/>
    <w:rsid w:val="001924F4"/>
    <w:rsid w:val="00192E52"/>
    <w:rsid w:val="00194051"/>
    <w:rsid w:val="00194BCE"/>
    <w:rsid w:val="0019567A"/>
    <w:rsid w:val="0019570A"/>
    <w:rsid w:val="00195C0D"/>
    <w:rsid w:val="00197324"/>
    <w:rsid w:val="001A043A"/>
    <w:rsid w:val="001A0598"/>
    <w:rsid w:val="001A4E36"/>
    <w:rsid w:val="001A5C2A"/>
    <w:rsid w:val="001A7500"/>
    <w:rsid w:val="001B1C48"/>
    <w:rsid w:val="001B2A57"/>
    <w:rsid w:val="001B3CD6"/>
    <w:rsid w:val="001B612D"/>
    <w:rsid w:val="001C2101"/>
    <w:rsid w:val="001C2D39"/>
    <w:rsid w:val="001C4A18"/>
    <w:rsid w:val="001C4F95"/>
    <w:rsid w:val="001C5853"/>
    <w:rsid w:val="001C5E57"/>
    <w:rsid w:val="001D0350"/>
    <w:rsid w:val="001D21C2"/>
    <w:rsid w:val="001D4674"/>
    <w:rsid w:val="001D5B9A"/>
    <w:rsid w:val="001E01E2"/>
    <w:rsid w:val="001E08F4"/>
    <w:rsid w:val="001E11A7"/>
    <w:rsid w:val="001E26D5"/>
    <w:rsid w:val="001E3989"/>
    <w:rsid w:val="001E7946"/>
    <w:rsid w:val="001F25EE"/>
    <w:rsid w:val="001F2B2D"/>
    <w:rsid w:val="001F4495"/>
    <w:rsid w:val="001F4732"/>
    <w:rsid w:val="001F6B4F"/>
    <w:rsid w:val="002011C8"/>
    <w:rsid w:val="002027AA"/>
    <w:rsid w:val="0020764A"/>
    <w:rsid w:val="0021321A"/>
    <w:rsid w:val="0022017D"/>
    <w:rsid w:val="00232894"/>
    <w:rsid w:val="00232CC7"/>
    <w:rsid w:val="00234738"/>
    <w:rsid w:val="00235482"/>
    <w:rsid w:val="00235EFF"/>
    <w:rsid w:val="00240D80"/>
    <w:rsid w:val="00240FAB"/>
    <w:rsid w:val="00242527"/>
    <w:rsid w:val="002452E2"/>
    <w:rsid w:val="00245B67"/>
    <w:rsid w:val="00251407"/>
    <w:rsid w:val="00251A93"/>
    <w:rsid w:val="00251F0C"/>
    <w:rsid w:val="002535CF"/>
    <w:rsid w:val="002538F2"/>
    <w:rsid w:val="00254620"/>
    <w:rsid w:val="00261086"/>
    <w:rsid w:val="00261724"/>
    <w:rsid w:val="0026228D"/>
    <w:rsid w:val="00262D7A"/>
    <w:rsid w:val="0026395D"/>
    <w:rsid w:val="00263BB3"/>
    <w:rsid w:val="0027155D"/>
    <w:rsid w:val="00271989"/>
    <w:rsid w:val="00273983"/>
    <w:rsid w:val="00275413"/>
    <w:rsid w:val="002765F5"/>
    <w:rsid w:val="002773C9"/>
    <w:rsid w:val="002804B9"/>
    <w:rsid w:val="0028088A"/>
    <w:rsid w:val="00281AA6"/>
    <w:rsid w:val="00281DC5"/>
    <w:rsid w:val="0028232B"/>
    <w:rsid w:val="002825BE"/>
    <w:rsid w:val="0028532D"/>
    <w:rsid w:val="002854F9"/>
    <w:rsid w:val="002875B7"/>
    <w:rsid w:val="0029327C"/>
    <w:rsid w:val="00294B1E"/>
    <w:rsid w:val="00294EE8"/>
    <w:rsid w:val="002951AE"/>
    <w:rsid w:val="002957A4"/>
    <w:rsid w:val="00297B20"/>
    <w:rsid w:val="00297BA2"/>
    <w:rsid w:val="002A2482"/>
    <w:rsid w:val="002A3561"/>
    <w:rsid w:val="002B3148"/>
    <w:rsid w:val="002B5271"/>
    <w:rsid w:val="002C0B04"/>
    <w:rsid w:val="002C24F3"/>
    <w:rsid w:val="002C328B"/>
    <w:rsid w:val="002D1020"/>
    <w:rsid w:val="002D1B92"/>
    <w:rsid w:val="002E2C7D"/>
    <w:rsid w:val="002E61EF"/>
    <w:rsid w:val="002F2E99"/>
    <w:rsid w:val="00300DC0"/>
    <w:rsid w:val="00304179"/>
    <w:rsid w:val="003064B9"/>
    <w:rsid w:val="003071E8"/>
    <w:rsid w:val="00311A8A"/>
    <w:rsid w:val="0031564D"/>
    <w:rsid w:val="003179BB"/>
    <w:rsid w:val="00317F7B"/>
    <w:rsid w:val="00321998"/>
    <w:rsid w:val="00322A5F"/>
    <w:rsid w:val="003240D0"/>
    <w:rsid w:val="0032477B"/>
    <w:rsid w:val="003271F2"/>
    <w:rsid w:val="00330817"/>
    <w:rsid w:val="00334F8E"/>
    <w:rsid w:val="00335E1B"/>
    <w:rsid w:val="003405E5"/>
    <w:rsid w:val="00344A68"/>
    <w:rsid w:val="00344F5A"/>
    <w:rsid w:val="00345585"/>
    <w:rsid w:val="00354228"/>
    <w:rsid w:val="0035673F"/>
    <w:rsid w:val="003567F5"/>
    <w:rsid w:val="0035791A"/>
    <w:rsid w:val="00360F8A"/>
    <w:rsid w:val="003617E2"/>
    <w:rsid w:val="00361F70"/>
    <w:rsid w:val="00371F26"/>
    <w:rsid w:val="00375E01"/>
    <w:rsid w:val="003771A1"/>
    <w:rsid w:val="00377305"/>
    <w:rsid w:val="00382835"/>
    <w:rsid w:val="00383484"/>
    <w:rsid w:val="00383B1A"/>
    <w:rsid w:val="00384CA9"/>
    <w:rsid w:val="0039152D"/>
    <w:rsid w:val="0039286D"/>
    <w:rsid w:val="00396451"/>
    <w:rsid w:val="00396591"/>
    <w:rsid w:val="00396EEA"/>
    <w:rsid w:val="003A0A7E"/>
    <w:rsid w:val="003A2055"/>
    <w:rsid w:val="003A3C31"/>
    <w:rsid w:val="003A3D7F"/>
    <w:rsid w:val="003A6609"/>
    <w:rsid w:val="003B6C6C"/>
    <w:rsid w:val="003C0D62"/>
    <w:rsid w:val="003C157F"/>
    <w:rsid w:val="003C207B"/>
    <w:rsid w:val="003C219D"/>
    <w:rsid w:val="003C3EFD"/>
    <w:rsid w:val="003C711C"/>
    <w:rsid w:val="003D14CD"/>
    <w:rsid w:val="003D2FE9"/>
    <w:rsid w:val="003D391F"/>
    <w:rsid w:val="003D44BC"/>
    <w:rsid w:val="003E0106"/>
    <w:rsid w:val="003E230F"/>
    <w:rsid w:val="003E49F8"/>
    <w:rsid w:val="003E61F7"/>
    <w:rsid w:val="003E6504"/>
    <w:rsid w:val="003E65DE"/>
    <w:rsid w:val="003E6E4D"/>
    <w:rsid w:val="003E766A"/>
    <w:rsid w:val="003E78E6"/>
    <w:rsid w:val="003F206D"/>
    <w:rsid w:val="003F20D9"/>
    <w:rsid w:val="003F3FE5"/>
    <w:rsid w:val="003F432F"/>
    <w:rsid w:val="003F5F93"/>
    <w:rsid w:val="003F6F91"/>
    <w:rsid w:val="0040286D"/>
    <w:rsid w:val="00403041"/>
    <w:rsid w:val="004058EE"/>
    <w:rsid w:val="0041099D"/>
    <w:rsid w:val="00412CC4"/>
    <w:rsid w:val="004163D2"/>
    <w:rsid w:val="0041734C"/>
    <w:rsid w:val="004178DC"/>
    <w:rsid w:val="00426A59"/>
    <w:rsid w:val="00430993"/>
    <w:rsid w:val="00431C74"/>
    <w:rsid w:val="00432DA5"/>
    <w:rsid w:val="0043354F"/>
    <w:rsid w:val="00437AFD"/>
    <w:rsid w:val="004415AB"/>
    <w:rsid w:val="00446933"/>
    <w:rsid w:val="00447426"/>
    <w:rsid w:val="00456D0E"/>
    <w:rsid w:val="004621F7"/>
    <w:rsid w:val="00464502"/>
    <w:rsid w:val="004645BD"/>
    <w:rsid w:val="004655F3"/>
    <w:rsid w:val="004678FC"/>
    <w:rsid w:val="00472165"/>
    <w:rsid w:val="00474C4F"/>
    <w:rsid w:val="0047537B"/>
    <w:rsid w:val="004845B8"/>
    <w:rsid w:val="00485F26"/>
    <w:rsid w:val="0049148D"/>
    <w:rsid w:val="00491531"/>
    <w:rsid w:val="00491B28"/>
    <w:rsid w:val="004921AA"/>
    <w:rsid w:val="00494260"/>
    <w:rsid w:val="004A32E0"/>
    <w:rsid w:val="004A6B20"/>
    <w:rsid w:val="004B1505"/>
    <w:rsid w:val="004C4041"/>
    <w:rsid w:val="004D6A69"/>
    <w:rsid w:val="004D6DA4"/>
    <w:rsid w:val="004E132B"/>
    <w:rsid w:val="004E1613"/>
    <w:rsid w:val="004E2B5B"/>
    <w:rsid w:val="004E47C8"/>
    <w:rsid w:val="004E4E67"/>
    <w:rsid w:val="00502B4E"/>
    <w:rsid w:val="00516E3F"/>
    <w:rsid w:val="00522C25"/>
    <w:rsid w:val="00530A3A"/>
    <w:rsid w:val="00536F70"/>
    <w:rsid w:val="00537036"/>
    <w:rsid w:val="0054224F"/>
    <w:rsid w:val="005422DC"/>
    <w:rsid w:val="00542699"/>
    <w:rsid w:val="00543220"/>
    <w:rsid w:val="005447AD"/>
    <w:rsid w:val="00552F87"/>
    <w:rsid w:val="0055514D"/>
    <w:rsid w:val="005600C5"/>
    <w:rsid w:val="005602E8"/>
    <w:rsid w:val="0056056A"/>
    <w:rsid w:val="00560B94"/>
    <w:rsid w:val="005702E3"/>
    <w:rsid w:val="005710D6"/>
    <w:rsid w:val="00576526"/>
    <w:rsid w:val="005779DD"/>
    <w:rsid w:val="00580D66"/>
    <w:rsid w:val="005815FD"/>
    <w:rsid w:val="0059183D"/>
    <w:rsid w:val="00591FF6"/>
    <w:rsid w:val="00593176"/>
    <w:rsid w:val="005936A2"/>
    <w:rsid w:val="00593875"/>
    <w:rsid w:val="0059441A"/>
    <w:rsid w:val="00595C37"/>
    <w:rsid w:val="00597ECF"/>
    <w:rsid w:val="005A0156"/>
    <w:rsid w:val="005A1266"/>
    <w:rsid w:val="005A144C"/>
    <w:rsid w:val="005A26DD"/>
    <w:rsid w:val="005B07EA"/>
    <w:rsid w:val="005B0E8E"/>
    <w:rsid w:val="005B1274"/>
    <w:rsid w:val="005B346D"/>
    <w:rsid w:val="005B4ED9"/>
    <w:rsid w:val="005B4EF6"/>
    <w:rsid w:val="005B585B"/>
    <w:rsid w:val="005B69E9"/>
    <w:rsid w:val="005B6B25"/>
    <w:rsid w:val="005C2612"/>
    <w:rsid w:val="005C3D43"/>
    <w:rsid w:val="005C46EC"/>
    <w:rsid w:val="005C5700"/>
    <w:rsid w:val="005C7ABE"/>
    <w:rsid w:val="005D3A1C"/>
    <w:rsid w:val="005D6B1B"/>
    <w:rsid w:val="005D6B81"/>
    <w:rsid w:val="005D7F5C"/>
    <w:rsid w:val="005E3D46"/>
    <w:rsid w:val="005F1CE5"/>
    <w:rsid w:val="0060770B"/>
    <w:rsid w:val="00607A48"/>
    <w:rsid w:val="006101B9"/>
    <w:rsid w:val="006104F2"/>
    <w:rsid w:val="006134B9"/>
    <w:rsid w:val="006143C8"/>
    <w:rsid w:val="00614F95"/>
    <w:rsid w:val="006209B4"/>
    <w:rsid w:val="0062564E"/>
    <w:rsid w:val="0062677A"/>
    <w:rsid w:val="006267BF"/>
    <w:rsid w:val="00627061"/>
    <w:rsid w:val="0062754F"/>
    <w:rsid w:val="00631723"/>
    <w:rsid w:val="00631B75"/>
    <w:rsid w:val="006320AD"/>
    <w:rsid w:val="0063216D"/>
    <w:rsid w:val="0063675F"/>
    <w:rsid w:val="00642A1B"/>
    <w:rsid w:val="00645427"/>
    <w:rsid w:val="006509C7"/>
    <w:rsid w:val="00650DD2"/>
    <w:rsid w:val="00651AD9"/>
    <w:rsid w:val="00652412"/>
    <w:rsid w:val="00652C09"/>
    <w:rsid w:val="00654853"/>
    <w:rsid w:val="00655125"/>
    <w:rsid w:val="00660EFB"/>
    <w:rsid w:val="006624CE"/>
    <w:rsid w:val="0066390E"/>
    <w:rsid w:val="00665646"/>
    <w:rsid w:val="00665B70"/>
    <w:rsid w:val="0066618D"/>
    <w:rsid w:val="00667084"/>
    <w:rsid w:val="006701BE"/>
    <w:rsid w:val="00670F10"/>
    <w:rsid w:val="0067327B"/>
    <w:rsid w:val="00676A63"/>
    <w:rsid w:val="00676FFA"/>
    <w:rsid w:val="006777FC"/>
    <w:rsid w:val="00677B5E"/>
    <w:rsid w:val="00687C5C"/>
    <w:rsid w:val="00693AEB"/>
    <w:rsid w:val="006A1931"/>
    <w:rsid w:val="006A2E7E"/>
    <w:rsid w:val="006A4447"/>
    <w:rsid w:val="006A492A"/>
    <w:rsid w:val="006A5427"/>
    <w:rsid w:val="006B19D2"/>
    <w:rsid w:val="006B269A"/>
    <w:rsid w:val="006C041A"/>
    <w:rsid w:val="006C0953"/>
    <w:rsid w:val="006C3CA9"/>
    <w:rsid w:val="006C4BB7"/>
    <w:rsid w:val="006C5251"/>
    <w:rsid w:val="006C7BDD"/>
    <w:rsid w:val="006D2A98"/>
    <w:rsid w:val="006D7B92"/>
    <w:rsid w:val="006E03F6"/>
    <w:rsid w:val="006E08B6"/>
    <w:rsid w:val="006E7605"/>
    <w:rsid w:val="006F0FE6"/>
    <w:rsid w:val="006F1C04"/>
    <w:rsid w:val="006F6940"/>
    <w:rsid w:val="006F709F"/>
    <w:rsid w:val="00702BCC"/>
    <w:rsid w:val="00703FA6"/>
    <w:rsid w:val="00705EE4"/>
    <w:rsid w:val="00706333"/>
    <w:rsid w:val="00712046"/>
    <w:rsid w:val="0071279E"/>
    <w:rsid w:val="007128A2"/>
    <w:rsid w:val="00712E2F"/>
    <w:rsid w:val="0071408F"/>
    <w:rsid w:val="00720959"/>
    <w:rsid w:val="00723061"/>
    <w:rsid w:val="0072319A"/>
    <w:rsid w:val="00725B22"/>
    <w:rsid w:val="0073032B"/>
    <w:rsid w:val="00730CA7"/>
    <w:rsid w:val="007330BD"/>
    <w:rsid w:val="00733F6F"/>
    <w:rsid w:val="0073463D"/>
    <w:rsid w:val="007370F8"/>
    <w:rsid w:val="0073746A"/>
    <w:rsid w:val="007376F8"/>
    <w:rsid w:val="00742736"/>
    <w:rsid w:val="00742A8C"/>
    <w:rsid w:val="00744C5D"/>
    <w:rsid w:val="00744FF0"/>
    <w:rsid w:val="007453B5"/>
    <w:rsid w:val="00747A7C"/>
    <w:rsid w:val="0075053F"/>
    <w:rsid w:val="007507B9"/>
    <w:rsid w:val="00750D53"/>
    <w:rsid w:val="0075285F"/>
    <w:rsid w:val="00761B3A"/>
    <w:rsid w:val="00761BA0"/>
    <w:rsid w:val="007624CF"/>
    <w:rsid w:val="00764502"/>
    <w:rsid w:val="00764DD9"/>
    <w:rsid w:val="00766E2C"/>
    <w:rsid w:val="00771F8D"/>
    <w:rsid w:val="0077273A"/>
    <w:rsid w:val="00772908"/>
    <w:rsid w:val="0077411A"/>
    <w:rsid w:val="00774168"/>
    <w:rsid w:val="0077422B"/>
    <w:rsid w:val="0077621A"/>
    <w:rsid w:val="00781011"/>
    <w:rsid w:val="00782347"/>
    <w:rsid w:val="0078338B"/>
    <w:rsid w:val="00790042"/>
    <w:rsid w:val="007943AC"/>
    <w:rsid w:val="00794E53"/>
    <w:rsid w:val="00796FB9"/>
    <w:rsid w:val="00797917"/>
    <w:rsid w:val="007A09C2"/>
    <w:rsid w:val="007A16FF"/>
    <w:rsid w:val="007A19CF"/>
    <w:rsid w:val="007A593E"/>
    <w:rsid w:val="007A7FC2"/>
    <w:rsid w:val="007B0F8D"/>
    <w:rsid w:val="007B2738"/>
    <w:rsid w:val="007C3759"/>
    <w:rsid w:val="007D01F1"/>
    <w:rsid w:val="007D76C5"/>
    <w:rsid w:val="007E03B2"/>
    <w:rsid w:val="007E059F"/>
    <w:rsid w:val="007E59D3"/>
    <w:rsid w:val="007F1376"/>
    <w:rsid w:val="0080307E"/>
    <w:rsid w:val="008039D7"/>
    <w:rsid w:val="0080415C"/>
    <w:rsid w:val="00804697"/>
    <w:rsid w:val="008056DB"/>
    <w:rsid w:val="0080579C"/>
    <w:rsid w:val="00805EE5"/>
    <w:rsid w:val="008065BA"/>
    <w:rsid w:val="00820CDB"/>
    <w:rsid w:val="00822A52"/>
    <w:rsid w:val="00823C46"/>
    <w:rsid w:val="008240A5"/>
    <w:rsid w:val="008254EE"/>
    <w:rsid w:val="0082555C"/>
    <w:rsid w:val="00826675"/>
    <w:rsid w:val="0083269A"/>
    <w:rsid w:val="00834FA2"/>
    <w:rsid w:val="00840781"/>
    <w:rsid w:val="00844A3B"/>
    <w:rsid w:val="00845311"/>
    <w:rsid w:val="00846C35"/>
    <w:rsid w:val="008506AA"/>
    <w:rsid w:val="0085413A"/>
    <w:rsid w:val="00854F45"/>
    <w:rsid w:val="008607EB"/>
    <w:rsid w:val="00862C5D"/>
    <w:rsid w:val="008630E0"/>
    <w:rsid w:val="00863B57"/>
    <w:rsid w:val="00863E9A"/>
    <w:rsid w:val="008678F8"/>
    <w:rsid w:val="0087108F"/>
    <w:rsid w:val="008728F5"/>
    <w:rsid w:val="00874E56"/>
    <w:rsid w:val="00883CE2"/>
    <w:rsid w:val="0088508A"/>
    <w:rsid w:val="0088677E"/>
    <w:rsid w:val="00887C3B"/>
    <w:rsid w:val="008902AC"/>
    <w:rsid w:val="00891BB9"/>
    <w:rsid w:val="00892EBD"/>
    <w:rsid w:val="0089354F"/>
    <w:rsid w:val="00895E3B"/>
    <w:rsid w:val="008A0F9D"/>
    <w:rsid w:val="008A2A92"/>
    <w:rsid w:val="008A5967"/>
    <w:rsid w:val="008A6C9F"/>
    <w:rsid w:val="008A72B4"/>
    <w:rsid w:val="008B0C25"/>
    <w:rsid w:val="008B48A1"/>
    <w:rsid w:val="008B61D8"/>
    <w:rsid w:val="008B7EFA"/>
    <w:rsid w:val="008C3CEF"/>
    <w:rsid w:val="008D0EAB"/>
    <w:rsid w:val="008D4C9C"/>
    <w:rsid w:val="008E052F"/>
    <w:rsid w:val="008E1AB3"/>
    <w:rsid w:val="008E7F39"/>
    <w:rsid w:val="0090201E"/>
    <w:rsid w:val="00902823"/>
    <w:rsid w:val="00906097"/>
    <w:rsid w:val="009107C3"/>
    <w:rsid w:val="00910DB3"/>
    <w:rsid w:val="009111DD"/>
    <w:rsid w:val="009200ED"/>
    <w:rsid w:val="0092181D"/>
    <w:rsid w:val="00922D46"/>
    <w:rsid w:val="009233BF"/>
    <w:rsid w:val="00926E81"/>
    <w:rsid w:val="00931A8A"/>
    <w:rsid w:val="00932896"/>
    <w:rsid w:val="00932D92"/>
    <w:rsid w:val="00933C4F"/>
    <w:rsid w:val="0093553F"/>
    <w:rsid w:val="0093720C"/>
    <w:rsid w:val="009400F3"/>
    <w:rsid w:val="00940B43"/>
    <w:rsid w:val="0094257F"/>
    <w:rsid w:val="00942596"/>
    <w:rsid w:val="00946454"/>
    <w:rsid w:val="009465CD"/>
    <w:rsid w:val="00946CBB"/>
    <w:rsid w:val="009476C5"/>
    <w:rsid w:val="0095643A"/>
    <w:rsid w:val="00962ACE"/>
    <w:rsid w:val="00964B1A"/>
    <w:rsid w:val="00965A08"/>
    <w:rsid w:val="00965B84"/>
    <w:rsid w:val="009705C4"/>
    <w:rsid w:val="00975E8E"/>
    <w:rsid w:val="00980FA4"/>
    <w:rsid w:val="00981E16"/>
    <w:rsid w:val="00987812"/>
    <w:rsid w:val="00987881"/>
    <w:rsid w:val="00987E67"/>
    <w:rsid w:val="00991721"/>
    <w:rsid w:val="009947EA"/>
    <w:rsid w:val="00994E8F"/>
    <w:rsid w:val="00997974"/>
    <w:rsid w:val="009A0340"/>
    <w:rsid w:val="009A0BB6"/>
    <w:rsid w:val="009A0CFB"/>
    <w:rsid w:val="009A1262"/>
    <w:rsid w:val="009A4C5E"/>
    <w:rsid w:val="009B1130"/>
    <w:rsid w:val="009B2F12"/>
    <w:rsid w:val="009B4EC4"/>
    <w:rsid w:val="009B55FE"/>
    <w:rsid w:val="009B65E1"/>
    <w:rsid w:val="009B7A4E"/>
    <w:rsid w:val="009C121A"/>
    <w:rsid w:val="009D1717"/>
    <w:rsid w:val="009D3158"/>
    <w:rsid w:val="009D5DF8"/>
    <w:rsid w:val="009E43D3"/>
    <w:rsid w:val="009E507F"/>
    <w:rsid w:val="009F01C9"/>
    <w:rsid w:val="009F292F"/>
    <w:rsid w:val="009F3F95"/>
    <w:rsid w:val="009F45D1"/>
    <w:rsid w:val="009F5033"/>
    <w:rsid w:val="009F542F"/>
    <w:rsid w:val="009F7647"/>
    <w:rsid w:val="00A01133"/>
    <w:rsid w:val="00A07166"/>
    <w:rsid w:val="00A07AC2"/>
    <w:rsid w:val="00A10391"/>
    <w:rsid w:val="00A106A3"/>
    <w:rsid w:val="00A1156A"/>
    <w:rsid w:val="00A11A03"/>
    <w:rsid w:val="00A11A26"/>
    <w:rsid w:val="00A12225"/>
    <w:rsid w:val="00A15048"/>
    <w:rsid w:val="00A16A84"/>
    <w:rsid w:val="00A266E9"/>
    <w:rsid w:val="00A26932"/>
    <w:rsid w:val="00A276DD"/>
    <w:rsid w:val="00A30B1D"/>
    <w:rsid w:val="00A31F90"/>
    <w:rsid w:val="00A351E4"/>
    <w:rsid w:val="00A35E1E"/>
    <w:rsid w:val="00A36682"/>
    <w:rsid w:val="00A406E3"/>
    <w:rsid w:val="00A410CD"/>
    <w:rsid w:val="00A414D6"/>
    <w:rsid w:val="00A44042"/>
    <w:rsid w:val="00A4487F"/>
    <w:rsid w:val="00A45C43"/>
    <w:rsid w:val="00A46952"/>
    <w:rsid w:val="00A47C8B"/>
    <w:rsid w:val="00A541F9"/>
    <w:rsid w:val="00A552B2"/>
    <w:rsid w:val="00A60A00"/>
    <w:rsid w:val="00A60B7A"/>
    <w:rsid w:val="00A612EC"/>
    <w:rsid w:val="00A618CE"/>
    <w:rsid w:val="00A62526"/>
    <w:rsid w:val="00A71C27"/>
    <w:rsid w:val="00A82213"/>
    <w:rsid w:val="00A83D22"/>
    <w:rsid w:val="00A84E8C"/>
    <w:rsid w:val="00A8585C"/>
    <w:rsid w:val="00A94309"/>
    <w:rsid w:val="00A974E2"/>
    <w:rsid w:val="00A97F6C"/>
    <w:rsid w:val="00AA4D4E"/>
    <w:rsid w:val="00AB4583"/>
    <w:rsid w:val="00AC2C0C"/>
    <w:rsid w:val="00AC4A36"/>
    <w:rsid w:val="00AC75DA"/>
    <w:rsid w:val="00AD0627"/>
    <w:rsid w:val="00AD6EBB"/>
    <w:rsid w:val="00AE26E7"/>
    <w:rsid w:val="00AE70D5"/>
    <w:rsid w:val="00AF0DC9"/>
    <w:rsid w:val="00AF21C9"/>
    <w:rsid w:val="00AF43E2"/>
    <w:rsid w:val="00AF49F3"/>
    <w:rsid w:val="00AF52ED"/>
    <w:rsid w:val="00AF5451"/>
    <w:rsid w:val="00AF68F1"/>
    <w:rsid w:val="00AF7934"/>
    <w:rsid w:val="00B00891"/>
    <w:rsid w:val="00B012F8"/>
    <w:rsid w:val="00B015BD"/>
    <w:rsid w:val="00B02E83"/>
    <w:rsid w:val="00B07B88"/>
    <w:rsid w:val="00B10B7A"/>
    <w:rsid w:val="00B1114F"/>
    <w:rsid w:val="00B149B4"/>
    <w:rsid w:val="00B15292"/>
    <w:rsid w:val="00B15AA9"/>
    <w:rsid w:val="00B16715"/>
    <w:rsid w:val="00B2299A"/>
    <w:rsid w:val="00B35433"/>
    <w:rsid w:val="00B356C9"/>
    <w:rsid w:val="00B409FA"/>
    <w:rsid w:val="00B41DD5"/>
    <w:rsid w:val="00B44774"/>
    <w:rsid w:val="00B44B00"/>
    <w:rsid w:val="00B529A5"/>
    <w:rsid w:val="00B562A6"/>
    <w:rsid w:val="00B578E9"/>
    <w:rsid w:val="00B62031"/>
    <w:rsid w:val="00B621D8"/>
    <w:rsid w:val="00B62AD0"/>
    <w:rsid w:val="00B65254"/>
    <w:rsid w:val="00B67D11"/>
    <w:rsid w:val="00B67D86"/>
    <w:rsid w:val="00B70CF8"/>
    <w:rsid w:val="00B7159C"/>
    <w:rsid w:val="00B74751"/>
    <w:rsid w:val="00B74781"/>
    <w:rsid w:val="00B80C92"/>
    <w:rsid w:val="00B8154C"/>
    <w:rsid w:val="00B820CE"/>
    <w:rsid w:val="00B8414A"/>
    <w:rsid w:val="00B86518"/>
    <w:rsid w:val="00B8697F"/>
    <w:rsid w:val="00B93656"/>
    <w:rsid w:val="00BB0579"/>
    <w:rsid w:val="00BB1C41"/>
    <w:rsid w:val="00BB3191"/>
    <w:rsid w:val="00BB340F"/>
    <w:rsid w:val="00BB5BEA"/>
    <w:rsid w:val="00BB6EE0"/>
    <w:rsid w:val="00BC05AC"/>
    <w:rsid w:val="00BC0D7D"/>
    <w:rsid w:val="00BC4B27"/>
    <w:rsid w:val="00BC5B8C"/>
    <w:rsid w:val="00BC73DF"/>
    <w:rsid w:val="00BD00E2"/>
    <w:rsid w:val="00BD1DFF"/>
    <w:rsid w:val="00BD7DF8"/>
    <w:rsid w:val="00BE0684"/>
    <w:rsid w:val="00BE1040"/>
    <w:rsid w:val="00BE5C8A"/>
    <w:rsid w:val="00BF36E3"/>
    <w:rsid w:val="00BF3E7F"/>
    <w:rsid w:val="00BF773C"/>
    <w:rsid w:val="00C00799"/>
    <w:rsid w:val="00C00B50"/>
    <w:rsid w:val="00C015CA"/>
    <w:rsid w:val="00C03EDC"/>
    <w:rsid w:val="00C058F1"/>
    <w:rsid w:val="00C05B1B"/>
    <w:rsid w:val="00C07678"/>
    <w:rsid w:val="00C11D8E"/>
    <w:rsid w:val="00C14815"/>
    <w:rsid w:val="00C177FC"/>
    <w:rsid w:val="00C24E95"/>
    <w:rsid w:val="00C32F5B"/>
    <w:rsid w:val="00C34D05"/>
    <w:rsid w:val="00C350D3"/>
    <w:rsid w:val="00C3673A"/>
    <w:rsid w:val="00C42906"/>
    <w:rsid w:val="00C42B77"/>
    <w:rsid w:val="00C4484C"/>
    <w:rsid w:val="00C4516C"/>
    <w:rsid w:val="00C53458"/>
    <w:rsid w:val="00C54E15"/>
    <w:rsid w:val="00C55C73"/>
    <w:rsid w:val="00C62201"/>
    <w:rsid w:val="00C6280E"/>
    <w:rsid w:val="00C628FF"/>
    <w:rsid w:val="00C75C78"/>
    <w:rsid w:val="00C7675D"/>
    <w:rsid w:val="00C83DFD"/>
    <w:rsid w:val="00C84186"/>
    <w:rsid w:val="00C8450E"/>
    <w:rsid w:val="00C85A3B"/>
    <w:rsid w:val="00C86525"/>
    <w:rsid w:val="00C93CD0"/>
    <w:rsid w:val="00CA549D"/>
    <w:rsid w:val="00CA6278"/>
    <w:rsid w:val="00CB121F"/>
    <w:rsid w:val="00CB5464"/>
    <w:rsid w:val="00CB74D4"/>
    <w:rsid w:val="00CC249F"/>
    <w:rsid w:val="00CC35DF"/>
    <w:rsid w:val="00CC785F"/>
    <w:rsid w:val="00CC7A2F"/>
    <w:rsid w:val="00CC7D73"/>
    <w:rsid w:val="00CD2ED8"/>
    <w:rsid w:val="00CD4763"/>
    <w:rsid w:val="00CD6B1E"/>
    <w:rsid w:val="00CD6F14"/>
    <w:rsid w:val="00CE00FB"/>
    <w:rsid w:val="00CE5051"/>
    <w:rsid w:val="00CE7409"/>
    <w:rsid w:val="00CE7420"/>
    <w:rsid w:val="00CE77E1"/>
    <w:rsid w:val="00D038FB"/>
    <w:rsid w:val="00D03B8A"/>
    <w:rsid w:val="00D07101"/>
    <w:rsid w:val="00D1518A"/>
    <w:rsid w:val="00D1524A"/>
    <w:rsid w:val="00D1618C"/>
    <w:rsid w:val="00D1643A"/>
    <w:rsid w:val="00D208E1"/>
    <w:rsid w:val="00D2248D"/>
    <w:rsid w:val="00D2262E"/>
    <w:rsid w:val="00D23A14"/>
    <w:rsid w:val="00D3041D"/>
    <w:rsid w:val="00D307D7"/>
    <w:rsid w:val="00D3450D"/>
    <w:rsid w:val="00D376B2"/>
    <w:rsid w:val="00D42A4A"/>
    <w:rsid w:val="00D432AA"/>
    <w:rsid w:val="00D451B8"/>
    <w:rsid w:val="00D52D09"/>
    <w:rsid w:val="00D534D4"/>
    <w:rsid w:val="00D55CA2"/>
    <w:rsid w:val="00D63CCA"/>
    <w:rsid w:val="00D67C2C"/>
    <w:rsid w:val="00D67F80"/>
    <w:rsid w:val="00D719C9"/>
    <w:rsid w:val="00D75764"/>
    <w:rsid w:val="00D81D62"/>
    <w:rsid w:val="00D9088F"/>
    <w:rsid w:val="00D910F4"/>
    <w:rsid w:val="00D9211E"/>
    <w:rsid w:val="00D93C93"/>
    <w:rsid w:val="00D96797"/>
    <w:rsid w:val="00DA7EC3"/>
    <w:rsid w:val="00DA7FA3"/>
    <w:rsid w:val="00DB1E20"/>
    <w:rsid w:val="00DB1EA8"/>
    <w:rsid w:val="00DB2430"/>
    <w:rsid w:val="00DB25F8"/>
    <w:rsid w:val="00DB2C60"/>
    <w:rsid w:val="00DB71BD"/>
    <w:rsid w:val="00DC481F"/>
    <w:rsid w:val="00DC487D"/>
    <w:rsid w:val="00DC48B1"/>
    <w:rsid w:val="00DD6516"/>
    <w:rsid w:val="00DE1EF7"/>
    <w:rsid w:val="00DE352C"/>
    <w:rsid w:val="00DF1642"/>
    <w:rsid w:val="00DF1A80"/>
    <w:rsid w:val="00E00227"/>
    <w:rsid w:val="00E014CD"/>
    <w:rsid w:val="00E02F38"/>
    <w:rsid w:val="00E03574"/>
    <w:rsid w:val="00E04C96"/>
    <w:rsid w:val="00E05EC2"/>
    <w:rsid w:val="00E05F5A"/>
    <w:rsid w:val="00E065C2"/>
    <w:rsid w:val="00E10E69"/>
    <w:rsid w:val="00E10F7E"/>
    <w:rsid w:val="00E11191"/>
    <w:rsid w:val="00E12DCB"/>
    <w:rsid w:val="00E140A5"/>
    <w:rsid w:val="00E152EE"/>
    <w:rsid w:val="00E16D9C"/>
    <w:rsid w:val="00E24791"/>
    <w:rsid w:val="00E26178"/>
    <w:rsid w:val="00E261C7"/>
    <w:rsid w:val="00E321D0"/>
    <w:rsid w:val="00E340E5"/>
    <w:rsid w:val="00E361DB"/>
    <w:rsid w:val="00E4176A"/>
    <w:rsid w:val="00E45709"/>
    <w:rsid w:val="00E51584"/>
    <w:rsid w:val="00E6040A"/>
    <w:rsid w:val="00E60CA2"/>
    <w:rsid w:val="00E6188E"/>
    <w:rsid w:val="00E66B3B"/>
    <w:rsid w:val="00E714E4"/>
    <w:rsid w:val="00E74533"/>
    <w:rsid w:val="00E77992"/>
    <w:rsid w:val="00E80706"/>
    <w:rsid w:val="00E817F8"/>
    <w:rsid w:val="00E9151D"/>
    <w:rsid w:val="00E94ACC"/>
    <w:rsid w:val="00E94FB7"/>
    <w:rsid w:val="00EA15FE"/>
    <w:rsid w:val="00EA370F"/>
    <w:rsid w:val="00EA4832"/>
    <w:rsid w:val="00EA49B8"/>
    <w:rsid w:val="00EB17A8"/>
    <w:rsid w:val="00EB5DA3"/>
    <w:rsid w:val="00EB6EB1"/>
    <w:rsid w:val="00EB7DAF"/>
    <w:rsid w:val="00ED000C"/>
    <w:rsid w:val="00ED26A0"/>
    <w:rsid w:val="00ED4817"/>
    <w:rsid w:val="00ED4C71"/>
    <w:rsid w:val="00ED518E"/>
    <w:rsid w:val="00ED5BB1"/>
    <w:rsid w:val="00EE26CD"/>
    <w:rsid w:val="00EE7F7A"/>
    <w:rsid w:val="00EF0E9E"/>
    <w:rsid w:val="00EF3119"/>
    <w:rsid w:val="00EF6707"/>
    <w:rsid w:val="00EF6D68"/>
    <w:rsid w:val="00EF7E89"/>
    <w:rsid w:val="00F013B9"/>
    <w:rsid w:val="00F02D17"/>
    <w:rsid w:val="00F0313A"/>
    <w:rsid w:val="00F079F0"/>
    <w:rsid w:val="00F1479A"/>
    <w:rsid w:val="00F148DB"/>
    <w:rsid w:val="00F152C7"/>
    <w:rsid w:val="00F163AF"/>
    <w:rsid w:val="00F17FD5"/>
    <w:rsid w:val="00F2075F"/>
    <w:rsid w:val="00F2152C"/>
    <w:rsid w:val="00F22B4A"/>
    <w:rsid w:val="00F2481D"/>
    <w:rsid w:val="00F25B16"/>
    <w:rsid w:val="00F33FAF"/>
    <w:rsid w:val="00F3723F"/>
    <w:rsid w:val="00F453B0"/>
    <w:rsid w:val="00F45636"/>
    <w:rsid w:val="00F471F9"/>
    <w:rsid w:val="00F5084A"/>
    <w:rsid w:val="00F62278"/>
    <w:rsid w:val="00F623BB"/>
    <w:rsid w:val="00F6422D"/>
    <w:rsid w:val="00F65C28"/>
    <w:rsid w:val="00F66435"/>
    <w:rsid w:val="00F677EF"/>
    <w:rsid w:val="00F7020C"/>
    <w:rsid w:val="00F7128D"/>
    <w:rsid w:val="00F71796"/>
    <w:rsid w:val="00F75FC0"/>
    <w:rsid w:val="00F7637E"/>
    <w:rsid w:val="00F76B1A"/>
    <w:rsid w:val="00F803E1"/>
    <w:rsid w:val="00F832F6"/>
    <w:rsid w:val="00F83D0C"/>
    <w:rsid w:val="00F846AC"/>
    <w:rsid w:val="00F86256"/>
    <w:rsid w:val="00F87494"/>
    <w:rsid w:val="00F92A06"/>
    <w:rsid w:val="00F9733D"/>
    <w:rsid w:val="00FA1152"/>
    <w:rsid w:val="00FA2B97"/>
    <w:rsid w:val="00FA3519"/>
    <w:rsid w:val="00FA361A"/>
    <w:rsid w:val="00FA3BE5"/>
    <w:rsid w:val="00FA3F09"/>
    <w:rsid w:val="00FA6E4B"/>
    <w:rsid w:val="00FA7311"/>
    <w:rsid w:val="00FC3B01"/>
    <w:rsid w:val="00FC49E6"/>
    <w:rsid w:val="00FC4F31"/>
    <w:rsid w:val="00FD3E44"/>
    <w:rsid w:val="00FD6EFA"/>
    <w:rsid w:val="00FD7805"/>
    <w:rsid w:val="00FD7E08"/>
    <w:rsid w:val="00FE1555"/>
    <w:rsid w:val="00FE18B4"/>
    <w:rsid w:val="00FE414A"/>
    <w:rsid w:val="00FF0F39"/>
    <w:rsid w:val="00FF3157"/>
    <w:rsid w:val="00FF4212"/>
    <w:rsid w:val="00FF7235"/>
    <w:rsid w:val="014A72F5"/>
    <w:rsid w:val="017E630C"/>
    <w:rsid w:val="02235BC0"/>
    <w:rsid w:val="02744B06"/>
    <w:rsid w:val="028526E8"/>
    <w:rsid w:val="02C34EEE"/>
    <w:rsid w:val="02D35340"/>
    <w:rsid w:val="030B7883"/>
    <w:rsid w:val="039F50A9"/>
    <w:rsid w:val="04D97269"/>
    <w:rsid w:val="04E15BAF"/>
    <w:rsid w:val="050E5233"/>
    <w:rsid w:val="05BB0DE0"/>
    <w:rsid w:val="05DE3006"/>
    <w:rsid w:val="060602EF"/>
    <w:rsid w:val="06190012"/>
    <w:rsid w:val="062C372D"/>
    <w:rsid w:val="06691764"/>
    <w:rsid w:val="069D6FF7"/>
    <w:rsid w:val="06A97149"/>
    <w:rsid w:val="06CC416A"/>
    <w:rsid w:val="06CD1A2A"/>
    <w:rsid w:val="0741116F"/>
    <w:rsid w:val="07544BD0"/>
    <w:rsid w:val="07563781"/>
    <w:rsid w:val="07667FF2"/>
    <w:rsid w:val="078750DD"/>
    <w:rsid w:val="07944041"/>
    <w:rsid w:val="07F65A68"/>
    <w:rsid w:val="0870581B"/>
    <w:rsid w:val="0896666F"/>
    <w:rsid w:val="08F17CDB"/>
    <w:rsid w:val="08F67172"/>
    <w:rsid w:val="09271C52"/>
    <w:rsid w:val="09387E7A"/>
    <w:rsid w:val="096227ED"/>
    <w:rsid w:val="09D26C44"/>
    <w:rsid w:val="09D646DB"/>
    <w:rsid w:val="0A130888"/>
    <w:rsid w:val="0A4E2E75"/>
    <w:rsid w:val="0A612201"/>
    <w:rsid w:val="0A651ECF"/>
    <w:rsid w:val="0A744757"/>
    <w:rsid w:val="0ADF77B8"/>
    <w:rsid w:val="0B652CFB"/>
    <w:rsid w:val="0B6D7FF8"/>
    <w:rsid w:val="0B7D014B"/>
    <w:rsid w:val="0C12128A"/>
    <w:rsid w:val="0C4C20FB"/>
    <w:rsid w:val="0C4D14BD"/>
    <w:rsid w:val="0C570CDA"/>
    <w:rsid w:val="0CDA50BD"/>
    <w:rsid w:val="0D5F2CD1"/>
    <w:rsid w:val="0D852F83"/>
    <w:rsid w:val="0D980D3D"/>
    <w:rsid w:val="0E627F79"/>
    <w:rsid w:val="0E7A20F0"/>
    <w:rsid w:val="0EA0672E"/>
    <w:rsid w:val="0EA811E4"/>
    <w:rsid w:val="0ECD6AF7"/>
    <w:rsid w:val="0F1217E3"/>
    <w:rsid w:val="0F21370C"/>
    <w:rsid w:val="0F2F7CF4"/>
    <w:rsid w:val="0F646F3E"/>
    <w:rsid w:val="0F722A26"/>
    <w:rsid w:val="110B69CC"/>
    <w:rsid w:val="112C5307"/>
    <w:rsid w:val="114B3050"/>
    <w:rsid w:val="1162140B"/>
    <w:rsid w:val="118E7F8C"/>
    <w:rsid w:val="11DC7A7D"/>
    <w:rsid w:val="11E104A0"/>
    <w:rsid w:val="127A2C5B"/>
    <w:rsid w:val="129627E3"/>
    <w:rsid w:val="12A04F4F"/>
    <w:rsid w:val="13145ADB"/>
    <w:rsid w:val="13C2533B"/>
    <w:rsid w:val="1428682D"/>
    <w:rsid w:val="142D5672"/>
    <w:rsid w:val="142F6570"/>
    <w:rsid w:val="144368B1"/>
    <w:rsid w:val="14646707"/>
    <w:rsid w:val="150247FE"/>
    <w:rsid w:val="1560526D"/>
    <w:rsid w:val="157C6D5B"/>
    <w:rsid w:val="15A036BE"/>
    <w:rsid w:val="15EA0382"/>
    <w:rsid w:val="160903F3"/>
    <w:rsid w:val="16215488"/>
    <w:rsid w:val="163559AE"/>
    <w:rsid w:val="165878EE"/>
    <w:rsid w:val="16590EFE"/>
    <w:rsid w:val="16591EA7"/>
    <w:rsid w:val="16981936"/>
    <w:rsid w:val="169F7B22"/>
    <w:rsid w:val="16A4347D"/>
    <w:rsid w:val="16B80014"/>
    <w:rsid w:val="172E0D3A"/>
    <w:rsid w:val="175B7696"/>
    <w:rsid w:val="179B7A92"/>
    <w:rsid w:val="17D631C0"/>
    <w:rsid w:val="17F91881"/>
    <w:rsid w:val="184C70B8"/>
    <w:rsid w:val="187C21EF"/>
    <w:rsid w:val="188A4627"/>
    <w:rsid w:val="189D5523"/>
    <w:rsid w:val="18B34294"/>
    <w:rsid w:val="18FC63CC"/>
    <w:rsid w:val="199773DC"/>
    <w:rsid w:val="19B34C83"/>
    <w:rsid w:val="19E83513"/>
    <w:rsid w:val="19FA3D2F"/>
    <w:rsid w:val="1A155716"/>
    <w:rsid w:val="1A7550B9"/>
    <w:rsid w:val="1A8F246E"/>
    <w:rsid w:val="1AD10C4F"/>
    <w:rsid w:val="1ADA02D8"/>
    <w:rsid w:val="1AF36070"/>
    <w:rsid w:val="1B457945"/>
    <w:rsid w:val="1B516252"/>
    <w:rsid w:val="1BA1131E"/>
    <w:rsid w:val="1BB13295"/>
    <w:rsid w:val="1C146536"/>
    <w:rsid w:val="1CAD64D7"/>
    <w:rsid w:val="1CBC1C0D"/>
    <w:rsid w:val="1CC01D49"/>
    <w:rsid w:val="1CC04C62"/>
    <w:rsid w:val="1D0B19B3"/>
    <w:rsid w:val="1D4D72AE"/>
    <w:rsid w:val="1D4F30A5"/>
    <w:rsid w:val="1D752565"/>
    <w:rsid w:val="1D8C79D4"/>
    <w:rsid w:val="1E3E0286"/>
    <w:rsid w:val="1E3E2388"/>
    <w:rsid w:val="1E6026E2"/>
    <w:rsid w:val="1E6F4EBF"/>
    <w:rsid w:val="1ED72868"/>
    <w:rsid w:val="1F2E4B18"/>
    <w:rsid w:val="1F5228D4"/>
    <w:rsid w:val="1FA84FC8"/>
    <w:rsid w:val="1FB45D2B"/>
    <w:rsid w:val="1FCA6F5C"/>
    <w:rsid w:val="200E4146"/>
    <w:rsid w:val="201C70CD"/>
    <w:rsid w:val="20277CDC"/>
    <w:rsid w:val="209D1AD9"/>
    <w:rsid w:val="20A976C4"/>
    <w:rsid w:val="20C65FB9"/>
    <w:rsid w:val="212D1423"/>
    <w:rsid w:val="21A05AEB"/>
    <w:rsid w:val="21A770B0"/>
    <w:rsid w:val="21B83BC3"/>
    <w:rsid w:val="21BB49F1"/>
    <w:rsid w:val="21BD2FC0"/>
    <w:rsid w:val="21F50115"/>
    <w:rsid w:val="222114DC"/>
    <w:rsid w:val="223355F7"/>
    <w:rsid w:val="228615B4"/>
    <w:rsid w:val="228E4EF6"/>
    <w:rsid w:val="229E2B2D"/>
    <w:rsid w:val="2315157D"/>
    <w:rsid w:val="234F5BD5"/>
    <w:rsid w:val="23611208"/>
    <w:rsid w:val="23640555"/>
    <w:rsid w:val="23856EE9"/>
    <w:rsid w:val="23A92664"/>
    <w:rsid w:val="23C67AD3"/>
    <w:rsid w:val="240B1D07"/>
    <w:rsid w:val="24326B2E"/>
    <w:rsid w:val="244B6ACF"/>
    <w:rsid w:val="246A631A"/>
    <w:rsid w:val="247B1FE0"/>
    <w:rsid w:val="24920859"/>
    <w:rsid w:val="249B5576"/>
    <w:rsid w:val="24A65A25"/>
    <w:rsid w:val="24B92CC2"/>
    <w:rsid w:val="24C34ACD"/>
    <w:rsid w:val="24ED3C7B"/>
    <w:rsid w:val="24FB7DC2"/>
    <w:rsid w:val="24FD3B3B"/>
    <w:rsid w:val="2581369C"/>
    <w:rsid w:val="25A156C1"/>
    <w:rsid w:val="25C120BD"/>
    <w:rsid w:val="25D034DD"/>
    <w:rsid w:val="25D52D09"/>
    <w:rsid w:val="26054A05"/>
    <w:rsid w:val="26423B73"/>
    <w:rsid w:val="26764E04"/>
    <w:rsid w:val="268E7F6C"/>
    <w:rsid w:val="26930C35"/>
    <w:rsid w:val="26F074B1"/>
    <w:rsid w:val="27767BD4"/>
    <w:rsid w:val="27DC755A"/>
    <w:rsid w:val="27ED550F"/>
    <w:rsid w:val="27F35E70"/>
    <w:rsid w:val="28152C19"/>
    <w:rsid w:val="28615402"/>
    <w:rsid w:val="28C029A1"/>
    <w:rsid w:val="295B74AF"/>
    <w:rsid w:val="296866D6"/>
    <w:rsid w:val="29BF0D02"/>
    <w:rsid w:val="29CF713B"/>
    <w:rsid w:val="2A1F1B4F"/>
    <w:rsid w:val="2ABA5BD0"/>
    <w:rsid w:val="2B194F4B"/>
    <w:rsid w:val="2B631DDB"/>
    <w:rsid w:val="2B6F583D"/>
    <w:rsid w:val="2BE0231F"/>
    <w:rsid w:val="2BF135D6"/>
    <w:rsid w:val="2C293467"/>
    <w:rsid w:val="2C742273"/>
    <w:rsid w:val="2C920D8B"/>
    <w:rsid w:val="2C9C0E69"/>
    <w:rsid w:val="2C9C18D6"/>
    <w:rsid w:val="2CA17FDF"/>
    <w:rsid w:val="2D210A2B"/>
    <w:rsid w:val="2D672067"/>
    <w:rsid w:val="2D682308"/>
    <w:rsid w:val="2D7D6339"/>
    <w:rsid w:val="2D8866E7"/>
    <w:rsid w:val="2D8D4534"/>
    <w:rsid w:val="2E1662A0"/>
    <w:rsid w:val="2E1719CB"/>
    <w:rsid w:val="2E837C54"/>
    <w:rsid w:val="2EA35164"/>
    <w:rsid w:val="2EC5610B"/>
    <w:rsid w:val="2ED23B62"/>
    <w:rsid w:val="2F3B658B"/>
    <w:rsid w:val="2F8675E9"/>
    <w:rsid w:val="308C0468"/>
    <w:rsid w:val="308C5DC9"/>
    <w:rsid w:val="30E21348"/>
    <w:rsid w:val="30EE0F57"/>
    <w:rsid w:val="310811F3"/>
    <w:rsid w:val="310E2188"/>
    <w:rsid w:val="31C559E0"/>
    <w:rsid w:val="31DF1088"/>
    <w:rsid w:val="31F82CD9"/>
    <w:rsid w:val="320B72FD"/>
    <w:rsid w:val="321C412C"/>
    <w:rsid w:val="322C6048"/>
    <w:rsid w:val="324D5A95"/>
    <w:rsid w:val="325B0FE6"/>
    <w:rsid w:val="32610E4B"/>
    <w:rsid w:val="32833DDE"/>
    <w:rsid w:val="32BA1DE0"/>
    <w:rsid w:val="32F5423D"/>
    <w:rsid w:val="33331E0D"/>
    <w:rsid w:val="337922FD"/>
    <w:rsid w:val="339A2C7C"/>
    <w:rsid w:val="33C21163"/>
    <w:rsid w:val="33CF5A5D"/>
    <w:rsid w:val="33D200B0"/>
    <w:rsid w:val="33EF0C61"/>
    <w:rsid w:val="33F27693"/>
    <w:rsid w:val="340174CE"/>
    <w:rsid w:val="346F50A8"/>
    <w:rsid w:val="34AE2AA4"/>
    <w:rsid w:val="34B1049E"/>
    <w:rsid w:val="35220BDC"/>
    <w:rsid w:val="35423F64"/>
    <w:rsid w:val="35660104"/>
    <w:rsid w:val="35DD391A"/>
    <w:rsid w:val="35E93F5D"/>
    <w:rsid w:val="360E4D1D"/>
    <w:rsid w:val="36B3055D"/>
    <w:rsid w:val="36D736AA"/>
    <w:rsid w:val="36F66F57"/>
    <w:rsid w:val="371043AE"/>
    <w:rsid w:val="377B5892"/>
    <w:rsid w:val="378A07F4"/>
    <w:rsid w:val="37D3079E"/>
    <w:rsid w:val="3833057A"/>
    <w:rsid w:val="38610A4B"/>
    <w:rsid w:val="38785354"/>
    <w:rsid w:val="38B24E8C"/>
    <w:rsid w:val="38D23E72"/>
    <w:rsid w:val="39135896"/>
    <w:rsid w:val="394A2C6F"/>
    <w:rsid w:val="39662F63"/>
    <w:rsid w:val="3969421B"/>
    <w:rsid w:val="39765EA3"/>
    <w:rsid w:val="39A56A8B"/>
    <w:rsid w:val="39B2676B"/>
    <w:rsid w:val="39C87D67"/>
    <w:rsid w:val="3A767618"/>
    <w:rsid w:val="3A7B6A1B"/>
    <w:rsid w:val="3A9D1B38"/>
    <w:rsid w:val="3BBB75D3"/>
    <w:rsid w:val="3BDE2C3C"/>
    <w:rsid w:val="3C410359"/>
    <w:rsid w:val="3C841C5C"/>
    <w:rsid w:val="3C8A5653"/>
    <w:rsid w:val="3CB80EE9"/>
    <w:rsid w:val="3CC908D0"/>
    <w:rsid w:val="3CCB30E7"/>
    <w:rsid w:val="3CD94B9C"/>
    <w:rsid w:val="3CE015D4"/>
    <w:rsid w:val="3D20172F"/>
    <w:rsid w:val="3D3A7C13"/>
    <w:rsid w:val="3D7E69EE"/>
    <w:rsid w:val="3D9B0CC1"/>
    <w:rsid w:val="3D9F7695"/>
    <w:rsid w:val="3DB351D3"/>
    <w:rsid w:val="3E0D2610"/>
    <w:rsid w:val="3E2C5777"/>
    <w:rsid w:val="3E5F114C"/>
    <w:rsid w:val="3E942A5F"/>
    <w:rsid w:val="3E98013E"/>
    <w:rsid w:val="3EE82894"/>
    <w:rsid w:val="3F0D20B8"/>
    <w:rsid w:val="3FA026AA"/>
    <w:rsid w:val="3FE71299"/>
    <w:rsid w:val="3FEE3CD2"/>
    <w:rsid w:val="40D97B78"/>
    <w:rsid w:val="40EE50F7"/>
    <w:rsid w:val="411B3137"/>
    <w:rsid w:val="411C13A7"/>
    <w:rsid w:val="41395582"/>
    <w:rsid w:val="41582E49"/>
    <w:rsid w:val="419D49B8"/>
    <w:rsid w:val="41D115D3"/>
    <w:rsid w:val="41FA1D1A"/>
    <w:rsid w:val="421D5AB5"/>
    <w:rsid w:val="427303C6"/>
    <w:rsid w:val="42C45F7B"/>
    <w:rsid w:val="42F15C12"/>
    <w:rsid w:val="431A4EDB"/>
    <w:rsid w:val="436E615E"/>
    <w:rsid w:val="44482876"/>
    <w:rsid w:val="446B446C"/>
    <w:rsid w:val="45143397"/>
    <w:rsid w:val="451D674E"/>
    <w:rsid w:val="457B7806"/>
    <w:rsid w:val="458B6AE9"/>
    <w:rsid w:val="458E3310"/>
    <w:rsid w:val="45BC6B21"/>
    <w:rsid w:val="45BD4EF7"/>
    <w:rsid w:val="45DD4A2E"/>
    <w:rsid w:val="460357E1"/>
    <w:rsid w:val="461D7186"/>
    <w:rsid w:val="46315DD7"/>
    <w:rsid w:val="46477E19"/>
    <w:rsid w:val="46794109"/>
    <w:rsid w:val="46883049"/>
    <w:rsid w:val="469815BE"/>
    <w:rsid w:val="473477BF"/>
    <w:rsid w:val="474755F6"/>
    <w:rsid w:val="47613FA5"/>
    <w:rsid w:val="47945F02"/>
    <w:rsid w:val="47980392"/>
    <w:rsid w:val="47E92FB6"/>
    <w:rsid w:val="488051BD"/>
    <w:rsid w:val="49035B59"/>
    <w:rsid w:val="490B3F68"/>
    <w:rsid w:val="4919298A"/>
    <w:rsid w:val="49570F78"/>
    <w:rsid w:val="4A097A1B"/>
    <w:rsid w:val="4A831514"/>
    <w:rsid w:val="4AC74CC7"/>
    <w:rsid w:val="4B080880"/>
    <w:rsid w:val="4B673E2B"/>
    <w:rsid w:val="4B8B7843"/>
    <w:rsid w:val="4B914B3F"/>
    <w:rsid w:val="4BB51BF5"/>
    <w:rsid w:val="4BC64471"/>
    <w:rsid w:val="4BDC258C"/>
    <w:rsid w:val="4C374DEB"/>
    <w:rsid w:val="4CA80B7C"/>
    <w:rsid w:val="4D800F16"/>
    <w:rsid w:val="4D844057"/>
    <w:rsid w:val="4D8B3085"/>
    <w:rsid w:val="4D994499"/>
    <w:rsid w:val="4DAE5A6A"/>
    <w:rsid w:val="4DBA2903"/>
    <w:rsid w:val="4DFC67D6"/>
    <w:rsid w:val="4E1B4E0F"/>
    <w:rsid w:val="4E465CA3"/>
    <w:rsid w:val="4F101E2F"/>
    <w:rsid w:val="4F3A0CE3"/>
    <w:rsid w:val="4F4E12B3"/>
    <w:rsid w:val="4F7D74A2"/>
    <w:rsid w:val="4F8B1183"/>
    <w:rsid w:val="4F9B167C"/>
    <w:rsid w:val="4F9D2431"/>
    <w:rsid w:val="4FAE5BF6"/>
    <w:rsid w:val="4FD80B7D"/>
    <w:rsid w:val="50024E4B"/>
    <w:rsid w:val="507B22BA"/>
    <w:rsid w:val="507F55A2"/>
    <w:rsid w:val="50A45CAB"/>
    <w:rsid w:val="50A57ED6"/>
    <w:rsid w:val="510D48EF"/>
    <w:rsid w:val="517732E7"/>
    <w:rsid w:val="51982AB4"/>
    <w:rsid w:val="51983754"/>
    <w:rsid w:val="52012932"/>
    <w:rsid w:val="52655167"/>
    <w:rsid w:val="52994788"/>
    <w:rsid w:val="529C2E3B"/>
    <w:rsid w:val="530B70D1"/>
    <w:rsid w:val="531D175E"/>
    <w:rsid w:val="534824AE"/>
    <w:rsid w:val="537A1580"/>
    <w:rsid w:val="538B0072"/>
    <w:rsid w:val="53971AE3"/>
    <w:rsid w:val="53B340A6"/>
    <w:rsid w:val="53BE6276"/>
    <w:rsid w:val="543466F2"/>
    <w:rsid w:val="54377E22"/>
    <w:rsid w:val="54E83420"/>
    <w:rsid w:val="54E9689E"/>
    <w:rsid w:val="552F1A9C"/>
    <w:rsid w:val="553A7A2C"/>
    <w:rsid w:val="55490D50"/>
    <w:rsid w:val="554B48AE"/>
    <w:rsid w:val="559C79E5"/>
    <w:rsid w:val="55B65A08"/>
    <w:rsid w:val="55FC43DF"/>
    <w:rsid w:val="56181412"/>
    <w:rsid w:val="564B02FA"/>
    <w:rsid w:val="565703BD"/>
    <w:rsid w:val="566A7B13"/>
    <w:rsid w:val="56A00878"/>
    <w:rsid w:val="56B77B44"/>
    <w:rsid w:val="56CD10B7"/>
    <w:rsid w:val="56EF2603"/>
    <w:rsid w:val="57696DC7"/>
    <w:rsid w:val="57F111CF"/>
    <w:rsid w:val="57FB7462"/>
    <w:rsid w:val="58067B0C"/>
    <w:rsid w:val="583F241E"/>
    <w:rsid w:val="585A59BA"/>
    <w:rsid w:val="58BA1C9C"/>
    <w:rsid w:val="58D81BED"/>
    <w:rsid w:val="59824FCA"/>
    <w:rsid w:val="5988716F"/>
    <w:rsid w:val="59BB72AA"/>
    <w:rsid w:val="5A104CC4"/>
    <w:rsid w:val="5A4F7393"/>
    <w:rsid w:val="5A827D09"/>
    <w:rsid w:val="5AAB4474"/>
    <w:rsid w:val="5AB700BF"/>
    <w:rsid w:val="5B0B2CA3"/>
    <w:rsid w:val="5B891EDD"/>
    <w:rsid w:val="5BC53F6F"/>
    <w:rsid w:val="5C121DE5"/>
    <w:rsid w:val="5C240666"/>
    <w:rsid w:val="5CAE1AE8"/>
    <w:rsid w:val="5D131446"/>
    <w:rsid w:val="5DF731AB"/>
    <w:rsid w:val="5EA839B6"/>
    <w:rsid w:val="5EC72951"/>
    <w:rsid w:val="5EEC7D7B"/>
    <w:rsid w:val="5EFD6EAF"/>
    <w:rsid w:val="5F075FCB"/>
    <w:rsid w:val="5F0E72FA"/>
    <w:rsid w:val="5F267C93"/>
    <w:rsid w:val="5F3759A0"/>
    <w:rsid w:val="5F3F6D24"/>
    <w:rsid w:val="5FE40782"/>
    <w:rsid w:val="60226E30"/>
    <w:rsid w:val="60525407"/>
    <w:rsid w:val="605968DA"/>
    <w:rsid w:val="60BF2850"/>
    <w:rsid w:val="60E24080"/>
    <w:rsid w:val="61437D20"/>
    <w:rsid w:val="615C6A74"/>
    <w:rsid w:val="61637EC9"/>
    <w:rsid w:val="61747753"/>
    <w:rsid w:val="6186398C"/>
    <w:rsid w:val="61CD3451"/>
    <w:rsid w:val="61EE048E"/>
    <w:rsid w:val="620D7781"/>
    <w:rsid w:val="622C618D"/>
    <w:rsid w:val="62573076"/>
    <w:rsid w:val="626207F2"/>
    <w:rsid w:val="627B68B8"/>
    <w:rsid w:val="62917A36"/>
    <w:rsid w:val="62AD3475"/>
    <w:rsid w:val="62CA7997"/>
    <w:rsid w:val="63000B5A"/>
    <w:rsid w:val="630E6937"/>
    <w:rsid w:val="63206E25"/>
    <w:rsid w:val="6329693B"/>
    <w:rsid w:val="63427771"/>
    <w:rsid w:val="636B050E"/>
    <w:rsid w:val="63B71A24"/>
    <w:rsid w:val="63E4372C"/>
    <w:rsid w:val="641F5809"/>
    <w:rsid w:val="64263D55"/>
    <w:rsid w:val="643F10BA"/>
    <w:rsid w:val="64563CA1"/>
    <w:rsid w:val="64925820"/>
    <w:rsid w:val="64D82C02"/>
    <w:rsid w:val="656049EB"/>
    <w:rsid w:val="65A92934"/>
    <w:rsid w:val="65BC1D7D"/>
    <w:rsid w:val="66103189"/>
    <w:rsid w:val="667B2536"/>
    <w:rsid w:val="66841A34"/>
    <w:rsid w:val="66A32DF5"/>
    <w:rsid w:val="66AF25DE"/>
    <w:rsid w:val="672712C1"/>
    <w:rsid w:val="675F1F33"/>
    <w:rsid w:val="67704C60"/>
    <w:rsid w:val="67784CC7"/>
    <w:rsid w:val="677C3361"/>
    <w:rsid w:val="67A71109"/>
    <w:rsid w:val="67F63D9F"/>
    <w:rsid w:val="67FD6781"/>
    <w:rsid w:val="6837248C"/>
    <w:rsid w:val="6842024D"/>
    <w:rsid w:val="68713461"/>
    <w:rsid w:val="68C83A2C"/>
    <w:rsid w:val="68FC1D91"/>
    <w:rsid w:val="69317703"/>
    <w:rsid w:val="69602C74"/>
    <w:rsid w:val="69917CAA"/>
    <w:rsid w:val="6A075AAB"/>
    <w:rsid w:val="6A264104"/>
    <w:rsid w:val="6A8C669E"/>
    <w:rsid w:val="6A9A752C"/>
    <w:rsid w:val="6AAF0A00"/>
    <w:rsid w:val="6AB009B7"/>
    <w:rsid w:val="6AEE4BEA"/>
    <w:rsid w:val="6B03785D"/>
    <w:rsid w:val="6B58657E"/>
    <w:rsid w:val="6B5B1A00"/>
    <w:rsid w:val="6B6C7FCD"/>
    <w:rsid w:val="6B874966"/>
    <w:rsid w:val="6B8F3BAB"/>
    <w:rsid w:val="6BB43DF4"/>
    <w:rsid w:val="6BC56001"/>
    <w:rsid w:val="6BD8568F"/>
    <w:rsid w:val="6C0C40EB"/>
    <w:rsid w:val="6C3A2D5A"/>
    <w:rsid w:val="6C431FA0"/>
    <w:rsid w:val="6C7C3A44"/>
    <w:rsid w:val="6CBD43C2"/>
    <w:rsid w:val="6CDD717A"/>
    <w:rsid w:val="6D297AC5"/>
    <w:rsid w:val="6DC1622C"/>
    <w:rsid w:val="6DC25466"/>
    <w:rsid w:val="6E433268"/>
    <w:rsid w:val="6EAB43C1"/>
    <w:rsid w:val="6F1F39F4"/>
    <w:rsid w:val="6F771D08"/>
    <w:rsid w:val="6F9710A7"/>
    <w:rsid w:val="701B3F72"/>
    <w:rsid w:val="704436C2"/>
    <w:rsid w:val="70482F44"/>
    <w:rsid w:val="708059C4"/>
    <w:rsid w:val="7096647A"/>
    <w:rsid w:val="70AA3443"/>
    <w:rsid w:val="70E5583A"/>
    <w:rsid w:val="70E909EF"/>
    <w:rsid w:val="710F044A"/>
    <w:rsid w:val="714B5C6A"/>
    <w:rsid w:val="71B12122"/>
    <w:rsid w:val="724D0AFE"/>
    <w:rsid w:val="725B6EB5"/>
    <w:rsid w:val="726D68EE"/>
    <w:rsid w:val="72BE0BA2"/>
    <w:rsid w:val="72E51C4A"/>
    <w:rsid w:val="73105BAA"/>
    <w:rsid w:val="731C14BA"/>
    <w:rsid w:val="73817A16"/>
    <w:rsid w:val="73B062F3"/>
    <w:rsid w:val="73D87876"/>
    <w:rsid w:val="73E43BD8"/>
    <w:rsid w:val="742722F2"/>
    <w:rsid w:val="74363B53"/>
    <w:rsid w:val="745B39A7"/>
    <w:rsid w:val="7474173F"/>
    <w:rsid w:val="74A30465"/>
    <w:rsid w:val="74D27311"/>
    <w:rsid w:val="74D552C0"/>
    <w:rsid w:val="74F76094"/>
    <w:rsid w:val="75372AF4"/>
    <w:rsid w:val="756D6124"/>
    <w:rsid w:val="758E3B34"/>
    <w:rsid w:val="75FA7131"/>
    <w:rsid w:val="765F224D"/>
    <w:rsid w:val="76764FFE"/>
    <w:rsid w:val="76941AAE"/>
    <w:rsid w:val="76E5689D"/>
    <w:rsid w:val="773726E8"/>
    <w:rsid w:val="7769379C"/>
    <w:rsid w:val="782C033D"/>
    <w:rsid w:val="785F571A"/>
    <w:rsid w:val="78C13BF1"/>
    <w:rsid w:val="78C465A4"/>
    <w:rsid w:val="78D366AD"/>
    <w:rsid w:val="78D45815"/>
    <w:rsid w:val="78D47EDD"/>
    <w:rsid w:val="790A21C8"/>
    <w:rsid w:val="792B66EB"/>
    <w:rsid w:val="796636FB"/>
    <w:rsid w:val="79893432"/>
    <w:rsid w:val="79990C74"/>
    <w:rsid w:val="7999330D"/>
    <w:rsid w:val="799F60E4"/>
    <w:rsid w:val="79B203A0"/>
    <w:rsid w:val="79DC593E"/>
    <w:rsid w:val="79F36536"/>
    <w:rsid w:val="7A197166"/>
    <w:rsid w:val="7A332B17"/>
    <w:rsid w:val="7A761553"/>
    <w:rsid w:val="7A86393B"/>
    <w:rsid w:val="7AA55263"/>
    <w:rsid w:val="7AEA169A"/>
    <w:rsid w:val="7AF103D4"/>
    <w:rsid w:val="7B0179D3"/>
    <w:rsid w:val="7B407DB7"/>
    <w:rsid w:val="7B5C7325"/>
    <w:rsid w:val="7B664809"/>
    <w:rsid w:val="7B98728E"/>
    <w:rsid w:val="7BD27BE6"/>
    <w:rsid w:val="7BE415D0"/>
    <w:rsid w:val="7BFB5981"/>
    <w:rsid w:val="7BFE1359"/>
    <w:rsid w:val="7C06304C"/>
    <w:rsid w:val="7C090A2F"/>
    <w:rsid w:val="7C1E42A7"/>
    <w:rsid w:val="7C4C3A2D"/>
    <w:rsid w:val="7C503FCE"/>
    <w:rsid w:val="7C6D6FAF"/>
    <w:rsid w:val="7C844D0E"/>
    <w:rsid w:val="7CA10D08"/>
    <w:rsid w:val="7CC6640A"/>
    <w:rsid w:val="7CEA1D6C"/>
    <w:rsid w:val="7CF05BF2"/>
    <w:rsid w:val="7D2C1095"/>
    <w:rsid w:val="7DC32F32"/>
    <w:rsid w:val="7DFA7D8C"/>
    <w:rsid w:val="7E1B4C88"/>
    <w:rsid w:val="7E262A5C"/>
    <w:rsid w:val="7E692FF8"/>
    <w:rsid w:val="7E967096"/>
    <w:rsid w:val="7E9F17C4"/>
    <w:rsid w:val="7ECA5637"/>
    <w:rsid w:val="7F9666CA"/>
    <w:rsid w:val="7FC47724"/>
    <w:rsid w:val="7FF15E1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nhideWhenUsed="0" w:uiPriority="0" w:semiHidden="0"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qFormat="1" w:unhideWhenUsed="0" w:uiPriority="39" w:semiHidden="0"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adjustRightInd w:val="0"/>
      <w:spacing w:line="360" w:lineRule="auto"/>
      <w:outlineLvl w:val="1"/>
    </w:pPr>
    <w:rPr>
      <w:rFonts w:ascii="FangSong_GB2312" w:hAnsi="宋体" w:eastAsia="FangSong_GB2312"/>
      <w:b/>
      <w:kern w:val="0"/>
      <w:sz w:val="30"/>
      <w:szCs w:val="20"/>
    </w:rPr>
  </w:style>
  <w:style w:type="paragraph" w:styleId="6">
    <w:name w:val="heading 3"/>
    <w:basedOn w:val="1"/>
    <w:next w:val="1"/>
    <w:link w:val="46"/>
    <w:qFormat/>
    <w:uiPriority w:val="0"/>
    <w:pPr>
      <w:keepNext/>
      <w:keepLines/>
      <w:spacing w:before="260" w:after="260" w:line="416" w:lineRule="auto"/>
      <w:outlineLvl w:val="2"/>
    </w:pPr>
    <w:rPr>
      <w:b/>
      <w:bCs/>
      <w:sz w:val="32"/>
      <w:szCs w:val="32"/>
    </w:rPr>
  </w:style>
  <w:style w:type="paragraph" w:styleId="7">
    <w:name w:val="heading 4"/>
    <w:basedOn w:val="1"/>
    <w:next w:val="8"/>
    <w:link w:val="47"/>
    <w:qFormat/>
    <w:uiPriority w:val="9"/>
    <w:pPr>
      <w:keepNext/>
      <w:keepLines/>
      <w:spacing w:before="280" w:after="290" w:line="376" w:lineRule="auto"/>
      <w:outlineLvl w:val="3"/>
    </w:pPr>
    <w:rPr>
      <w:rFonts w:ascii="Arial" w:hAnsi="Arial" w:eastAsia="黑体"/>
      <w:b/>
      <w:sz w:val="28"/>
      <w:szCs w:val="20"/>
    </w:rPr>
  </w:style>
  <w:style w:type="paragraph" w:styleId="9">
    <w:name w:val="heading 5"/>
    <w:basedOn w:val="1"/>
    <w:next w:val="8"/>
    <w:qFormat/>
    <w:uiPriority w:val="0"/>
    <w:pPr>
      <w:keepNext/>
      <w:keepLines/>
      <w:spacing w:before="280" w:after="290" w:line="376" w:lineRule="auto"/>
      <w:outlineLvl w:val="4"/>
    </w:pPr>
    <w:rPr>
      <w:b/>
      <w:sz w:val="28"/>
      <w:szCs w:val="20"/>
    </w:rPr>
  </w:style>
  <w:style w:type="paragraph" w:styleId="10">
    <w:name w:val="heading 6"/>
    <w:basedOn w:val="1"/>
    <w:next w:val="8"/>
    <w:qFormat/>
    <w:uiPriority w:val="0"/>
    <w:pPr>
      <w:keepNext/>
      <w:keepLines/>
      <w:spacing w:before="240" w:after="64" w:line="320" w:lineRule="auto"/>
      <w:outlineLvl w:val="5"/>
    </w:pPr>
    <w:rPr>
      <w:rFonts w:ascii="Arial" w:hAnsi="Arial" w:eastAsia="黑体"/>
      <w:b/>
      <w:sz w:val="24"/>
      <w:szCs w:val="20"/>
    </w:rPr>
  </w:style>
  <w:style w:type="paragraph" w:styleId="11">
    <w:name w:val="heading 7"/>
    <w:basedOn w:val="1"/>
    <w:next w:val="8"/>
    <w:qFormat/>
    <w:uiPriority w:val="0"/>
    <w:pPr>
      <w:keepNext/>
      <w:keepLines/>
      <w:spacing w:before="240" w:after="64" w:line="320" w:lineRule="auto"/>
      <w:outlineLvl w:val="6"/>
    </w:pPr>
    <w:rPr>
      <w:b/>
      <w:sz w:val="24"/>
      <w:szCs w:val="20"/>
    </w:rPr>
  </w:style>
  <w:style w:type="paragraph" w:styleId="12">
    <w:name w:val="heading 8"/>
    <w:basedOn w:val="1"/>
    <w:next w:val="8"/>
    <w:qFormat/>
    <w:uiPriority w:val="0"/>
    <w:pPr>
      <w:keepNext/>
      <w:keepLines/>
      <w:spacing w:before="240" w:after="64" w:line="320" w:lineRule="auto"/>
      <w:outlineLvl w:val="7"/>
    </w:pPr>
    <w:rPr>
      <w:rFonts w:ascii="Arial" w:hAnsi="Arial" w:eastAsia="黑体"/>
      <w:sz w:val="24"/>
      <w:szCs w:val="20"/>
    </w:rPr>
  </w:style>
  <w:style w:type="paragraph" w:styleId="13">
    <w:name w:val="heading 9"/>
    <w:basedOn w:val="1"/>
    <w:next w:val="8"/>
    <w:qFormat/>
    <w:uiPriority w:val="0"/>
    <w:pPr>
      <w:keepNext/>
      <w:keepLines/>
      <w:spacing w:before="240" w:after="64" w:line="320" w:lineRule="auto"/>
      <w:outlineLvl w:val="8"/>
    </w:pPr>
    <w:rPr>
      <w:rFonts w:ascii="Arial" w:hAnsi="Arial" w:eastAsia="黑体"/>
      <w:szCs w:val="20"/>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rPr>
      <w:rFonts w:eastAsia="黑体"/>
      <w:b/>
      <w:bCs/>
      <w:spacing w:val="20"/>
      <w:kern w:val="52"/>
      <w:sz w:val="56"/>
    </w:rPr>
  </w:style>
  <w:style w:type="paragraph" w:styleId="3">
    <w:name w:val="Date"/>
    <w:basedOn w:val="1"/>
    <w:next w:val="1"/>
    <w:link w:val="45"/>
    <w:qFormat/>
    <w:uiPriority w:val="0"/>
    <w:pPr>
      <w:ind w:left="100" w:leftChars="2500"/>
    </w:pPr>
  </w:style>
  <w:style w:type="paragraph" w:styleId="8">
    <w:name w:val="Normal Indent"/>
    <w:basedOn w:val="1"/>
    <w:next w:val="1"/>
    <w:link w:val="48"/>
    <w:qFormat/>
    <w:uiPriority w:val="0"/>
    <w:pPr>
      <w:ind w:firstLine="420"/>
    </w:pPr>
    <w:rPr>
      <w:rFonts w:ascii="宋体" w:hAnsi="Courier New"/>
      <w:szCs w:val="20"/>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Document Map"/>
    <w:basedOn w:val="1"/>
    <w:qFormat/>
    <w:uiPriority w:val="0"/>
    <w:pPr>
      <w:shd w:val="clear" w:color="auto" w:fill="000080"/>
    </w:pPr>
  </w:style>
  <w:style w:type="paragraph" w:styleId="16">
    <w:name w:val="annotation text"/>
    <w:basedOn w:val="1"/>
    <w:link w:val="49"/>
    <w:qFormat/>
    <w:uiPriority w:val="0"/>
    <w:pPr>
      <w:jc w:val="left"/>
    </w:pPr>
  </w:style>
  <w:style w:type="paragraph" w:styleId="17">
    <w:name w:val="Body Text 3"/>
    <w:basedOn w:val="1"/>
    <w:qFormat/>
    <w:uiPriority w:val="0"/>
    <w:pPr>
      <w:spacing w:after="120"/>
    </w:pPr>
    <w:rPr>
      <w:sz w:val="16"/>
      <w:szCs w:val="16"/>
    </w:rPr>
  </w:style>
  <w:style w:type="paragraph" w:styleId="18">
    <w:name w:val="Body Text Indent"/>
    <w:basedOn w:val="1"/>
    <w:next w:val="8"/>
    <w:qFormat/>
    <w:uiPriority w:val="0"/>
    <w:pPr>
      <w:spacing w:line="400" w:lineRule="atLeast"/>
      <w:ind w:left="210" w:firstLine="210"/>
    </w:pPr>
    <w:rPr>
      <w:rFonts w:hint="eastAsia" w:ascii="宋体" w:hAnsi="宋体"/>
      <w:szCs w:val="20"/>
    </w:rPr>
  </w:style>
  <w:style w:type="paragraph" w:styleId="19">
    <w:name w:val="toc 3"/>
    <w:basedOn w:val="1"/>
    <w:next w:val="1"/>
    <w:qFormat/>
    <w:uiPriority w:val="0"/>
    <w:pPr>
      <w:tabs>
        <w:tab w:val="right" w:leader="dot" w:pos="9170"/>
      </w:tabs>
      <w:ind w:left="360"/>
      <w:jc w:val="left"/>
    </w:pPr>
    <w:rPr>
      <w:sz w:val="20"/>
      <w:szCs w:val="20"/>
    </w:rPr>
  </w:style>
  <w:style w:type="paragraph" w:styleId="20">
    <w:name w:val="Plain Text"/>
    <w:basedOn w:val="1"/>
    <w:next w:val="21"/>
    <w:link w:val="50"/>
    <w:qFormat/>
    <w:uiPriority w:val="0"/>
    <w:rPr>
      <w:rFonts w:ascii="宋体" w:hAnsi="Courier New"/>
      <w:szCs w:val="20"/>
    </w:rPr>
  </w:style>
  <w:style w:type="paragraph" w:styleId="21">
    <w:name w:val="index 7"/>
    <w:basedOn w:val="1"/>
    <w:next w:val="1"/>
    <w:qFormat/>
    <w:uiPriority w:val="0"/>
    <w:pPr>
      <w:ind w:left="1200" w:leftChars="1200"/>
    </w:pPr>
  </w:style>
  <w:style w:type="paragraph" w:styleId="22">
    <w:name w:val="Body Text Indent 2"/>
    <w:basedOn w:val="1"/>
    <w:qFormat/>
    <w:uiPriority w:val="0"/>
    <w:pPr>
      <w:ind w:firstLine="570"/>
    </w:pPr>
    <w:rPr>
      <w:sz w:val="28"/>
      <w:szCs w:val="20"/>
    </w:rPr>
  </w:style>
  <w:style w:type="paragraph" w:styleId="23">
    <w:name w:val="Balloon Text"/>
    <w:basedOn w:val="1"/>
    <w:qFormat/>
    <w:uiPriority w:val="0"/>
    <w:rPr>
      <w:sz w:val="18"/>
      <w:szCs w:val="18"/>
    </w:rPr>
  </w:style>
  <w:style w:type="paragraph" w:styleId="24">
    <w:name w:val="footer"/>
    <w:basedOn w:val="1"/>
    <w:link w:val="51"/>
    <w:qFormat/>
    <w:uiPriority w:val="99"/>
    <w:pPr>
      <w:tabs>
        <w:tab w:val="center" w:pos="4153"/>
        <w:tab w:val="right" w:pos="8306"/>
      </w:tabs>
      <w:snapToGrid w:val="0"/>
      <w:jc w:val="left"/>
    </w:pPr>
    <w:rPr>
      <w:sz w:val="18"/>
      <w:szCs w:val="18"/>
    </w:rPr>
  </w:style>
  <w:style w:type="paragraph" w:styleId="25">
    <w:name w:val="header"/>
    <w:basedOn w:val="1"/>
    <w:link w:val="52"/>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0"/>
    <w:pPr>
      <w:tabs>
        <w:tab w:val="right" w:leader="dot" w:pos="9060"/>
        <w:tab w:val="right" w:leader="dot" w:pos="9170"/>
      </w:tabs>
      <w:jc w:val="center"/>
    </w:pPr>
    <w:rPr>
      <w:rFonts w:ascii="FangSong_GB2312" w:eastAsia="FangSong_GB2312"/>
      <w:b/>
      <w:caps/>
      <w:color w:val="000000"/>
      <w:sz w:val="20"/>
      <w:szCs w:val="20"/>
    </w:rPr>
  </w:style>
  <w:style w:type="paragraph" w:styleId="27">
    <w:name w:val="footnote text"/>
    <w:basedOn w:val="1"/>
    <w:qFormat/>
    <w:uiPriority w:val="0"/>
    <w:pPr>
      <w:snapToGrid w:val="0"/>
      <w:jc w:val="left"/>
    </w:pPr>
    <w:rPr>
      <w:rFonts w:eastAsia="FangSong_GB2312"/>
      <w:sz w:val="18"/>
      <w:szCs w:val="20"/>
    </w:rPr>
  </w:style>
  <w:style w:type="paragraph" w:styleId="28">
    <w:name w:val="toc 6"/>
    <w:basedOn w:val="1"/>
    <w:next w:val="1"/>
    <w:qFormat/>
    <w:uiPriority w:val="39"/>
    <w:pPr>
      <w:ind w:left="1050"/>
      <w:jc w:val="left"/>
    </w:pPr>
    <w:rPr>
      <w:rFonts w:ascii="Calibri" w:hAnsi="Calibri" w:cs="Calibri"/>
      <w:sz w:val="18"/>
      <w:szCs w:val="18"/>
    </w:rPr>
  </w:style>
  <w:style w:type="paragraph" w:styleId="29">
    <w:name w:val="Body Text Indent 3"/>
    <w:basedOn w:val="1"/>
    <w:qFormat/>
    <w:uiPriority w:val="0"/>
    <w:pPr>
      <w:spacing w:line="360" w:lineRule="auto"/>
      <w:ind w:left="124" w:leftChars="59"/>
    </w:pPr>
    <w:rPr>
      <w:rFonts w:ascii="FangSong_GB2312" w:hAnsi="宋体" w:eastAsia="FangSong_GB2312"/>
      <w:sz w:val="28"/>
      <w:szCs w:val="21"/>
    </w:rPr>
  </w:style>
  <w:style w:type="paragraph" w:styleId="30">
    <w:name w:val="toc 2"/>
    <w:basedOn w:val="1"/>
    <w:next w:val="1"/>
    <w:qFormat/>
    <w:uiPriority w:val="0"/>
    <w:pPr>
      <w:tabs>
        <w:tab w:val="right" w:leader="dot" w:pos="9170"/>
      </w:tabs>
      <w:ind w:left="210" w:firstLine="150"/>
      <w:jc w:val="left"/>
    </w:pPr>
    <w:rPr>
      <w:smallCaps/>
      <w:sz w:val="20"/>
      <w:szCs w:val="20"/>
    </w:rPr>
  </w:style>
  <w:style w:type="paragraph" w:styleId="31">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2">
    <w:name w:val="Normal (Web)"/>
    <w:basedOn w:val="1"/>
    <w:next w:val="30"/>
    <w:qFormat/>
    <w:uiPriority w:val="0"/>
    <w:pPr>
      <w:widowControl/>
      <w:spacing w:before="100" w:beforeAutospacing="1" w:after="100" w:afterAutospacing="1"/>
      <w:jc w:val="left"/>
    </w:pPr>
    <w:rPr>
      <w:rFonts w:ascii="宋体" w:hAnsi="宋体"/>
      <w:kern w:val="0"/>
      <w:sz w:val="24"/>
    </w:rPr>
  </w:style>
  <w:style w:type="paragraph" w:styleId="33">
    <w:name w:val="Title"/>
    <w:basedOn w:val="1"/>
    <w:next w:val="1"/>
    <w:qFormat/>
    <w:uiPriority w:val="0"/>
    <w:pPr>
      <w:autoSpaceDE w:val="0"/>
      <w:autoSpaceDN w:val="0"/>
      <w:adjustRightInd w:val="0"/>
      <w:spacing w:before="240" w:after="60"/>
      <w:jc w:val="center"/>
      <w:textAlignment w:val="baseline"/>
      <w:outlineLvl w:val="0"/>
    </w:pPr>
    <w:rPr>
      <w:b/>
      <w:kern w:val="0"/>
      <w:sz w:val="52"/>
      <w:szCs w:val="20"/>
    </w:rPr>
  </w:style>
  <w:style w:type="paragraph" w:styleId="34">
    <w:name w:val="Body Text First Indent"/>
    <w:basedOn w:val="2"/>
    <w:next w:val="2"/>
    <w:qFormat/>
    <w:uiPriority w:val="0"/>
    <w:pPr>
      <w:spacing w:line="312" w:lineRule="auto"/>
      <w:ind w:firstLine="420"/>
    </w:pPr>
  </w:style>
  <w:style w:type="paragraph" w:styleId="35">
    <w:name w:val="Body Text First Indent 2"/>
    <w:basedOn w:val="18"/>
    <w:next w:val="34"/>
    <w:link w:val="53"/>
    <w:unhideWhenUsed/>
    <w:qFormat/>
    <w:uiPriority w:val="99"/>
    <w:pPr>
      <w:spacing w:after="120" w:line="240" w:lineRule="auto"/>
      <w:ind w:left="420" w:leftChars="200" w:firstLine="420"/>
    </w:pPr>
    <w:rPr>
      <w:rFonts w:hint="default"/>
      <w:szCs w:val="21"/>
    </w:rPr>
  </w:style>
  <w:style w:type="table" w:styleId="37">
    <w:name w:val="Table Grid"/>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qFormat/>
    <w:uiPriority w:val="0"/>
    <w:rPr>
      <w:b/>
      <w:bCs/>
    </w:rPr>
  </w:style>
  <w:style w:type="character" w:styleId="40">
    <w:name w:val="page number"/>
    <w:qFormat/>
    <w:uiPriority w:val="0"/>
  </w:style>
  <w:style w:type="character" w:styleId="41">
    <w:name w:val="FollowedHyperlink"/>
    <w:qFormat/>
    <w:uiPriority w:val="0"/>
    <w:rPr>
      <w:color w:val="800080"/>
      <w:u w:val="single"/>
    </w:rPr>
  </w:style>
  <w:style w:type="character" w:styleId="42">
    <w:name w:val="Hyperlink"/>
    <w:basedOn w:val="38"/>
    <w:qFormat/>
    <w:uiPriority w:val="0"/>
    <w:rPr>
      <w:color w:val="0000FF"/>
      <w:u w:val="single"/>
    </w:rPr>
  </w:style>
  <w:style w:type="character" w:styleId="43">
    <w:name w:val="annotation reference"/>
    <w:basedOn w:val="38"/>
    <w:semiHidden/>
    <w:unhideWhenUsed/>
    <w:qFormat/>
    <w:uiPriority w:val="99"/>
    <w:rPr>
      <w:sz w:val="21"/>
      <w:szCs w:val="21"/>
    </w:rPr>
  </w:style>
  <w:style w:type="character" w:styleId="44">
    <w:name w:val="footnote reference"/>
    <w:qFormat/>
    <w:uiPriority w:val="0"/>
    <w:rPr>
      <w:vertAlign w:val="superscript"/>
    </w:rPr>
  </w:style>
  <w:style w:type="character" w:customStyle="1" w:styleId="45">
    <w:name w:val="日期 Char"/>
    <w:link w:val="3"/>
    <w:qFormat/>
    <w:uiPriority w:val="0"/>
    <w:rPr>
      <w:kern w:val="2"/>
      <w:sz w:val="21"/>
      <w:szCs w:val="24"/>
    </w:rPr>
  </w:style>
  <w:style w:type="character" w:customStyle="1" w:styleId="46">
    <w:name w:val="标题 3 Char"/>
    <w:link w:val="6"/>
    <w:qFormat/>
    <w:uiPriority w:val="0"/>
    <w:rPr>
      <w:b/>
      <w:bCs/>
      <w:kern w:val="2"/>
      <w:sz w:val="32"/>
      <w:szCs w:val="32"/>
    </w:rPr>
  </w:style>
  <w:style w:type="character" w:customStyle="1" w:styleId="47">
    <w:name w:val="标题 4 Char"/>
    <w:link w:val="7"/>
    <w:qFormat/>
    <w:uiPriority w:val="9"/>
    <w:rPr>
      <w:rFonts w:ascii="Arial" w:hAnsi="Arial" w:eastAsia="黑体"/>
      <w:b/>
      <w:kern w:val="2"/>
      <w:sz w:val="28"/>
    </w:rPr>
  </w:style>
  <w:style w:type="character" w:customStyle="1" w:styleId="48">
    <w:name w:val="正文缩进 Char"/>
    <w:link w:val="8"/>
    <w:qFormat/>
    <w:uiPriority w:val="0"/>
    <w:rPr>
      <w:rFonts w:ascii="宋体" w:hAnsi="Courier New" w:eastAsia="宋体"/>
      <w:kern w:val="2"/>
      <w:sz w:val="21"/>
      <w:lang w:val="en-US" w:eastAsia="zh-CN" w:bidi="ar-SA"/>
    </w:rPr>
  </w:style>
  <w:style w:type="character" w:customStyle="1" w:styleId="49">
    <w:name w:val="批注文字 Char"/>
    <w:link w:val="16"/>
    <w:qFormat/>
    <w:uiPriority w:val="0"/>
    <w:rPr>
      <w:kern w:val="2"/>
      <w:sz w:val="21"/>
      <w:szCs w:val="24"/>
    </w:rPr>
  </w:style>
  <w:style w:type="character" w:customStyle="1" w:styleId="50">
    <w:name w:val="纯文本 Char1"/>
    <w:link w:val="20"/>
    <w:qFormat/>
    <w:uiPriority w:val="0"/>
    <w:rPr>
      <w:rFonts w:ascii="宋体" w:hAnsi="Courier New" w:eastAsia="宋体"/>
      <w:kern w:val="2"/>
      <w:sz w:val="21"/>
      <w:lang w:val="en-US" w:eastAsia="zh-CN" w:bidi="ar-SA"/>
    </w:rPr>
  </w:style>
  <w:style w:type="character" w:customStyle="1" w:styleId="51">
    <w:name w:val="页脚 Char"/>
    <w:link w:val="24"/>
    <w:qFormat/>
    <w:uiPriority w:val="99"/>
    <w:rPr>
      <w:kern w:val="2"/>
      <w:sz w:val="18"/>
      <w:szCs w:val="18"/>
    </w:rPr>
  </w:style>
  <w:style w:type="character" w:customStyle="1" w:styleId="52">
    <w:name w:val="页眉 Char"/>
    <w:link w:val="25"/>
    <w:qFormat/>
    <w:uiPriority w:val="99"/>
    <w:rPr>
      <w:kern w:val="2"/>
      <w:sz w:val="18"/>
      <w:szCs w:val="18"/>
    </w:rPr>
  </w:style>
  <w:style w:type="character" w:customStyle="1" w:styleId="53">
    <w:name w:val="正文首行缩进 2 Char1"/>
    <w:link w:val="35"/>
    <w:qFormat/>
    <w:uiPriority w:val="99"/>
    <w:rPr>
      <w:rFonts w:ascii="宋体" w:hAnsi="宋体" w:cs="宋体"/>
      <w:kern w:val="2"/>
      <w:sz w:val="21"/>
      <w:szCs w:val="21"/>
    </w:rPr>
  </w:style>
  <w:style w:type="paragraph" w:customStyle="1" w:styleId="54">
    <w:name w:val="正文缩进1"/>
    <w:basedOn w:val="1"/>
    <w:qFormat/>
    <w:uiPriority w:val="0"/>
    <w:pPr>
      <w:ind w:firstLine="420"/>
    </w:pPr>
  </w:style>
  <w:style w:type="character" w:customStyle="1" w:styleId="55">
    <w:name w:val="bulletintext1"/>
    <w:qFormat/>
    <w:uiPriority w:val="0"/>
    <w:rPr>
      <w:color w:val="000000"/>
      <w:sz w:val="18"/>
      <w:szCs w:val="18"/>
    </w:rPr>
  </w:style>
  <w:style w:type="character" w:customStyle="1" w:styleId="56">
    <w:name w:val="列出段落 Char"/>
    <w:qFormat/>
    <w:uiPriority w:val="0"/>
    <w:rPr>
      <w:rFonts w:ascii="Calibri" w:hAnsi="Calibri" w:eastAsia="宋体" w:cs="Times New Roman"/>
    </w:rPr>
  </w:style>
  <w:style w:type="character" w:customStyle="1" w:styleId="57">
    <w:name w:val="正文首行缩进2字符 Char"/>
    <w:link w:val="58"/>
    <w:qFormat/>
    <w:uiPriority w:val="0"/>
    <w:rPr>
      <w:kern w:val="2"/>
      <w:sz w:val="24"/>
      <w:szCs w:val="21"/>
    </w:rPr>
  </w:style>
  <w:style w:type="paragraph" w:customStyle="1" w:styleId="58">
    <w:name w:val="正文首行缩进2字符"/>
    <w:basedOn w:val="1"/>
    <w:link w:val="57"/>
    <w:qFormat/>
    <w:locked/>
    <w:uiPriority w:val="0"/>
    <w:pPr>
      <w:widowControl/>
      <w:adjustRightInd w:val="0"/>
      <w:snapToGrid w:val="0"/>
      <w:spacing w:line="360" w:lineRule="auto"/>
      <w:ind w:firstLine="200" w:firstLineChars="200"/>
    </w:pPr>
    <w:rPr>
      <w:sz w:val="24"/>
      <w:szCs w:val="21"/>
    </w:rPr>
  </w:style>
  <w:style w:type="character" w:customStyle="1" w:styleId="59">
    <w:name w:val="large1"/>
    <w:qFormat/>
    <w:uiPriority w:val="0"/>
    <w:rPr>
      <w:rFonts w:hint="eastAsia" w:ascii="宋体" w:hAnsi="宋体" w:eastAsia="宋体"/>
      <w:sz w:val="21"/>
      <w:szCs w:val="21"/>
    </w:rPr>
  </w:style>
  <w:style w:type="character" w:customStyle="1" w:styleId="60">
    <w:name w:val="纯文本 字符1"/>
    <w:qFormat/>
    <w:uiPriority w:val="99"/>
    <w:rPr>
      <w:rFonts w:ascii="宋体" w:hAnsi="Courier New" w:eastAsia="宋体"/>
      <w:sz w:val="21"/>
      <w:szCs w:val="21"/>
      <w:lang w:val="en-US" w:eastAsia="zh-CN" w:bidi="ar-SA"/>
    </w:rPr>
  </w:style>
  <w:style w:type="character" w:customStyle="1" w:styleId="61">
    <w:name w:val="列出段落 Char1"/>
    <w:link w:val="62"/>
    <w:qFormat/>
    <w:locked/>
    <w:uiPriority w:val="0"/>
    <w:rPr>
      <w:rFonts w:ascii="Calibri" w:hAnsi="Calibri"/>
      <w:kern w:val="2"/>
      <w:sz w:val="21"/>
      <w:szCs w:val="22"/>
    </w:rPr>
  </w:style>
  <w:style w:type="paragraph" w:styleId="62">
    <w:name w:val="List Paragraph"/>
    <w:basedOn w:val="1"/>
    <w:link w:val="61"/>
    <w:qFormat/>
    <w:uiPriority w:val="0"/>
    <w:pPr>
      <w:ind w:firstLine="420" w:firstLineChars="200"/>
    </w:pPr>
    <w:rPr>
      <w:rFonts w:ascii="Calibri" w:hAnsi="Calibri"/>
      <w:szCs w:val="22"/>
    </w:rPr>
  </w:style>
  <w:style w:type="character" w:customStyle="1" w:styleId="63">
    <w:name w:val="area_1"/>
    <w:qFormat/>
    <w:uiPriority w:val="0"/>
    <w:rPr>
      <w:rFonts w:ascii="宋体" w:hAnsi="宋体"/>
      <w:sz w:val="24"/>
    </w:rPr>
  </w:style>
  <w:style w:type="character" w:customStyle="1" w:styleId="64">
    <w:name w:val="正文首行缩进 2 Char"/>
    <w:qFormat/>
    <w:uiPriority w:val="99"/>
    <w:rPr>
      <w:rFonts w:ascii="宋体" w:hAnsi="宋体" w:cs="宋体"/>
      <w:kern w:val="2"/>
      <w:sz w:val="21"/>
      <w:szCs w:val="21"/>
    </w:rPr>
  </w:style>
  <w:style w:type="character" w:customStyle="1" w:styleId="65">
    <w:name w:val="纯文本 Char"/>
    <w:qFormat/>
    <w:uiPriority w:val="0"/>
    <w:rPr>
      <w:rFonts w:ascii="宋体" w:hAnsi="Courier New" w:eastAsia="宋体"/>
      <w:kern w:val="2"/>
      <w:sz w:val="21"/>
      <w:lang w:val="en-US" w:eastAsia="zh-CN" w:bidi="ar-SA"/>
    </w:rPr>
  </w:style>
  <w:style w:type="paragraph" w:customStyle="1" w:styleId="66">
    <w:name w:val="列出段落4"/>
    <w:basedOn w:val="1"/>
    <w:qFormat/>
    <w:uiPriority w:val="0"/>
    <w:pPr>
      <w:autoSpaceDE w:val="0"/>
      <w:autoSpaceDN w:val="0"/>
      <w:adjustRightInd w:val="0"/>
      <w:ind w:firstLine="200" w:firstLineChars="200"/>
    </w:pPr>
    <w:rPr>
      <w:color w:val="000000"/>
      <w:kern w:val="0"/>
      <w:szCs w:val="21"/>
    </w:rPr>
  </w:style>
  <w:style w:type="paragraph" w:customStyle="1" w:styleId="67">
    <w:name w:val="正文样式"/>
    <w:basedOn w:val="1"/>
    <w:qFormat/>
    <w:uiPriority w:val="0"/>
    <w:pPr>
      <w:adjustRightInd w:val="0"/>
      <w:snapToGrid w:val="0"/>
      <w:spacing w:line="360" w:lineRule="auto"/>
      <w:ind w:firstLine="200" w:firstLineChars="200"/>
    </w:pPr>
    <w:rPr>
      <w:kern w:val="0"/>
      <w:sz w:val="28"/>
    </w:rPr>
  </w:style>
  <w:style w:type="paragraph" w:customStyle="1" w:styleId="68">
    <w:name w:val="Char1"/>
    <w:basedOn w:val="1"/>
    <w:qFormat/>
    <w:uiPriority w:val="0"/>
    <w:rPr>
      <w:rFonts w:ascii="FangSong_GB2312" w:eastAsia="FangSong_GB2312"/>
      <w:b/>
      <w:sz w:val="32"/>
      <w:szCs w:val="32"/>
    </w:rPr>
  </w:style>
  <w:style w:type="paragraph" w:customStyle="1" w:styleId="69">
    <w:name w:val="正文5"/>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70">
    <w:name w:val="_Style 4"/>
    <w:basedOn w:val="1"/>
    <w:qFormat/>
    <w:uiPriority w:val="0"/>
    <w:pPr>
      <w:autoSpaceDE w:val="0"/>
      <w:autoSpaceDN w:val="0"/>
      <w:adjustRightInd w:val="0"/>
      <w:ind w:firstLine="420" w:firstLineChars="200"/>
    </w:pPr>
    <w:rPr>
      <w:color w:val="000000"/>
      <w:kern w:val="0"/>
      <w:szCs w:val="21"/>
    </w:rPr>
  </w:style>
  <w:style w:type="paragraph" w:customStyle="1" w:styleId="71">
    <w:name w:val="Char11"/>
    <w:basedOn w:val="1"/>
    <w:qFormat/>
    <w:uiPriority w:val="0"/>
    <w:rPr>
      <w:rFonts w:ascii="FangSong_GB2312" w:eastAsia="FangSong_GB2312"/>
      <w:b/>
      <w:sz w:val="32"/>
      <w:szCs w:val="32"/>
    </w:rPr>
  </w:style>
  <w:style w:type="paragraph" w:customStyle="1" w:styleId="72">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3">
    <w:name w:val="列出段落1"/>
    <w:basedOn w:val="1"/>
    <w:qFormat/>
    <w:uiPriority w:val="0"/>
    <w:pPr>
      <w:autoSpaceDE w:val="0"/>
      <w:autoSpaceDN w:val="0"/>
      <w:adjustRightInd w:val="0"/>
      <w:ind w:firstLine="200" w:firstLineChars="200"/>
    </w:pPr>
    <w:rPr>
      <w:color w:val="000000"/>
      <w:kern w:val="0"/>
      <w:szCs w:val="21"/>
    </w:rPr>
  </w:style>
  <w:style w:type="paragraph" w:customStyle="1" w:styleId="74">
    <w:name w:val="_Style 49"/>
    <w:basedOn w:val="18"/>
    <w:next w:val="35"/>
    <w:unhideWhenUsed/>
    <w:qFormat/>
    <w:uiPriority w:val="99"/>
    <w:pPr>
      <w:spacing w:after="120" w:line="240" w:lineRule="auto"/>
      <w:ind w:left="420" w:leftChars="200" w:firstLine="420"/>
    </w:pPr>
    <w:rPr>
      <w:rFonts w:hint="default" w:cs="宋体"/>
      <w:szCs w:val="21"/>
    </w:rPr>
  </w:style>
  <w:style w:type="paragraph" w:customStyle="1" w:styleId="75">
    <w:name w:val="ss6"/>
    <w:basedOn w:val="1"/>
    <w:qFormat/>
    <w:uiPriority w:val="0"/>
    <w:pPr>
      <w:widowControl/>
      <w:spacing w:before="100" w:beforeAutospacing="1" w:after="100" w:afterAutospacing="1" w:line="330" w:lineRule="atLeast"/>
      <w:jc w:val="left"/>
    </w:pPr>
    <w:rPr>
      <w:rFonts w:hint="eastAsia" w:ascii="宋体" w:hAnsi="宋体"/>
      <w:color w:val="0072BB"/>
      <w:kern w:val="0"/>
      <w:sz w:val="18"/>
      <w:szCs w:val="18"/>
    </w:rPr>
  </w:style>
  <w:style w:type="paragraph" w:customStyle="1" w:styleId="76">
    <w:name w:val="表格文字"/>
    <w:basedOn w:val="1"/>
    <w:next w:val="2"/>
    <w:qFormat/>
    <w:uiPriority w:val="0"/>
    <w:pPr>
      <w:adjustRightInd w:val="0"/>
      <w:spacing w:line="420" w:lineRule="atLeast"/>
      <w:jc w:val="left"/>
      <w:textAlignment w:val="baseline"/>
    </w:pPr>
    <w:rPr>
      <w:kern w:val="0"/>
    </w:rPr>
  </w:style>
  <w:style w:type="paragraph" w:customStyle="1" w:styleId="77">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8">
    <w:name w:val="正文 A"/>
    <w:next w:val="1"/>
    <w:qFormat/>
    <w:uiPriority w:val="0"/>
    <w:pPr>
      <w:widowControl w:val="0"/>
      <w:jc w:val="both"/>
    </w:pPr>
    <w:rPr>
      <w:rFonts w:hint="eastAsia" w:ascii="Arial Unicode MS" w:hAnsi="Arial Unicode MS" w:eastAsia="Times New Roman" w:cs="Arial Unicode MS"/>
      <w:color w:val="000000"/>
      <w:sz w:val="21"/>
      <w:szCs w:val="21"/>
      <w:u w:color="000000"/>
      <w:lang w:val="en-US" w:eastAsia="zh-CN" w:bidi="ar-SA"/>
    </w:rPr>
  </w:style>
  <w:style w:type="paragraph" w:customStyle="1" w:styleId="79">
    <w:name w:val="标题 11"/>
    <w:next w:val="78"/>
    <w:qFormat/>
    <w:uiPriority w:val="0"/>
    <w:pPr>
      <w:keepNext/>
      <w:keepLines/>
      <w:widowControl w:val="0"/>
      <w:spacing w:before="340" w:after="330" w:line="576" w:lineRule="auto"/>
      <w:jc w:val="both"/>
      <w:outlineLvl w:val="0"/>
    </w:pPr>
    <w:rPr>
      <w:rFonts w:hint="eastAsia" w:ascii="Arial Unicode MS" w:hAnsi="Arial Unicode MS" w:eastAsia="Times New Roman" w:cs="Arial Unicode MS"/>
      <w:b/>
      <w:bCs/>
      <w:color w:val="000000"/>
      <w:kern w:val="44"/>
      <w:sz w:val="44"/>
      <w:szCs w:val="44"/>
      <w:u w:color="000000"/>
      <w:lang w:val="en-US" w:eastAsia="zh-CN" w:bidi="ar-SA"/>
    </w:rPr>
  </w:style>
  <w:style w:type="paragraph" w:customStyle="1" w:styleId="80">
    <w:name w:val="Char2 Char Char Char"/>
    <w:basedOn w:val="1"/>
    <w:qFormat/>
    <w:uiPriority w:val="0"/>
    <w:rPr>
      <w:rFonts w:ascii="Tahoma" w:hAnsi="Tahoma"/>
      <w:sz w:val="24"/>
      <w:szCs w:val="20"/>
    </w:rPr>
  </w:style>
  <w:style w:type="paragraph" w:customStyle="1" w:styleId="81">
    <w:name w:val="Char2"/>
    <w:basedOn w:val="1"/>
    <w:qFormat/>
    <w:uiPriority w:val="0"/>
  </w:style>
  <w:style w:type="paragraph" w:customStyle="1" w:styleId="82">
    <w:name w:val="默认段落字体 Para Char Char Char Char Char Char Char Char Char1 Char Char Char Char"/>
    <w:basedOn w:val="1"/>
    <w:qFormat/>
    <w:uiPriority w:val="0"/>
    <w:rPr>
      <w:rFonts w:ascii="Tahoma" w:hAnsi="Tahoma"/>
      <w:sz w:val="24"/>
      <w:szCs w:val="20"/>
    </w:rPr>
  </w:style>
  <w:style w:type="paragraph" w:customStyle="1" w:styleId="83">
    <w:name w:val="Char"/>
    <w:basedOn w:val="1"/>
    <w:qFormat/>
    <w:uiPriority w:val="0"/>
    <w:pPr>
      <w:adjustRightInd w:val="0"/>
      <w:spacing w:line="360" w:lineRule="auto"/>
    </w:pPr>
    <w:rPr>
      <w:kern w:val="0"/>
      <w:sz w:val="24"/>
      <w:szCs w:val="20"/>
    </w:rPr>
  </w:style>
  <w:style w:type="paragraph" w:customStyle="1" w:styleId="84">
    <w:name w:val="纯文本2"/>
    <w:basedOn w:val="69"/>
    <w:qFormat/>
    <w:uiPriority w:val="0"/>
    <w:pPr>
      <w:widowControl/>
      <w:jc w:val="left"/>
    </w:pPr>
    <w:rPr>
      <w:rFonts w:ascii="宋体" w:hAnsi="Courier New"/>
    </w:rPr>
  </w:style>
  <w:style w:type="paragraph" w:customStyle="1" w:styleId="85">
    <w:name w:val="bt1bt1"/>
    <w:basedOn w:val="4"/>
    <w:qFormat/>
    <w:uiPriority w:val="0"/>
    <w:pPr>
      <w:autoSpaceDE w:val="0"/>
      <w:autoSpaceDN w:val="0"/>
      <w:adjustRightInd w:val="0"/>
      <w:spacing w:line="240" w:lineRule="auto"/>
      <w:jc w:val="center"/>
    </w:pPr>
    <w:rPr>
      <w:rFonts w:ascii="黑体" w:eastAsia="黑体"/>
      <w:b w:val="0"/>
      <w:bCs w:val="0"/>
      <w:color w:val="000000"/>
      <w:sz w:val="36"/>
      <w:szCs w:val="36"/>
    </w:rPr>
  </w:style>
  <w:style w:type="paragraph" w:customStyle="1" w:styleId="86">
    <w:name w:val="[Normal]"/>
    <w:qFormat/>
    <w:uiPriority w:val="0"/>
    <w:rPr>
      <w:rFonts w:ascii="宋体" w:hAnsi="宋体" w:eastAsia="宋体" w:cs="Times New Roman"/>
      <w:sz w:val="24"/>
      <w:lang w:val="en-US" w:eastAsia="en-US" w:bidi="ar-SA"/>
    </w:rPr>
  </w:style>
  <w:style w:type="paragraph" w:customStyle="1" w:styleId="87">
    <w:name w:val="DAS正文"/>
    <w:basedOn w:val="1"/>
    <w:qFormat/>
    <w:uiPriority w:val="0"/>
    <w:pPr>
      <w:spacing w:line="360" w:lineRule="auto"/>
      <w:ind w:right="181" w:firstLine="480" w:firstLineChars="200"/>
    </w:pPr>
    <w:rPr>
      <w:rFonts w:ascii="Verdana" w:hAnsi="Verdana"/>
      <w:sz w:val="24"/>
      <w:szCs w:val="20"/>
    </w:rPr>
  </w:style>
  <w:style w:type="paragraph" w:customStyle="1" w:styleId="88">
    <w:name w:val="列出段落11"/>
    <w:qFormat/>
    <w:uiPriority w:val="0"/>
    <w:pPr>
      <w:framePr w:wrap="around" w:vAnchor="margin" w:hAnchor="text" w:y="1"/>
      <w:widowControl w:val="0"/>
      <w:ind w:firstLine="420"/>
      <w:jc w:val="both"/>
    </w:pPr>
    <w:rPr>
      <w:rFonts w:hint="eastAsia" w:ascii="Arial Unicode MS" w:hAnsi="Arial Unicode MS" w:eastAsia="Times New Roman" w:cs="Arial Unicode MS"/>
      <w:color w:val="000000"/>
      <w:kern w:val="2"/>
      <w:sz w:val="21"/>
      <w:szCs w:val="21"/>
      <w:lang w:val="en-US" w:eastAsia="zh-CN" w:bidi="ar-SA"/>
    </w:rPr>
  </w:style>
  <w:style w:type="paragraph" w:customStyle="1" w:styleId="89">
    <w:name w:val="_Style 1"/>
    <w:qFormat/>
    <w:uiPriority w:val="0"/>
    <w:rPr>
      <w:rFonts w:ascii="Calibri" w:hAnsi="Calibri" w:eastAsia="宋体" w:cs="Times New Roman"/>
      <w:kern w:val="2"/>
      <w:sz w:val="28"/>
      <w:szCs w:val="22"/>
      <w:lang w:val="en-US" w:eastAsia="zh-CN" w:bidi="ar-SA"/>
    </w:rPr>
  </w:style>
  <w:style w:type="character" w:customStyle="1" w:styleId="90">
    <w:name w:val="font41"/>
    <w:basedOn w:val="38"/>
    <w:qFormat/>
    <w:uiPriority w:val="0"/>
    <w:rPr>
      <w:rFonts w:hint="eastAsia" w:ascii="宋体" w:hAnsi="宋体" w:eastAsia="宋体" w:cs="宋体"/>
      <w:color w:val="000000"/>
      <w:sz w:val="18"/>
      <w:szCs w:val="18"/>
      <w:u w:val="none"/>
    </w:rPr>
  </w:style>
  <w:style w:type="character" w:customStyle="1" w:styleId="91">
    <w:name w:val="font101"/>
    <w:basedOn w:val="38"/>
    <w:qFormat/>
    <w:uiPriority w:val="0"/>
    <w:rPr>
      <w:rFonts w:hint="eastAsia" w:ascii="宋体" w:hAnsi="宋体" w:eastAsia="宋体" w:cs="宋体"/>
      <w:color w:val="000000"/>
      <w:sz w:val="21"/>
      <w:szCs w:val="21"/>
      <w:u w:val="none"/>
      <w:vertAlign w:val="subscript"/>
    </w:rPr>
  </w:style>
  <w:style w:type="character" w:customStyle="1" w:styleId="92">
    <w:name w:val="font112"/>
    <w:basedOn w:val="38"/>
    <w:qFormat/>
    <w:uiPriority w:val="0"/>
    <w:rPr>
      <w:rFonts w:hint="eastAsia" w:ascii="宋体" w:hAnsi="宋体" w:eastAsia="宋体" w:cs="宋体"/>
      <w:i/>
      <w:iCs/>
      <w:color w:val="000000"/>
      <w:sz w:val="21"/>
      <w:szCs w:val="21"/>
      <w:u w:val="none"/>
    </w:rPr>
  </w:style>
  <w:style w:type="character" w:customStyle="1" w:styleId="93">
    <w:name w:val="font71"/>
    <w:basedOn w:val="38"/>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5.png"/><Relationship Id="rId98" Type="http://schemas.openxmlformats.org/officeDocument/2006/relationships/image" Target="media/image84.png"/><Relationship Id="rId97" Type="http://schemas.openxmlformats.org/officeDocument/2006/relationships/image" Target="media/image83.png"/><Relationship Id="rId96" Type="http://schemas.openxmlformats.org/officeDocument/2006/relationships/image" Target="media/image82.png"/><Relationship Id="rId95" Type="http://schemas.openxmlformats.org/officeDocument/2006/relationships/image" Target="media/image81.png"/><Relationship Id="rId94" Type="http://schemas.openxmlformats.org/officeDocument/2006/relationships/image" Target="media/image80.png"/><Relationship Id="rId93" Type="http://schemas.openxmlformats.org/officeDocument/2006/relationships/image" Target="media/image79.png"/><Relationship Id="rId92" Type="http://schemas.openxmlformats.org/officeDocument/2006/relationships/image" Target="media/image78.png"/><Relationship Id="rId91" Type="http://schemas.openxmlformats.org/officeDocument/2006/relationships/image" Target="media/image77.png"/><Relationship Id="rId90" Type="http://schemas.openxmlformats.org/officeDocument/2006/relationships/image" Target="media/image76.png"/><Relationship Id="rId9" Type="http://schemas.openxmlformats.org/officeDocument/2006/relationships/header" Target="header4.xml"/><Relationship Id="rId89" Type="http://schemas.openxmlformats.org/officeDocument/2006/relationships/image" Target="media/image75.png"/><Relationship Id="rId88" Type="http://schemas.openxmlformats.org/officeDocument/2006/relationships/image" Target="media/image74.png"/><Relationship Id="rId87" Type="http://schemas.openxmlformats.org/officeDocument/2006/relationships/image" Target="media/image73.png"/><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footer" Target="footer3.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jpeg"/><Relationship Id="rId7" Type="http://schemas.openxmlformats.org/officeDocument/2006/relationships/header" Target="header3.xml"/><Relationship Id="rId69" Type="http://schemas.openxmlformats.org/officeDocument/2006/relationships/image" Target="media/image55.png"/><Relationship Id="rId68" Type="http://schemas.openxmlformats.org/officeDocument/2006/relationships/oleObject" Target="embeddings/oleObject2.bin"/><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footer" Target="footer2.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jpeg"/><Relationship Id="rId51" Type="http://schemas.openxmlformats.org/officeDocument/2006/relationships/image" Target="media/image38.png"/><Relationship Id="rId50" Type="http://schemas.openxmlformats.org/officeDocument/2006/relationships/oleObject" Target="embeddings/oleObject1.bin"/><Relationship Id="rId5" Type="http://schemas.openxmlformats.org/officeDocument/2006/relationships/footer" Target="footer1.xml"/><Relationship Id="rId49" Type="http://schemas.openxmlformats.org/officeDocument/2006/relationships/image" Target="media/image37.png"/><Relationship Id="rId48" Type="http://schemas.openxmlformats.org/officeDocument/2006/relationships/image" Target="media/image36.jpe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3" Type="http://schemas.openxmlformats.org/officeDocument/2006/relationships/fontTable" Target="fontTable.xml"/><Relationship Id="rId142" Type="http://schemas.openxmlformats.org/officeDocument/2006/relationships/numbering" Target="numbering.xml"/><Relationship Id="rId141" Type="http://schemas.openxmlformats.org/officeDocument/2006/relationships/customXml" Target="../customXml/item1.xml"/><Relationship Id="rId140" Type="http://schemas.openxmlformats.org/officeDocument/2006/relationships/image" Target="media/image126.png"/><Relationship Id="rId14" Type="http://schemas.openxmlformats.org/officeDocument/2006/relationships/image" Target="media/image2.png"/><Relationship Id="rId139" Type="http://schemas.openxmlformats.org/officeDocument/2006/relationships/image" Target="media/image125.jpeg"/><Relationship Id="rId138" Type="http://schemas.openxmlformats.org/officeDocument/2006/relationships/image" Target="media/image124.jpeg"/><Relationship Id="rId137" Type="http://schemas.openxmlformats.org/officeDocument/2006/relationships/image" Target="media/image123.png"/><Relationship Id="rId136" Type="http://schemas.openxmlformats.org/officeDocument/2006/relationships/image" Target="media/image122.jpeg"/><Relationship Id="rId135" Type="http://schemas.openxmlformats.org/officeDocument/2006/relationships/image" Target="media/image121.jpeg"/><Relationship Id="rId134" Type="http://schemas.openxmlformats.org/officeDocument/2006/relationships/image" Target="media/image120.jpeg"/><Relationship Id="rId133" Type="http://schemas.openxmlformats.org/officeDocument/2006/relationships/image" Target="media/image119.jpeg"/><Relationship Id="rId132" Type="http://schemas.openxmlformats.org/officeDocument/2006/relationships/image" Target="media/image118.png"/><Relationship Id="rId131" Type="http://schemas.openxmlformats.org/officeDocument/2006/relationships/image" Target="media/image117.png"/><Relationship Id="rId130" Type="http://schemas.openxmlformats.org/officeDocument/2006/relationships/image" Target="media/image116.png"/><Relationship Id="rId13" Type="http://schemas.openxmlformats.org/officeDocument/2006/relationships/theme" Target="theme/theme1.xml"/><Relationship Id="rId129" Type="http://schemas.openxmlformats.org/officeDocument/2006/relationships/image" Target="media/image115.png"/><Relationship Id="rId128" Type="http://schemas.openxmlformats.org/officeDocument/2006/relationships/image" Target="media/image114.png"/><Relationship Id="rId127" Type="http://schemas.openxmlformats.org/officeDocument/2006/relationships/image" Target="media/image113.png"/><Relationship Id="rId126" Type="http://schemas.openxmlformats.org/officeDocument/2006/relationships/image" Target="media/image112.png"/><Relationship Id="rId125" Type="http://schemas.openxmlformats.org/officeDocument/2006/relationships/image" Target="media/image111.png"/><Relationship Id="rId124" Type="http://schemas.openxmlformats.org/officeDocument/2006/relationships/image" Target="media/image110.png"/><Relationship Id="rId123" Type="http://schemas.openxmlformats.org/officeDocument/2006/relationships/image" Target="media/image109.jpeg"/><Relationship Id="rId122" Type="http://schemas.openxmlformats.org/officeDocument/2006/relationships/image" Target="media/image108.png"/><Relationship Id="rId121" Type="http://schemas.openxmlformats.org/officeDocument/2006/relationships/image" Target="media/image107.png"/><Relationship Id="rId120" Type="http://schemas.openxmlformats.org/officeDocument/2006/relationships/image" Target="media/image106.jpeg"/><Relationship Id="rId12" Type="http://schemas.openxmlformats.org/officeDocument/2006/relationships/footer" Target="footer5.xml"/><Relationship Id="rId119" Type="http://schemas.openxmlformats.org/officeDocument/2006/relationships/image" Target="media/image105.jpeg"/><Relationship Id="rId118" Type="http://schemas.openxmlformats.org/officeDocument/2006/relationships/image" Target="media/image104.png"/><Relationship Id="rId117" Type="http://schemas.openxmlformats.org/officeDocument/2006/relationships/image" Target="media/image103.png"/><Relationship Id="rId116" Type="http://schemas.openxmlformats.org/officeDocument/2006/relationships/image" Target="media/image102.png"/><Relationship Id="rId115" Type="http://schemas.openxmlformats.org/officeDocument/2006/relationships/image" Target="media/image101.png"/><Relationship Id="rId114" Type="http://schemas.openxmlformats.org/officeDocument/2006/relationships/image" Target="media/image100.png"/><Relationship Id="rId113" Type="http://schemas.openxmlformats.org/officeDocument/2006/relationships/image" Target="media/image99.png"/><Relationship Id="rId112" Type="http://schemas.openxmlformats.org/officeDocument/2006/relationships/image" Target="media/image98.png"/><Relationship Id="rId111" Type="http://schemas.openxmlformats.org/officeDocument/2006/relationships/image" Target="media/image97.jpeg"/><Relationship Id="rId110" Type="http://schemas.openxmlformats.org/officeDocument/2006/relationships/image" Target="media/image96.png"/><Relationship Id="rId11" Type="http://schemas.openxmlformats.org/officeDocument/2006/relationships/header" Target="header5.xml"/><Relationship Id="rId109" Type="http://schemas.openxmlformats.org/officeDocument/2006/relationships/image" Target="media/image95.jpeg"/><Relationship Id="rId108" Type="http://schemas.openxmlformats.org/officeDocument/2006/relationships/image" Target="media/image94.png"/><Relationship Id="rId107" Type="http://schemas.openxmlformats.org/officeDocument/2006/relationships/image" Target="media/image93.png"/><Relationship Id="rId106" Type="http://schemas.openxmlformats.org/officeDocument/2006/relationships/image" Target="media/image92.png"/><Relationship Id="rId105" Type="http://schemas.openxmlformats.org/officeDocument/2006/relationships/image" Target="media/image91.png"/><Relationship Id="rId104" Type="http://schemas.openxmlformats.org/officeDocument/2006/relationships/image" Target="media/image90.png"/><Relationship Id="rId103" Type="http://schemas.openxmlformats.org/officeDocument/2006/relationships/image" Target="media/image89.png"/><Relationship Id="rId102" Type="http://schemas.openxmlformats.org/officeDocument/2006/relationships/image" Target="media/image88.png"/><Relationship Id="rId101" Type="http://schemas.openxmlformats.org/officeDocument/2006/relationships/image" Target="media/image87.png"/><Relationship Id="rId100" Type="http://schemas.openxmlformats.org/officeDocument/2006/relationships/image" Target="media/image86.png"/><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1"/>
    <customShpInfo spid="_x0000_s2052"/>
    <customShpInfo spid="_x0000_s2055"/>
    <customShpInfo spid="_x0000_s2056"/>
    <customShpInfo spid="_x0000_s204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370</Pages>
  <Words>241507</Words>
  <Characters>281602</Characters>
  <Lines>2174</Lines>
  <Paragraphs>612</Paragraphs>
  <TotalTime>0</TotalTime>
  <ScaleCrop>false</ScaleCrop>
  <LinksUpToDate>false</LinksUpToDate>
  <CharactersWithSpaces>291231</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2022-04-28T09:33:00Z</dcterms:created>
  <dc:creator>夏沫了</dc:creator>
  <cp:lastModifiedBy>夏沫了</cp:lastModifiedBy>
  <cp:lastPrinted>2022-04-22T05:05:00Z</cp:lastPrinted>
  <dcterms:modified xsi:type="dcterms:W3CDTF">2022-04-29T03:02:41Z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9B195DFDED6B4B39B37341136EC46C62</vt:lpwstr>
  </property>
  <property fmtid="{D5CDD505-2E9C-101B-9397-08002B2CF9AE}" pid="4" name="commondata">
    <vt:lpwstr>eyJoZGlkIjoiZjE3OWZjYWU3NTFmNjg1ZWVmMmI0NDViOWE4MmU0MTgifQ==</vt:lpwstr>
  </property>
</Properties>
</file>