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32"/>
          <w:szCs w:val="3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6"/>
          <w:szCs w:val="36"/>
        </w:rPr>
      </w:pPr>
      <w:r>
        <w:rPr>
          <w:rFonts w:hint="eastAsia" w:ascii="宋体"/>
          <w:b/>
          <w:kern w:val="0"/>
          <w:sz w:val="36"/>
          <w:szCs w:val="36"/>
          <w:lang w:val="en-US" w:eastAsia="zh-CN"/>
        </w:rPr>
        <w:t xml:space="preserve"> 三招采-2022-GK066</w:t>
      </w:r>
      <w:r>
        <w:rPr>
          <w:rFonts w:hint="eastAsia" w:ascii="宋体"/>
          <w:b/>
          <w:kern w:val="0"/>
          <w:sz w:val="36"/>
          <w:szCs w:val="36"/>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ind w:firstLine="1797" w:firstLineChars="642"/>
        <w:jc w:val="left"/>
        <w:rPr>
          <w:rFonts w:ascii="宋体"/>
          <w:kern w:val="0"/>
          <w:sz w:val="28"/>
        </w:rPr>
      </w:pPr>
    </w:p>
    <w:p>
      <w:pPr>
        <w:pStyle w:val="34"/>
        <w:rPr>
          <w:rFonts w:ascii="宋体"/>
          <w:kern w:val="0"/>
          <w:sz w:val="28"/>
        </w:rPr>
      </w:pPr>
    </w:p>
    <w:p>
      <w:pPr>
        <w:pStyle w:val="34"/>
        <w:rPr>
          <w:rFonts w:ascii="宋体"/>
          <w:kern w:val="0"/>
          <w:sz w:val="28"/>
        </w:rPr>
      </w:pPr>
    </w:p>
    <w:p>
      <w:pPr>
        <w:pStyle w:val="34"/>
        <w:rPr>
          <w:rFonts w:ascii="宋体"/>
          <w:kern w:val="0"/>
          <w:sz w:val="28"/>
        </w:rPr>
      </w:pPr>
    </w:p>
    <w:p>
      <w:pPr>
        <w:pStyle w:val="34"/>
        <w:rPr>
          <w:rFonts w:ascii="宋体"/>
          <w:kern w:val="0"/>
          <w:sz w:val="28"/>
        </w:rPr>
      </w:pPr>
    </w:p>
    <w:p>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spacing w:val="-14"/>
          <w:kern w:val="0"/>
          <w:sz w:val="32"/>
          <w:szCs w:val="32"/>
          <w:lang w:eastAsia="zh-CN"/>
        </w:rPr>
        <w:t>三门县地表水水质自动</w:t>
      </w:r>
      <w:r>
        <w:rPr>
          <w:rFonts w:hint="eastAsia" w:ascii="宋体"/>
          <w:color w:val="000000" w:themeColor="text1"/>
          <w:spacing w:val="-14"/>
          <w:kern w:val="0"/>
          <w:sz w:val="32"/>
          <w:szCs w:val="32"/>
          <w:lang w:eastAsia="zh-CN"/>
          <w14:textFill>
            <w14:solidFill>
              <w14:schemeClr w14:val="tx1"/>
            </w14:solidFill>
          </w14:textFill>
        </w:rPr>
        <w:t>监测</w:t>
      </w:r>
      <w:r>
        <w:rPr>
          <w:rFonts w:hint="eastAsia" w:ascii="宋体"/>
          <w:spacing w:val="-14"/>
          <w:kern w:val="0"/>
          <w:sz w:val="32"/>
          <w:szCs w:val="32"/>
          <w:lang w:eastAsia="zh-CN"/>
        </w:rPr>
        <w:t>系统建设项目</w:t>
      </w:r>
    </w:p>
    <w:p>
      <w:pPr>
        <w:pStyle w:val="34"/>
      </w:pPr>
    </w:p>
    <w:p>
      <w:pPr>
        <w:pStyle w:val="34"/>
      </w:pPr>
    </w:p>
    <w:p>
      <w:pPr>
        <w:pStyle w:val="34"/>
      </w:pPr>
    </w:p>
    <w:p>
      <w:pPr>
        <w:autoSpaceDE w:val="0"/>
        <w:autoSpaceDN w:val="0"/>
        <w:adjustRightInd w:val="0"/>
        <w:spacing w:line="480" w:lineRule="auto"/>
        <w:ind w:firstLine="960" w:firstLineChars="300"/>
        <w:jc w:val="left"/>
        <w:rPr>
          <w:rFonts w:hint="eastAsia" w:ascii="宋体" w:eastAsia="宋体"/>
          <w:kern w:val="0"/>
          <w:sz w:val="32"/>
          <w:szCs w:val="32"/>
          <w:lang w:eastAsia="zh-CN"/>
        </w:rPr>
      </w:pPr>
      <w:r>
        <w:rPr>
          <w:rFonts w:hint="eastAsia" w:ascii="宋体"/>
          <w:kern w:val="0"/>
          <w:sz w:val="32"/>
          <w:szCs w:val="32"/>
        </w:rPr>
        <w:t>采 购 人：</w:t>
      </w:r>
      <w:r>
        <w:rPr>
          <w:rFonts w:hint="eastAsia" w:ascii="宋体"/>
          <w:kern w:val="0"/>
          <w:sz w:val="32"/>
          <w:szCs w:val="32"/>
          <w:lang w:eastAsia="zh-CN"/>
        </w:rPr>
        <w:t>台州市生态环境局三门分局</w:t>
      </w:r>
    </w:p>
    <w:p>
      <w:pPr>
        <w:autoSpaceDE w:val="0"/>
        <w:autoSpaceDN w:val="0"/>
        <w:adjustRightInd w:val="0"/>
        <w:spacing w:line="480" w:lineRule="auto"/>
        <w:ind w:firstLine="960" w:firstLineChars="300"/>
        <w:jc w:val="left"/>
        <w:rPr>
          <w:rFonts w:hint="eastAsia" w:ascii="宋体"/>
          <w:kern w:val="0"/>
          <w:sz w:val="32"/>
          <w:szCs w:val="32"/>
        </w:rPr>
      </w:pPr>
    </w:p>
    <w:p>
      <w:pPr>
        <w:autoSpaceDE w:val="0"/>
        <w:autoSpaceDN w:val="0"/>
        <w:adjustRightInd w:val="0"/>
        <w:spacing w:line="480" w:lineRule="auto"/>
        <w:ind w:firstLine="960" w:firstLineChars="300"/>
        <w:jc w:val="left"/>
        <w:rPr>
          <w:rFonts w:hint="eastAsia" w:ascii="宋体" w:hAnsi="宋体" w:eastAsia="宋体" w:cs="宋体"/>
          <w:kern w:val="0"/>
          <w:sz w:val="32"/>
          <w:szCs w:val="32"/>
          <w:lang w:eastAsia="zh-CN"/>
        </w:rPr>
      </w:pPr>
      <w:r>
        <w:rPr>
          <w:rFonts w:hint="eastAsia" w:ascii="宋体" w:hAnsi="宋体"/>
          <w:sz w:val="32"/>
          <w:szCs w:val="32"/>
        </w:rPr>
        <w:t>采购代理人：</w:t>
      </w:r>
      <w:r>
        <w:rPr>
          <w:rFonts w:hint="eastAsia" w:ascii="宋体" w:hAnsi="宋体"/>
          <w:sz w:val="32"/>
          <w:szCs w:val="32"/>
          <w:lang w:eastAsia="zh-CN"/>
        </w:rPr>
        <w:t>三门县海川工程技术咨询有限公司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rPr>
        <w:t>2</w:t>
      </w:r>
      <w:r>
        <w:rPr>
          <w:rFonts w:ascii="宋体" w:hAnsi="宋体" w:cs="宋体"/>
          <w:kern w:val="0"/>
          <w:sz w:val="32"/>
          <w:szCs w:val="32"/>
        </w:rPr>
        <w:t>年</w:t>
      </w:r>
      <w:r>
        <w:rPr>
          <w:rFonts w:hint="eastAsia" w:ascii="宋体" w:hAnsi="宋体" w:cs="宋体"/>
          <w:kern w:val="0"/>
          <w:sz w:val="32"/>
          <w:szCs w:val="32"/>
        </w:rPr>
        <w:t xml:space="preserve"> 7 </w:t>
      </w:r>
      <w:r>
        <w:rPr>
          <w:rFonts w:ascii="宋体" w:hAnsi="宋体" w:cs="宋体"/>
          <w:kern w:val="0"/>
          <w:sz w:val="32"/>
          <w:szCs w:val="32"/>
        </w:rPr>
        <w:t>月</w:t>
      </w:r>
      <w:r>
        <w:rPr>
          <w:rFonts w:hint="eastAsia" w:ascii="宋体" w:hAnsi="宋体" w:cs="宋体"/>
          <w:kern w:val="0"/>
          <w:sz w:val="32"/>
          <w:szCs w:val="32"/>
        </w:rPr>
        <w:t xml:space="preserve"> </w:t>
      </w:r>
    </w:p>
    <w:p>
      <w:pPr>
        <w:spacing w:line="360" w:lineRule="auto"/>
      </w:pPr>
    </w:p>
    <w:p>
      <w:pPr>
        <w:pStyle w:val="39"/>
      </w:pPr>
    </w:p>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0"/>
        <w:tabs>
          <w:tab w:val="right" w:leader="dot" w:pos="8620"/>
        </w:tabs>
        <w:rPr>
          <w:rFonts w:cs="黑体"/>
          <w:sz w:val="28"/>
          <w:szCs w:val="28"/>
        </w:rPr>
      </w:pPr>
      <w:r>
        <w:fldChar w:fldCharType="begin"/>
      </w:r>
      <w:r>
        <w:instrText xml:space="preserve"> HYPERLINK \l "_Toc4350_WPSOffice_Level1" </w:instrText>
      </w:r>
      <w:r>
        <w:fldChar w:fldCharType="separate"/>
      </w:r>
      <w:r>
        <w:rPr>
          <w:rFonts w:hint="eastAsia" w:cs="黑体"/>
          <w:sz w:val="28"/>
          <w:szCs w:val="28"/>
        </w:rPr>
        <w:t>第一章 招标公告</w:t>
      </w:r>
      <w:r>
        <w:rPr>
          <w:rFonts w:cs="黑体"/>
          <w:sz w:val="28"/>
          <w:szCs w:val="28"/>
        </w:rPr>
        <w:tab/>
      </w:r>
      <w:r>
        <w:rPr>
          <w:rFonts w:hint="eastAsia" w:cs="黑体"/>
          <w:sz w:val="28"/>
          <w:szCs w:val="28"/>
          <w:lang w:val="en-US" w:eastAsia="zh-CN"/>
        </w:rPr>
        <w:t>1</w:t>
      </w:r>
      <w:r>
        <w:rPr>
          <w:rFonts w:cs="黑体"/>
          <w:sz w:val="28"/>
          <w:szCs w:val="28"/>
        </w:rPr>
        <w:fldChar w:fldCharType="end"/>
      </w:r>
    </w:p>
    <w:p>
      <w:pPr>
        <w:pStyle w:val="20"/>
        <w:tabs>
          <w:tab w:val="right" w:leader="dot" w:pos="8620"/>
        </w:tabs>
        <w:rPr>
          <w:rFonts w:cs="黑体"/>
          <w:sz w:val="28"/>
          <w:szCs w:val="28"/>
        </w:rPr>
      </w:pPr>
      <w:r>
        <w:fldChar w:fldCharType="begin"/>
      </w:r>
      <w:r>
        <w:instrText xml:space="preserve"> HYPERLINK \l "_Toc25017_WPSOffice_Level1" </w:instrText>
      </w:r>
      <w:r>
        <w:fldChar w:fldCharType="separate"/>
      </w:r>
      <w:r>
        <w:rPr>
          <w:rFonts w:hint="eastAsia" w:cs="黑体"/>
          <w:sz w:val="28"/>
          <w:szCs w:val="28"/>
        </w:rPr>
        <w:t>第二章 供应商须知</w:t>
      </w:r>
      <w:r>
        <w:rPr>
          <w:rFonts w:cs="黑体"/>
          <w:sz w:val="28"/>
          <w:szCs w:val="28"/>
        </w:rPr>
        <w:tab/>
      </w:r>
      <w:r>
        <w:rPr>
          <w:rFonts w:hint="eastAsia" w:cs="黑体"/>
          <w:sz w:val="28"/>
          <w:szCs w:val="28"/>
          <w:lang w:val="en-US" w:eastAsia="zh-CN"/>
        </w:rPr>
        <w:t>5</w:t>
      </w:r>
      <w:r>
        <w:rPr>
          <w:rFonts w:cs="黑体"/>
          <w:sz w:val="28"/>
          <w:szCs w:val="28"/>
        </w:rPr>
        <w:fldChar w:fldCharType="end"/>
      </w:r>
    </w:p>
    <w:p>
      <w:pPr>
        <w:pStyle w:val="20"/>
        <w:tabs>
          <w:tab w:val="right" w:leader="dot" w:pos="8620"/>
        </w:tabs>
        <w:ind w:right="638" w:rightChars="304"/>
        <w:rPr>
          <w:rFonts w:hint="eastAsia" w:eastAsia="宋体" w:cs="黑体"/>
          <w:sz w:val="28"/>
          <w:szCs w:val="28"/>
          <w:lang w:val="en-US" w:eastAsia="zh-CN"/>
        </w:rPr>
      </w:pPr>
      <w:r>
        <w:fldChar w:fldCharType="begin"/>
      </w:r>
      <w:r>
        <w:instrText xml:space="preserve"> HYPERLINK \l "_Toc13072_WPSOffice_Level1" </w:instrText>
      </w:r>
      <w:r>
        <w:fldChar w:fldCharType="separate"/>
      </w:r>
      <w:r>
        <w:rPr>
          <w:rFonts w:hint="eastAsia" w:cs="黑体"/>
          <w:sz w:val="28"/>
          <w:szCs w:val="28"/>
        </w:rPr>
        <w:t>第三章 招标需求</w:t>
      </w:r>
      <w:r>
        <w:rPr>
          <w:rFonts w:cs="黑体"/>
          <w:sz w:val="28"/>
          <w:szCs w:val="28"/>
        </w:rPr>
        <w:tab/>
      </w:r>
      <w:r>
        <w:rPr>
          <w:rFonts w:hint="eastAsia" w:cs="黑体"/>
          <w:sz w:val="28"/>
          <w:szCs w:val="28"/>
        </w:rPr>
        <w:t>1</w:t>
      </w:r>
      <w:r>
        <w:rPr>
          <w:rFonts w:hint="eastAsia" w:cs="黑体"/>
          <w:sz w:val="28"/>
          <w:szCs w:val="28"/>
        </w:rPr>
        <w:fldChar w:fldCharType="end"/>
      </w:r>
      <w:r>
        <w:rPr>
          <w:rFonts w:hint="eastAsia" w:cs="黑体"/>
          <w:sz w:val="28"/>
          <w:szCs w:val="28"/>
          <w:lang w:val="en-US" w:eastAsia="zh-CN"/>
        </w:rPr>
        <w:t>4</w:t>
      </w:r>
    </w:p>
    <w:p>
      <w:pPr>
        <w:pStyle w:val="20"/>
        <w:tabs>
          <w:tab w:val="right" w:leader="dot" w:pos="8620"/>
        </w:tabs>
        <w:rPr>
          <w:rFonts w:hint="eastAsia" w:eastAsia="宋体" w:cs="黑体"/>
          <w:sz w:val="28"/>
          <w:szCs w:val="28"/>
          <w:lang w:val="en-US" w:eastAsia="zh-CN"/>
        </w:rPr>
      </w:pPr>
      <w:r>
        <w:fldChar w:fldCharType="begin"/>
      </w:r>
      <w:r>
        <w:instrText xml:space="preserve"> HYPERLINK \l "_Toc31173_WPSOffice_Level1" </w:instrText>
      </w:r>
      <w:r>
        <w:fldChar w:fldCharType="separate"/>
      </w:r>
      <w:r>
        <w:rPr>
          <w:rFonts w:hint="eastAsia" w:cs="黑体"/>
          <w:sz w:val="28"/>
          <w:szCs w:val="28"/>
        </w:rPr>
        <w:t>第四章 评标</w:t>
      </w:r>
      <w:r>
        <w:rPr>
          <w:rFonts w:cs="黑体"/>
          <w:sz w:val="28"/>
          <w:szCs w:val="28"/>
        </w:rPr>
        <w:tab/>
      </w:r>
      <w:r>
        <w:rPr>
          <w:rFonts w:hint="eastAsia" w:cs="黑体"/>
          <w:sz w:val="28"/>
          <w:szCs w:val="28"/>
          <w:lang w:val="en-US" w:eastAsia="zh-CN"/>
        </w:rPr>
        <w:t>3</w:t>
      </w:r>
      <w:r>
        <w:rPr>
          <w:rFonts w:hint="eastAsia" w:cs="黑体"/>
          <w:sz w:val="28"/>
          <w:szCs w:val="28"/>
        </w:rPr>
        <w:fldChar w:fldCharType="end"/>
      </w:r>
      <w:r>
        <w:rPr>
          <w:rFonts w:hint="eastAsia" w:cs="黑体"/>
          <w:sz w:val="28"/>
          <w:szCs w:val="28"/>
          <w:lang w:val="en-US" w:eastAsia="zh-CN"/>
        </w:rPr>
        <w:t>3</w:t>
      </w:r>
    </w:p>
    <w:p>
      <w:pPr>
        <w:pStyle w:val="20"/>
        <w:tabs>
          <w:tab w:val="right" w:leader="dot" w:pos="8620"/>
        </w:tabs>
        <w:rPr>
          <w:rFonts w:hint="eastAsia" w:eastAsia="宋体" w:cs="黑体"/>
          <w:sz w:val="28"/>
          <w:szCs w:val="28"/>
          <w:lang w:val="en-US" w:eastAsia="zh-CN"/>
        </w:rPr>
      </w:pPr>
      <w:r>
        <w:fldChar w:fldCharType="begin"/>
      </w:r>
      <w:r>
        <w:instrText xml:space="preserve"> HYPERLINK \l "_Toc27944_WPSOffice_Level1" </w:instrText>
      </w:r>
      <w:r>
        <w:fldChar w:fldCharType="separate"/>
      </w:r>
      <w:r>
        <w:rPr>
          <w:rFonts w:hint="eastAsia" w:cs="黑体"/>
          <w:sz w:val="28"/>
          <w:szCs w:val="28"/>
        </w:rPr>
        <w:t>第五章 拟签订的合同文本</w:t>
      </w:r>
      <w:r>
        <w:rPr>
          <w:rFonts w:cs="黑体"/>
          <w:sz w:val="28"/>
          <w:szCs w:val="28"/>
        </w:rPr>
        <w:tab/>
      </w:r>
      <w:r>
        <w:rPr>
          <w:rFonts w:hint="eastAsia" w:cs="黑体"/>
          <w:sz w:val="28"/>
          <w:szCs w:val="28"/>
          <w:lang w:val="en-US" w:eastAsia="zh-CN"/>
        </w:rPr>
        <w:t>4</w:t>
      </w:r>
      <w:r>
        <w:rPr>
          <w:rFonts w:hint="eastAsia" w:cs="黑体"/>
          <w:sz w:val="28"/>
          <w:szCs w:val="28"/>
        </w:rPr>
        <w:fldChar w:fldCharType="end"/>
      </w:r>
      <w:r>
        <w:rPr>
          <w:rFonts w:hint="eastAsia" w:cs="黑体"/>
          <w:sz w:val="28"/>
          <w:szCs w:val="28"/>
          <w:lang w:val="en-US" w:eastAsia="zh-CN"/>
        </w:rPr>
        <w:t>0</w:t>
      </w:r>
    </w:p>
    <w:p>
      <w:pPr>
        <w:pStyle w:val="20"/>
        <w:tabs>
          <w:tab w:val="right" w:leader="dot" w:pos="8620"/>
        </w:tabs>
        <w:rPr>
          <w:rFonts w:hint="eastAsia" w:eastAsia="宋体"/>
          <w:lang w:val="en-US" w:eastAsia="zh-CN"/>
        </w:rPr>
      </w:pPr>
      <w:r>
        <w:fldChar w:fldCharType="begin"/>
      </w:r>
      <w:r>
        <w:instrText xml:space="preserve"> HYPERLINK \l "_Toc5481_WPSOffice_Level1" </w:instrText>
      </w:r>
      <w:r>
        <w:fldChar w:fldCharType="separate"/>
      </w:r>
      <w:r>
        <w:rPr>
          <w:rFonts w:hint="eastAsia" w:cs="黑体"/>
          <w:sz w:val="28"/>
          <w:szCs w:val="28"/>
        </w:rPr>
        <w:t>第六章 投标文件格式</w:t>
      </w:r>
      <w:r>
        <w:rPr>
          <w:rFonts w:cs="黑体"/>
          <w:sz w:val="28"/>
          <w:szCs w:val="28"/>
        </w:rPr>
        <w:tab/>
      </w:r>
      <w:r>
        <w:rPr>
          <w:rFonts w:hint="eastAsia" w:cs="黑体"/>
          <w:sz w:val="28"/>
          <w:szCs w:val="28"/>
          <w:lang w:val="en-US" w:eastAsia="zh-CN"/>
        </w:rPr>
        <w:t>4</w:t>
      </w:r>
      <w:r>
        <w:rPr>
          <w:rFonts w:hint="eastAsia" w:cs="黑体"/>
          <w:sz w:val="28"/>
          <w:szCs w:val="28"/>
        </w:rPr>
        <w:fldChar w:fldCharType="end"/>
      </w:r>
      <w:bookmarkEnd w:id="0"/>
      <w:r>
        <w:rPr>
          <w:rFonts w:hint="eastAsia" w:cs="黑体"/>
          <w:sz w:val="28"/>
          <w:szCs w:val="28"/>
          <w:lang w:val="en-US" w:eastAsia="zh-CN"/>
        </w:rPr>
        <w:t>5</w:t>
      </w:r>
    </w:p>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b/>
          <w:sz w:val="36"/>
          <w:szCs w:val="36"/>
        </w:rPr>
      </w:pPr>
    </w:p>
    <w:p>
      <w:pPr>
        <w:pStyle w:val="2"/>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sectPr>
          <w:headerReference r:id="rId3" w:type="default"/>
          <w:pgSz w:w="11906" w:h="16838"/>
          <w:pgMar w:top="1440" w:right="1440" w:bottom="1440" w:left="1440" w:header="851" w:footer="851" w:gutter="0"/>
          <w:cols w:space="720" w:num="1"/>
          <w:docGrid w:linePitch="312" w:charSpace="0"/>
        </w:sectPr>
      </w:pPr>
      <w:bookmarkStart w:id="1" w:name="_Toc28359079"/>
      <w:bookmarkStart w:id="2" w:name="_Toc35393621"/>
      <w:bookmarkStart w:id="3" w:name="_Toc28359002"/>
      <w:bookmarkStart w:id="4" w:name="_Toc35393790"/>
      <w:bookmarkStart w:id="5" w:name="_Hlk24379207"/>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sz w:val="36"/>
          <w:szCs w:val="36"/>
        </w:rPr>
        <w:t>招标公告</w:t>
      </w:r>
    </w:p>
    <w:p>
      <w:pPr>
        <w:pStyle w:val="5"/>
        <w:ind w:firstLine="480" w:firstLineChars="200"/>
        <w:rPr>
          <w:rFonts w:cs="宋体"/>
          <w:b w:val="0"/>
          <w:sz w:val="24"/>
          <w:szCs w:val="24"/>
        </w:rPr>
      </w:pPr>
      <w:r>
        <w:rPr>
          <w:rFonts w:hint="eastAsia" w:cs="宋体"/>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hint="eastAsia" w:cs="宋体"/>
          <w:b w:val="0"/>
          <w:sz w:val="24"/>
          <w:szCs w:val="24"/>
        </w:rPr>
        <w:t>受采购人委托，现就</w:t>
      </w:r>
      <w:r>
        <w:rPr>
          <w:rFonts w:hint="eastAsia" w:cs="宋体"/>
          <w:b w:val="0"/>
          <w:sz w:val="24"/>
          <w:szCs w:val="24"/>
          <w:u w:val="single"/>
          <w:lang w:eastAsia="zh-CN"/>
        </w:rPr>
        <w:t>三门县地表水水质自动监测系统建设项目</w:t>
      </w:r>
      <w:r>
        <w:rPr>
          <w:rFonts w:hint="eastAsia" w:cs="宋体"/>
          <w:b w:val="0"/>
          <w:sz w:val="24"/>
          <w:szCs w:val="24"/>
        </w:rPr>
        <w:t>进行公开招标采购，欢迎合格供应商前来投标。</w:t>
      </w:r>
    </w:p>
    <w:p>
      <w:pPr>
        <w:pStyle w:val="5"/>
        <w:ind w:firstLine="482" w:firstLineChars="200"/>
        <w:rPr>
          <w:rFonts w:cs="宋体"/>
          <w:bCs/>
          <w:sz w:val="24"/>
          <w:szCs w:val="24"/>
        </w:rPr>
      </w:pPr>
      <w:r>
        <w:rPr>
          <w:rFonts w:hint="eastAsia" w:cs="宋体"/>
          <w:bCs/>
          <w:sz w:val="24"/>
          <w:szCs w:val="24"/>
        </w:rPr>
        <w:t>一、项目基本情况</w:t>
      </w:r>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三招采-2022-GK066</w:t>
      </w:r>
      <w:r>
        <w:rPr>
          <w:rFonts w:hint="eastAsia" w:ascii="宋体" w:hAnsi="宋体" w:cs="宋体"/>
          <w:sz w:val="24"/>
        </w:rPr>
        <w:t>号</w:t>
      </w:r>
      <w:bookmarkEnd w:id="5"/>
    </w:p>
    <w:p>
      <w:pPr>
        <w:spacing w:line="360" w:lineRule="auto"/>
        <w:ind w:firstLine="480" w:firstLineChars="200"/>
        <w:rPr>
          <w:rFonts w:hint="eastAsia" w:eastAsia="宋体"/>
          <w:lang w:eastAsia="zh-CN"/>
        </w:rPr>
      </w:pPr>
      <w:r>
        <w:rPr>
          <w:rFonts w:hint="eastAsia" w:ascii="宋体" w:hAnsi="宋体" w:cs="宋体"/>
          <w:sz w:val="24"/>
        </w:rPr>
        <w:t>项目名称：</w:t>
      </w:r>
      <w:r>
        <w:rPr>
          <w:rFonts w:hint="eastAsia" w:ascii="宋体" w:hAnsi="宋体" w:cs="宋体"/>
          <w:sz w:val="24"/>
          <w:lang w:eastAsia="zh-CN"/>
        </w:rPr>
        <w:t>三门县地表水水质自动监测系统建设项目</w:t>
      </w:r>
    </w:p>
    <w:tbl>
      <w:tblPr>
        <w:tblStyle w:val="25"/>
        <w:tblpPr w:leftFromText="181" w:rightFromText="181" w:bottomFromText="17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871"/>
        <w:gridCol w:w="770"/>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87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77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0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99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预算价</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871" w:type="dxa"/>
            <w:vAlign w:val="center"/>
          </w:tcPr>
          <w:p>
            <w:pPr>
              <w:tabs>
                <w:tab w:val="left" w:pos="8280"/>
              </w:tabs>
              <w:autoSpaceDE w:val="0"/>
              <w:autoSpaceDN w:val="0"/>
              <w:adjustRightInd w:val="0"/>
              <w:rPr>
                <w:rFonts w:hint="eastAsia" w:ascii="宋体" w:hAnsi="宋体" w:eastAsia="宋体" w:cs="宋体"/>
                <w:b/>
                <w:szCs w:val="21"/>
                <w:lang w:eastAsia="zh-CN"/>
              </w:rPr>
            </w:pPr>
            <w:r>
              <w:rPr>
                <w:rFonts w:hint="eastAsia" w:ascii="宋体" w:hAnsi="宋体"/>
                <w:sz w:val="24"/>
                <w:lang w:eastAsia="zh-CN"/>
              </w:rPr>
              <w:t>三门县地表水水质自动监测系统建设项目</w:t>
            </w:r>
          </w:p>
        </w:tc>
        <w:tc>
          <w:tcPr>
            <w:tcW w:w="770"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70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992" w:type="dxa"/>
            <w:vAlign w:val="center"/>
          </w:tcPr>
          <w:p>
            <w:pPr>
              <w:tabs>
                <w:tab w:val="left" w:pos="8280"/>
              </w:tabs>
              <w:autoSpaceDE w:val="0"/>
              <w:autoSpaceDN w:val="0"/>
              <w:adjustRightInd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750</w:t>
            </w:r>
          </w:p>
        </w:tc>
        <w:tc>
          <w:tcPr>
            <w:tcW w:w="1276" w:type="dxa"/>
            <w:vAlign w:val="center"/>
          </w:tcPr>
          <w:p>
            <w:pPr>
              <w:tabs>
                <w:tab w:val="left" w:pos="8280"/>
              </w:tabs>
              <w:autoSpaceDE w:val="0"/>
              <w:autoSpaceDN w:val="0"/>
              <w:adjustRightInd w:val="0"/>
              <w:jc w:val="center"/>
              <w:rPr>
                <w:rFonts w:hint="default" w:ascii="宋体" w:hAnsi="宋体" w:eastAsia="宋体" w:cs="宋体"/>
                <w:b/>
                <w:szCs w:val="21"/>
                <w:lang w:val="en-US" w:eastAsia="zh-CN"/>
              </w:rPr>
            </w:pPr>
            <w:r>
              <w:rPr>
                <w:rFonts w:hint="eastAsia" w:ascii="宋体" w:hAnsi="宋体" w:cs="宋体"/>
                <w:b/>
                <w:szCs w:val="21"/>
                <w:lang w:val="en-US" w:eastAsia="zh-CN"/>
              </w:rPr>
              <w:t>750</w:t>
            </w:r>
          </w:p>
        </w:tc>
        <w:tc>
          <w:tcPr>
            <w:tcW w:w="1276" w:type="dxa"/>
            <w:vAlign w:val="center"/>
          </w:tcPr>
          <w:p>
            <w:pPr>
              <w:tabs>
                <w:tab w:val="left" w:pos="8280"/>
              </w:tabs>
              <w:autoSpaceDE w:val="0"/>
              <w:autoSpaceDN w:val="0"/>
              <w:adjustRightInd w:val="0"/>
              <w:jc w:val="center"/>
              <w:rPr>
                <w:rFonts w:hint="default" w:ascii="宋体" w:hAnsi="宋体" w:eastAsia="宋体" w:cs="宋体"/>
                <w:b/>
                <w:szCs w:val="21"/>
                <w:lang w:val="en-US" w:eastAsia="zh-CN"/>
              </w:rPr>
            </w:pPr>
            <w:r>
              <w:rPr>
                <w:rFonts w:hint="eastAsia" w:ascii="宋体" w:hAnsi="宋体" w:eastAsia="宋体" w:cs="宋体"/>
                <w:b/>
                <w:bCs/>
                <w:color w:val="000000" w:themeColor="text1"/>
                <w:szCs w:val="21"/>
                <w:lang w:val="en-US" w:eastAsia="zh-CN"/>
                <w14:textFill>
                  <w14:solidFill>
                    <w14:schemeClr w14:val="tx1"/>
                  </w14:solidFill>
                </w14:textFill>
              </w:rPr>
              <w:t>合同签订后，在2022年</w:t>
            </w:r>
            <w:r>
              <w:rPr>
                <w:rFonts w:hint="eastAsia" w:ascii="宋体" w:hAnsi="宋体" w:cs="宋体"/>
                <w:b/>
                <w:bCs/>
                <w:color w:val="000000" w:themeColor="text1"/>
                <w:szCs w:val="21"/>
                <w:lang w:val="en-US" w:eastAsia="zh-CN"/>
                <w14:textFill>
                  <w14:solidFill>
                    <w14:schemeClr w14:val="tx1"/>
                  </w14:solidFill>
                </w14:textFill>
              </w:rPr>
              <w:t>10</w:t>
            </w:r>
            <w:r>
              <w:rPr>
                <w:rFonts w:hint="eastAsia" w:ascii="宋体" w:hAnsi="宋体" w:eastAsia="宋体" w:cs="宋体"/>
                <w:b/>
                <w:bCs/>
                <w:color w:val="000000" w:themeColor="text1"/>
                <w:szCs w:val="21"/>
                <w:lang w:val="en-US" w:eastAsia="zh-CN"/>
                <w14:textFill>
                  <w14:solidFill>
                    <w14:schemeClr w14:val="tx1"/>
                  </w14:solidFill>
                </w14:textFill>
              </w:rPr>
              <w:t>月底前完成</w:t>
            </w:r>
          </w:p>
        </w:tc>
      </w:tr>
    </w:tbl>
    <w:p>
      <w:pPr>
        <w:pStyle w:val="5"/>
        <w:tabs>
          <w:tab w:val="left" w:pos="9660"/>
          <w:tab w:val="clear" w:pos="8280"/>
        </w:tabs>
        <w:ind w:right="23" w:firstLine="482" w:firstLineChars="200"/>
        <w:jc w:val="left"/>
        <w:rPr>
          <w:rFonts w:cs="宋体"/>
          <w:bCs/>
          <w:sz w:val="24"/>
          <w:szCs w:val="24"/>
        </w:rPr>
      </w:pPr>
      <w:bookmarkStart w:id="6" w:name="_Toc28359080"/>
      <w:bookmarkStart w:id="7" w:name="_Toc28359003"/>
      <w:bookmarkStart w:id="8" w:name="_Toc35393791"/>
      <w:bookmarkStart w:id="9" w:name="_Toc35393622"/>
      <w:r>
        <w:rPr>
          <w:rFonts w:hint="eastAsia" w:cs="宋体"/>
          <w:bCs/>
          <w:sz w:val="24"/>
          <w:szCs w:val="24"/>
        </w:rPr>
        <w:t>二、</w:t>
      </w:r>
      <w:r>
        <w:rPr>
          <w:rFonts w:hint="eastAsia"/>
          <w:sz w:val="24"/>
        </w:rPr>
        <w:t>供应商</w:t>
      </w:r>
      <w:r>
        <w:rPr>
          <w:rFonts w:hint="eastAsia" w:cs="宋体"/>
          <w:bCs/>
          <w:sz w:val="24"/>
          <w:szCs w:val="24"/>
        </w:rPr>
        <w:t>的资格要求</w:t>
      </w:r>
      <w:bookmarkEnd w:id="6"/>
      <w:bookmarkEnd w:id="7"/>
      <w:bookmarkEnd w:id="8"/>
      <w:bookmarkEnd w:id="9"/>
    </w:p>
    <w:p>
      <w:pPr>
        <w:spacing w:line="360" w:lineRule="auto"/>
        <w:ind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bookmarkStart w:id="10" w:name="_Toc35393623"/>
      <w:bookmarkStart w:id="11" w:name="_Toc28359081"/>
      <w:bookmarkStart w:id="12" w:name="_Toc35393792"/>
      <w:bookmarkStart w:id="13" w:name="_Toc28359004"/>
      <w:r>
        <w:rPr>
          <w:rFonts w:hint="eastAsia" w:ascii="宋体" w:hAnsi="宋体" w:cs="宋体"/>
          <w:color w:val="000000" w:themeColor="text1"/>
          <w:sz w:val="24"/>
          <w14:textFill>
            <w14:solidFill>
              <w14:schemeClr w14:val="tx1"/>
            </w14:solidFill>
          </w14:textFill>
        </w:rPr>
        <w:t>（二）本项目的特定资格要求：</w:t>
      </w:r>
      <w:r>
        <w:rPr>
          <w:rFonts w:hint="eastAsia" w:ascii="宋体" w:hAnsi="宋体" w:cs="宋体"/>
          <w:color w:val="000000" w:themeColor="text1"/>
          <w:sz w:val="24"/>
          <w:lang w:val="en-US" w:eastAsia="zh-CN"/>
          <w14:textFill>
            <w14:solidFill>
              <w14:schemeClr w14:val="tx1"/>
            </w14:solidFill>
          </w14:textFill>
        </w:rPr>
        <w:t>供应商为中小/小微企业。</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w:t>
      </w:r>
      <w:r>
        <w:rPr>
          <w:rFonts w:hint="eastAsia" w:ascii="宋体" w:hAnsi="宋体" w:cs="宋体"/>
          <w:sz w:val="24"/>
          <w:lang w:eastAsia="zh-CN"/>
        </w:rPr>
        <w:t>未</w:t>
      </w:r>
      <w:r>
        <w:rPr>
          <w:rFonts w:hint="eastAsia" w:ascii="宋体" w:hAnsi="宋体" w:cs="宋体"/>
          <w:sz w:val="24"/>
        </w:rPr>
        <w:t>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spacing w:line="360" w:lineRule="auto"/>
        <w:ind w:firstLine="480" w:firstLineChars="200"/>
        <w:jc w:val="left"/>
        <w:rPr>
          <w:rFonts w:ascii="宋体" w:hAnsi="宋体" w:cs="宋体"/>
          <w:sz w:val="24"/>
        </w:rPr>
      </w:pPr>
      <w:r>
        <w:rPr>
          <w:rFonts w:hint="eastAsia" w:ascii="宋体" w:hAnsi="宋体" w:cs="宋体"/>
          <w:sz w:val="24"/>
        </w:rPr>
        <w:t>（五）本项目不接受联合体投标。</w:t>
      </w:r>
    </w:p>
    <w:p>
      <w:pPr>
        <w:pStyle w:val="5"/>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0"/>
      <w:bookmarkEnd w:id="11"/>
      <w:bookmarkEnd w:id="12"/>
      <w:bookmarkEnd w:id="13"/>
    </w:p>
    <w:p>
      <w:pPr>
        <w:spacing w:line="360" w:lineRule="auto"/>
        <w:ind w:firstLine="480" w:firstLineChars="200"/>
        <w:jc w:val="left"/>
        <w:rPr>
          <w:rFonts w:ascii="宋体" w:hAnsi="宋体" w:cs="宋体"/>
          <w:sz w:val="24"/>
        </w:rPr>
      </w:pPr>
      <w:r>
        <w:rPr>
          <w:rFonts w:hint="eastAsia" w:ascii="宋体" w:hAnsi="宋体" w:cs="宋体"/>
          <w:sz w:val="24"/>
        </w:rPr>
        <w:t>（一）时间：</w:t>
      </w:r>
      <w:r>
        <w:rPr>
          <w:rFonts w:ascii="宋体" w:hAnsi="宋体" w:cs="宋体"/>
          <w:sz w:val="24"/>
        </w:rPr>
        <w:t>202</w:t>
      </w:r>
      <w:r>
        <w:rPr>
          <w:rFonts w:hint="eastAsia" w:ascii="宋体" w:hAnsi="宋体" w:cs="宋体"/>
          <w:sz w:val="24"/>
        </w:rPr>
        <w:t>2</w:t>
      </w:r>
      <w:r>
        <w:rPr>
          <w:rFonts w:ascii="宋体" w:hAnsi="宋体" w:cs="宋体"/>
          <w:sz w:val="24"/>
        </w:rPr>
        <w:t>年</w:t>
      </w:r>
      <w:r>
        <w:rPr>
          <w:rFonts w:hint="eastAsia" w:ascii="宋体" w:hAnsi="宋体" w:cs="宋体"/>
          <w:sz w:val="24"/>
          <w:lang w:val="en-US" w:eastAsia="zh-CN"/>
        </w:rPr>
        <w:t>7</w:t>
      </w:r>
      <w:r>
        <w:rPr>
          <w:rFonts w:ascii="宋体" w:hAnsi="宋体" w:cs="宋体"/>
          <w:sz w:val="24"/>
        </w:rPr>
        <w:t>月</w:t>
      </w:r>
      <w:r>
        <w:rPr>
          <w:rFonts w:hint="eastAsia" w:ascii="宋体" w:hAnsi="宋体" w:cs="宋体"/>
          <w:sz w:val="24"/>
          <w:lang w:val="en-US" w:eastAsia="zh-CN"/>
        </w:rPr>
        <w:t>29</w:t>
      </w:r>
      <w:r>
        <w:rPr>
          <w:rFonts w:ascii="宋体" w:hAnsi="宋体" w:cs="宋体"/>
          <w:sz w:val="24"/>
        </w:rPr>
        <w:t>日</w:t>
      </w:r>
      <w:r>
        <w:rPr>
          <w:rFonts w:hint="eastAsia" w:ascii="宋体" w:hAnsi="宋体" w:cs="宋体"/>
          <w:sz w:val="24"/>
        </w:rPr>
        <w:t>至</w:t>
      </w:r>
      <w:r>
        <w:rPr>
          <w:rFonts w:ascii="宋体" w:hAnsi="宋体" w:cs="宋体"/>
          <w:sz w:val="24"/>
        </w:rPr>
        <w:t>2022年</w:t>
      </w:r>
      <w:r>
        <w:rPr>
          <w:rFonts w:hint="eastAsia" w:ascii="宋体" w:hAnsi="宋体" w:cs="宋体"/>
          <w:sz w:val="24"/>
        </w:rPr>
        <w:t xml:space="preserve"> </w:t>
      </w:r>
      <w:r>
        <w:rPr>
          <w:rFonts w:hint="eastAsia" w:ascii="宋体" w:hAnsi="宋体" w:cs="宋体"/>
          <w:sz w:val="24"/>
          <w:lang w:val="en-US" w:eastAsia="zh-CN"/>
        </w:rPr>
        <w:t>8</w:t>
      </w:r>
      <w:r>
        <w:rPr>
          <w:rFonts w:ascii="宋体" w:hAnsi="宋体" w:cs="宋体"/>
          <w:sz w:val="24"/>
        </w:rPr>
        <w:t>月</w:t>
      </w:r>
      <w:r>
        <w:rPr>
          <w:rFonts w:hint="eastAsia" w:ascii="宋体" w:hAnsi="宋体" w:cs="宋体"/>
          <w:sz w:val="24"/>
          <w:lang w:val="en-US" w:eastAsia="zh-CN"/>
        </w:rPr>
        <w:t>22</w:t>
      </w:r>
      <w:r>
        <w:rPr>
          <w:rFonts w:ascii="宋体" w:hAnsi="宋体" w:cs="宋体"/>
          <w:sz w:val="24"/>
        </w:rPr>
        <w:t>日</w:t>
      </w:r>
    </w:p>
    <w:p>
      <w:pPr>
        <w:spacing w:line="360" w:lineRule="auto"/>
        <w:ind w:firstLine="480" w:firstLineChars="200"/>
        <w:jc w:val="left"/>
        <w:rPr>
          <w:rFonts w:ascii="宋体" w:hAnsi="宋体" w:cs="宋体"/>
          <w:sz w:val="24"/>
        </w:rPr>
      </w:pPr>
      <w:r>
        <w:rPr>
          <w:rFonts w:hint="eastAsia" w:ascii="宋体" w:hAnsi="宋体" w:cs="宋体"/>
          <w:sz w:val="24"/>
        </w:rPr>
        <w:t>（二）方式：浙江政府采购网（</w:t>
      </w:r>
      <w:r>
        <w:rPr>
          <w:rFonts w:ascii="宋体" w:hAnsi="宋体" w:cs="宋体"/>
          <w:sz w:val="24"/>
        </w:rPr>
        <w:t>https://zfcg.czt.zj.gov.cn</w:t>
      </w:r>
      <w:r>
        <w:rPr>
          <w:rFonts w:hint="eastAsia" w:ascii="宋体" w:hAnsi="宋体" w:cs="宋体"/>
          <w:sz w:val="24"/>
        </w:rPr>
        <w:t>）免费下载</w:t>
      </w:r>
    </w:p>
    <w:p>
      <w:pPr>
        <w:pStyle w:val="5"/>
        <w:ind w:right="0" w:firstLine="482" w:firstLineChars="200"/>
        <w:rPr>
          <w:rFonts w:cs="宋体"/>
          <w:bCs/>
          <w:sz w:val="24"/>
          <w:szCs w:val="24"/>
        </w:rPr>
      </w:pPr>
      <w:bookmarkStart w:id="14" w:name="_Toc28359082"/>
      <w:bookmarkStart w:id="15" w:name="_Toc28359005"/>
      <w:bookmarkStart w:id="16" w:name="_Toc35393624"/>
      <w:bookmarkStart w:id="17" w:name="_Toc35393793"/>
      <w:r>
        <w:rPr>
          <w:rFonts w:hint="eastAsia" w:cs="宋体"/>
          <w:bCs/>
          <w:sz w:val="24"/>
          <w:szCs w:val="24"/>
        </w:rPr>
        <w:t>四、</w:t>
      </w:r>
      <w:bookmarkEnd w:id="14"/>
      <w:bookmarkEnd w:id="15"/>
      <w:bookmarkEnd w:id="16"/>
      <w:bookmarkEnd w:id="17"/>
      <w:r>
        <w:rPr>
          <w:rFonts w:hint="eastAsia" w:cs="宋体"/>
          <w:bCs/>
          <w:sz w:val="24"/>
          <w:szCs w:val="24"/>
        </w:rPr>
        <w:t>投标截止及开标时间、地点：</w:t>
      </w:r>
    </w:p>
    <w:p>
      <w:pPr>
        <w:spacing w:line="360" w:lineRule="auto"/>
        <w:ind w:firstLine="480" w:firstLineChars="200"/>
        <w:jc w:val="left"/>
        <w:rPr>
          <w:rFonts w:ascii="宋体" w:hAnsi="宋体" w:cs="宋体"/>
          <w:sz w:val="24"/>
        </w:rPr>
      </w:pPr>
      <w:bookmarkStart w:id="18" w:name="_Toc35393794"/>
      <w:bookmarkStart w:id="19" w:name="_Toc28359007"/>
      <w:bookmarkStart w:id="20" w:name="_Toc35393625"/>
      <w:bookmarkStart w:id="21" w:name="_Toc28359084"/>
      <w:r>
        <w:rPr>
          <w:rFonts w:ascii="宋体" w:hAnsi="宋体" w:cs="宋体"/>
          <w:sz w:val="24"/>
        </w:rPr>
        <w:t>本次招标将于2022年</w:t>
      </w:r>
      <w:r>
        <w:rPr>
          <w:rFonts w:hint="eastAsia" w:ascii="宋体" w:hAnsi="宋体" w:cs="宋体"/>
          <w:sz w:val="24"/>
          <w:lang w:val="en-US" w:eastAsia="zh-CN"/>
        </w:rPr>
        <w:t>8</w:t>
      </w:r>
      <w:r>
        <w:rPr>
          <w:rFonts w:ascii="宋体" w:hAnsi="宋体" w:cs="宋体"/>
          <w:sz w:val="24"/>
        </w:rPr>
        <w:t>月</w:t>
      </w:r>
      <w:r>
        <w:rPr>
          <w:rFonts w:hint="eastAsia" w:ascii="宋体" w:hAnsi="宋体" w:cs="宋体"/>
          <w:sz w:val="24"/>
          <w:lang w:val="en-US" w:eastAsia="zh-CN"/>
        </w:rPr>
        <w:t>22</w:t>
      </w:r>
      <w:r>
        <w:rPr>
          <w:rFonts w:ascii="宋体" w:hAnsi="宋体" w:cs="宋体"/>
          <w:sz w:val="24"/>
        </w:rPr>
        <w:t>日上午</w:t>
      </w:r>
      <w:r>
        <w:rPr>
          <w:rFonts w:hint="eastAsia" w:ascii="宋体" w:hAnsi="宋体" w:cs="宋体"/>
          <w:sz w:val="24"/>
          <w:lang w:val="en-US" w:eastAsia="zh-CN"/>
        </w:rPr>
        <w:t>9</w:t>
      </w:r>
      <w:r>
        <w:rPr>
          <w:rFonts w:ascii="宋体" w:hAnsi="宋体" w:cs="宋体"/>
          <w:sz w:val="24"/>
        </w:rPr>
        <w:t>时整在三门县广场路22号交通大楼四楼三门县公共资源交易中心大厅线上开标，请在开标当日</w:t>
      </w:r>
      <w:r>
        <w:rPr>
          <w:rFonts w:hint="eastAsia" w:ascii="宋体" w:hAnsi="宋体" w:cs="宋体"/>
          <w:sz w:val="24"/>
          <w:lang w:val="en-US" w:eastAsia="zh-CN"/>
        </w:rPr>
        <w:t>9:00</w:t>
      </w:r>
      <w:r>
        <w:rPr>
          <w:rFonts w:ascii="宋体" w:hAnsi="宋体" w:cs="宋体"/>
          <w:sz w:val="24"/>
        </w:rPr>
        <w:t>至</w:t>
      </w:r>
      <w:r>
        <w:rPr>
          <w:rFonts w:hint="eastAsia" w:ascii="宋体" w:hAnsi="宋体" w:cs="宋体"/>
          <w:sz w:val="24"/>
          <w:lang w:val="en-US" w:eastAsia="zh-CN"/>
        </w:rPr>
        <w:t>9:30</w:t>
      </w:r>
      <w:r>
        <w:rPr>
          <w:rFonts w:ascii="宋体" w:hAnsi="宋体" w:cs="宋体"/>
          <w:sz w:val="24"/>
        </w:rPr>
        <w:t>将投标文件自行完成远程解密。</w:t>
      </w:r>
      <w:bookmarkEnd w:id="18"/>
      <w:bookmarkEnd w:id="19"/>
      <w:bookmarkEnd w:id="20"/>
      <w:bookmarkEnd w:id="21"/>
    </w:p>
    <w:p>
      <w:pPr>
        <w:pStyle w:val="3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widowControl/>
        <w:spacing w:line="460" w:lineRule="exact"/>
        <w:ind w:firstLine="482"/>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），三门县公共资源交易网（http://www.sanmen.gov.cn/col/col1229610743/index.html）。</w:t>
      </w:r>
    </w:p>
    <w:p>
      <w:pPr>
        <w:pStyle w:val="34"/>
        <w:spacing w:after="0" w:line="460" w:lineRule="exact"/>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widowControl/>
        <w:adjustRightInd w:val="0"/>
        <w:snapToGrid w:val="0"/>
        <w:spacing w:line="460" w:lineRule="exact"/>
        <w:ind w:firstLine="482" w:firstLineChars="200"/>
        <w:rPr>
          <w:rFonts w:ascii="宋体" w:hAnsi="宋体" w:cs="宋体"/>
          <w:color w:val="000000"/>
          <w:kern w:val="0"/>
          <w:sz w:val="24"/>
        </w:rPr>
      </w:pPr>
      <w:r>
        <w:rPr>
          <w:rFonts w:hint="eastAsia" w:ascii="宋体" w:hAnsi="宋体" w:cs="宋体"/>
          <w:b/>
          <w:bCs/>
          <w:color w:val="000000"/>
          <w:kern w:val="0"/>
          <w:sz w:val="24"/>
        </w:rPr>
        <w:t>六、其他补充事宜</w:t>
      </w:r>
    </w:p>
    <w:p>
      <w:pPr>
        <w:widowControl/>
        <w:adjustRightInd w:val="0"/>
        <w:snapToGrid w:val="0"/>
        <w:spacing w:line="460" w:lineRule="exact"/>
        <w:ind w:firstLine="360" w:firstLineChars="150"/>
        <w:jc w:val="left"/>
        <w:rPr>
          <w:rFonts w:ascii="宋体" w:hAnsi="宋体"/>
          <w:sz w:val="24"/>
        </w:rPr>
      </w:pPr>
      <w:r>
        <w:rPr>
          <w:rFonts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djustRightInd w:val="0"/>
        <w:snapToGrid w:val="0"/>
        <w:spacing w:line="460" w:lineRule="exact"/>
        <w:ind w:firstLine="360" w:firstLineChars="150"/>
        <w:jc w:val="left"/>
        <w:rPr>
          <w:rFonts w:ascii="微软雅黑" w:hAnsi="微软雅黑" w:eastAsia="微软雅黑" w:cs="宋体"/>
          <w:color w:val="000000"/>
          <w:kern w:val="0"/>
          <w:sz w:val="27"/>
          <w:szCs w:val="27"/>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460" w:lineRule="exact"/>
        <w:ind w:firstLine="420"/>
        <w:jc w:val="left"/>
        <w:rPr>
          <w:rFonts w:ascii="宋体" w:hAnsi="宋体"/>
          <w:sz w:val="24"/>
        </w:rPr>
      </w:pPr>
      <w:r>
        <w:rPr>
          <w:rFonts w:hint="eastAsia" w:ascii="宋体" w:hAnsi="宋体"/>
          <w:sz w:val="24"/>
        </w:rPr>
        <w:t>3</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460" w:lineRule="exact"/>
        <w:ind w:firstLine="420"/>
        <w:jc w:val="left"/>
        <w:rPr>
          <w:rFonts w:ascii="宋体" w:hAnsi="宋体"/>
          <w:sz w:val="24"/>
        </w:rPr>
      </w:pPr>
      <w:r>
        <w:rPr>
          <w:rFonts w:hint="eastAsia" w:ascii="宋体" w:hAnsi="宋体"/>
          <w:sz w:val="24"/>
        </w:rPr>
        <w:t>4.其他事项</w:t>
      </w:r>
    </w:p>
    <w:p>
      <w:pPr>
        <w:widowControl/>
        <w:adjustRightInd w:val="0"/>
        <w:snapToGrid w:val="0"/>
        <w:spacing w:line="46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r>
        <w:rPr>
          <w:rFonts w:ascii="宋体" w:hAnsi="宋体"/>
          <w:sz w:val="24"/>
        </w:rPr>
        <w:t xml:space="preserve"> </w:t>
      </w:r>
    </w:p>
    <w:p>
      <w:pPr>
        <w:widowControl/>
        <w:adjustRightInd w:val="0"/>
        <w:snapToGrid w:val="0"/>
        <w:spacing w:line="46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pPr>
        <w:widowControl/>
        <w:adjustRightInd w:val="0"/>
        <w:snapToGrid w:val="0"/>
        <w:spacing w:line="46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pPr>
        <w:widowControl/>
        <w:adjustRightInd w:val="0"/>
        <w:snapToGrid w:val="0"/>
        <w:spacing w:line="46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pPr>
        <w:widowControl/>
        <w:adjustRightInd w:val="0"/>
        <w:snapToGrid w:val="0"/>
        <w:spacing w:line="46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r>
        <w:rPr>
          <w:rFonts w:ascii="宋体" w:hAnsi="宋体"/>
          <w:sz w:val="24"/>
        </w:rPr>
        <w:t xml:space="preserve"> </w:t>
      </w:r>
    </w:p>
    <w:p>
      <w:pPr>
        <w:adjustRightInd w:val="0"/>
        <w:snapToGrid w:val="0"/>
        <w:spacing w:line="460" w:lineRule="exact"/>
        <w:ind w:firstLine="480" w:firstLineChars="200"/>
        <w:rPr>
          <w:rFonts w:ascii="宋体" w:hAnsi="宋体" w:cs="Arial"/>
          <w:b/>
          <w:sz w:val="24"/>
        </w:rPr>
      </w:pPr>
      <w:r>
        <w:rPr>
          <w:rFonts w:hint="eastAsia" w:ascii="宋体" w:hAnsi="宋体"/>
          <w:sz w:val="24"/>
        </w:rPr>
        <w:t>5.</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pPr>
        <w:adjustRightInd w:val="0"/>
        <w:snapToGrid w:val="0"/>
        <w:spacing w:line="460" w:lineRule="exact"/>
        <w:ind w:firstLine="588" w:firstLineChars="245"/>
        <w:rPr>
          <w:rFonts w:ascii="宋体" w:hAnsi="宋体" w:cs="Arial"/>
          <w:sz w:val="24"/>
        </w:rPr>
      </w:pPr>
      <w:r>
        <w:rPr>
          <w:rFonts w:hint="eastAsia" w:ascii="宋体" w:hAnsi="宋体" w:cs="Arial"/>
          <w:sz w:val="24"/>
        </w:rPr>
        <w:t>5.1、查询渠道：信用中国（网址：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pPr>
        <w:adjustRightInd w:val="0"/>
        <w:snapToGrid w:val="0"/>
        <w:spacing w:line="460" w:lineRule="exact"/>
        <w:ind w:firstLine="480" w:firstLineChars="200"/>
        <w:rPr>
          <w:rFonts w:ascii="宋体" w:hAnsi="宋体" w:cs="Arial"/>
          <w:b/>
          <w:bCs/>
          <w:sz w:val="24"/>
          <w:shd w:val="clear" w:color="FFFFFF" w:fill="D9D9D9"/>
        </w:rPr>
      </w:pPr>
      <w:r>
        <w:rPr>
          <w:rFonts w:hint="eastAsia" w:ascii="宋体" w:hAnsi="宋体" w:cs="Arial"/>
          <w:sz w:val="24"/>
        </w:rPr>
        <w:t>5.2、截止时点：开标后评标前。</w:t>
      </w:r>
    </w:p>
    <w:p>
      <w:pPr>
        <w:adjustRightInd w:val="0"/>
        <w:snapToGrid w:val="0"/>
        <w:spacing w:line="460" w:lineRule="exact"/>
        <w:ind w:firstLine="480" w:firstLineChars="200"/>
        <w:rPr>
          <w:rFonts w:ascii="宋体" w:hAnsi="宋体" w:cs="Arial"/>
          <w:sz w:val="24"/>
        </w:rPr>
      </w:pPr>
      <w:r>
        <w:rPr>
          <w:rFonts w:hint="eastAsia" w:ascii="宋体" w:hAnsi="宋体" w:cs="Arial"/>
          <w:sz w:val="24"/>
        </w:rPr>
        <w:t>5.3、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pPr>
        <w:widowControl/>
        <w:adjustRightInd w:val="0"/>
        <w:snapToGrid w:val="0"/>
        <w:spacing w:line="460" w:lineRule="exact"/>
        <w:ind w:firstLine="420"/>
        <w:jc w:val="left"/>
        <w:rPr>
          <w:rFonts w:ascii="宋体" w:hAnsi="宋体"/>
          <w:sz w:val="24"/>
        </w:rPr>
      </w:pPr>
      <w:r>
        <w:rPr>
          <w:rFonts w:hint="eastAsia" w:ascii="宋体" w:hAnsi="宋体" w:cs="Arial"/>
          <w:sz w:val="24"/>
        </w:rPr>
        <w:t>5.4、使用规则：对列入失信被执行人、重大税收违法案件当事人名单、政府采购严重违法失信行为记录名单及其他不符合《中华人民共和国政府采购法》第二十二条规定条件的供应商，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pPr>
        <w:widowControl/>
        <w:adjustRightInd w:val="0"/>
        <w:snapToGrid w:val="0"/>
        <w:spacing w:line="460" w:lineRule="exact"/>
        <w:ind w:firstLine="482"/>
        <w:rPr>
          <w:rFonts w:ascii="宋体" w:hAnsi="宋体" w:cs="宋体"/>
          <w:kern w:val="0"/>
          <w:sz w:val="24"/>
        </w:rPr>
      </w:pPr>
      <w:r>
        <w:rPr>
          <w:rFonts w:hint="eastAsia" w:ascii="宋体" w:hAnsi="宋体" w:cs="Arial"/>
          <w:sz w:val="24"/>
        </w:rPr>
        <w:t>6、本项目所有公告发布网站：“浙江省政府采购网”（</w:t>
      </w:r>
      <w:r>
        <w:rPr>
          <w:rFonts w:hint="eastAsia" w:ascii="宋体" w:hAnsi="宋体" w:cs="宋体"/>
          <w:sz w:val="24"/>
        </w:rPr>
        <w:t>https://zfcg.czt.zj.gov.cn</w:t>
      </w:r>
      <w:r>
        <w:rPr>
          <w:rFonts w:hint="eastAsia" w:ascii="宋体" w:hAnsi="宋体" w:cs="Arial"/>
          <w:sz w:val="24"/>
        </w:rPr>
        <w:t>）和</w:t>
      </w:r>
      <w:r>
        <w:rPr>
          <w:rFonts w:ascii="宋体" w:hAnsi="宋体" w:cs="宋体"/>
          <w:kern w:val="0"/>
          <w:sz w:val="24"/>
        </w:rPr>
        <w:t>“三门县公共资源交易中心网</w:t>
      </w:r>
      <w:r>
        <w:rPr>
          <w:rFonts w:hint="eastAsia" w:ascii="宋体" w:hAnsi="宋体" w:cs="宋体"/>
          <w:kern w:val="0"/>
          <w:sz w:val="24"/>
        </w:rPr>
        <w:t>”</w:t>
      </w:r>
    </w:p>
    <w:p>
      <w:pPr>
        <w:widowControl/>
        <w:adjustRightInd w:val="0"/>
        <w:snapToGrid w:val="0"/>
        <w:spacing w:line="460" w:lineRule="exact"/>
        <w:ind w:firstLine="482"/>
        <w:rPr>
          <w:rFonts w:ascii="宋体" w:hAnsi="宋体" w:cs="Arial"/>
          <w:b/>
          <w:color w:val="000000"/>
        </w:rPr>
      </w:pPr>
      <w:r>
        <w:rPr>
          <w:rFonts w:ascii="宋体" w:hAnsi="宋体" w:cs="宋体"/>
          <w:kern w:val="0"/>
          <w:sz w:val="24"/>
        </w:rPr>
        <w:t>（</w:t>
      </w:r>
      <w:r>
        <w:rPr>
          <w:rFonts w:hint="eastAsia" w:ascii="宋体" w:hAnsi="宋体" w:cs="宋体"/>
          <w:sz w:val="24"/>
        </w:rPr>
        <w:t>http://www.sanmen.gov.cn/col/col1229610743/index.html</w:t>
      </w:r>
      <w:r>
        <w:rPr>
          <w:rFonts w:ascii="宋体" w:hAnsi="宋体" w:cs="宋体"/>
          <w:kern w:val="0"/>
          <w:sz w:val="24"/>
        </w:rPr>
        <w:t>）</w:t>
      </w:r>
      <w:r>
        <w:rPr>
          <w:rFonts w:hint="eastAsia" w:ascii="宋体" w:hAnsi="宋体" w:cs="Arial"/>
          <w:sz w:val="24"/>
        </w:rPr>
        <w:t>。</w:t>
      </w:r>
    </w:p>
    <w:p>
      <w:pPr>
        <w:pStyle w:val="5"/>
        <w:ind w:right="0" w:firstLine="482" w:firstLineChars="200"/>
        <w:rPr>
          <w:rFonts w:cs="宋体"/>
          <w:bCs/>
          <w:sz w:val="24"/>
          <w:szCs w:val="24"/>
        </w:rPr>
      </w:pPr>
      <w:bookmarkStart w:id="22" w:name="_Toc35393796"/>
      <w:bookmarkStart w:id="23" w:name="_Toc28359008"/>
      <w:bookmarkStart w:id="24" w:name="_Toc35393627"/>
      <w:bookmarkStart w:id="25" w:name="_Toc28359085"/>
      <w:r>
        <w:rPr>
          <w:rFonts w:hint="eastAsia" w:cs="宋体"/>
          <w:bCs/>
          <w:sz w:val="24"/>
          <w:szCs w:val="24"/>
          <w:lang w:val="en-US" w:eastAsia="zh-CN"/>
        </w:rPr>
        <w:t>七</w:t>
      </w:r>
      <w:r>
        <w:rPr>
          <w:rFonts w:hint="eastAsia" w:cs="宋体"/>
          <w:bCs/>
          <w:sz w:val="24"/>
          <w:szCs w:val="24"/>
        </w:rPr>
        <w:t>、</w:t>
      </w:r>
      <w:bookmarkEnd w:id="22"/>
      <w:bookmarkEnd w:id="23"/>
      <w:bookmarkEnd w:id="24"/>
      <w:bookmarkEnd w:id="25"/>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（一）采购人信息（受理招标文件相关质疑及答复）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台州市生态环境局三门分局</w:t>
      </w:r>
      <w:r>
        <w:rPr>
          <w:rFonts w:hint="eastAsia"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地  址：三门县海游街道湫水大道</w:t>
      </w:r>
      <w:r>
        <w:rPr>
          <w:rFonts w:hint="eastAsia" w:ascii="宋体" w:hAnsi="宋体" w:cs="宋体"/>
          <w:sz w:val="24"/>
          <w:lang w:val="en-US" w:eastAsia="zh-CN"/>
        </w:rPr>
        <w:t>8</w:t>
      </w:r>
      <w:r>
        <w:rPr>
          <w:rFonts w:hint="eastAsia" w:ascii="宋体" w:hAnsi="宋体" w:cs="宋体"/>
          <w:sz w:val="24"/>
        </w:rPr>
        <w:t>号</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w:t>
      </w:r>
      <w:r>
        <w:rPr>
          <w:rFonts w:hint="eastAsia" w:ascii="宋体" w:hAnsi="宋体" w:cs="宋体"/>
          <w:sz w:val="24"/>
          <w:lang w:val="en-US" w:eastAsia="zh-CN"/>
        </w:rPr>
        <w:t xml:space="preserve">许海超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项目联系方式：</w:t>
      </w:r>
      <w:r>
        <w:rPr>
          <w:rFonts w:hint="eastAsia" w:ascii="宋体" w:hAnsi="宋体" w:cs="宋体"/>
          <w:sz w:val="24"/>
          <w:lang w:val="en-US" w:eastAsia="zh-CN"/>
        </w:rPr>
        <w:t>18258671583</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项目质疑联系人：</w:t>
      </w:r>
      <w:r>
        <w:rPr>
          <w:rFonts w:hint="eastAsia" w:ascii="宋体" w:hAnsi="宋体" w:cs="宋体"/>
          <w:sz w:val="24"/>
          <w:lang w:val="en-US" w:eastAsia="zh-CN"/>
        </w:rPr>
        <w:t xml:space="preserve">许海超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cs="宋体"/>
          <w:sz w:val="24"/>
          <w:lang w:val="en-US" w:eastAsia="zh-CN"/>
        </w:rPr>
        <w:t xml:space="preserve">18258671583 </w:t>
      </w:r>
    </w:p>
    <w:p>
      <w:pPr>
        <w:spacing w:line="360" w:lineRule="auto"/>
        <w:ind w:firstLine="482" w:firstLineChars="200"/>
        <w:rPr>
          <w:rFonts w:ascii="宋体" w:hAnsi="宋体" w:cs="宋体"/>
          <w:b/>
          <w:sz w:val="24"/>
        </w:rPr>
      </w:pPr>
      <w:r>
        <w:rPr>
          <w:rFonts w:hint="eastAsia" w:ascii="宋体" w:hAnsi="宋体" w:cs="宋体"/>
          <w:b/>
          <w:bCs/>
          <w:sz w:val="24"/>
        </w:rPr>
        <w:t>（二）采购组织机构信息</w:t>
      </w:r>
    </w:p>
    <w:p>
      <w:pPr>
        <w:spacing w:line="360" w:lineRule="auto"/>
        <w:ind w:firstLine="480" w:firstLineChars="200"/>
        <w:rPr>
          <w:rFonts w:hint="eastAsia" w:ascii="宋体" w:hAnsi="宋体" w:eastAsia="宋体" w:cs="宋体"/>
          <w:sz w:val="24"/>
          <w:u w:val="single"/>
          <w:lang w:eastAsia="zh-CN"/>
        </w:rPr>
      </w:pPr>
      <w:bookmarkStart w:id="26" w:name="_Toc28359087"/>
      <w:bookmarkStart w:id="27" w:name="_Toc28359010"/>
      <w:r>
        <w:rPr>
          <w:rFonts w:hint="eastAsia" w:ascii="宋体" w:hAnsi="宋体" w:cs="宋体"/>
          <w:sz w:val="24"/>
        </w:rPr>
        <w:t>名 称：</w:t>
      </w:r>
      <w:r>
        <w:rPr>
          <w:rFonts w:hint="eastAsia" w:ascii="宋体" w:hAnsi="宋体"/>
          <w:sz w:val="24"/>
          <w:lang w:eastAsia="zh-CN"/>
        </w:rPr>
        <w:t>三门县海川工程技术咨询有限公司</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Arial"/>
          <w:bCs/>
          <w:sz w:val="24"/>
        </w:rPr>
        <w:t>三门县海游街道梧桐路</w:t>
      </w:r>
      <w:r>
        <w:rPr>
          <w:rFonts w:hint="eastAsia" w:ascii="宋体" w:hAnsi="宋体" w:cs="Arial"/>
          <w:bCs/>
          <w:sz w:val="24"/>
          <w:lang w:val="en-US" w:eastAsia="zh-CN"/>
        </w:rPr>
        <w:t>20号总商会大厦27楼</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kern w:val="0"/>
          <w:sz w:val="24"/>
          <w:lang w:eastAsia="zh-CN"/>
        </w:rPr>
        <w:t>邵珉浩</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sz w:val="24"/>
        </w:rPr>
        <w:t>联系电话：</w:t>
      </w:r>
      <w:r>
        <w:rPr>
          <w:rFonts w:hint="eastAsia" w:ascii="宋体" w:hAnsi="宋体" w:cs="宋体"/>
          <w:kern w:val="0"/>
          <w:sz w:val="24"/>
          <w:lang w:eastAsia="zh-CN"/>
        </w:rPr>
        <w:t>0576-89305502</w:t>
      </w:r>
    </w:p>
    <w:p>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kern w:val="0"/>
          <w:sz w:val="24"/>
        </w:rPr>
        <w:t>项目质疑联系人</w:t>
      </w:r>
      <w:r>
        <w:rPr>
          <w:rFonts w:hint="eastAsia" w:ascii="宋体" w:hAnsi="宋体" w:cs="宋体"/>
          <w:sz w:val="24"/>
        </w:rPr>
        <w:t>：</w:t>
      </w:r>
      <w:r>
        <w:rPr>
          <w:rFonts w:hint="eastAsia" w:ascii="宋体" w:hAnsi="宋体" w:cs="宋体"/>
          <w:sz w:val="24"/>
          <w:lang w:val="en-US" w:eastAsia="zh-CN"/>
        </w:rPr>
        <w:t>邵珉浩</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kern w:val="0"/>
          <w:sz w:val="24"/>
          <w:lang w:val="en-US" w:eastAsia="zh-CN"/>
        </w:rPr>
        <w:t>15267621162</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rPr>
      </w:pPr>
      <w:r>
        <w:rPr>
          <w:rFonts w:hint="eastAsia" w:ascii="宋体" w:hAnsi="宋体" w:cs="宋体"/>
          <w:sz w:val="24"/>
        </w:rPr>
        <w:t>名 称：三门县财政局</w:t>
      </w:r>
    </w:p>
    <w:p>
      <w:pPr>
        <w:pStyle w:val="34"/>
        <w:ind w:left="0" w:leftChars="0" w:firstLine="480" w:firstLineChars="200"/>
      </w:pPr>
      <w:r>
        <w:rPr>
          <w:rFonts w:ascii="宋体" w:hAnsi="宋体" w:cs="宋体"/>
          <w:kern w:val="0"/>
          <w:sz w:val="24"/>
        </w:rPr>
        <w:t>地</w:t>
      </w:r>
      <w:r>
        <w:rPr>
          <w:rFonts w:hint="eastAsia" w:ascii="宋体" w:hAnsi="宋体" w:cs="宋体"/>
          <w:kern w:val="0"/>
          <w:sz w:val="24"/>
        </w:rPr>
        <w:t xml:space="preserve"> </w:t>
      </w:r>
      <w:r>
        <w:rPr>
          <w:rFonts w:ascii="宋体" w:hAnsi="宋体" w:cs="宋体"/>
          <w:kern w:val="0"/>
          <w:sz w:val="24"/>
        </w:rPr>
        <w:t>址：</w:t>
      </w:r>
      <w:r>
        <w:rPr>
          <w:rFonts w:hint="eastAsia" w:ascii="宋体" w:hAnsi="宋体" w:cs="宋体"/>
          <w:kern w:val="0"/>
          <w:sz w:val="24"/>
        </w:rPr>
        <w:t>三门县海游街道湫水大道1号</w:t>
      </w:r>
    </w:p>
    <w:p>
      <w:pPr>
        <w:spacing w:line="360" w:lineRule="auto"/>
        <w:ind w:firstLine="480" w:firstLineChars="200"/>
        <w:rPr>
          <w:rFonts w:ascii="宋体" w:hAnsi="宋体" w:cs="宋体"/>
          <w:sz w:val="24"/>
        </w:rPr>
      </w:pPr>
      <w:r>
        <w:rPr>
          <w:rFonts w:hint="eastAsia" w:ascii="宋体" w:hAnsi="宋体" w:cs="宋体"/>
          <w:sz w:val="24"/>
        </w:rPr>
        <w:t>联系电话：0576-</w:t>
      </w:r>
      <w:r>
        <w:rPr>
          <w:rFonts w:ascii="宋体" w:hAnsi="宋体" w:cs="宋体"/>
          <w:sz w:val="24"/>
        </w:rPr>
        <w:t>83305830</w:t>
      </w:r>
      <w:r>
        <w:rPr>
          <w:rFonts w:hint="eastAsia" w:ascii="宋体" w:hAnsi="宋体" w:cs="宋体"/>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wordWrap w:val="0"/>
        <w:spacing w:line="360" w:lineRule="auto"/>
        <w:jc w:val="righ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eastAsia="zh-CN"/>
        </w:rPr>
        <w:t>台州市生态环境局三门分局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lang w:eastAsia="zh-CN"/>
        </w:rPr>
        <w:t>三门县海川工程技术咨询有限公司</w:t>
      </w:r>
      <w:r>
        <w:rPr>
          <w:rFonts w:hint="eastAsia" w:ascii="宋体" w:hAnsi="宋体" w:cs="宋体"/>
          <w:kern w:val="0"/>
          <w:sz w:val="24"/>
        </w:rPr>
        <w:t xml:space="preserve"> </w:t>
      </w:r>
    </w:p>
    <w:p>
      <w:pPr>
        <w:widowControl/>
        <w:spacing w:line="360" w:lineRule="auto"/>
        <w:ind w:firstLine="200"/>
        <w:jc w:val="righ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202</w:t>
      </w:r>
      <w:r>
        <w:rPr>
          <w:rFonts w:hint="eastAsia" w:ascii="宋体" w:hAnsi="宋体" w:cs="宋体"/>
          <w:kern w:val="0"/>
          <w:sz w:val="24"/>
        </w:rPr>
        <w:t>2</w:t>
      </w:r>
      <w:r>
        <w:rPr>
          <w:rFonts w:ascii="宋体" w:hAnsi="宋体" w:cs="宋体"/>
          <w:kern w:val="0"/>
          <w:sz w:val="24"/>
        </w:rPr>
        <w:t>年</w:t>
      </w:r>
      <w:r>
        <w:rPr>
          <w:rFonts w:hint="eastAsia" w:ascii="宋体" w:hAnsi="宋体" w:cs="宋体"/>
          <w:kern w:val="0"/>
          <w:sz w:val="24"/>
        </w:rPr>
        <w:t xml:space="preserve"> </w:t>
      </w:r>
      <w:r>
        <w:rPr>
          <w:rFonts w:hint="eastAsia" w:ascii="宋体" w:hAnsi="宋体" w:cs="宋体"/>
          <w:kern w:val="0"/>
          <w:sz w:val="24"/>
          <w:lang w:val="en-US" w:eastAsia="zh-CN"/>
        </w:rPr>
        <w:t>7</w:t>
      </w:r>
      <w:r>
        <w:rPr>
          <w:rFonts w:ascii="宋体" w:hAnsi="宋体" w:cs="宋体"/>
          <w:kern w:val="0"/>
          <w:sz w:val="24"/>
        </w:rPr>
        <w:t>月</w:t>
      </w:r>
      <w:r>
        <w:rPr>
          <w:rFonts w:hint="eastAsia" w:ascii="宋体" w:hAnsi="宋体" w:cs="宋体"/>
          <w:kern w:val="0"/>
          <w:sz w:val="24"/>
        </w:rPr>
        <w:t xml:space="preserve"> </w:t>
      </w:r>
      <w:r>
        <w:rPr>
          <w:rFonts w:hint="eastAsia" w:ascii="宋体" w:hAnsi="宋体" w:cs="宋体"/>
          <w:kern w:val="0"/>
          <w:sz w:val="24"/>
          <w:lang w:val="en-US" w:eastAsia="zh-CN"/>
        </w:rPr>
        <w:t>29</w:t>
      </w:r>
      <w:r>
        <w:rPr>
          <w:rFonts w:ascii="宋体" w:hAnsi="宋体" w:cs="宋体"/>
          <w:kern w:val="0"/>
          <w:sz w:val="24"/>
        </w:rPr>
        <w:t>日</w:t>
      </w: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bookmarkEnd w:id="26"/>
    <w:bookmarkEnd w:id="27"/>
    <w:p>
      <w:pPr>
        <w:numPr>
          <w:ilvl w:val="0"/>
          <w:numId w:val="4"/>
        </w:numPr>
        <w:spacing w:line="360" w:lineRule="auto"/>
        <w:jc w:val="center"/>
        <w:rPr>
          <w:rFonts w:ascii="宋体" w:hAnsi="宋体"/>
          <w:b/>
          <w:sz w:val="36"/>
          <w:szCs w:val="36"/>
        </w:rPr>
      </w:pPr>
      <w:bookmarkStart w:id="28" w:name="_Toc25017_WPSOffice_Level1"/>
      <w:r>
        <w:rPr>
          <w:rFonts w:hint="eastAsia" w:ascii="宋体" w:hAnsi="宋体"/>
          <w:b/>
          <w:sz w:val="36"/>
          <w:szCs w:val="36"/>
        </w:rPr>
        <w:t>供应商须知</w:t>
      </w:r>
      <w:bookmarkEnd w:id="28"/>
    </w:p>
    <w:p>
      <w:pPr>
        <w:numPr>
          <w:ilvl w:val="0"/>
          <w:numId w:val="5"/>
        </w:numPr>
        <w:ind w:firstLine="482" w:firstLineChars="200"/>
      </w:pPr>
      <w:r>
        <w:rPr>
          <w:rFonts w:hint="eastAsia" w:ascii="宋体" w:hAnsi="宋体"/>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4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 号</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 项</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MS Mincho" w:hAnsi="MS Mincho" w:eastAsia="MS Mincho" w:cs="MS Mincho"/>
              </w:rPr>
              <w:t>☑</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rPr>
            </w:pPr>
            <w:r>
              <w:rPr>
                <w:rFonts w:hint="eastAsia" w:ascii="宋体" w:hAnsi="宋体" w:cs="宋体"/>
                <w:szCs w:val="21"/>
              </w:rPr>
              <w:t>3</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rPr>
            </w:pPr>
            <w:r>
              <w:rPr>
                <w:rFonts w:hint="eastAsia" w:ascii="宋体" w:hAnsi="宋体" w:cs="宋体"/>
                <w:kern w:val="0"/>
                <w:szCs w:val="21"/>
              </w:rPr>
              <w:t>是否包含政府强制采购节能产品</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rPr>
            </w:pPr>
            <w:r>
              <w:rPr>
                <w:rFonts w:hint="eastAsia"/>
              </w:rPr>
              <w:t>□是 /☑否，具体清单见招标需求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4</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5</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2.投标：供应商应当在投标截止时间前（</w:t>
            </w:r>
            <w:r>
              <w:rPr>
                <w:rFonts w:hint="eastAsia" w:ascii="宋体" w:hAnsi="宋体" w:cs="宋体"/>
                <w:color w:val="000000" w:themeColor="text1"/>
                <w14:textFill>
                  <w14:solidFill>
                    <w14:schemeClr w14:val="tx1"/>
                  </w14:solidFill>
                </w14:textFill>
              </w:rPr>
              <w:t>开标当天北京时间</w:t>
            </w:r>
            <w:r>
              <w:rPr>
                <w:rFonts w:hint="eastAsia" w:ascii="宋体" w:hAnsi="宋体" w:cs="宋体"/>
                <w:color w:val="000000" w:themeColor="text1"/>
                <w:u w:val="single"/>
                <w:lang w:val="en-US" w:eastAsia="zh-CN"/>
                <w14:textFill>
                  <w14:solidFill>
                    <w14:schemeClr w14:val="tx1"/>
                  </w14:solidFill>
                </w14:textFill>
              </w:rPr>
              <w:t>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lang w:val="en-US" w:eastAsia="zh-CN"/>
              </w:rPr>
              <w:t>9:00</w:t>
            </w:r>
            <w:r>
              <w:rPr>
                <w:rFonts w:hint="eastAsia" w:ascii="宋体" w:hAnsi="宋体" w:cs="宋体"/>
              </w:rPr>
              <w:t>至</w:t>
            </w:r>
            <w:r>
              <w:rPr>
                <w:rFonts w:hint="eastAsia" w:ascii="宋体" w:hAnsi="宋体" w:cs="宋体"/>
                <w:u w:val="single"/>
                <w:lang w:val="en-US" w:eastAsia="zh-CN"/>
              </w:rPr>
              <w:t xml:space="preserve">9:30 </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6</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lang w:val="en-US" w:eastAsia="zh-CN"/>
              </w:rPr>
              <w:t>9:30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color w:val="auto"/>
              </w:rPr>
              <w:t>开标当天公布的指定邮箱</w:t>
            </w:r>
            <w:r>
              <w:rPr>
                <w:rFonts w:hint="eastAsia" w:ascii="宋体" w:hAnsi="宋体" w:cs="宋体"/>
                <w:kern w:val="0"/>
                <w:szCs w:val="21"/>
              </w:rPr>
              <w:t>。</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1.本项目实行电子投标，供应商自行承担投标一切费用。</w:t>
            </w:r>
          </w:p>
          <w:p>
            <w:pPr>
              <w:spacing w:line="300" w:lineRule="auto"/>
              <w:ind w:firstLine="420" w:firstLineChars="200"/>
              <w:rPr>
                <w:rFonts w:ascii="宋体" w:hAnsi="宋体" w:cs="宋体"/>
              </w:rPr>
            </w:pPr>
            <w:r>
              <w:rPr>
                <w:rFonts w:hint="eastAsia" w:ascii="宋体" w:hAnsi="宋体" w:cs="宋体"/>
              </w:rPr>
              <w:t>2.标前准备：供应商在开标前确保成为浙江省政府采购网正式注册用户，并完成CA数字证书办理。（办理流程详见本招标公告附件：政采云CA签章申领操作流程）。因未注册入库、未办理CA数字证书等原因造成无法投标或投标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不见面开标</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cs="宋体"/>
                <w:szCs w:val="21"/>
              </w:rPr>
              <w:t>采购组织机构按照谈判文件规定的时间通过“政采云平台”组织开启，如</w:t>
            </w:r>
            <w:r>
              <w:rPr>
                <w:rFonts w:cs="宋体"/>
                <w:bCs/>
                <w:szCs w:val="21"/>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中小企业预留</w:t>
            </w:r>
          </w:p>
          <w:p>
            <w:pPr>
              <w:spacing w:line="300" w:lineRule="auto"/>
              <w:jc w:val="center"/>
              <w:rPr>
                <w:rFonts w:ascii="宋体" w:hAnsi="宋体" w:cs="宋体"/>
              </w:rPr>
            </w:pPr>
            <w:r>
              <w:rPr>
                <w:rFonts w:hint="eastAsia" w:ascii="宋体" w:hAnsi="宋体" w:cs="宋体"/>
              </w:rPr>
              <w:t>份额情况</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w:t>
            </w:r>
            <w:r>
              <w:rPr>
                <w:rFonts w:hint="eastAsia" w:ascii="宋体" w:hAnsi="宋体" w:cs="宋体"/>
              </w:rPr>
              <w:sym w:font="Wingdings 2" w:char="0052"/>
            </w:r>
            <w:r>
              <w:rPr>
                <w:rFonts w:hint="eastAsia" w:ascii="宋体" w:hAnsi="宋体" w:cs="宋体"/>
              </w:rPr>
              <w:t>是 /</w:t>
            </w:r>
            <w:r>
              <w:rPr>
                <w:rFonts w:hint="eastAsia" w:ascii="宋体" w:hAnsi="宋体" w:cs="宋体"/>
                <w:lang w:eastAsia="zh-CN"/>
              </w:rPr>
              <w:t>□</w:t>
            </w:r>
            <w:r>
              <w:rPr>
                <w:rFonts w:hint="eastAsia" w:ascii="宋体" w:hAnsi="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w:t>
            </w:r>
            <w:r>
              <w:rPr>
                <w:rFonts w:hint="eastAsia"/>
                <w:lang w:val="en-US" w:eastAsia="zh-CN"/>
              </w:rPr>
              <w:t>货物类</w:t>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hint="default" w:ascii="宋体" w:hAnsi="宋体" w:eastAsia="宋体" w:cs="Arial"/>
                <w:szCs w:val="21"/>
                <w:lang w:val="en-US" w:eastAsia="zh-CN"/>
              </w:rPr>
            </w:pPr>
            <w:r>
              <w:rPr>
                <w:rFonts w:hint="eastAsia" w:ascii="宋体" w:hAnsi="宋体" w:cs="Arial"/>
                <w:szCs w:val="21"/>
              </w:rPr>
              <w:t>采购标的：</w:t>
            </w:r>
            <w:r>
              <w:rPr>
                <w:rFonts w:hint="eastAsia" w:ascii="宋体" w:hAnsi="宋体" w:cs="Arial"/>
                <w:szCs w:val="21"/>
                <w:u w:val="single"/>
              </w:rPr>
              <w:t>地表水水质自动</w:t>
            </w:r>
            <w:r>
              <w:rPr>
                <w:rFonts w:hint="eastAsia" w:ascii="宋体" w:hAnsi="宋体" w:cs="Arial"/>
                <w:szCs w:val="21"/>
                <w:u w:val="single"/>
                <w:lang w:eastAsia="zh-CN"/>
              </w:rPr>
              <w:t>监测</w:t>
            </w:r>
            <w:r>
              <w:rPr>
                <w:rFonts w:hint="eastAsia" w:ascii="宋体" w:hAnsi="宋体" w:cs="Arial"/>
                <w:szCs w:val="21"/>
                <w:u w:val="single"/>
              </w:rPr>
              <w:t>系统</w:t>
            </w:r>
            <w:r>
              <w:rPr>
                <w:rFonts w:hint="eastAsia" w:ascii="宋体" w:hAnsi="宋体" w:cs="Arial"/>
                <w:szCs w:val="21"/>
                <w:u w:val="none"/>
                <w:lang w:eastAsia="zh-CN"/>
              </w:rPr>
              <w:t>，</w:t>
            </w:r>
            <w:r>
              <w:rPr>
                <w:rFonts w:hint="eastAsia" w:ascii="宋体" w:hAnsi="宋体" w:cs="Arial"/>
                <w:szCs w:val="21"/>
                <w:u w:val="none"/>
                <w:lang w:val="en-US" w:eastAsia="zh-CN"/>
              </w:rPr>
              <w:t>所属行业：</w:t>
            </w:r>
            <w:r>
              <w:rPr>
                <w:rFonts w:cs="Arial" w:asciiTheme="minorEastAsia" w:hAnsiTheme="minorEastAsia" w:eastAsiaTheme="minorEastAsia"/>
                <w:szCs w:val="21"/>
                <w:u w:val="single"/>
              </w:rPr>
              <w:t>环境和公共设施管理业</w:t>
            </w:r>
          </w:p>
          <w:p>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eastAsia="宋体" w:cs="宋体"/>
              </w:rPr>
              <w:t>★</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4</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hint="eastAsia" w:ascii="宋体" w:hAnsi="宋体" w:eastAsia="宋体" w:cs="宋体"/>
                <w:kern w:val="2"/>
                <w:sz w:val="21"/>
                <w:szCs w:val="21"/>
                <w:lang w:val="zh-CN" w:eastAsia="zh-CN" w:bidi="ar-SA"/>
              </w:rPr>
            </w:pPr>
            <w:r>
              <w:rPr>
                <w:rFonts w:asciiTheme="minorEastAsia" w:hAnsiTheme="minorEastAsia" w:eastAsiaTheme="minorEastAsia"/>
              </w:rPr>
              <w:t>主要性能参数</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hint="eastAsia" w:ascii="Times New Roman" w:hAnsi="Times New Roman" w:eastAsia="宋体" w:cs="宋体"/>
                <w:kern w:val="2"/>
                <w:sz w:val="21"/>
                <w:szCs w:val="21"/>
                <w:lang w:val="zh-CN" w:eastAsia="zh-CN" w:bidi="ar-SA"/>
              </w:rPr>
            </w:pPr>
            <w:r>
              <w:rPr>
                <w:rFonts w:hint="eastAsia" w:ascii="宋体" w:hAnsi="宋体" w:cs="宋体"/>
                <w:szCs w:val="21"/>
              </w:rPr>
              <w:t>带“</w:t>
            </w:r>
            <w:r>
              <w:rPr>
                <w:rFonts w:hint="eastAsia" w:ascii="宋体" w:hAnsi="宋体" w:cs="宋体"/>
                <w:bCs/>
                <w:szCs w:val="21"/>
              </w:rPr>
              <w:t>▲</w:t>
            </w:r>
            <w:r>
              <w:rPr>
                <w:rFonts w:hint="eastAsia" w:ascii="宋体" w:hAnsi="宋体" w:cs="宋体"/>
                <w:szCs w:val="21"/>
              </w:rPr>
              <w:t>”的条款是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5</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6</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7</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补充条款</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资格证明文件、商务与技术文件正本1份、副本2份，报价文件正本1份、副本2份。（纸质投标文件中标后提供）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kern w:val="2"/>
                <w:sz w:val="21"/>
                <w:szCs w:val="24"/>
                <w:lang w:val="en-US" w:eastAsia="zh-CN" w:bidi="ar-SA"/>
              </w:rPr>
            </w:pPr>
            <w:r>
              <w:rPr>
                <w:rFonts w:hint="eastAsia" w:ascii="宋体" w:hAnsi="宋体" w:cs="宋体"/>
              </w:rPr>
              <w:t>1</w:t>
            </w:r>
            <w:r>
              <w:rPr>
                <w:rFonts w:hint="eastAsia" w:ascii="宋体" w:hAnsi="宋体" w:cs="宋体"/>
                <w:lang w:val="en-US" w:eastAsia="zh-CN"/>
              </w:rPr>
              <w:t>8</w:t>
            </w:r>
          </w:p>
        </w:tc>
        <w:tc>
          <w:tcPr>
            <w:tcW w:w="174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000000"/>
                <w:kern w:val="2"/>
                <w:sz w:val="21"/>
                <w:szCs w:val="24"/>
                <w:lang w:val="en-US" w:eastAsia="zh-CN" w:bidi="ar-SA"/>
              </w:rPr>
            </w:pPr>
            <w:r>
              <w:rPr>
                <w:rFonts w:hint="eastAsia" w:ascii="宋体" w:hAnsi="宋体" w:cs="宋体"/>
                <w:color w:val="000000"/>
              </w:rPr>
              <w:t>代理费</w:t>
            </w:r>
          </w:p>
        </w:tc>
        <w:tc>
          <w:tcPr>
            <w:tcW w:w="64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eastAsia="宋体" w:cs="宋体"/>
                <w:color w:val="000000"/>
                <w:kern w:val="2"/>
                <w:sz w:val="21"/>
                <w:szCs w:val="24"/>
                <w:lang w:val="en-US" w:eastAsia="zh-CN" w:bidi="ar-SA"/>
              </w:rPr>
            </w:pPr>
            <w:r>
              <w:rPr>
                <w:rFonts w:hint="eastAsia" w:ascii="宋体" w:hAnsi="宋体" w:cs="宋体"/>
                <w:color w:val="000000"/>
              </w:rPr>
              <w:t>本次招标代理服务费由中标供应商承担，采购代理服务费金额为人民币</w:t>
            </w:r>
            <w:r>
              <w:rPr>
                <w:rFonts w:hint="eastAsia" w:ascii="宋体" w:hAnsi="宋体" w:cs="宋体"/>
                <w:color w:val="000000"/>
                <w:lang w:val="en-US" w:eastAsia="zh-CN"/>
              </w:rPr>
              <w:t>48000</w:t>
            </w:r>
            <w:r>
              <w:rPr>
                <w:rFonts w:hint="eastAsia" w:ascii="宋体" w:hAnsi="宋体" w:cs="宋体"/>
                <w:color w:val="000000"/>
              </w:rPr>
              <w:t>元整，在领取中标通知书一次性支付，供应商在报价时综合考虑。</w:t>
            </w:r>
          </w:p>
        </w:tc>
      </w:tr>
    </w:tbl>
    <w:p>
      <w:pPr>
        <w:pStyle w:val="32"/>
        <w:snapToGrid w:val="0"/>
        <w:spacing w:line="360" w:lineRule="auto"/>
        <w:ind w:firstLine="482" w:firstLineChars="200"/>
        <w:rPr>
          <w:rFonts w:hAnsi="宋体"/>
          <w:b/>
          <w:sz w:val="24"/>
        </w:rPr>
      </w:pPr>
    </w:p>
    <w:p>
      <w:pPr>
        <w:pStyle w:val="32"/>
        <w:adjustRightInd w:val="0"/>
        <w:snapToGrid w:val="0"/>
        <w:spacing w:line="460" w:lineRule="exact"/>
        <w:ind w:firstLine="482" w:firstLineChars="200"/>
        <w:rPr>
          <w:rFonts w:hAnsi="宋体"/>
          <w:b/>
          <w:sz w:val="24"/>
        </w:rPr>
      </w:pPr>
      <w:r>
        <w:rPr>
          <w:rFonts w:hint="eastAsia" w:hAnsi="宋体"/>
          <w:b/>
          <w:sz w:val="24"/>
        </w:rPr>
        <w:t>二、说 明</w:t>
      </w:r>
    </w:p>
    <w:p>
      <w:pPr>
        <w:pStyle w:val="33"/>
        <w:numPr>
          <w:ilvl w:val="0"/>
          <w:numId w:val="6"/>
        </w:numPr>
        <w:adjustRightInd w:val="0"/>
        <w:snapToGrid w:val="0"/>
        <w:spacing w:line="460" w:lineRule="exact"/>
        <w:ind w:left="0" w:leftChars="0" w:firstLine="482" w:firstLineChars="200"/>
        <w:rPr>
          <w:rFonts w:ascii="宋体" w:hAnsi="宋体" w:eastAsia="宋体"/>
          <w:b/>
          <w:sz w:val="24"/>
          <w:szCs w:val="24"/>
        </w:rPr>
      </w:pPr>
      <w:r>
        <w:rPr>
          <w:rFonts w:hint="eastAsia" w:ascii="宋体" w:hAnsi="宋体" w:eastAsia="宋体"/>
          <w:b/>
          <w:sz w:val="24"/>
          <w:szCs w:val="24"/>
        </w:rPr>
        <w:t>总则</w:t>
      </w:r>
    </w:p>
    <w:p>
      <w:pPr>
        <w:adjustRightInd w:val="0"/>
        <w:snapToGrid w:val="0"/>
        <w:spacing w:line="460" w:lineRule="exact"/>
        <w:ind w:firstLine="480" w:firstLineChars="200"/>
        <w:rPr>
          <w:rFonts w:ascii="宋体" w:hAnsi="宋体"/>
          <w:sz w:val="24"/>
        </w:rPr>
      </w:pPr>
      <w:r>
        <w:rPr>
          <w:rFonts w:ascii="宋体" w:hAnsi="宋体"/>
          <w:sz w:val="24"/>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sz w:val="24"/>
        </w:rPr>
        <w:t>浙江省</w:t>
      </w:r>
      <w:r>
        <w:rPr>
          <w:rFonts w:ascii="宋体" w:hAnsi="宋体"/>
          <w:sz w:val="24"/>
        </w:rPr>
        <w:t>有关法律、法规、规章编制。</w:t>
      </w:r>
    </w:p>
    <w:p>
      <w:pPr>
        <w:adjustRightInd w:val="0"/>
        <w:snapToGrid w:val="0"/>
        <w:spacing w:line="460" w:lineRule="exact"/>
        <w:ind w:firstLine="480" w:firstLineChars="200"/>
        <w:rPr>
          <w:rFonts w:ascii="宋体" w:hAnsi="宋体"/>
          <w:sz w:val="24"/>
        </w:rPr>
      </w:pPr>
      <w:r>
        <w:rPr>
          <w:rFonts w:hint="eastAsia" w:ascii="宋体" w:hAnsi="宋体"/>
          <w:sz w:val="24"/>
        </w:rPr>
        <w:t>供应商</w:t>
      </w:r>
      <w:r>
        <w:rPr>
          <w:rFonts w:ascii="宋体" w:hAnsi="宋体"/>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由此引起的一切后果应由供应商承担。</w:t>
      </w:r>
    </w:p>
    <w:p>
      <w:pPr>
        <w:numPr>
          <w:ilvl w:val="0"/>
          <w:numId w:val="6"/>
        </w:numPr>
        <w:adjustRightInd w:val="0"/>
        <w:snapToGrid w:val="0"/>
        <w:spacing w:line="460" w:lineRule="exact"/>
        <w:ind w:firstLine="482" w:firstLineChars="200"/>
        <w:rPr>
          <w:rFonts w:ascii="宋体" w:hAnsi="宋体"/>
          <w:b/>
          <w:sz w:val="24"/>
        </w:rPr>
      </w:pPr>
      <w:r>
        <w:rPr>
          <w:rFonts w:ascii="宋体" w:hAnsi="宋体"/>
          <w:b/>
          <w:sz w:val="24"/>
        </w:rPr>
        <w:t>适用范围</w:t>
      </w:r>
    </w:p>
    <w:p>
      <w:pPr>
        <w:adjustRightInd w:val="0"/>
        <w:snapToGrid w:val="0"/>
        <w:spacing w:line="460" w:lineRule="exact"/>
        <w:ind w:firstLine="480" w:firstLineChars="200"/>
        <w:rPr>
          <w:rFonts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pPr>
        <w:pStyle w:val="11"/>
        <w:adjustRightInd w:val="0"/>
        <w:snapToGrid w:val="0"/>
        <w:spacing w:line="460" w:lineRule="exact"/>
        <w:ind w:firstLine="480" w:firstLineChars="200"/>
      </w:pPr>
      <w:r>
        <w:t>本招标文件仅适用于本次招标公告中所涉及的项目和内容。</w:t>
      </w:r>
    </w:p>
    <w:p>
      <w:pPr>
        <w:adjustRightInd w:val="0"/>
        <w:snapToGrid w:val="0"/>
        <w:spacing w:beforeLines="50" w:line="460" w:lineRule="exact"/>
        <w:ind w:firstLine="482" w:firstLineChars="200"/>
        <w:rPr>
          <w:rFonts w:ascii="宋体" w:hAnsi="宋体"/>
          <w:b/>
          <w:sz w:val="24"/>
        </w:rPr>
      </w:pPr>
      <w:r>
        <w:rPr>
          <w:rFonts w:hint="eastAsia" w:ascii="宋体" w:hAnsi="宋体"/>
          <w:b/>
          <w:sz w:val="24"/>
        </w:rPr>
        <w:t>（三）当事人</w:t>
      </w:r>
    </w:p>
    <w:p>
      <w:pPr>
        <w:pStyle w:val="6"/>
        <w:tabs>
          <w:tab w:val="left" w:pos="0"/>
          <w:tab w:val="left" w:pos="851"/>
        </w:tabs>
        <w:adjustRightInd w:val="0"/>
        <w:snapToGrid w:val="0"/>
        <w:spacing w:before="0" w:after="0" w:line="460" w:lineRule="exact"/>
        <w:ind w:firstLine="480" w:firstLineChars="200"/>
        <w:rPr>
          <w:rFonts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ascii="宋体" w:hAnsi="宋体"/>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adjustRightInd w:val="0"/>
        <w:snapToGrid w:val="0"/>
        <w:spacing w:line="460" w:lineRule="exact"/>
        <w:ind w:firstLine="480" w:firstLineChars="200"/>
        <w:rPr>
          <w:rFonts w:ascii="宋体" w:hAnsi="宋体"/>
          <w:sz w:val="24"/>
        </w:rPr>
      </w:pPr>
      <w:r>
        <w:rPr>
          <w:rFonts w:hint="eastAsia" w:ascii="宋体" w:hAnsi="宋体"/>
          <w:sz w:val="24"/>
        </w:rPr>
        <w:t>2.采购人：是指依法进行政府采购的国家机关、事业单位和团体组织。</w:t>
      </w:r>
    </w:p>
    <w:p>
      <w:pPr>
        <w:adjustRightInd w:val="0"/>
        <w:snapToGrid w:val="0"/>
        <w:spacing w:line="460" w:lineRule="exact"/>
        <w:ind w:firstLine="480" w:firstLineChars="200"/>
        <w:rPr>
          <w:rFonts w:ascii="宋体" w:hAnsi="宋体"/>
          <w:sz w:val="24"/>
        </w:rPr>
      </w:pPr>
      <w:r>
        <w:rPr>
          <w:rFonts w:hint="eastAsia" w:ascii="宋体" w:hAnsi="宋体"/>
          <w:sz w:val="24"/>
        </w:rPr>
        <w:t>3.供应商：是</w:t>
      </w:r>
      <w:r>
        <w:rPr>
          <w:rFonts w:ascii="宋体" w:hAnsi="宋体"/>
          <w:sz w:val="24"/>
        </w:rPr>
        <w:t>指</w:t>
      </w:r>
      <w:r>
        <w:rPr>
          <w:rFonts w:hint="eastAsia" w:ascii="宋体" w:hAnsi="宋体"/>
          <w:sz w:val="24"/>
        </w:rPr>
        <w:t>响应招标、参加投标竞争的法人、其他组织或者自然人</w:t>
      </w:r>
      <w:r>
        <w:rPr>
          <w:rFonts w:ascii="宋体" w:hAnsi="宋体"/>
          <w:sz w:val="24"/>
        </w:rPr>
        <w:t>。</w:t>
      </w:r>
    </w:p>
    <w:p>
      <w:pPr>
        <w:adjustRightInd w:val="0"/>
        <w:snapToGrid w:val="0"/>
        <w:spacing w:line="460" w:lineRule="exact"/>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w:t>
      </w:r>
      <w:r>
        <w:rPr>
          <w:rFonts w:hint="eastAsia" w:ascii="宋体" w:hAnsi="宋体"/>
          <w:sz w:val="24"/>
        </w:rPr>
        <w:t>供应商</w:t>
      </w:r>
      <w:r>
        <w:rPr>
          <w:rFonts w:hint="eastAsia" w:ascii="宋体" w:hAnsi="宋体"/>
          <w:sz w:val="24"/>
          <w:lang w:val="zh-CN"/>
        </w:rPr>
        <w:t>。</w:t>
      </w:r>
    </w:p>
    <w:p>
      <w:pPr>
        <w:adjustRightInd w:val="0"/>
        <w:snapToGrid w:val="0"/>
        <w:spacing w:line="460" w:lineRule="exact"/>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w:t>
      </w:r>
      <w:r>
        <w:rPr>
          <w:rFonts w:hint="eastAsia" w:ascii="宋体" w:hAnsi="宋体"/>
          <w:sz w:val="24"/>
        </w:rPr>
        <w:t>供应商</w:t>
      </w:r>
      <w:r>
        <w:rPr>
          <w:rFonts w:hint="eastAsia"/>
          <w:sz w:val="24"/>
        </w:rPr>
        <w:t>的身份共同投标。</w:t>
      </w:r>
    </w:p>
    <w:p>
      <w:pPr>
        <w:adjustRightInd w:val="0"/>
        <w:snapToGrid w:val="0"/>
        <w:spacing w:line="460" w:lineRule="exact"/>
        <w:ind w:firstLine="482" w:firstLineChars="200"/>
        <w:rPr>
          <w:b/>
          <w:bCs/>
          <w:sz w:val="24"/>
        </w:rPr>
      </w:pPr>
      <w:r>
        <w:rPr>
          <w:rFonts w:hint="eastAsia"/>
          <w:b/>
          <w:bCs/>
          <w:sz w:val="24"/>
        </w:rPr>
        <w:t>（四）</w:t>
      </w:r>
      <w:r>
        <w:rPr>
          <w:b/>
          <w:bCs/>
          <w:sz w:val="24"/>
        </w:rPr>
        <w:t>以联合体形式投标的，应符合以下规定：</w:t>
      </w:r>
    </w:p>
    <w:p>
      <w:pPr>
        <w:adjustRightInd w:val="0"/>
        <w:snapToGrid w:val="0"/>
        <w:spacing w:line="460" w:lineRule="exact"/>
        <w:ind w:firstLine="480" w:firstLineChars="200"/>
        <w:rPr>
          <w:sz w:val="24"/>
        </w:rPr>
      </w:pPr>
      <w:r>
        <w:rPr>
          <w:rFonts w:hint="eastAsia" w:ascii="宋体" w:hAnsi="宋体"/>
          <w:sz w:val="24"/>
        </w:rPr>
        <w:t>1.联</w:t>
      </w:r>
      <w:r>
        <w:rPr>
          <w:sz w:val="24"/>
        </w:rPr>
        <w:t>合体各方应签订联合体协议书，明确联合体牵头人和各方权利义务，并作为投标文件组成分部分</w:t>
      </w:r>
      <w:r>
        <w:rPr>
          <w:rFonts w:hint="eastAsia"/>
          <w:sz w:val="24"/>
        </w:rPr>
        <w:t>；</w:t>
      </w:r>
    </w:p>
    <w:p>
      <w:pPr>
        <w:adjustRightInd w:val="0"/>
        <w:snapToGrid w:val="0"/>
        <w:spacing w:line="460" w:lineRule="exact"/>
        <w:ind w:firstLine="480" w:firstLineChars="200"/>
        <w:rPr>
          <w:sz w:val="24"/>
        </w:rPr>
      </w:pPr>
      <w:r>
        <w:rPr>
          <w:rFonts w:hint="eastAsia" w:ascii="宋体" w:hAnsi="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adjustRightInd w:val="0"/>
        <w:snapToGrid w:val="0"/>
        <w:spacing w:line="460" w:lineRule="exact"/>
        <w:ind w:firstLine="480" w:firstLineChars="200"/>
        <w:rPr>
          <w:rFonts w:ascii="宋体" w:hAnsi="宋体"/>
          <w:sz w:val="24"/>
        </w:rPr>
      </w:pPr>
      <w:r>
        <w:rPr>
          <w:rFonts w:hint="eastAsia" w:ascii="宋体" w:hAnsi="宋体"/>
          <w:sz w:val="24"/>
        </w:rPr>
        <w:t>3.联合体成员存在不良信用记录的，视同联合体存在不良信用记录；</w:t>
      </w:r>
    </w:p>
    <w:p>
      <w:pPr>
        <w:adjustRightInd w:val="0"/>
        <w:snapToGrid w:val="0"/>
        <w:spacing w:line="460" w:lineRule="exact"/>
        <w:ind w:firstLine="480" w:firstLineChars="200"/>
        <w:rPr>
          <w:rFonts w:ascii="宋体" w:hAnsi="宋体"/>
          <w:sz w:val="24"/>
        </w:rPr>
      </w:pPr>
      <w:r>
        <w:rPr>
          <w:rFonts w:hint="eastAsia" w:ascii="宋体" w:hAnsi="宋体"/>
          <w:sz w:val="24"/>
        </w:rPr>
        <w:t>4.联合体各方中至少应当有一方符合采购人规定的资格要求。由同一资质条件的供应商组成的联合体，应当按照资质等级较低的供应商确定联合体资质等级；</w:t>
      </w:r>
    </w:p>
    <w:p>
      <w:pPr>
        <w:adjustRightInd w:val="0"/>
        <w:snapToGrid w:val="0"/>
        <w:spacing w:line="460" w:lineRule="exact"/>
        <w:ind w:firstLine="480" w:firstLineChars="200"/>
        <w:rPr>
          <w:rFonts w:ascii="宋体" w:hAnsi="宋体"/>
          <w:sz w:val="24"/>
        </w:rPr>
      </w:pPr>
      <w:r>
        <w:rPr>
          <w:rFonts w:hint="eastAsia" w:ascii="宋体" w:hAnsi="宋体"/>
          <w:sz w:val="24"/>
        </w:rPr>
        <w:t>5.联合体各方不得再以自己名义单独在同一合同项中投标，也不得组成新的联合体参加同一项目投标；</w:t>
      </w:r>
    </w:p>
    <w:p>
      <w:pPr>
        <w:adjustRightInd w:val="0"/>
        <w:snapToGrid w:val="0"/>
        <w:spacing w:line="460" w:lineRule="exact"/>
        <w:ind w:firstLine="480" w:firstLineChars="200"/>
        <w:rPr>
          <w:rFonts w:ascii="宋体" w:hAnsi="宋体"/>
          <w:sz w:val="24"/>
        </w:rPr>
      </w:pPr>
      <w:r>
        <w:rPr>
          <w:rFonts w:hint="eastAsia" w:ascii="宋体" w:hAnsi="宋体"/>
          <w:sz w:val="24"/>
        </w:rPr>
        <w:t>6.联合体各方应当共同与采购人签订采购合同，就合同约定的事项对采购人承担连带责任；</w:t>
      </w:r>
    </w:p>
    <w:p>
      <w:pPr>
        <w:adjustRightInd w:val="0"/>
        <w:snapToGrid w:val="0"/>
        <w:spacing w:line="460" w:lineRule="exact"/>
        <w:ind w:firstLine="480" w:firstLineChars="200"/>
        <w:rPr>
          <w:sz w:val="24"/>
        </w:rPr>
      </w:pPr>
      <w:r>
        <w:rPr>
          <w:rFonts w:hint="eastAsia" w:ascii="宋体" w:hAnsi="宋体"/>
          <w:sz w:val="24"/>
        </w:rPr>
        <w:t>7.投标</w:t>
      </w:r>
      <w:r>
        <w:rPr>
          <w:sz w:val="24"/>
        </w:rPr>
        <w:t>时，应以联合体协议中确定的主体方名义投标，对联合体各方均具有约束力。</w:t>
      </w:r>
    </w:p>
    <w:p>
      <w:pPr>
        <w:adjustRightInd w:val="0"/>
        <w:snapToGrid w:val="0"/>
        <w:spacing w:line="460" w:lineRule="exact"/>
        <w:ind w:firstLine="482" w:firstLineChars="200"/>
        <w:rPr>
          <w:b/>
          <w:bCs/>
          <w:sz w:val="24"/>
        </w:rPr>
      </w:pPr>
      <w:r>
        <w:rPr>
          <w:rFonts w:hint="eastAsia"/>
          <w:b/>
          <w:bCs/>
          <w:sz w:val="24"/>
        </w:rPr>
        <w:t>（五）</w:t>
      </w:r>
      <w:r>
        <w:rPr>
          <w:b/>
          <w:bCs/>
          <w:sz w:val="24"/>
        </w:rPr>
        <w:t>语言文字以及度量衡单位</w:t>
      </w:r>
    </w:p>
    <w:p>
      <w:pPr>
        <w:adjustRightInd w:val="0"/>
        <w:snapToGrid w:val="0"/>
        <w:spacing w:line="460" w:lineRule="exact"/>
        <w:ind w:firstLine="480" w:firstLineChars="200"/>
        <w:rPr>
          <w:rFonts w:ascii="宋体" w:hAnsi="宋体"/>
          <w:sz w:val="24"/>
        </w:rPr>
      </w:pPr>
      <w:r>
        <w:rPr>
          <w:rFonts w:hint="eastAsia" w:ascii="宋体" w:hAnsi="宋体"/>
          <w:sz w:val="24"/>
        </w:rPr>
        <w:t>1.投标文件以及供应商与</w:t>
      </w:r>
      <w:r>
        <w:rPr>
          <w:rFonts w:hint="eastAsia" w:ascii="宋体" w:hAnsi="宋体" w:cs="宋体"/>
          <w:kern w:val="0"/>
          <w:sz w:val="24"/>
        </w:rPr>
        <w:t>采购代理机构名称</w:t>
      </w:r>
      <w:r>
        <w:rPr>
          <w:rFonts w:hint="eastAsia" w:ascii="宋体" w:hAnsi="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adjustRightInd w:val="0"/>
        <w:snapToGrid w:val="0"/>
        <w:spacing w:line="460" w:lineRule="exact"/>
        <w:ind w:firstLine="480" w:firstLineChars="200"/>
        <w:rPr>
          <w:rFonts w:ascii="宋体" w:hAnsi="宋体"/>
          <w:sz w:val="24"/>
        </w:rPr>
      </w:pPr>
      <w:r>
        <w:rPr>
          <w:rFonts w:hint="eastAsia" w:ascii="宋体" w:hAnsi="宋体"/>
          <w:sz w:val="24"/>
        </w:rPr>
        <w:t>2.所有计量均采用中国法定的计量单位。</w:t>
      </w:r>
    </w:p>
    <w:p>
      <w:pPr>
        <w:adjustRightInd w:val="0"/>
        <w:snapToGrid w:val="0"/>
        <w:spacing w:line="460" w:lineRule="exact"/>
        <w:ind w:firstLine="480" w:firstLineChars="200"/>
        <w:rPr>
          <w:sz w:val="24"/>
        </w:rPr>
      </w:pPr>
      <w:r>
        <w:rPr>
          <w:rFonts w:hint="eastAsia" w:ascii="宋体" w:hAnsi="宋体"/>
          <w:sz w:val="24"/>
        </w:rPr>
        <w:t>3.所有</w:t>
      </w:r>
      <w:r>
        <w:rPr>
          <w:sz w:val="24"/>
        </w:rPr>
        <w:t>报价一律使用人民币，货币单位：元。</w:t>
      </w:r>
    </w:p>
    <w:p>
      <w:pPr>
        <w:adjustRightInd w:val="0"/>
        <w:snapToGrid w:val="0"/>
        <w:spacing w:line="460" w:lineRule="exact"/>
        <w:ind w:firstLine="482" w:firstLineChars="200"/>
        <w:rPr>
          <w:b/>
          <w:bCs/>
          <w:sz w:val="24"/>
        </w:rPr>
      </w:pPr>
      <w:r>
        <w:rPr>
          <w:rFonts w:hint="eastAsia"/>
          <w:b/>
          <w:bCs/>
          <w:sz w:val="24"/>
        </w:rPr>
        <w:t>（六）</w:t>
      </w:r>
      <w:r>
        <w:rPr>
          <w:b/>
          <w:bCs/>
          <w:sz w:val="24"/>
        </w:rPr>
        <w:t>现场踏勘</w:t>
      </w:r>
    </w:p>
    <w:p>
      <w:pPr>
        <w:adjustRightInd w:val="0"/>
        <w:snapToGrid w:val="0"/>
        <w:spacing w:line="460" w:lineRule="exact"/>
        <w:ind w:firstLine="480" w:firstLineChars="200"/>
        <w:rPr>
          <w:rFonts w:ascii="宋体" w:hAnsi="宋体"/>
          <w:sz w:val="24"/>
        </w:rPr>
      </w:pPr>
      <w:r>
        <w:rPr>
          <w:rFonts w:hint="eastAsia" w:ascii="宋体" w:hAnsi="宋体"/>
          <w:sz w:val="24"/>
        </w:rPr>
        <w:t>1.招标文件规定组织踏勘现场的，采购人按招标文件规定的时间、地点组织供应商踏勘项目现场。</w:t>
      </w:r>
    </w:p>
    <w:p>
      <w:pPr>
        <w:adjustRightInd w:val="0"/>
        <w:snapToGrid w:val="0"/>
        <w:spacing w:line="460" w:lineRule="exact"/>
        <w:ind w:firstLine="480" w:firstLineChars="200"/>
        <w:rPr>
          <w:rFonts w:ascii="宋体" w:hAnsi="宋体"/>
          <w:sz w:val="24"/>
        </w:rPr>
      </w:pPr>
      <w:r>
        <w:rPr>
          <w:rFonts w:hint="eastAsia" w:ascii="宋体" w:hAnsi="宋体"/>
          <w:sz w:val="24"/>
        </w:rPr>
        <w:t>2. 供应商自行承担踏勘现场发生的责任、风险和自身费用。</w:t>
      </w:r>
    </w:p>
    <w:p>
      <w:pPr>
        <w:adjustRightInd w:val="0"/>
        <w:snapToGrid w:val="0"/>
        <w:spacing w:line="460" w:lineRule="exact"/>
        <w:ind w:firstLine="480" w:firstLineChars="200"/>
        <w:rPr>
          <w:sz w:val="24"/>
        </w:rPr>
      </w:pPr>
      <w:r>
        <w:rPr>
          <w:rFonts w:hint="eastAsia" w:ascii="宋体" w:hAnsi="宋体"/>
          <w:sz w:val="24"/>
        </w:rPr>
        <w:t>3.采购人</w:t>
      </w:r>
      <w:r>
        <w:rPr>
          <w:sz w:val="24"/>
        </w:rPr>
        <w:t>在踏勘现场中介绍的资料和数据等，不构成对招标文件的修改或不作为</w:t>
      </w:r>
      <w:r>
        <w:rPr>
          <w:rFonts w:hint="eastAsia" w:ascii="宋体" w:hAnsi="宋体"/>
          <w:sz w:val="24"/>
        </w:rPr>
        <w:t>供应商</w:t>
      </w:r>
      <w:r>
        <w:rPr>
          <w:sz w:val="24"/>
        </w:rPr>
        <w:t>编制投标文件的依据。</w:t>
      </w:r>
    </w:p>
    <w:p>
      <w:pPr>
        <w:pStyle w:val="32"/>
        <w:adjustRightInd w:val="0"/>
        <w:snapToGrid w:val="0"/>
        <w:spacing w:line="460" w:lineRule="exact"/>
        <w:ind w:left="2" w:leftChars="1" w:firstLine="482" w:firstLineChars="200"/>
        <w:rPr>
          <w:rFonts w:hAnsi="宋体"/>
          <w:b/>
          <w:sz w:val="24"/>
        </w:rPr>
      </w:pPr>
      <w:r>
        <w:rPr>
          <w:rFonts w:hint="eastAsia" w:hAnsi="宋体"/>
          <w:b/>
          <w:sz w:val="24"/>
        </w:rPr>
        <w:t>（七）特别说明</w:t>
      </w:r>
    </w:p>
    <w:p>
      <w:pPr>
        <w:pStyle w:val="32"/>
        <w:adjustRightInd w:val="0"/>
        <w:snapToGrid w:val="0"/>
        <w:spacing w:line="460" w:lineRule="exact"/>
        <w:ind w:left="2" w:leftChars="1" w:firstLine="480" w:firstLineChars="200"/>
        <w:rPr>
          <w:rFonts w:hAnsi="宋体"/>
          <w:sz w:val="24"/>
        </w:rPr>
      </w:pPr>
      <w:r>
        <w:rPr>
          <w:rFonts w:hint="eastAsia" w:hAnsi="宋体"/>
          <w:sz w:val="24"/>
        </w:rPr>
        <w:t>1. 供应商</w:t>
      </w:r>
      <w:r>
        <w:rPr>
          <w:rFonts w:hAnsi="宋体"/>
          <w:sz w:val="24"/>
        </w:rPr>
        <w:t>投标所使用的资格、信誉、荣誉、业绩与企业认证必须为本法人所拥有</w:t>
      </w:r>
      <w:r>
        <w:rPr>
          <w:rFonts w:hint="eastAsia" w:hAnsi="宋体"/>
          <w:sz w:val="24"/>
        </w:rPr>
        <w:t>且所提供的资料都是真实有效的</w:t>
      </w:r>
      <w:r>
        <w:rPr>
          <w:rFonts w:hAnsi="宋体"/>
          <w:sz w:val="24"/>
        </w:rPr>
        <w:t>。</w:t>
      </w:r>
      <w:r>
        <w:rPr>
          <w:rFonts w:hint="eastAsia" w:hAnsi="宋体"/>
          <w:sz w:val="24"/>
        </w:rPr>
        <w:t>供应商</w:t>
      </w:r>
      <w:r>
        <w:rPr>
          <w:rFonts w:hAnsi="宋体"/>
          <w:sz w:val="24"/>
        </w:rPr>
        <w:t>投标所使用的采购项目实施人员必须为本法人员工。</w:t>
      </w:r>
    </w:p>
    <w:p>
      <w:pPr>
        <w:pStyle w:val="40"/>
        <w:adjustRightInd w:val="0"/>
        <w:snapToGrid w:val="0"/>
        <w:spacing w:line="460" w:lineRule="exact"/>
        <w:ind w:firstLine="480"/>
        <w:rPr>
          <w:rFonts w:ascii="宋体" w:hAnsi="宋体" w:cs="宋体"/>
          <w:sz w:val="24"/>
          <w:szCs w:val="24"/>
        </w:rPr>
      </w:pPr>
      <w:r>
        <w:rPr>
          <w:rFonts w:hint="eastAsia" w:ascii="宋体" w:hAnsi="宋体" w:cs="黑体"/>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pStyle w:val="40"/>
        <w:adjustRightInd w:val="0"/>
        <w:snapToGrid w:val="0"/>
        <w:spacing w:line="460" w:lineRule="exact"/>
        <w:ind w:firstLine="480"/>
        <w:rPr>
          <w:rFonts w:ascii="宋体" w:hAnsi="宋体" w:cs="宋体"/>
          <w:sz w:val="24"/>
          <w:szCs w:val="24"/>
        </w:rPr>
      </w:pPr>
      <w:r>
        <w:rPr>
          <w:rFonts w:hint="eastAsia" w:ascii="宋体" w:hAnsi="宋体" w:cs="宋体"/>
          <w:sz w:val="24"/>
          <w:szCs w:val="24"/>
        </w:rPr>
        <w:t>3.</w:t>
      </w:r>
      <w:r>
        <w:rPr>
          <w:rFonts w:hint="eastAsia" w:ascii="宋体" w:hAnsi="宋体"/>
          <w:sz w:val="24"/>
        </w:rPr>
        <w:t>本次招标代理服务费由中标供应商承担，采购代理服务费金额为人民币</w:t>
      </w:r>
      <w:r>
        <w:rPr>
          <w:rFonts w:hint="eastAsia" w:ascii="宋体" w:hAnsi="宋体"/>
          <w:sz w:val="24"/>
          <w:lang w:val="en-US" w:eastAsia="zh-CN"/>
        </w:rPr>
        <w:t>48000</w:t>
      </w:r>
      <w:r>
        <w:rPr>
          <w:rFonts w:hint="eastAsia" w:ascii="宋体" w:hAnsi="宋体"/>
          <w:sz w:val="24"/>
        </w:rPr>
        <w:t>元整，在领取中标通知书一次性支付，供应商在报价时综合考虑。</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60" w:lineRule="exact"/>
        <w:ind w:firstLine="482" w:firstLineChars="200"/>
        <w:rPr>
          <w:rFonts w:ascii="宋体" w:hAnsi="宋体"/>
          <w:b/>
          <w:kern w:val="0"/>
          <w:sz w:val="24"/>
        </w:rPr>
      </w:pPr>
      <w:r>
        <w:rPr>
          <w:rFonts w:hint="eastAsia" w:ascii="宋体" w:hAnsi="宋体"/>
          <w:b/>
          <w:kern w:val="0"/>
          <w:sz w:val="24"/>
        </w:rPr>
        <w:t>三、招标文件</w:t>
      </w:r>
    </w:p>
    <w:p>
      <w:pPr>
        <w:pStyle w:val="40"/>
        <w:adjustRightInd w:val="0"/>
        <w:snapToGrid w:val="0"/>
        <w:spacing w:line="460" w:lineRule="exact"/>
        <w:ind w:firstLine="480"/>
        <w:rPr>
          <w:rFonts w:ascii="宋体" w:hAnsi="宋体" w:cs="黑体"/>
          <w:sz w:val="24"/>
        </w:rPr>
      </w:pPr>
      <w:r>
        <w:rPr>
          <w:rFonts w:hint="eastAsia" w:ascii="宋体" w:hAnsi="宋体" w:cs="黑体"/>
          <w:sz w:val="24"/>
        </w:rPr>
        <w:t>（一）招标文件由招标文件目录所列内容组成。</w:t>
      </w:r>
    </w:p>
    <w:p>
      <w:pPr>
        <w:pStyle w:val="40"/>
        <w:adjustRightInd w:val="0"/>
        <w:snapToGrid w:val="0"/>
        <w:spacing w:line="460" w:lineRule="exact"/>
        <w:ind w:firstLine="480"/>
        <w:rPr>
          <w:rFonts w:ascii="宋体" w:hAnsi="宋体" w:cs="黑体"/>
          <w:sz w:val="24"/>
        </w:rPr>
      </w:pPr>
      <w:r>
        <w:rPr>
          <w:rFonts w:hint="eastAsia" w:ascii="宋体" w:hAnsi="宋体" w:cs="黑体"/>
          <w:sz w:val="24"/>
        </w:rPr>
        <w:t>（二）</w:t>
      </w:r>
      <w:r>
        <w:rPr>
          <w:rFonts w:hint="eastAsia" w:ascii="宋体" w:hAnsi="宋体"/>
          <w:sz w:val="24"/>
        </w:rPr>
        <w:t>供应商</w:t>
      </w:r>
      <w:r>
        <w:rPr>
          <w:rFonts w:hint="eastAsia" w:ascii="宋体" w:hAnsi="宋体" w:cs="黑体"/>
          <w:sz w:val="24"/>
        </w:rPr>
        <w:t>在规定的时间内未对招标文件提出疑问、质疑或要求澄清的，将视其为无异议。</w:t>
      </w:r>
    </w:p>
    <w:p>
      <w:pPr>
        <w:pStyle w:val="40"/>
        <w:adjustRightInd w:val="0"/>
        <w:snapToGrid w:val="0"/>
        <w:spacing w:line="460" w:lineRule="exact"/>
        <w:ind w:firstLine="480"/>
        <w:rPr>
          <w:rFonts w:ascii="宋体" w:hAnsi="宋体" w:cs="黑体"/>
          <w:sz w:val="24"/>
        </w:rPr>
      </w:pPr>
      <w:r>
        <w:rPr>
          <w:rFonts w:hint="eastAsia" w:ascii="宋体" w:hAnsi="宋体" w:cs="黑体"/>
          <w:sz w:val="24"/>
        </w:rPr>
        <w:t>（三）对招标文件中描述有歧义或前后不一致的地方，评标委员会有权进行评判，但对同一条款的评判应适用于每个</w:t>
      </w:r>
      <w:r>
        <w:rPr>
          <w:rFonts w:hint="eastAsia" w:ascii="宋体" w:hAnsi="宋体"/>
          <w:sz w:val="24"/>
        </w:rPr>
        <w:t>供应商</w:t>
      </w:r>
      <w:r>
        <w:rPr>
          <w:rFonts w:hint="eastAsia" w:ascii="宋体" w:hAnsi="宋体" w:cs="黑体"/>
          <w:sz w:val="24"/>
        </w:rPr>
        <w:t>。</w:t>
      </w:r>
    </w:p>
    <w:p>
      <w:pPr>
        <w:pStyle w:val="40"/>
        <w:adjustRightInd w:val="0"/>
        <w:snapToGrid w:val="0"/>
        <w:spacing w:line="460" w:lineRule="exact"/>
        <w:ind w:firstLine="480"/>
        <w:rPr>
          <w:rFonts w:ascii="宋体" w:hAnsi="宋体" w:cs="黑体"/>
          <w:sz w:val="24"/>
        </w:rPr>
      </w:pPr>
      <w:r>
        <w:rPr>
          <w:rFonts w:hint="eastAsia" w:ascii="宋体" w:hAnsi="宋体" w:cs="黑体"/>
          <w:sz w:val="24"/>
        </w:rPr>
        <w:t>（四）采购组织机构对招标文件进行必要的澄清更正的，澄清或者修改的内容可能影响投标文件编制的，于投标截止时间的15日前在浙江省政府采购网上以更正公告的形式通知各潜在的</w:t>
      </w:r>
      <w:r>
        <w:rPr>
          <w:rFonts w:hint="eastAsia" w:ascii="宋体" w:hAnsi="宋体"/>
          <w:sz w:val="24"/>
        </w:rPr>
        <w:t>供应商</w:t>
      </w:r>
      <w:r>
        <w:rPr>
          <w:rFonts w:hint="eastAsia" w:ascii="宋体" w:hAnsi="宋体" w:cs="黑体"/>
          <w:sz w:val="24"/>
        </w:rPr>
        <w:t>；不足15日的，采购组织机构应当顺延提交投标文件的截止时间。</w:t>
      </w:r>
    </w:p>
    <w:p>
      <w:pPr>
        <w:tabs>
          <w:tab w:val="left" w:pos="1418"/>
        </w:tabs>
        <w:autoSpaceDE w:val="0"/>
        <w:autoSpaceDN w:val="0"/>
        <w:adjustRightInd w:val="0"/>
        <w:snapToGrid w:val="0"/>
        <w:spacing w:line="460" w:lineRule="exact"/>
        <w:ind w:firstLine="482" w:firstLineChars="200"/>
        <w:rPr>
          <w:rFonts w:ascii="宋体" w:hAnsi="宋体"/>
          <w:b/>
          <w:kern w:val="0"/>
          <w:sz w:val="24"/>
        </w:rPr>
      </w:pPr>
      <w:r>
        <w:rPr>
          <w:rFonts w:hint="eastAsia" w:ascii="宋体" w:hAnsi="宋体"/>
          <w:b/>
          <w:kern w:val="0"/>
          <w:sz w:val="24"/>
        </w:rPr>
        <w:t>四、投标文件</w:t>
      </w:r>
    </w:p>
    <w:p>
      <w:pPr>
        <w:pStyle w:val="30"/>
        <w:adjustRightInd w:val="0"/>
        <w:snapToGrid w:val="0"/>
        <w:spacing w:line="460" w:lineRule="exact"/>
        <w:ind w:firstLine="482" w:firstLineChars="200"/>
        <w:rPr>
          <w:rFonts w:ascii="宋体" w:hAnsi="宋体"/>
          <w:b/>
          <w:kern w:val="0"/>
          <w:sz w:val="24"/>
        </w:rPr>
      </w:pPr>
      <w:r>
        <w:rPr>
          <w:rFonts w:hint="eastAsia" w:ascii="宋体" w:hAnsi="宋体"/>
          <w:b/>
          <w:kern w:val="0"/>
          <w:sz w:val="24"/>
        </w:rPr>
        <w:t>（一）投标文件的编制</w:t>
      </w:r>
    </w:p>
    <w:p>
      <w:pPr>
        <w:pStyle w:val="30"/>
        <w:adjustRightInd w:val="0"/>
        <w:snapToGrid w:val="0"/>
        <w:spacing w:line="460" w:lineRule="exact"/>
        <w:ind w:firstLine="480" w:firstLineChars="200"/>
        <w:rPr>
          <w:rFonts w:ascii="宋体" w:hAnsi="宋体"/>
          <w:bCs/>
          <w:kern w:val="0"/>
          <w:sz w:val="24"/>
        </w:rPr>
      </w:pPr>
      <w:r>
        <w:rPr>
          <w:rFonts w:hint="eastAsia" w:ascii="宋体" w:hAnsi="宋体"/>
          <w:kern w:val="0"/>
          <w:sz w:val="24"/>
        </w:rPr>
        <w:t xml:space="preserve"> </w:t>
      </w:r>
      <w:r>
        <w:rPr>
          <w:rFonts w:hint="eastAsia" w:ascii="宋体" w:hAnsi="宋体"/>
          <w:sz w:val="24"/>
        </w:rPr>
        <w:t>供应商</w:t>
      </w:r>
      <w:r>
        <w:rPr>
          <w:rFonts w:hint="eastAsia" w:ascii="宋体" w:hAnsi="宋体"/>
          <w:kern w:val="0"/>
          <w:sz w:val="24"/>
        </w:rPr>
        <w:t>获取招标文件后，按照采购组织机构的要求提供：资格证明文件、商务与技术文件和报价</w:t>
      </w:r>
      <w:r>
        <w:rPr>
          <w:rFonts w:hint="eastAsia" w:ascii="宋体" w:hAnsi="宋体"/>
          <w:kern w:val="0"/>
          <w:sz w:val="24"/>
          <w:lang w:val="zh-CN"/>
        </w:rPr>
        <w:t>文件。若参与多标项投标的，则按每个标项分别独立编制投标文件。</w:t>
      </w:r>
    </w:p>
    <w:p>
      <w:pPr>
        <w:adjustRightInd w:val="0"/>
        <w:snapToGrid w:val="0"/>
        <w:spacing w:line="460" w:lineRule="exact"/>
        <w:ind w:firstLine="210" w:firstLineChars="100"/>
        <w:rPr>
          <w:rFonts w:ascii="宋体" w:hAnsi="宋体"/>
          <w:b/>
          <w:color w:val="FF000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
          <w:color w:val="auto"/>
          <w:sz w:val="24"/>
        </w:rPr>
        <w:t>1.资格证明</w:t>
      </w:r>
      <w:r>
        <w:rPr>
          <w:rFonts w:ascii="宋体" w:hAnsi="宋体"/>
          <w:b/>
          <w:color w:val="auto"/>
          <w:sz w:val="24"/>
        </w:rPr>
        <w:t>文件</w:t>
      </w:r>
      <w:r>
        <w:rPr>
          <w:rFonts w:hint="eastAsia" w:ascii="宋体" w:hAnsi="宋体"/>
          <w:b/>
          <w:color w:val="auto"/>
          <w:sz w:val="24"/>
        </w:rPr>
        <w:t>的组成：</w:t>
      </w:r>
    </w:p>
    <w:p>
      <w:pPr>
        <w:widowControl/>
        <w:adjustRightInd w:val="0"/>
        <w:snapToGrid w:val="0"/>
        <w:spacing w:line="460" w:lineRule="exact"/>
        <w:rPr>
          <w:rFonts w:ascii="宋体" w:hAnsi="宋体"/>
          <w:kern w:val="0"/>
          <w:sz w:val="24"/>
          <w:szCs w:val="20"/>
        </w:rPr>
      </w:pPr>
      <w:r>
        <w:rPr>
          <w:rFonts w:hint="eastAsia" w:ascii="宋体" w:hAnsi="宋体"/>
          <w:kern w:val="0"/>
          <w:sz w:val="24"/>
          <w:szCs w:val="20"/>
        </w:rPr>
        <w:t>（1）投标声明书（附件1）；</w:t>
      </w:r>
    </w:p>
    <w:p>
      <w:pPr>
        <w:widowControl/>
        <w:adjustRightInd w:val="0"/>
        <w:snapToGrid w:val="0"/>
        <w:spacing w:line="460" w:lineRule="exact"/>
        <w:rPr>
          <w:rFonts w:ascii="宋体" w:hAnsi="宋体"/>
          <w:kern w:val="0"/>
          <w:sz w:val="24"/>
          <w:szCs w:val="20"/>
        </w:rPr>
      </w:pPr>
      <w:r>
        <w:rPr>
          <w:rFonts w:hint="eastAsia" w:ascii="宋体" w:hAnsi="宋体"/>
          <w:kern w:val="0"/>
          <w:sz w:val="24"/>
          <w:szCs w:val="20"/>
        </w:rPr>
        <w:t>（2）授权委托书（法定代表人办理投标事宜的，则无需提交)（附件2）；</w:t>
      </w:r>
    </w:p>
    <w:p>
      <w:pPr>
        <w:widowControl/>
        <w:adjustRightInd w:val="0"/>
        <w:snapToGrid w:val="0"/>
        <w:spacing w:line="460" w:lineRule="exact"/>
        <w:rPr>
          <w:rFonts w:ascii="宋体" w:hAnsi="宋体"/>
          <w:kern w:val="0"/>
          <w:sz w:val="24"/>
          <w:szCs w:val="20"/>
        </w:rPr>
      </w:pPr>
      <w:r>
        <w:rPr>
          <w:rFonts w:hint="eastAsia" w:ascii="宋体" w:hAnsi="宋体"/>
          <w:kern w:val="0"/>
          <w:sz w:val="24"/>
          <w:szCs w:val="20"/>
        </w:rPr>
        <w:t>（3）法人或者其他组织的营业执照等证明文件；</w:t>
      </w:r>
    </w:p>
    <w:p>
      <w:pPr>
        <w:widowControl/>
        <w:adjustRightInd w:val="0"/>
        <w:snapToGrid w:val="0"/>
        <w:spacing w:line="460" w:lineRule="exact"/>
        <w:rPr>
          <w:rFonts w:hint="eastAsia" w:ascii="宋体" w:hAnsi="宋体" w:eastAsia="宋体"/>
          <w:kern w:val="0"/>
          <w:sz w:val="24"/>
          <w:szCs w:val="20"/>
          <w:lang w:eastAsia="zh-CN"/>
        </w:rPr>
      </w:pPr>
      <w:r>
        <w:rPr>
          <w:rFonts w:hint="eastAsia" w:ascii="宋体" w:hAnsi="宋体"/>
          <w:kern w:val="0"/>
          <w:sz w:val="24"/>
          <w:szCs w:val="20"/>
        </w:rPr>
        <w:t>（4）具有良好的财务会计制度、依法缴纳税收和社会保障资金的承诺函</w:t>
      </w:r>
      <w:r>
        <w:rPr>
          <w:rFonts w:hint="eastAsia" w:ascii="宋体" w:hAnsi="宋体"/>
          <w:kern w:val="0"/>
          <w:sz w:val="24"/>
          <w:szCs w:val="20"/>
          <w:lang w:eastAsia="zh-CN"/>
        </w:rPr>
        <w:t>；</w:t>
      </w:r>
    </w:p>
    <w:p>
      <w:pPr>
        <w:widowControl/>
        <w:adjustRightInd w:val="0"/>
        <w:snapToGrid w:val="0"/>
        <w:spacing w:line="460" w:lineRule="exact"/>
        <w:rPr>
          <w:rFonts w:hint="eastAsia" w:ascii="宋体" w:hAnsi="宋体"/>
          <w:kern w:val="0"/>
          <w:sz w:val="24"/>
          <w:szCs w:val="20"/>
        </w:rPr>
      </w:pPr>
      <w:r>
        <w:rPr>
          <w:rFonts w:hint="eastAsia" w:ascii="宋体" w:hAnsi="宋体"/>
          <w:kern w:val="0"/>
          <w:sz w:val="24"/>
          <w:szCs w:val="20"/>
        </w:rPr>
        <w:t>（</w:t>
      </w:r>
      <w:r>
        <w:rPr>
          <w:rFonts w:hint="eastAsia" w:ascii="宋体" w:hAnsi="宋体"/>
          <w:kern w:val="0"/>
          <w:sz w:val="24"/>
          <w:szCs w:val="20"/>
          <w:lang w:val="en-US" w:eastAsia="zh-CN"/>
        </w:rPr>
        <w:t>5</w:t>
      </w:r>
      <w:r>
        <w:rPr>
          <w:rFonts w:hint="eastAsia" w:ascii="宋体" w:hAnsi="宋体"/>
          <w:kern w:val="0"/>
          <w:sz w:val="24"/>
          <w:szCs w:val="20"/>
        </w:rPr>
        <w:t>）具备履行合同所必需的设备和专业技术能力的证明材料；</w:t>
      </w:r>
    </w:p>
    <w:p>
      <w:pPr>
        <w:widowControl/>
        <w:adjustRightInd w:val="0"/>
        <w:snapToGrid w:val="0"/>
        <w:spacing w:line="460" w:lineRule="exact"/>
        <w:rPr>
          <w:rFonts w:ascii="宋体" w:hAnsi="宋体"/>
          <w:kern w:val="0"/>
          <w:sz w:val="24"/>
          <w:szCs w:val="20"/>
        </w:rPr>
      </w:pPr>
      <w:r>
        <w:rPr>
          <w:rFonts w:hint="eastAsia" w:ascii="宋体" w:hAnsi="宋体"/>
          <w:kern w:val="0"/>
          <w:sz w:val="24"/>
          <w:szCs w:val="20"/>
        </w:rPr>
        <w:t>（</w:t>
      </w:r>
      <w:r>
        <w:rPr>
          <w:rFonts w:hint="eastAsia" w:ascii="宋体" w:hAnsi="宋体"/>
          <w:kern w:val="0"/>
          <w:sz w:val="24"/>
          <w:szCs w:val="20"/>
          <w:lang w:val="en-US" w:eastAsia="zh-CN"/>
        </w:rPr>
        <w:t>6</w:t>
      </w:r>
      <w:r>
        <w:rPr>
          <w:rFonts w:hint="eastAsia" w:ascii="宋体" w:hAnsi="宋体"/>
          <w:kern w:val="0"/>
          <w:sz w:val="24"/>
          <w:szCs w:val="20"/>
        </w:rPr>
        <w:t>）提供采购公告中符合供应商特定条件的有效证明材料（供应商特定条件中有要求的必须提供），以及需要说明的其他资料。</w:t>
      </w:r>
    </w:p>
    <w:p>
      <w:pPr>
        <w:adjustRightInd w:val="0"/>
        <w:snapToGrid w:val="0"/>
        <w:spacing w:line="460" w:lineRule="exact"/>
        <w:ind w:firstLine="210" w:firstLineChars="100"/>
        <w:rPr>
          <w:rFonts w:ascii="宋体" w:hAnsi="宋体"/>
          <w:b/>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
          <w:sz w:val="24"/>
        </w:rPr>
        <w:t>2.商务与技术文件的组成：</w:t>
      </w:r>
    </w:p>
    <w:p>
      <w:pPr>
        <w:adjustRightInd w:val="0"/>
        <w:snapToGrid w:val="0"/>
        <w:spacing w:line="460" w:lineRule="exact"/>
        <w:rPr>
          <w:rFonts w:hint="default" w:ascii="宋体" w:hAnsi="宋体" w:eastAsia="宋体"/>
          <w:kern w:val="0"/>
          <w:sz w:val="24"/>
          <w:lang w:val="en-US" w:eastAsia="zh-CN"/>
        </w:rPr>
      </w:pPr>
      <w:r>
        <w:rPr>
          <w:rFonts w:hint="eastAsia" w:ascii="宋体" w:hAnsi="宋体"/>
          <w:kern w:val="0"/>
          <w:sz w:val="24"/>
        </w:rPr>
        <w:t>（1）</w:t>
      </w:r>
      <w:r>
        <w:rPr>
          <w:rFonts w:hint="eastAsia" w:ascii="宋体" w:hAnsi="宋体"/>
          <w:kern w:val="0"/>
          <w:sz w:val="24"/>
          <w:lang w:val="en-US" w:eastAsia="zh-CN"/>
        </w:rPr>
        <w:t>评分索引目录（附件</w:t>
      </w:r>
      <w:r>
        <w:rPr>
          <w:rFonts w:hint="eastAsia" w:ascii="Times New Roman" w:hAnsi="Times New Roman" w:cs="Times New Roman"/>
          <w:sz w:val="24"/>
          <w:lang w:val="en-US" w:eastAsia="zh-CN"/>
        </w:rPr>
        <w:t>3</w:t>
      </w:r>
      <w:r>
        <w:rPr>
          <w:rFonts w:hint="eastAsia" w:ascii="宋体" w:hAnsi="宋体"/>
          <w:kern w:val="0"/>
          <w:sz w:val="24"/>
          <w:lang w:val="en-US" w:eastAsia="zh-CN"/>
        </w:rPr>
        <w:t>）</w:t>
      </w:r>
    </w:p>
    <w:p>
      <w:pPr>
        <w:adjustRightInd w:val="0"/>
        <w:snapToGrid w:val="0"/>
        <w:spacing w:line="460" w:lineRule="exact"/>
        <w:rPr>
          <w:sz w:val="24"/>
        </w:rPr>
      </w:pPr>
      <w:r>
        <w:rPr>
          <w:rFonts w:hint="eastAsia" w:ascii="宋体" w:hAnsi="宋体"/>
          <w:kern w:val="0"/>
          <w:sz w:val="24"/>
        </w:rPr>
        <w:t>（</w:t>
      </w:r>
      <w:r>
        <w:rPr>
          <w:rFonts w:hint="eastAsia" w:ascii="Times New Roman" w:hAnsi="Times New Roman" w:cs="Times New Roman"/>
          <w:sz w:val="24"/>
          <w:lang w:val="en-US" w:eastAsia="zh-CN"/>
        </w:rPr>
        <w:t>2</w:t>
      </w:r>
      <w:r>
        <w:rPr>
          <w:rFonts w:hint="eastAsia" w:ascii="宋体" w:hAnsi="宋体"/>
          <w:kern w:val="0"/>
          <w:sz w:val="24"/>
        </w:rPr>
        <w:t>）</w:t>
      </w:r>
      <w:r>
        <w:rPr>
          <w:rFonts w:hint="eastAsia" w:ascii="宋体" w:hAnsi="宋体"/>
          <w:sz w:val="24"/>
        </w:rPr>
        <w:t>供应商</w:t>
      </w:r>
      <w:r>
        <w:rPr>
          <w:rFonts w:hint="eastAsia"/>
          <w:sz w:val="24"/>
        </w:rPr>
        <w:t>情况介绍（附件</w:t>
      </w:r>
      <w:r>
        <w:rPr>
          <w:rFonts w:hint="eastAsia"/>
          <w:sz w:val="24"/>
          <w:lang w:val="en-US" w:eastAsia="zh-CN"/>
        </w:rPr>
        <w:t>4</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3</w:t>
      </w:r>
      <w:r>
        <w:rPr>
          <w:rFonts w:hint="eastAsia"/>
          <w:sz w:val="24"/>
        </w:rPr>
        <w:t>）项目实施人员一览表（附件</w:t>
      </w:r>
      <w:r>
        <w:rPr>
          <w:rFonts w:hint="eastAsia"/>
          <w:sz w:val="24"/>
          <w:lang w:val="en-US" w:eastAsia="zh-CN"/>
        </w:rPr>
        <w:t>5</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4</w:t>
      </w:r>
      <w:r>
        <w:rPr>
          <w:rFonts w:hint="eastAsia"/>
          <w:sz w:val="24"/>
        </w:rPr>
        <w:t>）项目负责人资格情况表（附件</w:t>
      </w:r>
      <w:r>
        <w:rPr>
          <w:rFonts w:hint="eastAsia"/>
          <w:sz w:val="24"/>
          <w:lang w:val="en-US" w:eastAsia="zh-CN"/>
        </w:rPr>
        <w:t>6</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5</w:t>
      </w:r>
      <w:r>
        <w:rPr>
          <w:rFonts w:hint="eastAsia"/>
          <w:sz w:val="24"/>
        </w:rPr>
        <w:t>）项目设备配置清单（附件</w:t>
      </w:r>
      <w:r>
        <w:rPr>
          <w:rFonts w:hint="eastAsia"/>
          <w:sz w:val="24"/>
          <w:lang w:val="en-US" w:eastAsia="zh-CN"/>
        </w:rPr>
        <w:t>7</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6</w:t>
      </w:r>
      <w:r>
        <w:rPr>
          <w:rFonts w:hint="eastAsia"/>
          <w:sz w:val="24"/>
        </w:rPr>
        <w:t>）类似项目业绩一览表（附件</w:t>
      </w:r>
      <w:r>
        <w:rPr>
          <w:rFonts w:hint="eastAsia"/>
          <w:sz w:val="24"/>
          <w:lang w:val="en-US" w:eastAsia="zh-CN"/>
        </w:rPr>
        <w:t>8</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7</w:t>
      </w:r>
      <w:r>
        <w:rPr>
          <w:rFonts w:hint="eastAsia"/>
          <w:sz w:val="24"/>
        </w:rPr>
        <w:t>）技术需求响应表（附件</w:t>
      </w:r>
      <w:r>
        <w:rPr>
          <w:rFonts w:hint="eastAsia"/>
          <w:sz w:val="24"/>
          <w:lang w:val="en-US" w:eastAsia="zh-CN"/>
        </w:rPr>
        <w:t>9</w:t>
      </w:r>
      <w:r>
        <w:rPr>
          <w:rFonts w:hint="eastAsia"/>
          <w:sz w:val="24"/>
        </w:rPr>
        <w:t>）；</w:t>
      </w:r>
    </w:p>
    <w:p>
      <w:pPr>
        <w:adjustRightInd w:val="0"/>
        <w:snapToGrid w:val="0"/>
        <w:spacing w:line="460" w:lineRule="exact"/>
        <w:rPr>
          <w:sz w:val="24"/>
        </w:rPr>
      </w:pPr>
      <w:r>
        <w:rPr>
          <w:rFonts w:hint="eastAsia"/>
          <w:sz w:val="24"/>
        </w:rPr>
        <w:t>（</w:t>
      </w:r>
      <w:r>
        <w:rPr>
          <w:rFonts w:hint="eastAsia"/>
          <w:sz w:val="24"/>
          <w:lang w:val="en-US" w:eastAsia="zh-CN"/>
        </w:rPr>
        <w:t>8</w:t>
      </w:r>
      <w:r>
        <w:rPr>
          <w:rFonts w:hint="eastAsia"/>
          <w:sz w:val="24"/>
        </w:rPr>
        <w:t>）商务需求响应表（附件</w:t>
      </w:r>
      <w:r>
        <w:rPr>
          <w:rFonts w:hint="eastAsia"/>
          <w:sz w:val="24"/>
          <w:lang w:val="en-US" w:eastAsia="zh-CN"/>
        </w:rPr>
        <w:t>10</w:t>
      </w:r>
      <w:r>
        <w:rPr>
          <w:rFonts w:hint="eastAsia"/>
          <w:sz w:val="24"/>
        </w:rPr>
        <w:t>）；</w:t>
      </w:r>
    </w:p>
    <w:p>
      <w:pPr>
        <w:adjustRightInd w:val="0"/>
        <w:snapToGrid w:val="0"/>
        <w:spacing w:line="460" w:lineRule="exact"/>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cs="Times New Roman"/>
          <w:sz w:val="24"/>
          <w:lang w:val="en-US" w:eastAsia="zh-CN"/>
        </w:rPr>
        <w:t>9</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对本项目的</w:t>
      </w:r>
      <w:r>
        <w:rPr>
          <w:rFonts w:hint="eastAsia" w:ascii="Times New Roman" w:hAnsi="Times New Roman" w:eastAsia="宋体" w:cs="Times New Roman"/>
          <w:sz w:val="24"/>
          <w:lang w:val="zh-CN"/>
        </w:rPr>
        <w:t>项目理解</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系统集成方案、</w:t>
      </w:r>
      <w:r>
        <w:rPr>
          <w:rFonts w:hint="eastAsia" w:ascii="Times New Roman" w:hAnsi="Times New Roman" w:eastAsia="宋体" w:cs="Times New Roman"/>
          <w:sz w:val="24"/>
          <w:lang w:val="zh-CN"/>
        </w:rPr>
        <w:t>仪器设备安装调试和联网方案、组织实施方案</w:t>
      </w:r>
      <w:r>
        <w:rPr>
          <w:rFonts w:hint="eastAsia" w:ascii="Times New Roman" w:hAnsi="Times New Roman" w:eastAsia="宋体" w:cs="Times New Roman"/>
          <w:sz w:val="24"/>
          <w:lang w:val="en-US" w:eastAsia="zh-CN"/>
        </w:rPr>
        <w:t>等</w:t>
      </w:r>
      <w:r>
        <w:rPr>
          <w:rFonts w:hint="eastAsia" w:ascii="Times New Roman" w:hAnsi="Times New Roman" w:eastAsia="宋体" w:cs="Times New Roman"/>
          <w:sz w:val="24"/>
        </w:rPr>
        <w:t>（格式自拟）；</w:t>
      </w:r>
    </w:p>
    <w:p>
      <w:pPr>
        <w:adjustRightInd w:val="0"/>
        <w:snapToGrid w:val="0"/>
        <w:spacing w:line="460" w:lineRule="exact"/>
        <w:rPr>
          <w:color w:val="000000"/>
          <w:sz w:val="24"/>
        </w:rPr>
      </w:pPr>
      <w:r>
        <w:rPr>
          <w:rFonts w:hint="eastAsia"/>
          <w:color w:val="000000"/>
          <w:sz w:val="24"/>
        </w:rPr>
        <w:t>（</w:t>
      </w:r>
      <w:r>
        <w:rPr>
          <w:rFonts w:hint="eastAsia"/>
          <w:color w:val="000000"/>
          <w:sz w:val="24"/>
          <w:lang w:val="en-US" w:eastAsia="zh-CN"/>
        </w:rPr>
        <w:t>10</w:t>
      </w:r>
      <w:r>
        <w:rPr>
          <w:rFonts w:hint="eastAsia"/>
          <w:color w:val="000000"/>
          <w:sz w:val="24"/>
        </w:rPr>
        <w:t>）售后服务的详细阐述，包括</w:t>
      </w:r>
      <w:r>
        <w:rPr>
          <w:rFonts w:hint="eastAsia"/>
          <w:color w:val="000000"/>
          <w:sz w:val="24"/>
          <w:lang w:eastAsia="zh-CN"/>
        </w:rPr>
        <w:t>售后服务承诺函、售后服务内容、培训人员配备、培训内容</w:t>
      </w:r>
      <w:r>
        <w:rPr>
          <w:rFonts w:hint="eastAsia"/>
          <w:color w:val="000000"/>
          <w:sz w:val="24"/>
        </w:rPr>
        <w:t>等（格式自拟）；</w:t>
      </w:r>
    </w:p>
    <w:p>
      <w:pPr>
        <w:widowControl/>
        <w:adjustRightInd w:val="0"/>
        <w:snapToGrid w:val="0"/>
        <w:spacing w:line="460" w:lineRule="exact"/>
        <w:rPr>
          <w:rFonts w:ascii="宋体" w:hAnsi="宋体"/>
          <w:kern w:val="0"/>
          <w:sz w:val="24"/>
          <w:szCs w:val="20"/>
        </w:rPr>
      </w:pPr>
      <w:r>
        <w:rPr>
          <w:rFonts w:hint="eastAsia"/>
          <w:sz w:val="24"/>
        </w:rPr>
        <w:t>（1</w:t>
      </w:r>
      <w:r>
        <w:rPr>
          <w:rFonts w:hint="eastAsia"/>
          <w:sz w:val="24"/>
          <w:lang w:val="en-US" w:eastAsia="zh-CN"/>
        </w:rPr>
        <w:t>1</w:t>
      </w:r>
      <w:r>
        <w:rPr>
          <w:rFonts w:hint="eastAsia"/>
          <w:sz w:val="24"/>
        </w:rPr>
        <w:t>）</w:t>
      </w:r>
      <w:r>
        <w:rPr>
          <w:rFonts w:hint="eastAsia" w:ascii="宋体" w:hAnsi="宋体"/>
          <w:sz w:val="24"/>
        </w:rPr>
        <w:t>供应商</w:t>
      </w:r>
      <w:r>
        <w:rPr>
          <w:rFonts w:hint="eastAsia"/>
          <w:sz w:val="24"/>
        </w:rPr>
        <w:t>需要说明的其他内容（包括可能影响</w:t>
      </w:r>
      <w:r>
        <w:rPr>
          <w:rFonts w:hint="eastAsia" w:ascii="宋体" w:hAnsi="宋体"/>
          <w:sz w:val="24"/>
        </w:rPr>
        <w:t>供应商</w:t>
      </w:r>
      <w:r>
        <w:rPr>
          <w:rFonts w:hint="eastAsia"/>
          <w:sz w:val="24"/>
        </w:rPr>
        <w:t>技术性能评分项的各类证明材料）</w:t>
      </w:r>
      <w:r>
        <w:rPr>
          <w:rFonts w:hint="eastAsia" w:ascii="宋体" w:hAnsi="宋体"/>
          <w:kern w:val="0"/>
          <w:sz w:val="24"/>
        </w:rPr>
        <w:t>。</w:t>
      </w:r>
    </w:p>
    <w:p>
      <w:pPr>
        <w:autoSpaceDE w:val="0"/>
        <w:autoSpaceDN w:val="0"/>
        <w:adjustRightInd w:val="0"/>
        <w:snapToGrid w:val="0"/>
        <w:spacing w:line="460" w:lineRule="exact"/>
        <w:ind w:firstLine="264" w:firstLineChars="126"/>
        <w:rPr>
          <w:rFonts w:ascii="宋体" w:hAnsi="宋体"/>
          <w:b/>
          <w:kern w:val="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
          <w:kern w:val="0"/>
          <w:sz w:val="24"/>
        </w:rPr>
        <w:t>3、报价内容的组成</w:t>
      </w:r>
    </w:p>
    <w:p>
      <w:pPr>
        <w:autoSpaceDE w:val="0"/>
        <w:autoSpaceDN w:val="0"/>
        <w:adjustRightInd w:val="0"/>
        <w:snapToGrid w:val="0"/>
        <w:spacing w:line="460" w:lineRule="exact"/>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（1）开标一览表</w:t>
      </w:r>
      <w:r>
        <w:rPr>
          <w:rFonts w:hint="eastAsia"/>
          <w:sz w:val="24"/>
        </w:rPr>
        <w:t>（附件</w:t>
      </w:r>
      <w:r>
        <w:rPr>
          <w:rFonts w:hint="eastAsia"/>
          <w:sz w:val="24"/>
          <w:lang w:val="en-US" w:eastAsia="zh-CN"/>
        </w:rPr>
        <w:t>11</w:t>
      </w:r>
      <w:r>
        <w:rPr>
          <w:rFonts w:hint="eastAsia"/>
          <w:sz w:val="24"/>
        </w:rPr>
        <w:t>）</w:t>
      </w:r>
    </w:p>
    <w:p>
      <w:pPr>
        <w:autoSpaceDE w:val="0"/>
        <w:autoSpaceDN w:val="0"/>
        <w:adjustRightInd w:val="0"/>
        <w:snapToGrid w:val="0"/>
        <w:spacing w:line="460" w:lineRule="exact"/>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（2）报价明细表</w:t>
      </w:r>
      <w:r>
        <w:rPr>
          <w:rFonts w:hint="eastAsia"/>
          <w:sz w:val="24"/>
        </w:rPr>
        <w:t>（附件</w:t>
      </w:r>
      <w:r>
        <w:rPr>
          <w:rFonts w:hint="eastAsia"/>
          <w:sz w:val="24"/>
          <w:lang w:val="en-US" w:eastAsia="zh-CN"/>
        </w:rPr>
        <w:t>12</w:t>
      </w:r>
      <w:r>
        <w:rPr>
          <w:rFonts w:hint="eastAsia"/>
          <w:sz w:val="24"/>
        </w:rPr>
        <w:t>）</w:t>
      </w:r>
    </w:p>
    <w:p>
      <w:pPr>
        <w:autoSpaceDE w:val="0"/>
        <w:autoSpaceDN w:val="0"/>
        <w:adjustRightInd w:val="0"/>
        <w:snapToGrid w:val="0"/>
        <w:spacing w:line="460" w:lineRule="exact"/>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（3）中小企业、残疾人福利性单位、监狱企业等声明函</w:t>
      </w:r>
      <w:r>
        <w:rPr>
          <w:rFonts w:hint="eastAsia"/>
          <w:sz w:val="24"/>
        </w:rPr>
        <w:t>（附件</w:t>
      </w:r>
      <w:r>
        <w:rPr>
          <w:rFonts w:hint="eastAsia"/>
          <w:sz w:val="24"/>
          <w:lang w:val="en-US" w:eastAsia="zh-CN"/>
        </w:rPr>
        <w:t>13</w:t>
      </w:r>
      <w:r>
        <w:rPr>
          <w:rFonts w:hint="eastAsia"/>
          <w:sz w:val="24"/>
        </w:rPr>
        <w:t>）</w:t>
      </w:r>
    </w:p>
    <w:p>
      <w:pPr>
        <w:autoSpaceDE w:val="0"/>
        <w:autoSpaceDN w:val="0"/>
        <w:adjustRightInd w:val="0"/>
        <w:snapToGrid w:val="0"/>
        <w:spacing w:line="460" w:lineRule="exact"/>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（4）针对报价</w:t>
      </w:r>
      <w:r>
        <w:rPr>
          <w:rFonts w:hint="eastAsia" w:ascii="宋体" w:hAnsi="宋体"/>
          <w:sz w:val="24"/>
        </w:rPr>
        <w:t>供应商</w:t>
      </w:r>
      <w:r>
        <w:rPr>
          <w:rFonts w:hint="eastAsia" w:ascii="宋体" w:hAnsi="宋体"/>
          <w:kern w:val="0"/>
          <w:sz w:val="24"/>
        </w:rPr>
        <w:t>认为其他需要说明的</w:t>
      </w:r>
    </w:p>
    <w:p>
      <w:pPr>
        <w:autoSpaceDE w:val="0"/>
        <w:autoSpaceDN w:val="0"/>
        <w:adjustRightInd w:val="0"/>
        <w:snapToGrid w:val="0"/>
        <w:spacing w:line="460" w:lineRule="exact"/>
        <w:ind w:firstLine="482" w:firstLineChars="200"/>
        <w:rPr>
          <w:rFonts w:ascii="宋体" w:hAnsi="宋体" w:cs="宋体"/>
          <w:b/>
          <w:kern w:val="0"/>
          <w:sz w:val="24"/>
        </w:rPr>
      </w:pPr>
      <w:r>
        <w:rPr>
          <w:rFonts w:hint="eastAsia" w:ascii="宋体" w:hAnsi="宋体" w:cs="宋体"/>
          <w:b/>
          <w:kern w:val="0"/>
          <w:sz w:val="24"/>
        </w:rPr>
        <w:t>（二）投标报价</w:t>
      </w:r>
    </w:p>
    <w:p>
      <w:pPr>
        <w:pStyle w:val="30"/>
        <w:adjustRightInd w:val="0"/>
        <w:snapToGrid w:val="0"/>
        <w:spacing w:line="460" w:lineRule="exact"/>
        <w:ind w:firstLine="420" w:firstLineChars="200"/>
        <w:rPr>
          <w:rFonts w:ascii="宋体" w:hAnsi="宋体"/>
          <w:bCs/>
          <w:kern w:val="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Cs/>
          <w:kern w:val="0"/>
          <w:sz w:val="24"/>
        </w:rPr>
        <w:t>1.</w:t>
      </w:r>
      <w:r>
        <w:rPr>
          <w:rFonts w:hint="eastAsia" w:ascii="宋体" w:hAnsi="宋体"/>
          <w:sz w:val="24"/>
        </w:rPr>
        <w:t xml:space="preserve"> 供应商</w:t>
      </w:r>
      <w:r>
        <w:rPr>
          <w:rFonts w:hint="eastAsia" w:ascii="宋体" w:hAnsi="宋体"/>
          <w:bCs/>
          <w:kern w:val="0"/>
          <w:sz w:val="24"/>
        </w:rPr>
        <w:t>应按照招标需求内容、责任范围以及合同条款进行报价。并按“开标一览表”和“报价明细表”规定的格式报出总价和分项价格。投标总价中不得包含招标文件要求以外的内容，否则，在评标时不予核减。</w:t>
      </w:r>
    </w:p>
    <w:p>
      <w:pPr>
        <w:adjustRightInd w:val="0"/>
        <w:snapToGrid w:val="0"/>
        <w:spacing w:line="460" w:lineRule="exact"/>
        <w:ind w:firstLine="420" w:firstLineChars="200"/>
        <w:rPr>
          <w:rFonts w:hint="eastAsia" w:ascii="宋体" w:hAnsi="宋体" w:eastAsia="宋体"/>
          <w:b/>
          <w:i/>
          <w:szCs w:val="21"/>
          <w:u w:val="single"/>
          <w:lang w:eastAsia="zh-CN"/>
        </w:rPr>
      </w:pPr>
      <w:r>
        <w:rPr>
          <w:rFonts w:hint="eastAsia" w:ascii="宋体" w:hAnsi="宋体" w:eastAsia="宋体" w:cs="宋体"/>
          <w:color w:val="000000" w:themeColor="text1"/>
          <w14:textFill>
            <w14:solidFill>
              <w14:schemeClr w14:val="tx1"/>
            </w14:solidFill>
          </w14:textFill>
        </w:rPr>
        <w:t>★</w:t>
      </w:r>
      <w:r>
        <w:rPr>
          <w:rFonts w:hint="eastAsia" w:ascii="宋体" w:hAnsi="宋体"/>
          <w:bCs/>
          <w:kern w:val="0"/>
          <w:sz w:val="24"/>
        </w:rPr>
        <w:t>2.投标报价包括本项目采购需求和投入使用的所有费用，</w:t>
      </w:r>
      <w:r>
        <w:rPr>
          <w:rFonts w:hint="eastAsia" w:ascii="宋体" w:hAnsi="宋体" w:eastAsia="宋体"/>
          <w:bCs/>
          <w:kern w:val="0"/>
          <w:sz w:val="24"/>
        </w:rPr>
        <w:t>包括但不限于主件、标准附件、备品备件、施工、服务、专用工具、安装、调试、检验、培训、运输、保险、税款等</w:t>
      </w:r>
      <w:r>
        <w:rPr>
          <w:rFonts w:hint="eastAsia" w:ascii="宋体" w:hAnsi="宋体" w:eastAsia="宋体"/>
          <w:bCs/>
          <w:kern w:val="0"/>
          <w:sz w:val="24"/>
          <w:lang w:eastAsia="zh-CN"/>
        </w:rPr>
        <w:t>。</w:t>
      </w:r>
    </w:p>
    <w:p>
      <w:pPr>
        <w:pStyle w:val="30"/>
        <w:adjustRightInd w:val="0"/>
        <w:snapToGrid w:val="0"/>
        <w:spacing w:line="460" w:lineRule="exact"/>
        <w:ind w:firstLine="420" w:firstLineChars="200"/>
        <w:rPr>
          <w:rFonts w:ascii="宋体" w:hAnsi="宋体"/>
          <w:bCs/>
          <w:kern w:val="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Cs/>
          <w:kern w:val="0"/>
          <w:sz w:val="24"/>
        </w:rPr>
        <w:t>3.投标报价不得为选择性报价和附有条件的报价。</w:t>
      </w:r>
    </w:p>
    <w:p>
      <w:pPr>
        <w:pStyle w:val="30"/>
        <w:adjustRightInd w:val="0"/>
        <w:snapToGrid w:val="0"/>
        <w:spacing w:line="460" w:lineRule="exact"/>
        <w:ind w:firstLine="482" w:firstLineChars="200"/>
        <w:rPr>
          <w:rFonts w:ascii="宋体" w:hAnsi="宋体"/>
          <w:b/>
          <w:kern w:val="0"/>
          <w:sz w:val="24"/>
        </w:rPr>
      </w:pPr>
      <w:r>
        <w:rPr>
          <w:rFonts w:hint="eastAsia" w:ascii="宋体" w:hAnsi="宋体"/>
          <w:b/>
          <w:kern w:val="0"/>
          <w:sz w:val="24"/>
        </w:rPr>
        <w:t>（三）投标文件的有效期</w:t>
      </w:r>
    </w:p>
    <w:p>
      <w:pPr>
        <w:pStyle w:val="30"/>
        <w:adjustRightInd w:val="0"/>
        <w:snapToGrid w:val="0"/>
        <w:spacing w:line="460" w:lineRule="exact"/>
        <w:ind w:firstLine="480" w:firstLineChars="200"/>
        <w:rPr>
          <w:rFonts w:ascii="宋体" w:hAnsi="宋体" w:cs="宋体"/>
          <w:sz w:val="24"/>
        </w:rPr>
      </w:pPr>
      <w:r>
        <w:rPr>
          <w:rFonts w:hint="eastAsia" w:ascii="宋体" w:hAnsi="宋体" w:cs="宋体"/>
          <w:sz w:val="24"/>
        </w:rPr>
        <w:t>1.投标文件有效期为投标截止日起90天。</w:t>
      </w:r>
    </w:p>
    <w:p>
      <w:pPr>
        <w:pStyle w:val="30"/>
        <w:adjustRightInd w:val="0"/>
        <w:snapToGrid w:val="0"/>
        <w:spacing w:line="460" w:lineRule="exact"/>
        <w:ind w:firstLine="480" w:firstLineChars="200"/>
        <w:rPr>
          <w:rFonts w:ascii="宋体" w:hAnsi="宋体" w:cs="宋体"/>
          <w:sz w:val="24"/>
        </w:rPr>
      </w:pPr>
      <w:r>
        <w:rPr>
          <w:rFonts w:hint="eastAsia" w:ascii="宋体" w:hAnsi="宋体" w:cs="宋体"/>
          <w:sz w:val="24"/>
        </w:rPr>
        <w:t>2.在特殊情况下，采购人可与</w:t>
      </w:r>
      <w:r>
        <w:rPr>
          <w:rFonts w:hint="eastAsia" w:ascii="宋体" w:hAnsi="宋体"/>
          <w:sz w:val="24"/>
        </w:rPr>
        <w:t>供应商</w:t>
      </w:r>
      <w:r>
        <w:rPr>
          <w:rFonts w:hint="eastAsia" w:ascii="宋体" w:hAnsi="宋体" w:cs="宋体"/>
          <w:sz w:val="24"/>
        </w:rPr>
        <w:t>协商延长投标文件的有效期。</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3.中标人的投标文件自开标之日起至合同履行完毕均应保持有效。</w:t>
      </w:r>
    </w:p>
    <w:p>
      <w:pPr>
        <w:adjustRightInd w:val="0"/>
        <w:snapToGrid w:val="0"/>
        <w:spacing w:line="460" w:lineRule="exact"/>
        <w:ind w:firstLine="482" w:firstLineChars="200"/>
        <w:rPr>
          <w:rFonts w:ascii="宋体" w:hAnsi="宋体"/>
          <w:b/>
          <w:kern w:val="0"/>
          <w:sz w:val="24"/>
        </w:rPr>
      </w:pPr>
      <w:r>
        <w:rPr>
          <w:rFonts w:hint="eastAsia" w:ascii="宋体" w:hAnsi="宋体"/>
          <w:b/>
          <w:kern w:val="0"/>
          <w:sz w:val="24"/>
        </w:rPr>
        <w:t>（四）投标文件的签署</w:t>
      </w:r>
    </w:p>
    <w:p>
      <w:pPr>
        <w:pStyle w:val="30"/>
        <w:adjustRightInd w:val="0"/>
        <w:snapToGrid w:val="0"/>
        <w:spacing w:line="460" w:lineRule="exact"/>
        <w:ind w:firstLine="420" w:firstLineChars="200"/>
        <w:rPr>
          <w:rFonts w:ascii="宋体" w:hAnsi="宋体"/>
          <w:bCs/>
          <w:kern w:val="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Cs/>
          <w:kern w:val="0"/>
          <w:sz w:val="24"/>
        </w:rPr>
        <w:t>1.投标文件需由法定代表人或经其正式授权的代表签字或盖章（本项目如允许联合体投标且</w:t>
      </w:r>
      <w:r>
        <w:rPr>
          <w:rFonts w:hint="eastAsia" w:ascii="宋体" w:hAnsi="宋体"/>
          <w:sz w:val="24"/>
        </w:rPr>
        <w:t>供应商</w:t>
      </w:r>
      <w:r>
        <w:rPr>
          <w:rFonts w:hint="eastAsia" w:ascii="宋体" w:hAnsi="宋体"/>
          <w:bCs/>
          <w:kern w:val="0"/>
          <w:sz w:val="24"/>
        </w:rPr>
        <w:t>是联合体的，联合体牵头单位应盖章，并签署联合体牵头单位法定代表人或经其正式授权的代表的全名）。授权代表须出具书面授权证明，其《法定代表人授权书》应附在投标文件中。</w:t>
      </w:r>
    </w:p>
    <w:p>
      <w:pPr>
        <w:pStyle w:val="30"/>
        <w:adjustRightInd w:val="0"/>
        <w:snapToGrid w:val="0"/>
        <w:spacing w:line="460" w:lineRule="exact"/>
        <w:ind w:firstLine="420" w:firstLineChars="200"/>
        <w:rPr>
          <w:rFonts w:ascii="宋体" w:hAnsi="宋体"/>
          <w:bCs/>
          <w:kern w:val="0"/>
          <w:sz w:val="24"/>
        </w:rPr>
      </w:pPr>
      <w:r>
        <w:rPr>
          <w:rFonts w:hint="eastAsia" w:ascii="宋体" w:hAnsi="宋体" w:eastAsia="宋体" w:cs="宋体"/>
          <w:color w:val="000000" w:themeColor="text1"/>
          <w14:textFill>
            <w14:solidFill>
              <w14:schemeClr w14:val="tx1"/>
            </w14:solidFill>
          </w14:textFill>
        </w:rPr>
        <w:t>★</w:t>
      </w:r>
      <w:r>
        <w:rPr>
          <w:rFonts w:hint="eastAsia" w:ascii="宋体" w:hAnsi="宋体"/>
          <w:bCs/>
          <w:kern w:val="0"/>
          <w:sz w:val="24"/>
        </w:rPr>
        <w:t>2.投标文件中所有的插字、涂改和增删，必须由法定代表人或经其正式授权的代表在旁边签字或盖章才有效。</w:t>
      </w:r>
    </w:p>
    <w:p>
      <w:pPr>
        <w:pStyle w:val="30"/>
        <w:adjustRightInd w:val="0"/>
        <w:snapToGrid w:val="0"/>
        <w:spacing w:line="460" w:lineRule="exact"/>
        <w:rPr>
          <w:rFonts w:ascii="宋体" w:hAnsi="宋体"/>
          <w:bCs/>
          <w:kern w:val="0"/>
          <w:sz w:val="24"/>
        </w:rPr>
      </w:pPr>
      <w:r>
        <w:rPr>
          <w:rFonts w:hint="eastAsia" w:ascii="宋体" w:hAnsi="宋体"/>
          <w:bCs/>
          <w:kern w:val="0"/>
          <w:sz w:val="24"/>
        </w:rPr>
        <w:t>3.投标文件中要求加盖公章处，可使用有效安全的电子签章替代。</w:t>
      </w:r>
    </w:p>
    <w:p>
      <w:pPr>
        <w:autoSpaceDE w:val="0"/>
        <w:autoSpaceDN w:val="0"/>
        <w:adjustRightInd w:val="0"/>
        <w:snapToGrid w:val="0"/>
        <w:spacing w:line="460" w:lineRule="exact"/>
        <w:ind w:firstLine="482" w:firstLineChars="200"/>
        <w:rPr>
          <w:rFonts w:ascii="宋体" w:hAnsi="宋体"/>
          <w:b/>
          <w:bCs/>
          <w:sz w:val="24"/>
        </w:rPr>
      </w:pPr>
      <w:r>
        <w:rPr>
          <w:rFonts w:hint="eastAsia" w:ascii="宋体" w:hAnsi="宋体"/>
          <w:b/>
          <w:bCs/>
          <w:sz w:val="24"/>
        </w:rPr>
        <w:t>（五）投标文件的递交要求</w:t>
      </w:r>
    </w:p>
    <w:p>
      <w:pPr>
        <w:tabs>
          <w:tab w:val="left" w:pos="1418"/>
        </w:tabs>
        <w:autoSpaceDE w:val="0"/>
        <w:autoSpaceDN w:val="0"/>
        <w:adjustRightInd w:val="0"/>
        <w:snapToGrid w:val="0"/>
        <w:spacing w:line="460" w:lineRule="exact"/>
        <w:ind w:firstLine="480" w:firstLineChars="200"/>
        <w:rPr>
          <w:rFonts w:ascii="宋体" w:hAnsi="宋体"/>
          <w:kern w:val="0"/>
          <w:sz w:val="24"/>
        </w:rPr>
      </w:pPr>
      <w:r>
        <w:rPr>
          <w:rFonts w:hint="eastAsia" w:ascii="宋体" w:hAnsi="宋体" w:cs="宋体"/>
          <w:sz w:val="24"/>
        </w:rPr>
        <w:t>按照前附表要求提交，</w:t>
      </w:r>
      <w:r>
        <w:rPr>
          <w:rFonts w:hint="eastAsia" w:ascii="宋体" w:hAnsi="宋体"/>
          <w:kern w:val="0"/>
          <w:sz w:val="24"/>
        </w:rPr>
        <w:t>如采购组织机构延长截止时间和开标时间，采购组织机构和</w:t>
      </w:r>
      <w:r>
        <w:rPr>
          <w:rFonts w:hint="eastAsia" w:ascii="宋体" w:hAnsi="宋体"/>
          <w:sz w:val="24"/>
        </w:rPr>
        <w:t>供应商</w:t>
      </w:r>
      <w:r>
        <w:rPr>
          <w:rFonts w:hint="eastAsia" w:ascii="宋体" w:hAnsi="宋体"/>
          <w:kern w:val="0"/>
          <w:sz w:val="24"/>
        </w:rPr>
        <w:t>的权利和义务将受到新的截止时间和开标时间的约束。</w:t>
      </w:r>
    </w:p>
    <w:p>
      <w:pPr>
        <w:adjustRightInd w:val="0"/>
        <w:snapToGrid w:val="0"/>
        <w:spacing w:line="460" w:lineRule="exact"/>
        <w:ind w:firstLine="482" w:firstLineChars="200"/>
        <w:rPr>
          <w:rFonts w:ascii="宋体" w:hAnsi="宋体"/>
          <w:b/>
          <w:kern w:val="0"/>
          <w:sz w:val="24"/>
        </w:rPr>
      </w:pPr>
      <w:r>
        <w:rPr>
          <w:rFonts w:hint="eastAsia" w:ascii="宋体" w:hAnsi="宋体"/>
          <w:b/>
          <w:kern w:val="0"/>
          <w:sz w:val="24"/>
        </w:rPr>
        <w:t>五、开标</w:t>
      </w:r>
    </w:p>
    <w:p>
      <w:pPr>
        <w:autoSpaceDE w:val="0"/>
        <w:autoSpaceDN w:val="0"/>
        <w:adjustRightInd w:val="0"/>
        <w:snapToGrid w:val="0"/>
        <w:spacing w:line="460" w:lineRule="exact"/>
        <w:ind w:firstLine="482" w:firstLineChars="200"/>
        <w:rPr>
          <w:rFonts w:ascii="宋体" w:hAnsi="宋体"/>
          <w:b/>
          <w:sz w:val="24"/>
        </w:rPr>
      </w:pPr>
      <w:r>
        <w:rPr>
          <w:rFonts w:ascii="宋体" w:hAnsi="宋体"/>
          <w:b/>
          <w:sz w:val="24"/>
        </w:rPr>
        <w:t>（一）开</w:t>
      </w:r>
      <w:r>
        <w:rPr>
          <w:rFonts w:hint="eastAsia" w:ascii="宋体" w:hAnsi="宋体"/>
          <w:b/>
          <w:sz w:val="24"/>
        </w:rPr>
        <w:t>标</w:t>
      </w:r>
      <w:r>
        <w:rPr>
          <w:rFonts w:ascii="宋体" w:hAnsi="宋体"/>
          <w:b/>
          <w:sz w:val="24"/>
        </w:rPr>
        <w:t>程序</w:t>
      </w:r>
    </w:p>
    <w:p>
      <w:pPr>
        <w:pStyle w:val="30"/>
        <w:adjustRightInd w:val="0"/>
        <w:snapToGrid w:val="0"/>
        <w:spacing w:line="460" w:lineRule="exact"/>
        <w:ind w:firstLine="480" w:firstLineChars="200"/>
        <w:rPr>
          <w:rFonts w:ascii="宋体" w:hAnsi="宋体"/>
          <w:sz w:val="24"/>
        </w:rPr>
      </w:pPr>
      <w:r>
        <w:rPr>
          <w:rFonts w:hint="eastAsia" w:ascii="宋体" w:hAnsi="宋体"/>
          <w:sz w:val="24"/>
        </w:rPr>
        <w:t>1.开标时间到后，主持人准时组织开标；</w:t>
      </w:r>
    </w:p>
    <w:p>
      <w:pPr>
        <w:pStyle w:val="30"/>
        <w:adjustRightInd w:val="0"/>
        <w:snapToGrid w:val="0"/>
        <w:spacing w:line="460" w:lineRule="exact"/>
        <w:ind w:firstLine="480" w:firstLineChars="200"/>
        <w:rPr>
          <w:rFonts w:ascii="宋体" w:hAnsi="宋体"/>
          <w:sz w:val="24"/>
        </w:rPr>
      </w:pPr>
      <w:r>
        <w:rPr>
          <w:rFonts w:hint="eastAsia" w:ascii="宋体" w:hAnsi="宋体"/>
          <w:sz w:val="24"/>
        </w:rPr>
        <w:t>2.宣布采购组织机构工作人员；</w:t>
      </w:r>
    </w:p>
    <w:p>
      <w:pPr>
        <w:pStyle w:val="30"/>
        <w:adjustRightInd w:val="0"/>
        <w:snapToGrid w:val="0"/>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 xml:space="preserve"> 供应商</w:t>
      </w:r>
      <w:r>
        <w:rPr>
          <w:rFonts w:hint="eastAsia" w:ascii="宋体" w:hAnsi="宋体" w:cs="宋体"/>
          <w:sz w:val="24"/>
        </w:rPr>
        <w:t>登录政采云平台，用“项目采购-开标评标”功能对投标文件进行在线解密，在线解密时间为开标时间起半个小时内；</w:t>
      </w:r>
    </w:p>
    <w:p>
      <w:pPr>
        <w:pStyle w:val="30"/>
        <w:adjustRightInd w:val="0"/>
        <w:snapToGrid w:val="0"/>
        <w:spacing w:line="460" w:lineRule="exact"/>
        <w:ind w:firstLine="480" w:firstLineChars="200"/>
        <w:rPr>
          <w:sz w:val="24"/>
          <w:szCs w:val="22"/>
        </w:rPr>
      </w:pPr>
      <w:r>
        <w:rPr>
          <w:rFonts w:hint="eastAsia" w:ascii="宋体" w:hAnsi="宋体" w:cs="宋体"/>
          <w:sz w:val="24"/>
        </w:rPr>
        <w:t>4.</w:t>
      </w:r>
      <w:r>
        <w:rPr>
          <w:rFonts w:hint="eastAsia" w:ascii="宋体" w:hAnsi="宋体"/>
          <w:sz w:val="24"/>
        </w:rPr>
        <w:t>采购组织机构</w:t>
      </w:r>
      <w:r>
        <w:rPr>
          <w:rFonts w:hint="eastAsia"/>
          <w:sz w:val="24"/>
          <w:szCs w:val="22"/>
        </w:rPr>
        <w:t>工作人员当众宣布</w:t>
      </w:r>
      <w:r>
        <w:rPr>
          <w:rFonts w:hint="eastAsia" w:ascii="宋体" w:hAnsi="宋体"/>
          <w:sz w:val="24"/>
        </w:rPr>
        <w:t>供应商</w:t>
      </w:r>
      <w:r>
        <w:rPr>
          <w:rFonts w:hint="eastAsia"/>
          <w:sz w:val="24"/>
          <w:szCs w:val="22"/>
        </w:rPr>
        <w:t>名称、投标价格和招标文件规定的需要宣布的其他内容（以开标一览表要求为准）；</w:t>
      </w:r>
    </w:p>
    <w:p>
      <w:pPr>
        <w:pStyle w:val="30"/>
        <w:adjustRightInd w:val="0"/>
        <w:snapToGrid w:val="0"/>
        <w:spacing w:line="460" w:lineRule="exact"/>
        <w:ind w:firstLine="480" w:firstLineChars="200"/>
        <w:rPr>
          <w:rFonts w:ascii="宋体" w:hAnsi="宋体" w:cs="宋体"/>
          <w:sz w:val="24"/>
        </w:rPr>
      </w:pPr>
      <w:r>
        <w:rPr>
          <w:rFonts w:hint="eastAsia" w:ascii="宋体" w:hAnsi="宋体" w:cs="宋体"/>
          <w:sz w:val="24"/>
        </w:rPr>
        <w:t>5.公布开标结果。</w:t>
      </w:r>
    </w:p>
    <w:p>
      <w:pPr>
        <w:pStyle w:val="30"/>
        <w:adjustRightInd w:val="0"/>
        <w:snapToGrid w:val="0"/>
        <w:spacing w:line="460" w:lineRule="exact"/>
        <w:ind w:firstLine="482" w:firstLineChars="200"/>
        <w:rPr>
          <w:b/>
          <w:bCs/>
          <w:sz w:val="24"/>
          <w:szCs w:val="22"/>
        </w:rPr>
      </w:pPr>
      <w:r>
        <w:rPr>
          <w:rFonts w:hint="eastAsia"/>
          <w:b/>
          <w:bCs/>
          <w:sz w:val="24"/>
          <w:szCs w:val="22"/>
        </w:rPr>
        <w:t>（二）开标异议</w:t>
      </w:r>
    </w:p>
    <w:p>
      <w:pPr>
        <w:pStyle w:val="30"/>
        <w:adjustRightInd w:val="0"/>
        <w:snapToGrid w:val="0"/>
        <w:spacing w:line="460" w:lineRule="exact"/>
        <w:ind w:firstLine="480" w:firstLineChars="200"/>
        <w:rPr>
          <w:sz w:val="24"/>
          <w:szCs w:val="22"/>
        </w:rPr>
      </w:pPr>
      <w:r>
        <w:rPr>
          <w:rFonts w:hint="eastAsia" w:ascii="宋体" w:hAnsi="宋体"/>
          <w:sz w:val="24"/>
        </w:rPr>
        <w:t>供应商</w:t>
      </w:r>
      <w:r>
        <w:rPr>
          <w:rFonts w:hint="eastAsia"/>
          <w:sz w:val="24"/>
          <w:szCs w:val="22"/>
        </w:rPr>
        <w:t>代表对开标过程和开标记录有疑义，以及认为采购人、采购组织机构相关工作人员有需要回避的情形的，应当场提出询问或者回避申请，开标会议结束后不再接受相关询问、质疑或者回避申请。</w:t>
      </w:r>
    </w:p>
    <w:p>
      <w:pPr>
        <w:pStyle w:val="30"/>
        <w:adjustRightInd w:val="0"/>
        <w:snapToGrid w:val="0"/>
        <w:spacing w:line="460" w:lineRule="exact"/>
        <w:ind w:firstLine="482" w:firstLineChars="200"/>
        <w:rPr>
          <w:sz w:val="24"/>
          <w:szCs w:val="22"/>
        </w:rPr>
      </w:pPr>
      <w:r>
        <w:rPr>
          <w:rFonts w:hint="eastAsia"/>
          <w:b/>
          <w:bCs/>
          <w:sz w:val="24"/>
          <w:szCs w:val="22"/>
        </w:rPr>
        <w:t>（三）</w:t>
      </w:r>
      <w:r>
        <w:rPr>
          <w:rFonts w:hint="eastAsia" w:ascii="宋体" w:hAnsi="宋体"/>
          <w:sz w:val="24"/>
        </w:rPr>
        <w:t>供应商</w:t>
      </w:r>
      <w:r>
        <w:rPr>
          <w:rFonts w:hint="eastAsia"/>
          <w:sz w:val="24"/>
          <w:szCs w:val="22"/>
        </w:rPr>
        <w:t>不足三家，不得开标。</w:t>
      </w:r>
    </w:p>
    <w:p>
      <w:pPr>
        <w:pStyle w:val="32"/>
        <w:adjustRightInd w:val="0"/>
        <w:snapToGrid w:val="0"/>
        <w:spacing w:line="460" w:lineRule="exact"/>
        <w:ind w:firstLine="482" w:firstLineChars="200"/>
        <w:rPr>
          <w:rFonts w:hAnsi="宋体"/>
          <w:b/>
          <w:sz w:val="24"/>
        </w:rPr>
      </w:pPr>
      <w:r>
        <w:rPr>
          <w:rFonts w:hint="eastAsia" w:hAnsi="宋体"/>
          <w:b/>
          <w:sz w:val="24"/>
        </w:rPr>
        <w:t>五、评标（详见第四章）</w:t>
      </w:r>
    </w:p>
    <w:p>
      <w:pPr>
        <w:pStyle w:val="37"/>
        <w:adjustRightInd w:val="0"/>
        <w:snapToGrid w:val="0"/>
        <w:spacing w:before="0" w:beforeAutospacing="0" w:after="0" w:afterAutospacing="0" w:line="460" w:lineRule="exact"/>
        <w:ind w:firstLine="482" w:firstLineChars="200"/>
        <w:jc w:val="both"/>
        <w:rPr>
          <w:rFonts w:hint="default"/>
          <w:b/>
        </w:rPr>
      </w:pPr>
      <w:r>
        <w:rPr>
          <w:b/>
        </w:rPr>
        <w:t>六、定标</w:t>
      </w:r>
    </w:p>
    <w:p>
      <w:pPr>
        <w:pStyle w:val="37"/>
        <w:adjustRightInd w:val="0"/>
        <w:snapToGrid w:val="0"/>
        <w:spacing w:before="0" w:beforeAutospacing="0" w:after="0" w:afterAutospacing="0" w:line="460" w:lineRule="exact"/>
        <w:ind w:firstLine="480" w:firstLineChars="200"/>
        <w:jc w:val="both"/>
        <w:rPr>
          <w:rFonts w:hint="default"/>
        </w:rPr>
      </w:pPr>
      <w: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adjustRightInd w:val="0"/>
        <w:snapToGrid w:val="0"/>
        <w:spacing w:line="460" w:lineRule="exact"/>
        <w:ind w:firstLine="480" w:firstLineChars="200"/>
        <w:rPr>
          <w:rFonts w:ascii="宋体" w:hAnsi="宋体"/>
          <w:kern w:val="0"/>
          <w:sz w:val="24"/>
        </w:rPr>
      </w:pPr>
      <w:r>
        <w:rPr>
          <w:rFonts w:hint="eastAsia" w:ascii="宋体" w:hAnsi="宋体"/>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0"/>
        <w:adjustRightInd w:val="0"/>
        <w:snapToGrid w:val="0"/>
        <w:spacing w:line="460" w:lineRule="exact"/>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adjustRightInd w:val="0"/>
        <w:snapToGrid w:val="0"/>
        <w:spacing w:line="460" w:lineRule="exact"/>
        <w:ind w:firstLine="482" w:firstLineChars="200"/>
        <w:rPr>
          <w:rFonts w:ascii="宋体" w:hAnsi="宋体"/>
          <w:kern w:val="0"/>
          <w:sz w:val="24"/>
        </w:rPr>
      </w:pPr>
      <w:r>
        <w:rPr>
          <w:rFonts w:hint="eastAsia" w:ascii="宋体" w:hAnsi="宋体"/>
          <w:b/>
          <w:sz w:val="24"/>
        </w:rPr>
        <w:t>七</w:t>
      </w:r>
      <w:r>
        <w:rPr>
          <w:rFonts w:ascii="宋体" w:hAnsi="宋体"/>
          <w:b/>
          <w:sz w:val="24"/>
        </w:rPr>
        <w:t>、</w:t>
      </w:r>
      <w:r>
        <w:rPr>
          <w:rFonts w:hint="eastAsia" w:ascii="宋体" w:hAnsi="宋体"/>
          <w:b/>
          <w:kern w:val="0"/>
          <w:sz w:val="24"/>
        </w:rPr>
        <w:t>合同签订及公告</w:t>
      </w:r>
    </w:p>
    <w:p>
      <w:pPr>
        <w:adjustRightInd w:val="0"/>
        <w:snapToGrid w:val="0"/>
        <w:spacing w:line="460" w:lineRule="exact"/>
        <w:ind w:firstLine="482" w:firstLineChars="200"/>
        <w:rPr>
          <w:rFonts w:ascii="宋体" w:hAnsi="宋体"/>
          <w:b/>
          <w:kern w:val="0"/>
          <w:sz w:val="24"/>
        </w:rPr>
      </w:pPr>
      <w:r>
        <w:rPr>
          <w:rFonts w:hint="eastAsia" w:ascii="宋体" w:hAnsi="宋体"/>
          <w:b/>
          <w:sz w:val="24"/>
        </w:rPr>
        <w:t>（一）签订合同</w:t>
      </w:r>
    </w:p>
    <w:p>
      <w:pPr>
        <w:pStyle w:val="37"/>
        <w:adjustRightInd w:val="0"/>
        <w:snapToGrid w:val="0"/>
        <w:spacing w:before="0" w:beforeAutospacing="0" w:after="0" w:afterAutospacing="0" w:line="460" w:lineRule="exact"/>
        <w:ind w:firstLine="480" w:firstLineChars="200"/>
        <w:jc w:val="both"/>
        <w:rPr>
          <w:rFonts w:hint="default" w:cs="宋体"/>
        </w:rPr>
      </w:pPr>
      <w:r>
        <w:rPr>
          <w:rFonts w:cs="宋体"/>
        </w:rPr>
        <w:t>1.采购人应当自中标通知书发出之日起30日内，按照招标文件和中标人投标文件内容要求，与中标人签订合同。所签订的合同不得对招标文件确定的事项和中标人投标文件作实质性修改。</w:t>
      </w:r>
    </w:p>
    <w:p>
      <w:pPr>
        <w:pStyle w:val="37"/>
        <w:adjustRightInd w:val="0"/>
        <w:snapToGrid w:val="0"/>
        <w:spacing w:before="0" w:beforeAutospacing="0" w:after="0" w:afterAutospacing="0" w:line="460" w:lineRule="exact"/>
        <w:ind w:firstLine="480" w:firstLineChars="200"/>
        <w:jc w:val="both"/>
        <w:rPr>
          <w:rFonts w:hint="default" w:cs="宋体"/>
        </w:rPr>
      </w:pPr>
      <w:r>
        <w:rPr>
          <w:rFonts w:cs="宋体"/>
        </w:rPr>
        <w:t>2.采购人不得向中标人提出任何不合理的要求作为签订合同的条件。</w:t>
      </w:r>
    </w:p>
    <w:p>
      <w:pPr>
        <w:pStyle w:val="37"/>
        <w:adjustRightInd w:val="0"/>
        <w:snapToGrid w:val="0"/>
        <w:spacing w:before="0" w:beforeAutospacing="0" w:after="0" w:afterAutospacing="0" w:line="460" w:lineRule="exact"/>
        <w:ind w:firstLine="480" w:firstLineChars="200"/>
        <w:jc w:val="both"/>
        <w:rPr>
          <w:rFonts w:hint="default" w:cs="宋体"/>
        </w:rPr>
      </w:pPr>
      <w:r>
        <w:rPr>
          <w:rFonts w:cs="宋体"/>
        </w:rPr>
        <w:t>3.中标人无故拖延、拒签合同的,将取消中标资格。</w:t>
      </w:r>
    </w:p>
    <w:p>
      <w:pPr>
        <w:pStyle w:val="37"/>
        <w:adjustRightInd w:val="0"/>
        <w:snapToGrid w:val="0"/>
        <w:spacing w:before="0" w:beforeAutospacing="0" w:after="0" w:afterAutospacing="0" w:line="460" w:lineRule="exact"/>
        <w:ind w:firstLine="480" w:firstLineChars="200"/>
        <w:jc w:val="both"/>
        <w:rPr>
          <w:rFonts w:hint="default" w:cs="宋体"/>
        </w:rPr>
      </w:pPr>
      <w:r>
        <w:rPr>
          <w:rFonts w:cs="宋体"/>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37"/>
        <w:adjustRightInd w:val="0"/>
        <w:snapToGrid w:val="0"/>
        <w:spacing w:before="0" w:beforeAutospacing="0" w:after="0" w:afterAutospacing="0" w:line="460" w:lineRule="exact"/>
        <w:ind w:firstLine="480" w:firstLineChars="200"/>
        <w:jc w:val="both"/>
        <w:rPr>
          <w:rFonts w:hint="default" w:cs="宋体"/>
        </w:rPr>
      </w:pPr>
      <w:r>
        <w:rPr>
          <w:rFonts w:cs="宋体"/>
        </w:rPr>
        <w:t>5.询问或者质疑事项可能影响中标结果的，采购人应当暂停签订合同，已经签订合同的，应当中止履行合同。</w:t>
      </w:r>
    </w:p>
    <w:p>
      <w:pPr>
        <w:pStyle w:val="37"/>
        <w:adjustRightInd w:val="0"/>
        <w:snapToGrid w:val="0"/>
        <w:spacing w:before="0" w:beforeAutospacing="0" w:after="0" w:afterAutospacing="0" w:line="460" w:lineRule="exact"/>
        <w:ind w:firstLine="482" w:firstLineChars="200"/>
        <w:jc w:val="both"/>
        <w:rPr>
          <w:rFonts w:hint="default" w:cs="仿宋_GB2312"/>
          <w:b/>
        </w:rPr>
      </w:pPr>
      <w:r>
        <w:rPr>
          <w:b/>
        </w:rPr>
        <w:t>（二）合同公告及备案</w:t>
      </w:r>
    </w:p>
    <w:p>
      <w:pPr>
        <w:pStyle w:val="31"/>
        <w:adjustRightInd w:val="0"/>
        <w:snapToGrid w:val="0"/>
        <w:spacing w:after="0" w:line="460" w:lineRule="exact"/>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adjustRightInd w:val="0"/>
        <w:snapToGrid w:val="0"/>
        <w:spacing w:line="460" w:lineRule="exact"/>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adjustRightInd w:val="0"/>
        <w:snapToGrid w:val="0"/>
        <w:spacing w:line="460" w:lineRule="exact"/>
        <w:ind w:firstLine="482" w:firstLineChars="200"/>
        <w:jc w:val="both"/>
        <w:rPr>
          <w:rFonts w:ascii="宋体" w:hAnsi="宋体"/>
          <w:b/>
          <w:bCs/>
          <w:sz w:val="24"/>
        </w:rPr>
      </w:pPr>
      <w:r>
        <w:rPr>
          <w:rFonts w:hint="eastAsia" w:ascii="宋体" w:hAnsi="宋体"/>
          <w:b/>
          <w:bCs/>
          <w:sz w:val="24"/>
        </w:rPr>
        <w:t>八、询问、质疑与投诉</w:t>
      </w:r>
    </w:p>
    <w:p>
      <w:pPr>
        <w:pStyle w:val="10"/>
        <w:adjustRightInd w:val="0"/>
        <w:snapToGrid w:val="0"/>
        <w:spacing w:line="460" w:lineRule="exact"/>
        <w:ind w:firstLine="482" w:firstLineChars="200"/>
        <w:jc w:val="both"/>
        <w:rPr>
          <w:rFonts w:ascii="宋体" w:hAnsi="宋体"/>
          <w:b/>
          <w:bCs/>
          <w:sz w:val="24"/>
        </w:rPr>
      </w:pPr>
      <w:r>
        <w:rPr>
          <w:rFonts w:hint="eastAsia" w:ascii="宋体" w:hAnsi="宋体"/>
          <w:b/>
          <w:bCs/>
          <w:sz w:val="24"/>
        </w:rPr>
        <w:t>（一）询问</w:t>
      </w:r>
    </w:p>
    <w:p>
      <w:pPr>
        <w:pStyle w:val="10"/>
        <w:adjustRightInd w:val="0"/>
        <w:snapToGrid w:val="0"/>
        <w:spacing w:line="460" w:lineRule="exact"/>
        <w:ind w:firstLine="480" w:firstLineChars="200"/>
        <w:jc w:val="both"/>
        <w:rPr>
          <w:rFonts w:ascii="宋体" w:hAnsi="宋体"/>
          <w:sz w:val="24"/>
        </w:rPr>
      </w:pPr>
      <w:r>
        <w:rPr>
          <w:rFonts w:hint="eastAsia" w:ascii="宋体" w:hAnsi="宋体"/>
          <w:sz w:val="24"/>
        </w:rPr>
        <w:t>供应商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adjustRightInd w:val="0"/>
        <w:snapToGrid w:val="0"/>
        <w:spacing w:line="460" w:lineRule="exact"/>
        <w:ind w:firstLine="482" w:firstLineChars="200"/>
        <w:jc w:val="both"/>
        <w:rPr>
          <w:rFonts w:ascii="宋体" w:hAnsi="宋体"/>
          <w:b/>
          <w:bCs/>
          <w:sz w:val="24"/>
        </w:rPr>
      </w:pPr>
      <w:r>
        <w:rPr>
          <w:rFonts w:hint="eastAsia" w:ascii="宋体" w:hAnsi="宋体"/>
          <w:b/>
          <w:bCs/>
          <w:sz w:val="24"/>
        </w:rPr>
        <w:t>（二）质疑</w:t>
      </w:r>
    </w:p>
    <w:p>
      <w:pPr>
        <w:pStyle w:val="10"/>
        <w:adjustRightInd w:val="0"/>
        <w:snapToGrid w:val="0"/>
        <w:spacing w:line="460" w:lineRule="exact"/>
        <w:ind w:firstLine="480" w:firstLineChars="200"/>
        <w:jc w:val="both"/>
        <w:rPr>
          <w:rFonts w:ascii="宋体" w:hAnsi="宋体"/>
          <w:sz w:val="24"/>
        </w:rPr>
      </w:pPr>
      <w:r>
        <w:rPr>
          <w:rFonts w:hint="eastAsia" w:ascii="宋体" w:hAnsi="宋体"/>
          <w:sz w:val="24"/>
        </w:rPr>
        <w:t>1.报名本项目的供应商认为招标文件、采购过程和中标结果使自己的权益受到损害的，通过政采云平台的质疑系统一次性向采购人或采购组织机构提出质疑：</w:t>
      </w:r>
    </w:p>
    <w:p>
      <w:pPr>
        <w:pStyle w:val="10"/>
        <w:adjustRightInd w:val="0"/>
        <w:snapToGrid w:val="0"/>
        <w:spacing w:line="400" w:lineRule="exact"/>
        <w:ind w:firstLine="480" w:firstLineChars="200"/>
        <w:jc w:val="both"/>
        <w:rPr>
          <w:rFonts w:ascii="宋体" w:hAnsi="宋体"/>
          <w:sz w:val="24"/>
        </w:rPr>
      </w:pPr>
      <w:r>
        <w:rPr>
          <w:rFonts w:hint="eastAsia" w:ascii="宋体" w:hAnsi="宋体"/>
          <w:sz w:val="24"/>
        </w:rPr>
        <w:t>（1）供应商认为招标文件的内容损害其权益的，应当自获取之日起（获取截止日之后收到招标文件的，以获取截止日为准）7个工作日内提出质疑；</w:t>
      </w:r>
    </w:p>
    <w:p>
      <w:pPr>
        <w:pStyle w:val="10"/>
        <w:adjustRightInd w:val="0"/>
        <w:snapToGrid w:val="0"/>
        <w:spacing w:line="400" w:lineRule="exact"/>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w:t>
      </w:r>
    </w:p>
    <w:p>
      <w:pPr>
        <w:pStyle w:val="10"/>
        <w:adjustRightInd w:val="0"/>
        <w:snapToGrid w:val="0"/>
        <w:spacing w:line="400" w:lineRule="exact"/>
        <w:ind w:firstLine="480" w:firstLineChars="200"/>
        <w:jc w:val="both"/>
        <w:rPr>
          <w:rFonts w:ascii="宋体" w:hAnsi="宋体"/>
          <w:sz w:val="24"/>
        </w:rPr>
      </w:pPr>
      <w:r>
        <w:rPr>
          <w:rFonts w:hint="eastAsia" w:ascii="宋体" w:hAnsi="宋体"/>
          <w:sz w:val="24"/>
        </w:rPr>
        <w:t>（3）供应商对中标结果提出质疑的，应当在中标结果公告期限届满之日起7个工作日内提出质疑。</w:t>
      </w:r>
    </w:p>
    <w:p>
      <w:pPr>
        <w:pStyle w:val="10"/>
        <w:adjustRightInd w:val="0"/>
        <w:snapToGrid w:val="0"/>
        <w:spacing w:line="400" w:lineRule="exact"/>
        <w:ind w:firstLine="480" w:firstLineChars="200"/>
        <w:jc w:val="both"/>
        <w:rPr>
          <w:rFonts w:ascii="宋体" w:hAnsi="宋体"/>
          <w:sz w:val="24"/>
        </w:rPr>
      </w:pPr>
      <w:r>
        <w:rPr>
          <w:rFonts w:hint="eastAsia" w:ascii="宋体" w:hAnsi="宋体"/>
          <w:sz w:val="24"/>
        </w:rPr>
        <w:t>2.采购人或采购组织机构在收到供应商的书面质疑后7个工作日内作出答复，并以书面形式或政采云平台回复质疑供应商和其他有关供应商，但答复内容不涉及商业秘密。</w:t>
      </w:r>
    </w:p>
    <w:p>
      <w:pPr>
        <w:pStyle w:val="10"/>
        <w:adjustRightInd w:val="0"/>
        <w:snapToGrid w:val="0"/>
        <w:spacing w:line="420" w:lineRule="exact"/>
        <w:ind w:firstLine="480" w:firstLineChars="200"/>
        <w:jc w:val="both"/>
        <w:rPr>
          <w:rFonts w:ascii="宋体" w:hAnsi="宋体"/>
          <w:sz w:val="24"/>
        </w:rPr>
      </w:pPr>
      <w:r>
        <w:rPr>
          <w:rFonts w:hint="eastAsia" w:ascii="宋体" w:hAnsi="宋体"/>
          <w:sz w:val="24"/>
        </w:rPr>
        <w:t>3. 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adjustRightInd w:val="0"/>
        <w:snapToGrid w:val="0"/>
        <w:spacing w:line="420" w:lineRule="exact"/>
        <w:ind w:firstLine="482" w:firstLineChars="200"/>
        <w:jc w:val="both"/>
        <w:rPr>
          <w:rFonts w:ascii="宋体" w:hAnsi="宋体"/>
          <w:b/>
          <w:bCs/>
          <w:sz w:val="24"/>
        </w:rPr>
      </w:pPr>
      <w:r>
        <w:rPr>
          <w:rFonts w:hint="eastAsia" w:ascii="宋体" w:hAnsi="宋体"/>
          <w:b/>
          <w:bCs/>
          <w:sz w:val="24"/>
        </w:rPr>
        <w:t>（三）投诉</w:t>
      </w:r>
    </w:p>
    <w:p>
      <w:pPr>
        <w:pStyle w:val="10"/>
        <w:adjustRightInd w:val="0"/>
        <w:snapToGrid w:val="0"/>
        <w:spacing w:line="420" w:lineRule="exact"/>
        <w:ind w:firstLine="480" w:firstLineChars="200"/>
        <w:jc w:val="both"/>
        <w:rPr>
          <w:rFonts w:ascii="宋体" w:hAnsi="宋体"/>
          <w:sz w:val="24"/>
        </w:rPr>
      </w:pPr>
      <w:r>
        <w:rPr>
          <w:rFonts w:hint="eastAsia" w:ascii="宋体" w:hAnsi="宋体"/>
          <w:sz w:val="24"/>
        </w:rPr>
        <w:t>供应商对采购人或采购组织机构的质疑答复不满意或在规定时间内未得到答复的，可以在答复期满后15个工作日内，向同级政府采购监督管理机构投诉。</w:t>
      </w:r>
    </w:p>
    <w:p>
      <w:pPr>
        <w:pStyle w:val="10"/>
        <w:adjustRightInd w:val="0"/>
        <w:snapToGrid w:val="0"/>
        <w:spacing w:line="420" w:lineRule="exact"/>
        <w:jc w:val="both"/>
        <w:rPr>
          <w:rFonts w:ascii="宋体" w:hAnsi="宋体"/>
          <w:b/>
          <w:bCs/>
          <w:sz w:val="24"/>
        </w:rPr>
      </w:pPr>
      <w:r>
        <w:rPr>
          <w:rFonts w:hint="eastAsia" w:ascii="宋体" w:hAnsi="宋体"/>
          <w:b/>
          <w:bCs/>
          <w:sz w:val="24"/>
        </w:rPr>
        <w:t>九、其他</w:t>
      </w:r>
    </w:p>
    <w:p>
      <w:pPr>
        <w:adjustRightInd w:val="0"/>
        <w:snapToGrid w:val="0"/>
        <w:spacing w:line="420" w:lineRule="exact"/>
        <w:ind w:firstLine="723" w:firstLineChars="300"/>
        <w:jc w:val="center"/>
        <w:rPr>
          <w:rFonts w:ascii="宋体" w:hAnsi="宋体"/>
          <w:bCs/>
          <w:sz w:val="24"/>
        </w:rPr>
      </w:pPr>
      <w:r>
        <w:rPr>
          <w:rFonts w:hint="eastAsia" w:ascii="宋体" w:hAnsi="宋体"/>
          <w:b/>
          <w:sz w:val="24"/>
        </w:rPr>
        <w:t>政府采购支持中小企业信用融资相关事项的通知</w:t>
      </w:r>
    </w:p>
    <w:p>
      <w:pPr>
        <w:adjustRightInd w:val="0"/>
        <w:snapToGrid w:val="0"/>
        <w:spacing w:line="420" w:lineRule="exact"/>
        <w:ind w:firstLine="480" w:firstLineChars="200"/>
        <w:rPr>
          <w:rFonts w:ascii="宋体" w:hAnsi="宋体" w:cs="宋体"/>
          <w:b/>
          <w:bCs/>
          <w:kern w:val="0"/>
          <w:sz w:val="28"/>
          <w:szCs w:val="28"/>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政采贷联系方式</w:t>
      </w:r>
    </w:p>
    <w:tbl>
      <w:tblPr>
        <w:tblStyle w:val="25"/>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3"/>
        <w:gridCol w:w="1380"/>
        <w:gridCol w:w="2237"/>
        <w:gridCol w:w="1842"/>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8"/>
                <w:szCs w:val="28"/>
              </w:rPr>
            </w:pPr>
            <w:r>
              <w:rPr>
                <w:rFonts w:hint="eastAsia" w:ascii="宋体" w:hAnsi="宋体" w:cs="宋体"/>
                <w:b/>
                <w:bCs/>
                <w:kern w:val="0"/>
                <w:sz w:val="28"/>
                <w:szCs w:val="28"/>
              </w:rPr>
              <w:t xml:space="preserve">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sz w:val="24"/>
              </w:rPr>
            </w:pPr>
            <w:r>
              <w:rPr>
                <w:rFonts w:hint="eastAsia" w:ascii="宋体" w:hAnsi="宋体" w:cs="Calibri"/>
                <w:bCs/>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Calibri"/>
                <w:bCs/>
                <w:sz w:val="24"/>
              </w:rPr>
            </w:pPr>
            <w:r>
              <w:rPr>
                <w:rFonts w:hint="eastAsia" w:ascii="宋体" w:hAnsi="宋体" w:cs="Calibri"/>
                <w:bCs/>
                <w:sz w:val="24"/>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sz w:val="24"/>
              </w:rPr>
            </w:pPr>
            <w:r>
              <w:rPr>
                <w:rFonts w:hint="eastAsia" w:ascii="宋体" w:hAnsi="宋体" w:cs="Calibri"/>
                <w:bCs/>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sz w:val="24"/>
              </w:rPr>
            </w:pPr>
            <w:r>
              <w:rPr>
                <w:rFonts w:hint="eastAsia" w:ascii="宋体" w:hAnsi="宋体" w:cs="Calibri"/>
                <w:bCs/>
                <w:sz w:val="24"/>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sz w:val="24"/>
              </w:rPr>
            </w:pPr>
            <w:r>
              <w:rPr>
                <w:rFonts w:hint="eastAsia" w:ascii="宋体" w:hAnsi="宋体" w:cs="Calibri"/>
                <w:bCs/>
                <w:sz w:val="24"/>
              </w:rPr>
              <w:t>13958532211</w:t>
            </w:r>
          </w:p>
        </w:tc>
      </w:tr>
    </w:tbl>
    <w:p>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2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spacing w:line="360" w:lineRule="exact"/>
              <w:rPr>
                <w:rFonts w:ascii="宋体" w:hAnsi="宋体" w:cs="Calibri"/>
                <w:bCs/>
                <w:sz w:val="24"/>
              </w:rPr>
            </w:pPr>
            <w:r>
              <w:rPr>
                <w:rFonts w:hint="eastAsia" w:ascii="宋体" w:hAnsi="宋体" w:cs="Calibri"/>
                <w:bCs/>
                <w:sz w:val="24"/>
              </w:rPr>
              <w:t>阳光财产保险股份有限公司三门支公司</w:t>
            </w:r>
          </w:p>
        </w:tc>
        <w:tc>
          <w:tcPr>
            <w:tcW w:w="3341" w:type="dxa"/>
            <w:vAlign w:val="center"/>
          </w:tcPr>
          <w:p>
            <w:pPr>
              <w:spacing w:line="360" w:lineRule="exact"/>
              <w:rPr>
                <w:rFonts w:ascii="宋体" w:hAnsi="宋体" w:cs="Calibri"/>
                <w:bCs/>
                <w:sz w:val="24"/>
              </w:rPr>
            </w:pPr>
            <w:r>
              <w:rPr>
                <w:rFonts w:hint="eastAsia" w:ascii="宋体" w:hAnsi="宋体" w:cs="Calibri"/>
                <w:bCs/>
                <w:sz w:val="24"/>
              </w:rPr>
              <w:t>合同（质量）履约按履约保证金年费率1%（1.5%），每单保函最低保险费为500元(300元)。</w:t>
            </w:r>
          </w:p>
        </w:tc>
        <w:tc>
          <w:tcPr>
            <w:tcW w:w="1134" w:type="dxa"/>
            <w:vAlign w:val="center"/>
          </w:tcPr>
          <w:p>
            <w:pPr>
              <w:spacing w:line="360" w:lineRule="exact"/>
              <w:rPr>
                <w:rFonts w:ascii="宋体" w:hAnsi="宋体" w:cs="Calibri"/>
                <w:bCs/>
                <w:sz w:val="24"/>
              </w:rPr>
            </w:pPr>
            <w:r>
              <w:rPr>
                <w:rFonts w:hint="eastAsia" w:ascii="宋体" w:hAnsi="宋体" w:cs="Calibri"/>
                <w:bCs/>
                <w:sz w:val="24"/>
              </w:rPr>
              <w:t>李来萍</w:t>
            </w:r>
          </w:p>
        </w:tc>
        <w:tc>
          <w:tcPr>
            <w:tcW w:w="1977" w:type="dxa"/>
            <w:vAlign w:val="center"/>
          </w:tcPr>
          <w:p>
            <w:pPr>
              <w:spacing w:line="360" w:lineRule="exact"/>
              <w:rPr>
                <w:rFonts w:ascii="宋体" w:hAnsi="宋体" w:cs="Calibri"/>
                <w:bCs/>
                <w:sz w:val="24"/>
              </w:rPr>
            </w:pPr>
            <w:r>
              <w:rPr>
                <w:rFonts w:hint="eastAsia" w:ascii="宋体" w:hAnsi="宋体" w:cs="Calibri"/>
                <w:bCs/>
                <w:sz w:val="24"/>
              </w:rPr>
              <w:t>13958525199</w:t>
            </w:r>
          </w:p>
        </w:tc>
      </w:tr>
    </w:tbl>
    <w:p>
      <w:pPr>
        <w:spacing w:line="360" w:lineRule="auto"/>
        <w:rPr>
          <w:rFonts w:ascii="宋体" w:hAnsi="宋体"/>
          <w:b/>
          <w:sz w:val="36"/>
          <w:szCs w:val="36"/>
        </w:rPr>
      </w:pPr>
      <w:bookmarkStart w:id="29" w:name="_Toc13072_WPSOffice_Level1"/>
    </w:p>
    <w:p>
      <w:pPr>
        <w:pStyle w:val="11"/>
        <w:rPr>
          <w:rFonts w:hint="eastAsia" w:eastAsia="宋体"/>
          <w:lang w:eastAsia="zh-CN"/>
        </w:rPr>
      </w:pPr>
    </w:p>
    <w:p>
      <w:pPr>
        <w:pStyle w:val="12"/>
        <w:rPr>
          <w:rFonts w:hint="eastAsia"/>
          <w:lang w:eastAsia="zh-CN"/>
        </w:rPr>
      </w:pPr>
    </w:p>
    <w:p>
      <w:pPr>
        <w:pStyle w:val="24"/>
      </w:pPr>
    </w:p>
    <w:p/>
    <w:p>
      <w:pPr>
        <w:pStyle w:val="11"/>
      </w:pPr>
    </w:p>
    <w:p>
      <w:pPr>
        <w:pStyle w:val="24"/>
      </w:pPr>
    </w:p>
    <w:p/>
    <w:p>
      <w:pPr>
        <w:pStyle w:val="11"/>
      </w:pPr>
    </w:p>
    <w:p>
      <w:pPr>
        <w:pStyle w:val="24"/>
      </w:pPr>
    </w:p>
    <w:p/>
    <w:p>
      <w:pPr>
        <w:pStyle w:val="2"/>
      </w:pPr>
    </w:p>
    <w:p>
      <w:pPr>
        <w:pStyle w:val="2"/>
      </w:pPr>
    </w:p>
    <w:p>
      <w:pPr>
        <w:pStyle w:val="2"/>
      </w:pPr>
    </w:p>
    <w:p/>
    <w:p>
      <w:pPr>
        <w:numPr>
          <w:ilvl w:val="0"/>
          <w:numId w:val="4"/>
        </w:numPr>
        <w:spacing w:line="360" w:lineRule="auto"/>
        <w:jc w:val="center"/>
        <w:rPr>
          <w:rFonts w:ascii="宋体" w:hAnsi="宋体"/>
          <w:b/>
          <w:sz w:val="36"/>
          <w:szCs w:val="36"/>
        </w:rPr>
      </w:pPr>
      <w:r>
        <w:rPr>
          <w:rFonts w:hint="eastAsia" w:ascii="宋体" w:hAnsi="宋体"/>
          <w:b/>
          <w:sz w:val="36"/>
          <w:szCs w:val="36"/>
        </w:rPr>
        <w:t>招标需求</w:t>
      </w:r>
      <w:bookmarkEnd w:id="29"/>
    </w:p>
    <w:p>
      <w:pPr>
        <w:tabs>
          <w:tab w:val="left" w:pos="8280"/>
        </w:tabs>
        <w:autoSpaceDE w:val="0"/>
        <w:autoSpaceDN w:val="0"/>
        <w:adjustRightInd w:val="0"/>
        <w:spacing w:line="480" w:lineRule="exact"/>
        <w:ind w:right="25"/>
        <w:rPr>
          <w:rFonts w:ascii="宋体" w:hAnsi="宋体"/>
          <w:sz w:val="30"/>
          <w:szCs w:val="30"/>
        </w:rPr>
      </w:pPr>
      <w:r>
        <w:rPr>
          <w:rFonts w:hint="eastAsia" w:ascii="宋体" w:hAnsi="宋体"/>
          <w:b/>
          <w:sz w:val="30"/>
          <w:szCs w:val="30"/>
        </w:rPr>
        <w:t>一、招标项目一览表</w:t>
      </w:r>
    </w:p>
    <w:p>
      <w:pPr>
        <w:tabs>
          <w:tab w:val="left" w:pos="8280"/>
        </w:tabs>
        <w:autoSpaceDE w:val="0"/>
        <w:autoSpaceDN w:val="0"/>
        <w:adjustRightInd w:val="0"/>
        <w:spacing w:line="480" w:lineRule="exact"/>
        <w:ind w:right="25" w:firstLine="480" w:firstLineChars="200"/>
        <w:rPr>
          <w:rFonts w:ascii="宋体" w:hAnsi="宋体"/>
          <w:sz w:val="24"/>
        </w:rPr>
      </w:pPr>
      <w:r>
        <w:rPr>
          <w:rFonts w:hint="eastAsia" w:ascii="宋体" w:hAnsi="宋体"/>
          <w:sz w:val="24"/>
        </w:rPr>
        <w:t>本次招标共</w:t>
      </w:r>
      <w:r>
        <w:rPr>
          <w:rFonts w:hint="eastAsia" w:ascii="宋体" w:hAnsi="宋体"/>
          <w:sz w:val="24"/>
          <w:u w:val="single"/>
        </w:rPr>
        <w:t xml:space="preserve"> </w:t>
      </w:r>
      <w:r>
        <w:rPr>
          <w:rFonts w:ascii="宋体" w:hAnsi="宋体"/>
          <w:sz w:val="24"/>
          <w:u w:val="single"/>
        </w:rPr>
        <w:t xml:space="preserve">1 </w:t>
      </w:r>
      <w:r>
        <w:rPr>
          <w:rFonts w:hint="eastAsia" w:ascii="宋体" w:hAnsi="宋体"/>
          <w:sz w:val="24"/>
        </w:rPr>
        <w:t>个标项，具体内容如下表：</w:t>
      </w:r>
    </w:p>
    <w:tbl>
      <w:tblPr>
        <w:tblStyle w:val="25"/>
        <w:tblpPr w:leftFromText="181" w:rightFromText="181" w:bottomFromText="17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11"/>
        <w:gridCol w:w="1043"/>
        <w:gridCol w:w="708"/>
        <w:gridCol w:w="681"/>
        <w:gridCol w:w="1020"/>
        <w:gridCol w:w="113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spacing w:line="480" w:lineRule="exact"/>
              <w:jc w:val="center"/>
              <w:rPr>
                <w:rFonts w:ascii="宋体"/>
                <w:b/>
                <w:szCs w:val="21"/>
              </w:rPr>
            </w:pPr>
            <w:r>
              <w:rPr>
                <w:rFonts w:hint="eastAsia" w:ascii="宋体" w:hAnsi="宋体"/>
                <w:b/>
                <w:szCs w:val="21"/>
              </w:rPr>
              <w:t>标项号</w:t>
            </w:r>
          </w:p>
        </w:tc>
        <w:tc>
          <w:tcPr>
            <w:tcW w:w="2011" w:type="dxa"/>
            <w:vAlign w:val="center"/>
          </w:tcPr>
          <w:p>
            <w:pPr>
              <w:tabs>
                <w:tab w:val="left" w:pos="8280"/>
              </w:tabs>
              <w:autoSpaceDE w:val="0"/>
              <w:autoSpaceDN w:val="0"/>
              <w:adjustRightInd w:val="0"/>
              <w:spacing w:line="480" w:lineRule="exact"/>
              <w:jc w:val="center"/>
              <w:rPr>
                <w:rFonts w:ascii="宋体"/>
                <w:b/>
                <w:szCs w:val="21"/>
              </w:rPr>
            </w:pPr>
            <w:r>
              <w:rPr>
                <w:rFonts w:hint="eastAsia" w:ascii="宋体" w:hAnsi="宋体"/>
                <w:b/>
                <w:szCs w:val="21"/>
              </w:rPr>
              <w:t>项目名称</w:t>
            </w:r>
          </w:p>
        </w:tc>
        <w:tc>
          <w:tcPr>
            <w:tcW w:w="1043" w:type="dxa"/>
            <w:vAlign w:val="center"/>
          </w:tcPr>
          <w:p>
            <w:pPr>
              <w:tabs>
                <w:tab w:val="left" w:pos="8280"/>
              </w:tabs>
              <w:autoSpaceDE w:val="0"/>
              <w:autoSpaceDN w:val="0"/>
              <w:adjustRightInd w:val="0"/>
              <w:spacing w:line="400" w:lineRule="exact"/>
              <w:jc w:val="center"/>
              <w:rPr>
                <w:rFonts w:ascii="宋体"/>
                <w:b/>
                <w:szCs w:val="21"/>
              </w:rPr>
            </w:pPr>
            <w:r>
              <w:rPr>
                <w:rFonts w:hint="eastAsia" w:ascii="宋体" w:hAnsi="宋体" w:cs="宋体"/>
                <w:b/>
                <w:kern w:val="0"/>
                <w:szCs w:val="21"/>
              </w:rPr>
              <w:t>简要技术要求</w:t>
            </w:r>
          </w:p>
        </w:tc>
        <w:tc>
          <w:tcPr>
            <w:tcW w:w="708" w:type="dxa"/>
            <w:vAlign w:val="center"/>
          </w:tcPr>
          <w:p>
            <w:pPr>
              <w:tabs>
                <w:tab w:val="left" w:pos="8280"/>
              </w:tabs>
              <w:autoSpaceDE w:val="0"/>
              <w:autoSpaceDN w:val="0"/>
              <w:adjustRightInd w:val="0"/>
              <w:spacing w:line="400" w:lineRule="exact"/>
              <w:jc w:val="center"/>
              <w:rPr>
                <w:rFonts w:ascii="宋体"/>
                <w:b/>
                <w:szCs w:val="21"/>
              </w:rPr>
            </w:pPr>
            <w:r>
              <w:rPr>
                <w:rFonts w:hint="eastAsia" w:ascii="宋体" w:hAnsi="宋体"/>
                <w:b/>
                <w:szCs w:val="21"/>
              </w:rPr>
              <w:t>数量</w:t>
            </w:r>
          </w:p>
        </w:tc>
        <w:tc>
          <w:tcPr>
            <w:tcW w:w="681" w:type="dxa"/>
            <w:vAlign w:val="center"/>
          </w:tcPr>
          <w:p>
            <w:pPr>
              <w:tabs>
                <w:tab w:val="left" w:pos="8280"/>
              </w:tabs>
              <w:autoSpaceDE w:val="0"/>
              <w:autoSpaceDN w:val="0"/>
              <w:adjustRightInd w:val="0"/>
              <w:spacing w:line="400" w:lineRule="exact"/>
              <w:jc w:val="center"/>
              <w:rPr>
                <w:rFonts w:ascii="宋体"/>
                <w:b/>
                <w:szCs w:val="21"/>
              </w:rPr>
            </w:pPr>
            <w:r>
              <w:rPr>
                <w:rFonts w:hint="eastAsia" w:ascii="宋体" w:hAnsi="宋体"/>
                <w:b/>
                <w:szCs w:val="21"/>
              </w:rPr>
              <w:t>单位</w:t>
            </w:r>
          </w:p>
        </w:tc>
        <w:tc>
          <w:tcPr>
            <w:tcW w:w="1020" w:type="dxa"/>
            <w:vAlign w:val="center"/>
          </w:tcPr>
          <w:p>
            <w:pPr>
              <w:tabs>
                <w:tab w:val="left" w:pos="8280"/>
              </w:tabs>
              <w:autoSpaceDE w:val="0"/>
              <w:autoSpaceDN w:val="0"/>
              <w:adjustRightInd w:val="0"/>
              <w:spacing w:line="400" w:lineRule="exact"/>
              <w:jc w:val="center"/>
              <w:rPr>
                <w:rFonts w:ascii="宋体" w:hAnsi="宋体"/>
                <w:b/>
                <w:szCs w:val="21"/>
              </w:rPr>
            </w:pPr>
            <w:r>
              <w:rPr>
                <w:rFonts w:hint="eastAsia" w:ascii="宋体" w:hAnsi="宋体"/>
                <w:b/>
                <w:szCs w:val="21"/>
              </w:rPr>
              <w:t>预算价</w:t>
            </w:r>
          </w:p>
          <w:p>
            <w:pPr>
              <w:tabs>
                <w:tab w:val="left" w:pos="8280"/>
              </w:tabs>
              <w:autoSpaceDE w:val="0"/>
              <w:autoSpaceDN w:val="0"/>
              <w:adjustRightInd w:val="0"/>
              <w:spacing w:line="400" w:lineRule="exact"/>
              <w:jc w:val="center"/>
              <w:rPr>
                <w:rFonts w:ascii="宋体"/>
                <w:b/>
                <w:szCs w:val="21"/>
              </w:rPr>
            </w:pPr>
            <w:r>
              <w:rPr>
                <w:rFonts w:hint="eastAsia" w:ascii="宋体" w:hAnsi="宋体"/>
                <w:b/>
                <w:szCs w:val="21"/>
              </w:rPr>
              <w:t>（万元）</w:t>
            </w:r>
          </w:p>
        </w:tc>
        <w:tc>
          <w:tcPr>
            <w:tcW w:w="1130" w:type="dxa"/>
            <w:vAlign w:val="center"/>
          </w:tcPr>
          <w:p>
            <w:pPr>
              <w:tabs>
                <w:tab w:val="left" w:pos="8280"/>
              </w:tabs>
              <w:autoSpaceDE w:val="0"/>
              <w:autoSpaceDN w:val="0"/>
              <w:adjustRightInd w:val="0"/>
              <w:spacing w:line="400" w:lineRule="exact"/>
              <w:jc w:val="center"/>
              <w:rPr>
                <w:rFonts w:ascii="宋体" w:hAnsi="宋体"/>
                <w:b/>
                <w:szCs w:val="21"/>
              </w:rPr>
            </w:pPr>
            <w:r>
              <w:rPr>
                <w:rFonts w:hint="eastAsia" w:ascii="宋体" w:hAnsi="宋体"/>
                <w:b/>
                <w:szCs w:val="21"/>
              </w:rPr>
              <w:t>最高限价</w:t>
            </w:r>
          </w:p>
          <w:p>
            <w:pPr>
              <w:tabs>
                <w:tab w:val="left" w:pos="8280"/>
              </w:tabs>
              <w:autoSpaceDE w:val="0"/>
              <w:autoSpaceDN w:val="0"/>
              <w:adjustRightInd w:val="0"/>
              <w:spacing w:line="400" w:lineRule="exact"/>
              <w:jc w:val="center"/>
              <w:rPr>
                <w:rFonts w:ascii="宋体" w:hAnsi="宋体"/>
                <w:b/>
                <w:szCs w:val="21"/>
              </w:rPr>
            </w:pPr>
            <w:r>
              <w:rPr>
                <w:rFonts w:hint="eastAsia" w:ascii="宋体" w:hAnsi="宋体"/>
                <w:b/>
                <w:szCs w:val="21"/>
              </w:rPr>
              <w:t>（万元）</w:t>
            </w:r>
          </w:p>
        </w:tc>
        <w:tc>
          <w:tcPr>
            <w:tcW w:w="1564" w:type="dxa"/>
            <w:vAlign w:val="center"/>
          </w:tcPr>
          <w:p>
            <w:pPr>
              <w:tabs>
                <w:tab w:val="left" w:pos="8280"/>
              </w:tabs>
              <w:autoSpaceDE w:val="0"/>
              <w:autoSpaceDN w:val="0"/>
              <w:adjustRightInd w:val="0"/>
              <w:spacing w:line="480" w:lineRule="exact"/>
              <w:jc w:val="center"/>
              <w:rPr>
                <w:rFonts w:ascii="宋体" w:hAnsi="宋体"/>
                <w:b/>
                <w:szCs w:val="21"/>
              </w:rPr>
            </w:pPr>
            <w:r>
              <w:rPr>
                <w:rFonts w:hint="eastAsia" w:ascii="宋体" w:hAnsi="宋体"/>
                <w:b/>
                <w:szCs w:val="21"/>
                <w:lang w:val="en-US" w:eastAsia="zh-CN"/>
              </w:rPr>
              <w:t>供货</w:t>
            </w:r>
            <w:r>
              <w:rPr>
                <w:rFonts w:hint="eastAsia" w:ascii="宋体" w:hAnsi="宋体"/>
                <w:b/>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82" w:type="dxa"/>
            <w:vAlign w:val="center"/>
          </w:tcPr>
          <w:p>
            <w:pPr>
              <w:tabs>
                <w:tab w:val="left" w:pos="8280"/>
              </w:tabs>
              <w:autoSpaceDE w:val="0"/>
              <w:autoSpaceDN w:val="0"/>
              <w:adjustRightInd w:val="0"/>
              <w:spacing w:line="480" w:lineRule="exact"/>
              <w:jc w:val="center"/>
              <w:rPr>
                <w:rFonts w:ascii="宋体" w:hAnsi="宋体" w:cs="宋体"/>
                <w:szCs w:val="21"/>
              </w:rPr>
            </w:pPr>
            <w:r>
              <w:rPr>
                <w:rFonts w:hint="eastAsia" w:ascii="宋体" w:hAnsi="宋体" w:cs="宋体"/>
                <w:szCs w:val="21"/>
              </w:rPr>
              <w:t>1</w:t>
            </w:r>
          </w:p>
        </w:tc>
        <w:tc>
          <w:tcPr>
            <w:tcW w:w="2011" w:type="dxa"/>
            <w:vAlign w:val="center"/>
          </w:tcPr>
          <w:p>
            <w:pPr>
              <w:tabs>
                <w:tab w:val="left" w:pos="8280"/>
              </w:tabs>
              <w:autoSpaceDE w:val="0"/>
              <w:autoSpaceDN w:val="0"/>
              <w:adjustRightInd w:val="0"/>
              <w:spacing w:line="400" w:lineRule="exact"/>
              <w:jc w:val="center"/>
              <w:rPr>
                <w:rFonts w:hint="eastAsia" w:ascii="宋体" w:hAnsi="宋体" w:eastAsia="宋体" w:cs="宋体"/>
                <w:b/>
                <w:szCs w:val="21"/>
                <w:lang w:eastAsia="zh-CN"/>
              </w:rPr>
            </w:pPr>
            <w:r>
              <w:rPr>
                <w:rFonts w:hint="eastAsia" w:ascii="宋体" w:hAnsi="宋体"/>
                <w:sz w:val="24"/>
                <w:lang w:eastAsia="zh-CN"/>
              </w:rPr>
              <w:t>三门县地表水水质自动监测系统建设项目</w:t>
            </w:r>
          </w:p>
        </w:tc>
        <w:tc>
          <w:tcPr>
            <w:tcW w:w="1043" w:type="dxa"/>
            <w:vAlign w:val="center"/>
          </w:tcPr>
          <w:p>
            <w:pPr>
              <w:tabs>
                <w:tab w:val="left" w:pos="8280"/>
              </w:tabs>
              <w:autoSpaceDE w:val="0"/>
              <w:autoSpaceDN w:val="0"/>
              <w:adjustRightInd w:val="0"/>
              <w:spacing w:line="400" w:lineRule="exact"/>
              <w:jc w:val="center"/>
              <w:rPr>
                <w:rFonts w:ascii="宋体" w:hAnsi="宋体" w:cs="宋体"/>
                <w:b/>
                <w:szCs w:val="21"/>
              </w:rPr>
            </w:pPr>
            <w:r>
              <w:rPr>
                <w:rFonts w:hint="eastAsia" w:ascii="宋体" w:hAnsi="宋体" w:cs="宋体"/>
                <w:szCs w:val="21"/>
              </w:rPr>
              <w:t>详见技术需求</w:t>
            </w:r>
          </w:p>
        </w:tc>
        <w:tc>
          <w:tcPr>
            <w:tcW w:w="708" w:type="dxa"/>
            <w:vAlign w:val="center"/>
          </w:tcPr>
          <w:p>
            <w:pPr>
              <w:tabs>
                <w:tab w:val="left" w:pos="8280"/>
              </w:tabs>
              <w:autoSpaceDE w:val="0"/>
              <w:autoSpaceDN w:val="0"/>
              <w:adjustRightInd w:val="0"/>
              <w:spacing w:line="480" w:lineRule="exact"/>
              <w:jc w:val="center"/>
              <w:rPr>
                <w:rFonts w:ascii="宋体" w:hAnsi="宋体" w:cs="宋体"/>
                <w:bCs/>
                <w:szCs w:val="21"/>
              </w:rPr>
            </w:pPr>
            <w:r>
              <w:rPr>
                <w:rFonts w:hint="eastAsia" w:ascii="宋体" w:hAnsi="宋体" w:cs="宋体"/>
                <w:bCs/>
                <w:szCs w:val="21"/>
              </w:rPr>
              <w:t>1</w:t>
            </w:r>
          </w:p>
        </w:tc>
        <w:tc>
          <w:tcPr>
            <w:tcW w:w="681" w:type="dxa"/>
            <w:vAlign w:val="center"/>
          </w:tcPr>
          <w:p>
            <w:pPr>
              <w:tabs>
                <w:tab w:val="left" w:pos="8280"/>
              </w:tabs>
              <w:autoSpaceDE w:val="0"/>
              <w:autoSpaceDN w:val="0"/>
              <w:adjustRightInd w:val="0"/>
              <w:spacing w:line="480" w:lineRule="exact"/>
              <w:jc w:val="center"/>
              <w:rPr>
                <w:rFonts w:ascii="宋体" w:hAnsi="宋体" w:cs="宋体"/>
                <w:bCs/>
                <w:szCs w:val="21"/>
              </w:rPr>
            </w:pPr>
            <w:r>
              <w:rPr>
                <w:rFonts w:hint="eastAsia" w:ascii="宋体" w:hAnsi="宋体" w:cs="宋体"/>
                <w:bCs/>
                <w:szCs w:val="21"/>
              </w:rPr>
              <w:t>项</w:t>
            </w:r>
          </w:p>
        </w:tc>
        <w:tc>
          <w:tcPr>
            <w:tcW w:w="1020" w:type="dxa"/>
            <w:vAlign w:val="center"/>
          </w:tcPr>
          <w:p>
            <w:pPr>
              <w:tabs>
                <w:tab w:val="left" w:pos="8280"/>
              </w:tabs>
              <w:autoSpaceDE w:val="0"/>
              <w:autoSpaceDN w:val="0"/>
              <w:adjustRightInd w:val="0"/>
              <w:spacing w:line="48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750</w:t>
            </w:r>
          </w:p>
        </w:tc>
        <w:tc>
          <w:tcPr>
            <w:tcW w:w="1130" w:type="dxa"/>
            <w:vAlign w:val="center"/>
          </w:tcPr>
          <w:p>
            <w:pPr>
              <w:tabs>
                <w:tab w:val="left" w:pos="8280"/>
              </w:tabs>
              <w:autoSpaceDE w:val="0"/>
              <w:autoSpaceDN w:val="0"/>
              <w:adjustRightInd w:val="0"/>
              <w:spacing w:line="48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750</w:t>
            </w:r>
          </w:p>
        </w:tc>
        <w:tc>
          <w:tcPr>
            <w:tcW w:w="1564" w:type="dxa"/>
            <w:vAlign w:val="center"/>
          </w:tcPr>
          <w:p>
            <w:pPr>
              <w:tabs>
                <w:tab w:val="left" w:pos="8280"/>
              </w:tabs>
              <w:autoSpaceDE w:val="0"/>
              <w:autoSpaceDN w:val="0"/>
              <w:adjustRightInd w:val="0"/>
              <w:spacing w:line="480" w:lineRule="exact"/>
              <w:jc w:val="center"/>
              <w:rPr>
                <w:rFonts w:hint="default" w:ascii="宋体" w:hAnsi="宋体" w:eastAsia="宋体" w:cs="宋体"/>
                <w:szCs w:val="21"/>
                <w:lang w:val="en-US" w:eastAsia="zh-CN"/>
              </w:rPr>
            </w:pPr>
            <w:r>
              <w:rPr>
                <w:rFonts w:hint="eastAsia" w:ascii="宋体" w:hAnsi="宋体" w:eastAsia="宋体" w:cs="宋体"/>
                <w:color w:val="auto"/>
              </w:rPr>
              <w:t>★</w:t>
            </w:r>
            <w:r>
              <w:rPr>
                <w:rFonts w:hint="eastAsia" w:ascii="宋体" w:hAnsi="宋体" w:cs="宋体"/>
                <w:szCs w:val="21"/>
                <w:lang w:val="en-US" w:eastAsia="zh-CN"/>
              </w:rPr>
              <w:t>合同签订后，在2022年10月底前完成</w:t>
            </w:r>
          </w:p>
        </w:tc>
      </w:tr>
    </w:tbl>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30"/>
          <w:szCs w:val="30"/>
        </w:rPr>
        <w:t>二</w:t>
      </w:r>
      <w:r>
        <w:rPr>
          <w:rFonts w:hint="eastAsia" w:ascii="宋体" w:hAnsi="宋体"/>
          <w:b/>
          <w:sz w:val="24"/>
        </w:rPr>
        <w:t>、</w:t>
      </w:r>
      <w:r>
        <w:rPr>
          <w:rFonts w:hint="eastAsia" w:ascii="宋体" w:hAnsi="宋体"/>
          <w:b/>
          <w:sz w:val="30"/>
          <w:szCs w:val="30"/>
        </w:rPr>
        <w:t>技术需求</w:t>
      </w:r>
    </w:p>
    <w:p>
      <w:pPr>
        <w:numPr>
          <w:ilvl w:val="0"/>
          <w:numId w:val="7"/>
        </w:numPr>
        <w:snapToGrid w:val="0"/>
        <w:spacing w:line="360" w:lineRule="auto"/>
        <w:ind w:left="-420" w:leftChars="0" w:firstLine="420" w:firstLineChars="0"/>
        <w:outlineLvl w:val="1"/>
        <w:rPr>
          <w:b/>
          <w:bCs/>
          <w:color w:val="000000"/>
          <w:sz w:val="24"/>
          <w:szCs w:val="24"/>
        </w:rPr>
      </w:pPr>
      <w:r>
        <w:rPr>
          <w:b/>
          <w:bCs/>
          <w:color w:val="000000"/>
          <w:sz w:val="24"/>
          <w:szCs w:val="24"/>
        </w:rPr>
        <w:t>项目具体需求说明</w:t>
      </w:r>
    </w:p>
    <w:p>
      <w:pPr>
        <w:spacing w:line="360" w:lineRule="auto"/>
        <w:ind w:firstLine="480" w:firstLineChars="200"/>
        <w:rPr>
          <w:rFonts w:hint="eastAsia"/>
          <w:color w:val="000000"/>
          <w:sz w:val="24"/>
          <w:szCs w:val="24"/>
        </w:rPr>
      </w:pPr>
      <w:r>
        <w:rPr>
          <w:rFonts w:hint="eastAsia"/>
          <w:color w:val="000000"/>
          <w:sz w:val="24"/>
          <w:szCs w:val="24"/>
        </w:rPr>
        <w:t>根据《关于建立健全环境污染问题发现机制的实施意见》，按照《台州市生态环境局关于印发2022 年全市生态环境保护分领域工作要点的通知》（台环函[2022]51号），三门县须在2022年底完成</w:t>
      </w:r>
      <w:r>
        <w:rPr>
          <w:color w:val="000000"/>
          <w:sz w:val="24"/>
          <w:szCs w:val="24"/>
        </w:rPr>
        <w:t>南豪桥、上叶桥、仙人桥、沙柳桥、外黎渡</w:t>
      </w:r>
      <w:r>
        <w:rPr>
          <w:rFonts w:hint="eastAsia"/>
          <w:color w:val="000000"/>
          <w:sz w:val="24"/>
          <w:szCs w:val="24"/>
        </w:rPr>
        <w:t>、</w:t>
      </w:r>
      <w:r>
        <w:rPr>
          <w:color w:val="000000"/>
          <w:sz w:val="24"/>
          <w:szCs w:val="24"/>
        </w:rPr>
        <w:t>大岙田水库、罗岙水库、施家岙水库、石门水库</w:t>
      </w:r>
      <w:r>
        <w:rPr>
          <w:rFonts w:hint="eastAsia"/>
          <w:color w:val="000000"/>
          <w:sz w:val="24"/>
          <w:szCs w:val="24"/>
        </w:rPr>
        <w:t>9个市控地表水自动监测站建设任务，具体位置见图一：</w:t>
      </w:r>
    </w:p>
    <w:p>
      <w:pPr>
        <w:spacing w:line="360" w:lineRule="auto"/>
        <w:rPr>
          <w:rFonts w:hint="eastAsia"/>
          <w:color w:val="0000FF"/>
          <w:sz w:val="24"/>
          <w:szCs w:val="24"/>
        </w:rPr>
      </w:pPr>
      <w:r>
        <w:rPr>
          <w:rFonts w:ascii="Times New Roman" w:hAnsi="Times New Roman" w:eastAsia="宋体" w:cs="Times New Roman"/>
          <w:kern w:val="2"/>
          <w:sz w:val="21"/>
          <w:szCs w:val="24"/>
          <w:lang w:val="en-US" w:eastAsia="zh-CN" w:bidi="ar-SA"/>
        </w:rPr>
        <w:drawing>
          <wp:inline distT="0" distB="0" distL="114300" distR="114300">
            <wp:extent cx="5337810" cy="3669030"/>
            <wp:effectExtent l="0" t="0" r="1524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lum/>
                    </a:blip>
                    <a:stretch>
                      <a:fillRect/>
                    </a:stretch>
                  </pic:blipFill>
                  <pic:spPr>
                    <a:xfrm>
                      <a:off x="0" y="0"/>
                      <a:ext cx="5337810" cy="3669030"/>
                    </a:xfrm>
                    <a:prstGeom prst="rect">
                      <a:avLst/>
                    </a:prstGeom>
                    <a:noFill/>
                    <a:ln>
                      <a:noFill/>
                    </a:ln>
                  </pic:spPr>
                </pic:pic>
              </a:graphicData>
            </a:graphic>
          </wp:inline>
        </w:drawing>
      </w:r>
    </w:p>
    <w:p>
      <w:pPr>
        <w:spacing w:line="360" w:lineRule="auto"/>
        <w:ind w:firstLine="480" w:firstLineChars="200"/>
        <w:jc w:val="center"/>
        <w:rPr>
          <w:color w:val="000000"/>
          <w:sz w:val="24"/>
          <w:szCs w:val="24"/>
        </w:rPr>
      </w:pPr>
      <w:r>
        <w:rPr>
          <w:rFonts w:hint="eastAsia"/>
          <w:color w:val="000000"/>
          <w:sz w:val="24"/>
          <w:szCs w:val="24"/>
        </w:rPr>
        <w:t>图一  2022年三门县市控地表水自动监测站点位示意图</w:t>
      </w:r>
    </w:p>
    <w:p>
      <w:pPr>
        <w:spacing w:line="360" w:lineRule="auto"/>
        <w:ind w:firstLine="480" w:firstLineChars="200"/>
        <w:rPr>
          <w:rFonts w:hint="eastAsia"/>
          <w:color w:val="000000"/>
          <w:sz w:val="24"/>
          <w:szCs w:val="24"/>
        </w:rPr>
      </w:pPr>
      <w:r>
        <w:rPr>
          <w:color w:val="000000"/>
          <w:sz w:val="24"/>
          <w:szCs w:val="24"/>
        </w:rPr>
        <w:t>结合</w:t>
      </w:r>
      <w:r>
        <w:rPr>
          <w:rFonts w:hint="eastAsia"/>
          <w:color w:val="000000"/>
          <w:sz w:val="24"/>
          <w:szCs w:val="24"/>
        </w:rPr>
        <w:t>断面性质和水站类别</w:t>
      </w:r>
      <w:r>
        <w:rPr>
          <w:color w:val="000000"/>
          <w:sz w:val="24"/>
          <w:szCs w:val="24"/>
        </w:rPr>
        <w:t>，</w:t>
      </w:r>
      <w:r>
        <w:rPr>
          <w:rFonts w:hint="eastAsia"/>
          <w:color w:val="000000"/>
          <w:sz w:val="24"/>
          <w:szCs w:val="24"/>
        </w:rPr>
        <w:t>监测因子选择如下：</w:t>
      </w:r>
    </w:p>
    <w:tbl>
      <w:tblPr>
        <w:tblStyle w:val="2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10"/>
        <w:gridCol w:w="1620"/>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序号</w:t>
            </w:r>
          </w:p>
        </w:tc>
        <w:tc>
          <w:tcPr>
            <w:tcW w:w="1710" w:type="dxa"/>
            <w:vAlign w:val="center"/>
          </w:tcPr>
          <w:p>
            <w:pPr>
              <w:spacing w:line="360" w:lineRule="auto"/>
              <w:jc w:val="center"/>
              <w:rPr>
                <w:sz w:val="24"/>
                <w:szCs w:val="24"/>
              </w:rPr>
            </w:pPr>
            <w:r>
              <w:rPr>
                <w:rFonts w:hint="eastAsia"/>
                <w:sz w:val="24"/>
                <w:szCs w:val="24"/>
              </w:rPr>
              <w:t>站点名称</w:t>
            </w:r>
          </w:p>
        </w:tc>
        <w:tc>
          <w:tcPr>
            <w:tcW w:w="1620" w:type="dxa"/>
            <w:vAlign w:val="center"/>
          </w:tcPr>
          <w:p>
            <w:pPr>
              <w:spacing w:line="360" w:lineRule="auto"/>
              <w:jc w:val="center"/>
              <w:rPr>
                <w:sz w:val="24"/>
                <w:szCs w:val="24"/>
              </w:rPr>
            </w:pPr>
            <w:r>
              <w:rPr>
                <w:rFonts w:hint="eastAsia"/>
                <w:sz w:val="24"/>
                <w:szCs w:val="24"/>
              </w:rPr>
              <w:t>水站类别</w:t>
            </w:r>
          </w:p>
        </w:tc>
        <w:tc>
          <w:tcPr>
            <w:tcW w:w="4755" w:type="dxa"/>
            <w:vAlign w:val="center"/>
          </w:tcPr>
          <w:p>
            <w:pPr>
              <w:spacing w:line="360" w:lineRule="auto"/>
              <w:jc w:val="center"/>
              <w:rPr>
                <w:rFonts w:hint="eastAsia"/>
                <w:sz w:val="24"/>
                <w:szCs w:val="24"/>
              </w:rPr>
            </w:pPr>
            <w:r>
              <w:rPr>
                <w:rFonts w:hint="eastAsia"/>
                <w:sz w:val="24"/>
                <w:szCs w:val="24"/>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1</w:t>
            </w:r>
          </w:p>
        </w:tc>
        <w:tc>
          <w:tcPr>
            <w:tcW w:w="1710" w:type="dxa"/>
            <w:vAlign w:val="center"/>
          </w:tcPr>
          <w:p>
            <w:pPr>
              <w:spacing w:line="360" w:lineRule="auto"/>
              <w:jc w:val="center"/>
              <w:rPr>
                <w:rFonts w:hint="eastAsia"/>
                <w:sz w:val="24"/>
                <w:szCs w:val="24"/>
              </w:rPr>
            </w:pPr>
            <w:r>
              <w:rPr>
                <w:sz w:val="24"/>
                <w:szCs w:val="24"/>
              </w:rPr>
              <w:t>南豪桥</w:t>
            </w:r>
          </w:p>
        </w:tc>
        <w:tc>
          <w:tcPr>
            <w:tcW w:w="1620" w:type="dxa"/>
            <w:vMerge w:val="restart"/>
            <w:vAlign w:val="center"/>
          </w:tcPr>
          <w:p>
            <w:pPr>
              <w:spacing w:line="360" w:lineRule="auto"/>
              <w:jc w:val="center"/>
              <w:rPr>
                <w:rFonts w:hint="eastAsia"/>
                <w:sz w:val="24"/>
                <w:szCs w:val="24"/>
              </w:rPr>
            </w:pPr>
            <w:r>
              <w:rPr>
                <w:rFonts w:hint="eastAsia"/>
                <w:sz w:val="24"/>
                <w:szCs w:val="24"/>
              </w:rPr>
              <w:t>地表水</w:t>
            </w:r>
          </w:p>
        </w:tc>
        <w:tc>
          <w:tcPr>
            <w:tcW w:w="4755" w:type="dxa"/>
            <w:vMerge w:val="restart"/>
            <w:vAlign w:val="center"/>
          </w:tcPr>
          <w:p>
            <w:pPr>
              <w:spacing w:line="360" w:lineRule="auto"/>
              <w:jc w:val="center"/>
              <w:rPr>
                <w:rFonts w:hint="eastAsia"/>
                <w:sz w:val="24"/>
                <w:szCs w:val="24"/>
              </w:rPr>
            </w:pPr>
            <w:r>
              <w:rPr>
                <w:sz w:val="24"/>
                <w:szCs w:val="24"/>
              </w:rPr>
              <w:t>常规五参数（温度、pH、溶解氧、电导率、浊度）、高锰酸盐指数、氨氮、总磷、总氮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2</w:t>
            </w:r>
          </w:p>
        </w:tc>
        <w:tc>
          <w:tcPr>
            <w:tcW w:w="1710" w:type="dxa"/>
            <w:vAlign w:val="center"/>
          </w:tcPr>
          <w:p>
            <w:pPr>
              <w:spacing w:line="360" w:lineRule="auto"/>
              <w:jc w:val="center"/>
              <w:rPr>
                <w:rFonts w:hint="eastAsia"/>
                <w:sz w:val="24"/>
                <w:szCs w:val="24"/>
              </w:rPr>
            </w:pPr>
            <w:r>
              <w:rPr>
                <w:sz w:val="24"/>
                <w:szCs w:val="24"/>
              </w:rPr>
              <w:t>上叶桥</w:t>
            </w:r>
          </w:p>
        </w:tc>
        <w:tc>
          <w:tcPr>
            <w:tcW w:w="1620" w:type="dxa"/>
            <w:vMerge w:val="continue"/>
            <w:vAlign w:val="top"/>
          </w:tcPr>
          <w:p>
            <w:pPr>
              <w:spacing w:line="360" w:lineRule="auto"/>
              <w:rPr>
                <w:rFonts w:hint="eastAsia"/>
                <w:sz w:val="24"/>
                <w:szCs w:val="24"/>
              </w:rPr>
            </w:pPr>
          </w:p>
        </w:tc>
        <w:tc>
          <w:tcPr>
            <w:tcW w:w="4755" w:type="dxa"/>
            <w:vMerge w:val="continue"/>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3</w:t>
            </w:r>
          </w:p>
        </w:tc>
        <w:tc>
          <w:tcPr>
            <w:tcW w:w="1710" w:type="dxa"/>
            <w:vAlign w:val="center"/>
          </w:tcPr>
          <w:p>
            <w:pPr>
              <w:spacing w:line="360" w:lineRule="auto"/>
              <w:jc w:val="center"/>
              <w:rPr>
                <w:rFonts w:hint="eastAsia"/>
                <w:sz w:val="24"/>
                <w:szCs w:val="24"/>
              </w:rPr>
            </w:pPr>
            <w:r>
              <w:rPr>
                <w:sz w:val="24"/>
                <w:szCs w:val="24"/>
              </w:rPr>
              <w:t>仙人桥</w:t>
            </w:r>
          </w:p>
        </w:tc>
        <w:tc>
          <w:tcPr>
            <w:tcW w:w="1620" w:type="dxa"/>
            <w:vMerge w:val="continue"/>
            <w:vAlign w:val="top"/>
          </w:tcPr>
          <w:p>
            <w:pPr>
              <w:spacing w:line="360" w:lineRule="auto"/>
              <w:rPr>
                <w:rFonts w:hint="eastAsia"/>
                <w:sz w:val="24"/>
                <w:szCs w:val="24"/>
              </w:rPr>
            </w:pPr>
          </w:p>
        </w:tc>
        <w:tc>
          <w:tcPr>
            <w:tcW w:w="4755" w:type="dxa"/>
            <w:vMerge w:val="continue"/>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4</w:t>
            </w:r>
          </w:p>
        </w:tc>
        <w:tc>
          <w:tcPr>
            <w:tcW w:w="1710" w:type="dxa"/>
            <w:vAlign w:val="center"/>
          </w:tcPr>
          <w:p>
            <w:pPr>
              <w:spacing w:line="360" w:lineRule="auto"/>
              <w:jc w:val="center"/>
              <w:rPr>
                <w:rFonts w:hint="eastAsia"/>
                <w:sz w:val="24"/>
                <w:szCs w:val="24"/>
              </w:rPr>
            </w:pPr>
            <w:r>
              <w:rPr>
                <w:sz w:val="24"/>
                <w:szCs w:val="24"/>
              </w:rPr>
              <w:t>沙柳桥</w:t>
            </w:r>
          </w:p>
        </w:tc>
        <w:tc>
          <w:tcPr>
            <w:tcW w:w="1620" w:type="dxa"/>
            <w:vMerge w:val="continue"/>
            <w:vAlign w:val="top"/>
          </w:tcPr>
          <w:p>
            <w:pPr>
              <w:spacing w:line="360" w:lineRule="auto"/>
              <w:rPr>
                <w:rFonts w:hint="eastAsia"/>
                <w:sz w:val="24"/>
                <w:szCs w:val="24"/>
              </w:rPr>
            </w:pPr>
          </w:p>
        </w:tc>
        <w:tc>
          <w:tcPr>
            <w:tcW w:w="4755" w:type="dxa"/>
            <w:vMerge w:val="continue"/>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5</w:t>
            </w:r>
          </w:p>
        </w:tc>
        <w:tc>
          <w:tcPr>
            <w:tcW w:w="1710" w:type="dxa"/>
            <w:vAlign w:val="center"/>
          </w:tcPr>
          <w:p>
            <w:pPr>
              <w:spacing w:line="360" w:lineRule="auto"/>
              <w:jc w:val="center"/>
              <w:rPr>
                <w:rFonts w:hint="eastAsia"/>
                <w:sz w:val="24"/>
                <w:szCs w:val="24"/>
              </w:rPr>
            </w:pPr>
            <w:r>
              <w:rPr>
                <w:sz w:val="24"/>
                <w:szCs w:val="24"/>
              </w:rPr>
              <w:t>外黎渡</w:t>
            </w:r>
          </w:p>
        </w:tc>
        <w:tc>
          <w:tcPr>
            <w:tcW w:w="1620" w:type="dxa"/>
            <w:vMerge w:val="continue"/>
            <w:vAlign w:val="top"/>
          </w:tcPr>
          <w:p>
            <w:pPr>
              <w:spacing w:line="360" w:lineRule="auto"/>
              <w:rPr>
                <w:rFonts w:hint="eastAsia"/>
                <w:sz w:val="24"/>
                <w:szCs w:val="24"/>
              </w:rPr>
            </w:pPr>
          </w:p>
        </w:tc>
        <w:tc>
          <w:tcPr>
            <w:tcW w:w="4755" w:type="dxa"/>
            <w:vMerge w:val="continue"/>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99" w:type="dxa"/>
            <w:vAlign w:val="center"/>
          </w:tcPr>
          <w:p>
            <w:pPr>
              <w:spacing w:line="360" w:lineRule="auto"/>
              <w:jc w:val="center"/>
              <w:rPr>
                <w:sz w:val="24"/>
                <w:szCs w:val="24"/>
              </w:rPr>
            </w:pPr>
            <w:r>
              <w:rPr>
                <w:rFonts w:hint="eastAsia"/>
                <w:sz w:val="24"/>
                <w:szCs w:val="24"/>
              </w:rPr>
              <w:t>6</w:t>
            </w:r>
          </w:p>
        </w:tc>
        <w:tc>
          <w:tcPr>
            <w:tcW w:w="1710" w:type="dxa"/>
            <w:vAlign w:val="center"/>
          </w:tcPr>
          <w:p>
            <w:pPr>
              <w:spacing w:line="360" w:lineRule="auto"/>
              <w:jc w:val="center"/>
              <w:rPr>
                <w:rFonts w:hint="eastAsia"/>
                <w:sz w:val="24"/>
                <w:szCs w:val="24"/>
              </w:rPr>
            </w:pPr>
            <w:r>
              <w:rPr>
                <w:sz w:val="24"/>
                <w:szCs w:val="24"/>
              </w:rPr>
              <w:t>大岙田水库</w:t>
            </w:r>
          </w:p>
        </w:tc>
        <w:tc>
          <w:tcPr>
            <w:tcW w:w="1620" w:type="dxa"/>
            <w:vMerge w:val="restart"/>
            <w:vAlign w:val="center"/>
          </w:tcPr>
          <w:p>
            <w:pPr>
              <w:spacing w:line="360" w:lineRule="auto"/>
              <w:jc w:val="center"/>
              <w:rPr>
                <w:sz w:val="24"/>
                <w:szCs w:val="24"/>
              </w:rPr>
            </w:pPr>
            <w:r>
              <w:rPr>
                <w:rFonts w:hint="eastAsia"/>
                <w:sz w:val="24"/>
                <w:szCs w:val="24"/>
              </w:rPr>
              <w:t>饮用水</w:t>
            </w:r>
          </w:p>
        </w:tc>
        <w:tc>
          <w:tcPr>
            <w:tcW w:w="4755" w:type="dxa"/>
            <w:vMerge w:val="restart"/>
            <w:vAlign w:val="top"/>
          </w:tcPr>
          <w:p>
            <w:pPr>
              <w:spacing w:line="360" w:lineRule="auto"/>
              <w:rPr>
                <w:rFonts w:hint="eastAsia"/>
                <w:sz w:val="24"/>
                <w:szCs w:val="24"/>
              </w:rPr>
            </w:pPr>
            <w:r>
              <w:rPr>
                <w:sz w:val="24"/>
                <w:szCs w:val="24"/>
              </w:rPr>
              <w:t>常规五参数（温度、pH、溶解氧、电导率、浊度）、高锰酸盐指数、氨氮、总磷、总氮、叶绿素a、</w:t>
            </w:r>
            <w:r>
              <w:rPr>
                <w:rFonts w:hint="eastAsia"/>
                <w:sz w:val="24"/>
                <w:szCs w:val="24"/>
              </w:rPr>
              <w:t>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7</w:t>
            </w:r>
          </w:p>
        </w:tc>
        <w:tc>
          <w:tcPr>
            <w:tcW w:w="1710" w:type="dxa"/>
            <w:vAlign w:val="center"/>
          </w:tcPr>
          <w:p>
            <w:pPr>
              <w:spacing w:line="360" w:lineRule="auto"/>
              <w:jc w:val="center"/>
              <w:rPr>
                <w:rFonts w:hint="eastAsia"/>
                <w:sz w:val="24"/>
                <w:szCs w:val="24"/>
              </w:rPr>
            </w:pPr>
            <w:r>
              <w:rPr>
                <w:sz w:val="24"/>
                <w:szCs w:val="24"/>
              </w:rPr>
              <w:t>施家岙水库</w:t>
            </w:r>
          </w:p>
        </w:tc>
        <w:tc>
          <w:tcPr>
            <w:tcW w:w="1620" w:type="dxa"/>
            <w:vMerge w:val="continue"/>
            <w:vAlign w:val="top"/>
          </w:tcPr>
          <w:p>
            <w:pPr>
              <w:spacing w:line="360" w:lineRule="auto"/>
              <w:rPr>
                <w:rFonts w:hint="eastAsia"/>
                <w:sz w:val="24"/>
                <w:szCs w:val="24"/>
              </w:rPr>
            </w:pPr>
          </w:p>
        </w:tc>
        <w:tc>
          <w:tcPr>
            <w:tcW w:w="4755" w:type="dxa"/>
            <w:vMerge w:val="continue"/>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8</w:t>
            </w:r>
          </w:p>
        </w:tc>
        <w:tc>
          <w:tcPr>
            <w:tcW w:w="1710" w:type="dxa"/>
            <w:vAlign w:val="center"/>
          </w:tcPr>
          <w:p>
            <w:pPr>
              <w:spacing w:line="360" w:lineRule="auto"/>
              <w:jc w:val="center"/>
              <w:rPr>
                <w:rFonts w:hint="eastAsia"/>
                <w:sz w:val="24"/>
                <w:szCs w:val="24"/>
              </w:rPr>
            </w:pPr>
            <w:r>
              <w:rPr>
                <w:sz w:val="24"/>
                <w:szCs w:val="24"/>
              </w:rPr>
              <w:t>石门水库</w:t>
            </w:r>
          </w:p>
        </w:tc>
        <w:tc>
          <w:tcPr>
            <w:tcW w:w="1620" w:type="dxa"/>
            <w:vAlign w:val="center"/>
          </w:tcPr>
          <w:p>
            <w:pPr>
              <w:spacing w:line="360" w:lineRule="auto"/>
              <w:jc w:val="center"/>
              <w:rPr>
                <w:rFonts w:hint="eastAsia"/>
                <w:sz w:val="24"/>
                <w:szCs w:val="24"/>
              </w:rPr>
            </w:pPr>
            <w:r>
              <w:rPr>
                <w:rFonts w:hint="eastAsia"/>
                <w:sz w:val="24"/>
                <w:szCs w:val="24"/>
              </w:rPr>
              <w:t>饮用水</w:t>
            </w:r>
          </w:p>
        </w:tc>
        <w:tc>
          <w:tcPr>
            <w:tcW w:w="4755" w:type="dxa"/>
            <w:vAlign w:val="top"/>
          </w:tcPr>
          <w:p>
            <w:pPr>
              <w:spacing w:line="360" w:lineRule="auto"/>
              <w:rPr>
                <w:rFonts w:hint="eastAsia"/>
                <w:sz w:val="24"/>
                <w:szCs w:val="24"/>
              </w:rPr>
            </w:pPr>
            <w:r>
              <w:rPr>
                <w:sz w:val="24"/>
                <w:szCs w:val="24"/>
              </w:rPr>
              <w:t>常规五参数（温度、pH、溶解氧、电导率、浊度）、高锰酸盐指数、氨氮、总磷、总氮、叶绿素a、生物毒性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sz w:val="24"/>
                <w:szCs w:val="24"/>
              </w:rPr>
            </w:pPr>
            <w:r>
              <w:rPr>
                <w:rFonts w:hint="eastAsia"/>
                <w:sz w:val="24"/>
                <w:szCs w:val="24"/>
              </w:rPr>
              <w:t>9</w:t>
            </w:r>
          </w:p>
        </w:tc>
        <w:tc>
          <w:tcPr>
            <w:tcW w:w="1710" w:type="dxa"/>
            <w:vAlign w:val="center"/>
          </w:tcPr>
          <w:p>
            <w:pPr>
              <w:spacing w:line="360" w:lineRule="auto"/>
              <w:jc w:val="center"/>
              <w:rPr>
                <w:rFonts w:hint="eastAsia"/>
                <w:sz w:val="24"/>
                <w:szCs w:val="24"/>
              </w:rPr>
            </w:pPr>
            <w:r>
              <w:rPr>
                <w:sz w:val="24"/>
                <w:szCs w:val="24"/>
              </w:rPr>
              <w:t>罗岙水库</w:t>
            </w:r>
          </w:p>
        </w:tc>
        <w:tc>
          <w:tcPr>
            <w:tcW w:w="1620" w:type="dxa"/>
            <w:vAlign w:val="center"/>
          </w:tcPr>
          <w:p>
            <w:pPr>
              <w:spacing w:line="360" w:lineRule="auto"/>
              <w:jc w:val="center"/>
              <w:rPr>
                <w:rFonts w:hint="eastAsia"/>
                <w:sz w:val="24"/>
                <w:szCs w:val="24"/>
              </w:rPr>
            </w:pPr>
            <w:r>
              <w:rPr>
                <w:rFonts w:hint="eastAsia"/>
                <w:sz w:val="24"/>
                <w:szCs w:val="24"/>
              </w:rPr>
              <w:t>饮用水</w:t>
            </w:r>
          </w:p>
        </w:tc>
        <w:tc>
          <w:tcPr>
            <w:tcW w:w="4755" w:type="dxa"/>
            <w:vAlign w:val="top"/>
          </w:tcPr>
          <w:p>
            <w:pPr>
              <w:spacing w:line="360" w:lineRule="auto"/>
              <w:rPr>
                <w:rFonts w:hint="eastAsia"/>
                <w:sz w:val="24"/>
                <w:szCs w:val="24"/>
              </w:rPr>
            </w:pPr>
            <w:r>
              <w:rPr>
                <w:sz w:val="24"/>
                <w:szCs w:val="24"/>
              </w:rPr>
              <w:t>常规五参数（温度、pH、溶解氧、电导率、浊度）、高锰酸盐指数、氨氮、总磷、总氮、</w:t>
            </w:r>
            <w:r>
              <w:rPr>
                <w:rFonts w:hint="eastAsia"/>
                <w:sz w:val="24"/>
                <w:szCs w:val="24"/>
              </w:rPr>
              <w:t>藻分类、</w:t>
            </w:r>
            <w:r>
              <w:rPr>
                <w:sz w:val="24"/>
                <w:szCs w:val="24"/>
              </w:rPr>
              <w:t>透明度。</w:t>
            </w:r>
          </w:p>
        </w:tc>
      </w:tr>
    </w:tbl>
    <w:p>
      <w:pPr>
        <w:spacing w:line="360" w:lineRule="auto"/>
        <w:ind w:firstLine="480" w:firstLineChars="200"/>
        <w:rPr>
          <w:rFonts w:hint="eastAsia"/>
          <w:color w:val="000000"/>
          <w:sz w:val="24"/>
          <w:szCs w:val="24"/>
        </w:rPr>
      </w:pPr>
      <w:r>
        <w:rPr>
          <w:rFonts w:hint="eastAsia"/>
          <w:color w:val="000000"/>
          <w:sz w:val="24"/>
          <w:szCs w:val="24"/>
        </w:rPr>
        <w:t>同时，为建立健全环境应急监测工作机制，切实提高三门县环境应急能力，有效应对突发环境事件，本项目需采购1套便携式水质自动分析仪。</w:t>
      </w:r>
    </w:p>
    <w:p>
      <w:pPr>
        <w:keepNext/>
        <w:keepLines/>
        <w:numPr>
          <w:ilvl w:val="0"/>
          <w:numId w:val="8"/>
        </w:numPr>
        <w:spacing w:before="160" w:after="160" w:line="360" w:lineRule="auto"/>
        <w:contextualSpacing/>
        <w:jc w:val="left"/>
        <w:outlineLvl w:val="2"/>
        <w:rPr>
          <w:b/>
          <w:sz w:val="24"/>
          <w:szCs w:val="24"/>
        </w:rPr>
      </w:pPr>
      <w:bookmarkStart w:id="30" w:name="_Toc73614326"/>
      <w:r>
        <w:rPr>
          <w:b/>
          <w:sz w:val="24"/>
          <w:szCs w:val="24"/>
        </w:rPr>
        <w:t>总体要求</w:t>
      </w:r>
      <w:bookmarkEnd w:id="30"/>
    </w:p>
    <w:p>
      <w:pPr>
        <w:keepNext/>
        <w:keepLines/>
        <w:spacing w:before="160" w:after="160" w:line="360" w:lineRule="auto"/>
        <w:ind w:firstLine="480" w:firstLineChars="200"/>
        <w:contextualSpacing/>
        <w:jc w:val="left"/>
        <w:outlineLvl w:val="2"/>
        <w:rPr>
          <w:b/>
          <w:color w:val="000000"/>
          <w:sz w:val="24"/>
          <w:szCs w:val="24"/>
        </w:rPr>
      </w:pPr>
      <w:r>
        <w:rPr>
          <w:color w:val="000000"/>
          <w:sz w:val="24"/>
          <w:szCs w:val="24"/>
        </w:rPr>
        <w:t>1、本招标文件中带“▲”的条款为本项目重要的技术要求项，对项目实施效果存在重大影响，投标人须提供证明材料或做详细技术方案说明以确保项目有效实施，评标委员会将按照评分细则对该条款作技术评分</w:t>
      </w:r>
      <w:r>
        <w:rPr>
          <w:rFonts w:hint="eastAsia"/>
          <w:color w:val="000000"/>
          <w:sz w:val="24"/>
          <w:szCs w:val="24"/>
          <w:lang w:eastAsia="zh-CN"/>
        </w:rPr>
        <w:t>。</w:t>
      </w:r>
    </w:p>
    <w:p>
      <w:pPr>
        <w:spacing w:line="360" w:lineRule="auto"/>
        <w:ind w:firstLine="480" w:firstLineChars="200"/>
        <w:rPr>
          <w:sz w:val="24"/>
          <w:szCs w:val="24"/>
        </w:rPr>
      </w:pPr>
      <w:r>
        <w:rPr>
          <w:rFonts w:hint="eastAsia"/>
          <w:sz w:val="24"/>
          <w:szCs w:val="24"/>
        </w:rPr>
        <w:t>2</w:t>
      </w:r>
      <w:r>
        <w:rPr>
          <w:sz w:val="24"/>
          <w:szCs w:val="24"/>
        </w:rPr>
        <w:t>、投标人所</w:t>
      </w:r>
      <w:r>
        <w:rPr>
          <w:rFonts w:hint="eastAsia"/>
          <w:sz w:val="24"/>
          <w:szCs w:val="24"/>
        </w:rPr>
        <w:t>投五参数</w:t>
      </w:r>
      <w:r>
        <w:rPr>
          <w:sz w:val="24"/>
          <w:szCs w:val="24"/>
        </w:rPr>
        <w:t>、高锰酸盐指数、氨氮、总磷、总氮</w:t>
      </w:r>
      <w:r>
        <w:rPr>
          <w:rFonts w:hint="eastAsia"/>
          <w:sz w:val="24"/>
          <w:szCs w:val="24"/>
        </w:rPr>
        <w:t>分析</w:t>
      </w:r>
      <w:r>
        <w:rPr>
          <w:sz w:val="24"/>
          <w:szCs w:val="24"/>
        </w:rPr>
        <w:t>仪器</w:t>
      </w:r>
      <w:r>
        <w:rPr>
          <w:rFonts w:hint="eastAsia"/>
          <w:sz w:val="24"/>
          <w:szCs w:val="24"/>
        </w:rPr>
        <w:t>，需提供由</w:t>
      </w:r>
      <w:r>
        <w:rPr>
          <w:sz w:val="24"/>
          <w:szCs w:val="24"/>
        </w:rPr>
        <w:t>国家生态环境部（原国家环境保护部）质量监督检验中心出具的检测报告。</w:t>
      </w:r>
    </w:p>
    <w:p>
      <w:pPr>
        <w:spacing w:line="360" w:lineRule="auto"/>
        <w:ind w:firstLine="480" w:firstLineChars="200"/>
        <w:rPr>
          <w:sz w:val="24"/>
          <w:szCs w:val="24"/>
        </w:rPr>
      </w:pPr>
      <w:r>
        <w:rPr>
          <w:rFonts w:hint="eastAsia"/>
          <w:sz w:val="24"/>
          <w:szCs w:val="24"/>
        </w:rPr>
        <w:t>3</w:t>
      </w:r>
      <w:r>
        <w:rPr>
          <w:sz w:val="24"/>
          <w:szCs w:val="24"/>
        </w:rPr>
        <w:t>、投标人所投</w:t>
      </w:r>
      <w:r>
        <w:rPr>
          <w:rFonts w:hint="eastAsia"/>
          <w:sz w:val="24"/>
          <w:szCs w:val="24"/>
        </w:rPr>
        <w:t>仪器</w:t>
      </w:r>
      <w:r>
        <w:rPr>
          <w:sz w:val="24"/>
          <w:szCs w:val="24"/>
        </w:rPr>
        <w:t>必须满足本文规定的分析方法和技术指标要求</w:t>
      </w:r>
      <w:r>
        <w:rPr>
          <w:rFonts w:hint="eastAsia"/>
          <w:sz w:val="24"/>
          <w:szCs w:val="24"/>
        </w:rPr>
        <w:t>，各仪器</w:t>
      </w:r>
      <w:r>
        <w:rPr>
          <w:sz w:val="24"/>
          <w:szCs w:val="24"/>
        </w:rPr>
        <w:t>的技术指标投标人需提供相关资料佐证</w:t>
      </w:r>
      <w:r>
        <w:rPr>
          <w:rFonts w:hint="eastAsia"/>
          <w:sz w:val="24"/>
          <w:szCs w:val="24"/>
        </w:rPr>
        <w:t>，中标后需提使用操作说明；</w:t>
      </w:r>
    </w:p>
    <w:p>
      <w:pPr>
        <w:pStyle w:val="3"/>
        <w:spacing w:after="0" w:line="360" w:lineRule="auto"/>
        <w:ind w:firstLine="482"/>
        <w:rPr>
          <w:rFonts w:hint="eastAsia"/>
        </w:rPr>
      </w:pPr>
      <w:r>
        <w:rPr>
          <w:rFonts w:hint="eastAsia"/>
        </w:rPr>
        <w:t>4、</w:t>
      </w:r>
      <w:r>
        <w:rPr>
          <w:rFonts w:hint="eastAsia"/>
          <w:szCs w:val="24"/>
        </w:rPr>
        <w:t>应</w:t>
      </w:r>
      <w:r>
        <w:rPr>
          <w:szCs w:val="24"/>
        </w:rPr>
        <w:t>优先选择</w:t>
      </w:r>
      <w:r>
        <w:rPr>
          <w:rFonts w:hint="eastAsia"/>
          <w:szCs w:val="24"/>
        </w:rPr>
        <w:t>知名度高</w:t>
      </w:r>
      <w:r>
        <w:rPr>
          <w:szCs w:val="24"/>
        </w:rPr>
        <w:t>、</w:t>
      </w:r>
      <w:r>
        <w:rPr>
          <w:szCs w:val="21"/>
        </w:rPr>
        <w:t>智能化、网络化、集成化、小型化、快速化</w:t>
      </w:r>
      <w:r>
        <w:rPr>
          <w:rFonts w:hint="eastAsia"/>
          <w:szCs w:val="21"/>
        </w:rPr>
        <w:t>和</w:t>
      </w:r>
      <w:r>
        <w:rPr>
          <w:szCs w:val="21"/>
        </w:rPr>
        <w:t>试剂少量化</w:t>
      </w:r>
      <w:r>
        <w:rPr>
          <w:rFonts w:hint="eastAsia"/>
          <w:szCs w:val="21"/>
        </w:rPr>
        <w:t>的</w:t>
      </w:r>
      <w:r>
        <w:rPr>
          <w:szCs w:val="21"/>
        </w:rPr>
        <w:t>监测</w:t>
      </w:r>
      <w:r>
        <w:rPr>
          <w:rFonts w:hint="eastAsia"/>
          <w:szCs w:val="21"/>
        </w:rPr>
        <w:t>仪器</w:t>
      </w:r>
      <w:r>
        <w:rPr>
          <w:szCs w:val="21"/>
        </w:rPr>
        <w:t>。</w:t>
      </w:r>
    </w:p>
    <w:p>
      <w:pPr>
        <w:spacing w:line="360" w:lineRule="auto"/>
        <w:ind w:firstLine="480" w:firstLineChars="200"/>
        <w:rPr>
          <w:sz w:val="24"/>
          <w:szCs w:val="24"/>
        </w:rPr>
      </w:pPr>
      <w:r>
        <w:rPr>
          <w:rFonts w:hint="eastAsia"/>
          <w:sz w:val="24"/>
          <w:szCs w:val="24"/>
        </w:rPr>
        <w:t>5</w:t>
      </w:r>
      <w:r>
        <w:rPr>
          <w:sz w:val="24"/>
          <w:szCs w:val="24"/>
        </w:rPr>
        <w:t>、投标人必须有较强的系统集成能力，提供优质的售后及本地运维服务，在业界有良好的信誉和口碑，具有水质自动监测站集成及管理平台开发经验。</w:t>
      </w:r>
    </w:p>
    <w:p>
      <w:pPr>
        <w:spacing w:line="360" w:lineRule="auto"/>
        <w:ind w:firstLine="480" w:firstLineChars="200"/>
        <w:rPr>
          <w:sz w:val="24"/>
          <w:szCs w:val="24"/>
        </w:rPr>
      </w:pPr>
      <w:r>
        <w:rPr>
          <w:rFonts w:hint="eastAsia"/>
          <w:sz w:val="24"/>
          <w:szCs w:val="24"/>
        </w:rPr>
        <w:t>6</w:t>
      </w:r>
      <w:r>
        <w:rPr>
          <w:sz w:val="24"/>
          <w:szCs w:val="24"/>
        </w:rPr>
        <w:t>、投标人应提供所代表品牌厂商原装、全新的、符合国家及招标人提出的有关质量标准的仪器</w:t>
      </w:r>
      <w:r>
        <w:rPr>
          <w:rFonts w:hint="eastAsia"/>
          <w:sz w:val="24"/>
          <w:szCs w:val="24"/>
        </w:rPr>
        <w:t>和站房</w:t>
      </w:r>
      <w:r>
        <w:rPr>
          <w:sz w:val="24"/>
          <w:szCs w:val="24"/>
        </w:rPr>
        <w:t>，提供</w:t>
      </w:r>
      <w:r>
        <w:rPr>
          <w:rFonts w:hint="eastAsia"/>
          <w:sz w:val="24"/>
          <w:szCs w:val="24"/>
        </w:rPr>
        <w:t>相关证书或</w:t>
      </w:r>
      <w:r>
        <w:rPr>
          <w:sz w:val="24"/>
          <w:szCs w:val="24"/>
        </w:rPr>
        <w:t>资料。</w:t>
      </w:r>
    </w:p>
    <w:p>
      <w:pPr>
        <w:spacing w:line="360" w:lineRule="auto"/>
        <w:ind w:firstLine="480" w:firstLineChars="200"/>
        <w:rPr>
          <w:sz w:val="24"/>
          <w:szCs w:val="24"/>
        </w:rPr>
      </w:pPr>
      <w:r>
        <w:rPr>
          <w:rFonts w:hint="eastAsia"/>
          <w:sz w:val="24"/>
          <w:szCs w:val="24"/>
        </w:rPr>
        <w:t>7</w:t>
      </w:r>
      <w:r>
        <w:rPr>
          <w:sz w:val="24"/>
          <w:szCs w:val="24"/>
        </w:rPr>
        <w:t>、中标人必须能够或承诺提供长期技术服务及备品备件供应。</w:t>
      </w:r>
    </w:p>
    <w:p>
      <w:pPr>
        <w:spacing w:line="360" w:lineRule="auto"/>
        <w:ind w:firstLine="480" w:firstLineChars="200"/>
        <w:rPr>
          <w:sz w:val="24"/>
          <w:szCs w:val="24"/>
        </w:rPr>
      </w:pPr>
      <w:r>
        <w:rPr>
          <w:rFonts w:hint="eastAsia"/>
          <w:sz w:val="24"/>
          <w:szCs w:val="24"/>
        </w:rPr>
        <w:t>8</w:t>
      </w:r>
      <w:r>
        <w:rPr>
          <w:sz w:val="24"/>
          <w:szCs w:val="24"/>
        </w:rPr>
        <w:t>、供应商必须书面对本项目的售后服务及培训方案及计划做出承诺，并指派具备专业资格证书的人员负责与采购人联系及负责售后服务培训事宜。</w:t>
      </w:r>
    </w:p>
    <w:p>
      <w:pPr>
        <w:spacing w:line="360" w:lineRule="auto"/>
        <w:ind w:firstLine="480" w:firstLineChars="200"/>
        <w:rPr>
          <w:sz w:val="24"/>
          <w:szCs w:val="24"/>
        </w:rPr>
      </w:pPr>
      <w:r>
        <w:rPr>
          <w:rFonts w:hint="eastAsia"/>
          <w:sz w:val="24"/>
          <w:szCs w:val="24"/>
        </w:rPr>
        <w:t>9</w:t>
      </w:r>
      <w:r>
        <w:rPr>
          <w:sz w:val="24"/>
          <w:szCs w:val="24"/>
        </w:rPr>
        <w:t>、供应商应承诺其所出售的产品不侵犯他人的知识产权。如有侵权行为，由投标方完全负责。</w:t>
      </w:r>
    </w:p>
    <w:p>
      <w:pPr>
        <w:spacing w:line="360" w:lineRule="auto"/>
        <w:ind w:firstLine="480" w:firstLineChars="200"/>
        <w:rPr>
          <w:color w:val="000000"/>
          <w:sz w:val="24"/>
          <w:szCs w:val="24"/>
        </w:rPr>
      </w:pPr>
      <w:r>
        <w:rPr>
          <w:rFonts w:hint="eastAsia"/>
          <w:color w:val="000000"/>
          <w:sz w:val="24"/>
          <w:szCs w:val="24"/>
        </w:rPr>
        <w:t>10、现场数据按甲方要求接入相应的平台，并做好备份</w:t>
      </w:r>
      <w:r>
        <w:rPr>
          <w:color w:val="000000"/>
          <w:sz w:val="24"/>
          <w:szCs w:val="24"/>
        </w:rPr>
        <w:t>。</w:t>
      </w:r>
    </w:p>
    <w:p>
      <w:pPr>
        <w:spacing w:line="360" w:lineRule="auto"/>
        <w:ind w:firstLine="480" w:firstLineChars="200"/>
        <w:rPr>
          <w:color w:val="000000"/>
          <w:sz w:val="24"/>
          <w:szCs w:val="24"/>
        </w:rPr>
      </w:pPr>
      <w:r>
        <w:rPr>
          <w:rFonts w:hint="eastAsia"/>
          <w:color w:val="000000"/>
          <w:sz w:val="24"/>
          <w:szCs w:val="24"/>
        </w:rPr>
        <w:t>11、各投标单位需根据项目的要求，结合实际开展现场踏勘，并在投标文件中对站点选址情况进行详细的描述，在业主沟通协调好站房位置、用水、用电、道路等基础保障后，由中标单位负责完成“四通一平”并承担费用。</w:t>
      </w:r>
    </w:p>
    <w:p>
      <w:pPr>
        <w:spacing w:line="360" w:lineRule="auto"/>
        <w:ind w:firstLine="480" w:firstLineChars="200"/>
        <w:rPr>
          <w:color w:val="000000"/>
          <w:sz w:val="24"/>
          <w:szCs w:val="24"/>
        </w:rPr>
      </w:pPr>
      <w:r>
        <w:rPr>
          <w:rFonts w:hint="eastAsia"/>
          <w:color w:val="000000"/>
          <w:sz w:val="24"/>
          <w:szCs w:val="24"/>
        </w:rPr>
        <w:t>11</w:t>
      </w:r>
      <w:r>
        <w:rPr>
          <w:color w:val="000000"/>
          <w:sz w:val="24"/>
          <w:szCs w:val="24"/>
        </w:rPr>
        <w:t>、此项目为“交钥匙”工程，投标方报价为含税全包价并需全面考虑此项目的所有细节，招标方不再为此项目支付额外费用。</w:t>
      </w:r>
    </w:p>
    <w:p>
      <w:pPr>
        <w:keepNext/>
        <w:keepLines/>
        <w:spacing w:before="160" w:after="160" w:line="360" w:lineRule="auto"/>
        <w:contextualSpacing/>
        <w:jc w:val="left"/>
        <w:outlineLvl w:val="2"/>
        <w:rPr>
          <w:b/>
          <w:sz w:val="24"/>
          <w:szCs w:val="24"/>
        </w:rPr>
      </w:pPr>
      <w:r>
        <w:rPr>
          <w:b/>
          <w:sz w:val="24"/>
          <w:szCs w:val="24"/>
        </w:rPr>
        <w:t>（二）建设依据</w:t>
      </w:r>
    </w:p>
    <w:p>
      <w:pPr>
        <w:numPr>
          <w:ilvl w:val="0"/>
          <w:numId w:val="9"/>
        </w:numPr>
        <w:spacing w:line="360" w:lineRule="auto"/>
        <w:ind w:left="0" w:firstLine="420"/>
        <w:rPr>
          <w:sz w:val="24"/>
          <w:szCs w:val="24"/>
        </w:rPr>
      </w:pPr>
      <w:r>
        <w:rPr>
          <w:sz w:val="24"/>
          <w:szCs w:val="24"/>
        </w:rPr>
        <w:t>《中华人民共和国环境保护法》</w:t>
      </w:r>
    </w:p>
    <w:p>
      <w:pPr>
        <w:numPr>
          <w:ilvl w:val="0"/>
          <w:numId w:val="9"/>
        </w:numPr>
        <w:spacing w:line="360" w:lineRule="auto"/>
        <w:ind w:left="0" w:firstLine="420"/>
        <w:rPr>
          <w:sz w:val="24"/>
          <w:szCs w:val="24"/>
        </w:rPr>
      </w:pPr>
      <w:r>
        <w:rPr>
          <w:sz w:val="24"/>
          <w:szCs w:val="24"/>
        </w:rPr>
        <w:t>《中华人民共和国水污染防治法》</w:t>
      </w:r>
    </w:p>
    <w:p>
      <w:pPr>
        <w:numPr>
          <w:ilvl w:val="0"/>
          <w:numId w:val="9"/>
        </w:numPr>
        <w:spacing w:line="360" w:lineRule="auto"/>
        <w:ind w:left="0" w:firstLine="420"/>
        <w:rPr>
          <w:sz w:val="24"/>
          <w:szCs w:val="24"/>
        </w:rPr>
      </w:pPr>
      <w:r>
        <w:rPr>
          <w:sz w:val="24"/>
          <w:szCs w:val="24"/>
        </w:rPr>
        <w:t>《地表水环境质量标准》（GB 3838-2002）</w:t>
      </w:r>
    </w:p>
    <w:p>
      <w:pPr>
        <w:numPr>
          <w:ilvl w:val="0"/>
          <w:numId w:val="9"/>
        </w:numPr>
        <w:spacing w:line="360" w:lineRule="auto"/>
        <w:ind w:left="0" w:firstLine="420"/>
        <w:rPr>
          <w:sz w:val="24"/>
          <w:szCs w:val="24"/>
        </w:rPr>
      </w:pPr>
      <w:r>
        <w:rPr>
          <w:sz w:val="24"/>
          <w:szCs w:val="24"/>
        </w:rPr>
        <w:t>《水和废水监测分析方法》（2002年第四版）</w:t>
      </w:r>
    </w:p>
    <w:p>
      <w:pPr>
        <w:numPr>
          <w:ilvl w:val="0"/>
          <w:numId w:val="9"/>
        </w:numPr>
        <w:spacing w:line="360" w:lineRule="auto"/>
        <w:ind w:left="0" w:firstLine="420"/>
        <w:rPr>
          <w:sz w:val="24"/>
          <w:szCs w:val="24"/>
        </w:rPr>
      </w:pPr>
      <w:r>
        <w:rPr>
          <w:sz w:val="24"/>
          <w:szCs w:val="24"/>
        </w:rPr>
        <w:t>《工业自动化仪表工程施工及验收规范》（GB 50093-2013）</w:t>
      </w:r>
    </w:p>
    <w:p>
      <w:pPr>
        <w:numPr>
          <w:ilvl w:val="0"/>
          <w:numId w:val="9"/>
        </w:numPr>
        <w:spacing w:line="360" w:lineRule="auto"/>
        <w:ind w:left="0" w:firstLine="420"/>
        <w:rPr>
          <w:sz w:val="24"/>
          <w:szCs w:val="24"/>
        </w:rPr>
      </w:pPr>
      <w:r>
        <w:rPr>
          <w:sz w:val="24"/>
          <w:szCs w:val="24"/>
        </w:rPr>
        <w:t>《工业企业通讯设计规范》（GBJ 42-81）</w:t>
      </w:r>
    </w:p>
    <w:p>
      <w:pPr>
        <w:numPr>
          <w:ilvl w:val="0"/>
          <w:numId w:val="9"/>
        </w:numPr>
        <w:spacing w:line="360" w:lineRule="auto"/>
        <w:ind w:left="0" w:firstLine="420"/>
        <w:rPr>
          <w:sz w:val="24"/>
          <w:szCs w:val="24"/>
        </w:rPr>
      </w:pPr>
      <w:r>
        <w:rPr>
          <w:sz w:val="24"/>
          <w:szCs w:val="24"/>
        </w:rPr>
        <w:t>《工业企业通讯接地设计规范》（GBJ 79-85）</w:t>
      </w:r>
    </w:p>
    <w:p>
      <w:pPr>
        <w:numPr>
          <w:ilvl w:val="0"/>
          <w:numId w:val="9"/>
        </w:numPr>
        <w:spacing w:line="360" w:lineRule="auto"/>
        <w:ind w:left="0" w:firstLine="420"/>
        <w:rPr>
          <w:sz w:val="24"/>
          <w:szCs w:val="24"/>
        </w:rPr>
      </w:pPr>
      <w:r>
        <w:rPr>
          <w:sz w:val="24"/>
          <w:szCs w:val="24"/>
        </w:rPr>
        <w:t>《电气装置安装工程 接地装置施工及验收规范（GB 50169-2016）</w:t>
      </w:r>
    </w:p>
    <w:p>
      <w:pPr>
        <w:numPr>
          <w:ilvl w:val="0"/>
          <w:numId w:val="9"/>
        </w:numPr>
        <w:spacing w:line="360" w:lineRule="auto"/>
        <w:ind w:left="0" w:firstLine="420"/>
        <w:rPr>
          <w:sz w:val="24"/>
          <w:szCs w:val="24"/>
        </w:rPr>
      </w:pPr>
      <w:r>
        <w:rPr>
          <w:sz w:val="24"/>
          <w:szCs w:val="24"/>
        </w:rPr>
        <w:t>《综合布线系统工程设计规范》（GB 50311-2016）</w:t>
      </w:r>
    </w:p>
    <w:p>
      <w:pPr>
        <w:numPr>
          <w:ilvl w:val="0"/>
          <w:numId w:val="9"/>
        </w:numPr>
        <w:spacing w:line="360" w:lineRule="auto"/>
        <w:ind w:left="0" w:firstLine="420"/>
        <w:rPr>
          <w:sz w:val="24"/>
          <w:szCs w:val="24"/>
        </w:rPr>
      </w:pPr>
      <w:r>
        <w:rPr>
          <w:sz w:val="24"/>
          <w:szCs w:val="24"/>
        </w:rPr>
        <w:t>《建筑及建筑群综合布线系统工程施工及验收规范》（CEC 89-2000）</w:t>
      </w:r>
    </w:p>
    <w:p>
      <w:pPr>
        <w:numPr>
          <w:ilvl w:val="0"/>
          <w:numId w:val="9"/>
        </w:numPr>
        <w:spacing w:line="360" w:lineRule="auto"/>
        <w:ind w:left="0" w:firstLine="420"/>
        <w:rPr>
          <w:sz w:val="24"/>
          <w:szCs w:val="24"/>
        </w:rPr>
      </w:pPr>
      <w:r>
        <w:rPr>
          <w:sz w:val="24"/>
          <w:szCs w:val="24"/>
        </w:rPr>
        <w:t>《电子信息系统机房设计规范》（GB 50174-2008）</w:t>
      </w:r>
    </w:p>
    <w:p>
      <w:pPr>
        <w:numPr>
          <w:ilvl w:val="0"/>
          <w:numId w:val="9"/>
        </w:numPr>
        <w:spacing w:line="360" w:lineRule="auto"/>
        <w:ind w:left="0" w:firstLine="420"/>
        <w:rPr>
          <w:sz w:val="24"/>
          <w:szCs w:val="24"/>
        </w:rPr>
      </w:pPr>
      <w:r>
        <w:rPr>
          <w:sz w:val="24"/>
          <w:szCs w:val="24"/>
        </w:rPr>
        <w:t>《电子信息系统机房施工及验收规范》（GB 50462-2008）</w:t>
      </w:r>
    </w:p>
    <w:p>
      <w:pPr>
        <w:numPr>
          <w:ilvl w:val="0"/>
          <w:numId w:val="9"/>
        </w:numPr>
        <w:spacing w:line="360" w:lineRule="auto"/>
        <w:ind w:left="0" w:firstLine="420"/>
        <w:rPr>
          <w:sz w:val="24"/>
          <w:szCs w:val="24"/>
        </w:rPr>
      </w:pPr>
      <w:r>
        <w:rPr>
          <w:sz w:val="24"/>
          <w:szCs w:val="24"/>
        </w:rPr>
        <w:t>《环境信息化标准手册1－3卷》</w:t>
      </w:r>
    </w:p>
    <w:p>
      <w:pPr>
        <w:numPr>
          <w:ilvl w:val="0"/>
          <w:numId w:val="9"/>
        </w:numPr>
        <w:spacing w:line="360" w:lineRule="auto"/>
        <w:ind w:left="0" w:firstLine="420"/>
        <w:rPr>
          <w:sz w:val="24"/>
          <w:szCs w:val="24"/>
        </w:rPr>
      </w:pPr>
      <w:r>
        <w:rPr>
          <w:sz w:val="24"/>
          <w:szCs w:val="24"/>
        </w:rPr>
        <w:t>《信息系统安全技术国家标准汇编》</w:t>
      </w:r>
    </w:p>
    <w:p>
      <w:pPr>
        <w:numPr>
          <w:ilvl w:val="0"/>
          <w:numId w:val="9"/>
        </w:numPr>
        <w:spacing w:line="360" w:lineRule="auto"/>
        <w:ind w:left="0" w:firstLine="420"/>
        <w:rPr>
          <w:sz w:val="24"/>
          <w:szCs w:val="24"/>
        </w:rPr>
      </w:pPr>
      <w:r>
        <w:rPr>
          <w:sz w:val="24"/>
          <w:szCs w:val="24"/>
        </w:rPr>
        <w:t>《地表水和污水监测技术规范》（HJ/T 91-2002）</w:t>
      </w:r>
    </w:p>
    <w:p>
      <w:pPr>
        <w:numPr>
          <w:ilvl w:val="0"/>
          <w:numId w:val="9"/>
        </w:numPr>
        <w:spacing w:line="360" w:lineRule="auto"/>
        <w:ind w:left="0" w:firstLine="420"/>
        <w:rPr>
          <w:sz w:val="24"/>
          <w:szCs w:val="24"/>
        </w:rPr>
      </w:pPr>
      <w:r>
        <w:rPr>
          <w:sz w:val="24"/>
          <w:szCs w:val="24"/>
        </w:rPr>
        <w:t>《水质河流采样技术指导》（HJ/T 52-1999）</w:t>
      </w:r>
    </w:p>
    <w:p>
      <w:pPr>
        <w:numPr>
          <w:ilvl w:val="0"/>
          <w:numId w:val="9"/>
        </w:numPr>
        <w:spacing w:line="360" w:lineRule="auto"/>
        <w:ind w:left="0" w:firstLine="420"/>
        <w:rPr>
          <w:sz w:val="24"/>
          <w:szCs w:val="24"/>
        </w:rPr>
      </w:pPr>
      <w:r>
        <w:rPr>
          <w:sz w:val="24"/>
          <w:szCs w:val="24"/>
        </w:rPr>
        <w:t>《地表水自动监测技术规范(试行) 》（HJ 915-2017）</w:t>
      </w:r>
    </w:p>
    <w:p>
      <w:pPr>
        <w:numPr>
          <w:ilvl w:val="0"/>
          <w:numId w:val="9"/>
        </w:numPr>
        <w:spacing w:line="360" w:lineRule="auto"/>
        <w:ind w:left="0" w:firstLine="420"/>
        <w:rPr>
          <w:sz w:val="24"/>
          <w:szCs w:val="24"/>
        </w:rPr>
      </w:pPr>
      <w:r>
        <w:rPr>
          <w:sz w:val="24"/>
          <w:szCs w:val="24"/>
        </w:rPr>
        <w:t>《pH水质自动分析仪技术要求》（HJ/T 96-2003）</w:t>
      </w:r>
    </w:p>
    <w:p>
      <w:pPr>
        <w:numPr>
          <w:ilvl w:val="0"/>
          <w:numId w:val="9"/>
        </w:numPr>
        <w:spacing w:line="360" w:lineRule="auto"/>
        <w:ind w:left="0" w:firstLine="420"/>
        <w:rPr>
          <w:sz w:val="24"/>
          <w:szCs w:val="24"/>
        </w:rPr>
      </w:pPr>
      <w:r>
        <w:rPr>
          <w:sz w:val="24"/>
          <w:szCs w:val="24"/>
        </w:rPr>
        <w:t>《电导率水质自动分析仪技术要求》（HJ/T 97-2003）</w:t>
      </w:r>
    </w:p>
    <w:p>
      <w:pPr>
        <w:numPr>
          <w:ilvl w:val="0"/>
          <w:numId w:val="9"/>
        </w:numPr>
        <w:spacing w:line="360" w:lineRule="auto"/>
        <w:ind w:left="0" w:firstLine="420"/>
        <w:rPr>
          <w:sz w:val="24"/>
          <w:szCs w:val="24"/>
        </w:rPr>
      </w:pPr>
      <w:r>
        <w:rPr>
          <w:sz w:val="24"/>
          <w:szCs w:val="24"/>
        </w:rPr>
        <w:t>《浊度水质自动分析仪技术要求》（HJ/T 98-2003）</w:t>
      </w:r>
    </w:p>
    <w:p>
      <w:pPr>
        <w:numPr>
          <w:ilvl w:val="0"/>
          <w:numId w:val="9"/>
        </w:numPr>
        <w:spacing w:line="360" w:lineRule="auto"/>
        <w:ind w:left="0" w:firstLine="420"/>
        <w:rPr>
          <w:sz w:val="24"/>
          <w:szCs w:val="24"/>
        </w:rPr>
      </w:pPr>
      <w:r>
        <w:rPr>
          <w:sz w:val="24"/>
          <w:szCs w:val="24"/>
        </w:rPr>
        <w:t>《溶解氧（DO）水质自动分析仪技术要求》（HJ/T 99-2003）</w:t>
      </w:r>
    </w:p>
    <w:p>
      <w:pPr>
        <w:numPr>
          <w:ilvl w:val="0"/>
          <w:numId w:val="9"/>
        </w:numPr>
        <w:spacing w:line="360" w:lineRule="auto"/>
        <w:ind w:left="0" w:firstLine="420"/>
        <w:rPr>
          <w:sz w:val="24"/>
          <w:szCs w:val="24"/>
        </w:rPr>
      </w:pPr>
      <w:r>
        <w:rPr>
          <w:sz w:val="24"/>
          <w:szCs w:val="24"/>
        </w:rPr>
        <w:t>《高锰酸盐指数水质自动分析仪技术要求》（HJ/T 100-2003）</w:t>
      </w:r>
    </w:p>
    <w:p>
      <w:pPr>
        <w:numPr>
          <w:ilvl w:val="0"/>
          <w:numId w:val="9"/>
        </w:numPr>
        <w:spacing w:line="360" w:lineRule="auto"/>
        <w:ind w:left="0" w:firstLine="420"/>
        <w:rPr>
          <w:sz w:val="24"/>
          <w:szCs w:val="24"/>
        </w:rPr>
      </w:pPr>
      <w:r>
        <w:rPr>
          <w:sz w:val="24"/>
          <w:szCs w:val="24"/>
        </w:rPr>
        <w:t>《氨氮水质在线自动监测仪技术要求及检测方法》（HJ 101-2019）</w:t>
      </w:r>
    </w:p>
    <w:p>
      <w:pPr>
        <w:numPr>
          <w:ilvl w:val="0"/>
          <w:numId w:val="9"/>
        </w:numPr>
        <w:spacing w:line="360" w:lineRule="auto"/>
        <w:ind w:left="0" w:firstLine="420"/>
        <w:rPr>
          <w:sz w:val="24"/>
          <w:szCs w:val="24"/>
        </w:rPr>
      </w:pPr>
      <w:r>
        <w:rPr>
          <w:sz w:val="24"/>
          <w:szCs w:val="24"/>
        </w:rPr>
        <w:t>《总磷自动分析仪技术要求》（HJ/T 103-2003）</w:t>
      </w:r>
    </w:p>
    <w:p>
      <w:pPr>
        <w:numPr>
          <w:ilvl w:val="0"/>
          <w:numId w:val="9"/>
        </w:numPr>
        <w:spacing w:line="360" w:lineRule="auto"/>
        <w:ind w:left="0" w:firstLine="420"/>
        <w:rPr>
          <w:sz w:val="24"/>
          <w:szCs w:val="24"/>
        </w:rPr>
      </w:pPr>
      <w:r>
        <w:rPr>
          <w:sz w:val="24"/>
          <w:szCs w:val="24"/>
        </w:rPr>
        <w:t>《总氮自动分析仪技术要求》（HJ/T 102-2003）</w:t>
      </w:r>
    </w:p>
    <w:p>
      <w:pPr>
        <w:numPr>
          <w:ilvl w:val="0"/>
          <w:numId w:val="9"/>
        </w:numPr>
        <w:spacing w:line="360" w:lineRule="auto"/>
        <w:ind w:left="0" w:firstLine="420"/>
        <w:rPr>
          <w:sz w:val="24"/>
          <w:szCs w:val="24"/>
        </w:rPr>
      </w:pPr>
      <w:r>
        <w:rPr>
          <w:sz w:val="24"/>
          <w:szCs w:val="24"/>
        </w:rPr>
        <w:t>《民用建筑电气设计规范》（JGJ 16-2008）</w:t>
      </w:r>
    </w:p>
    <w:p>
      <w:pPr>
        <w:numPr>
          <w:ilvl w:val="0"/>
          <w:numId w:val="9"/>
        </w:numPr>
        <w:spacing w:line="360" w:lineRule="auto"/>
        <w:ind w:left="0" w:firstLine="420"/>
        <w:rPr>
          <w:sz w:val="24"/>
          <w:szCs w:val="24"/>
        </w:rPr>
      </w:pPr>
      <w:r>
        <w:rPr>
          <w:sz w:val="24"/>
          <w:szCs w:val="24"/>
        </w:rPr>
        <w:t>《建筑设计防火规范》（GB 50016-2014）</w:t>
      </w:r>
    </w:p>
    <w:p>
      <w:pPr>
        <w:keepNext/>
        <w:keepLines/>
        <w:spacing w:before="160" w:after="160" w:line="360" w:lineRule="auto"/>
        <w:contextualSpacing/>
        <w:jc w:val="left"/>
        <w:outlineLvl w:val="2"/>
        <w:rPr>
          <w:rFonts w:hint="eastAsia"/>
          <w:b/>
          <w:sz w:val="24"/>
          <w:szCs w:val="24"/>
        </w:rPr>
      </w:pPr>
      <w:r>
        <w:rPr>
          <w:b/>
          <w:sz w:val="24"/>
          <w:szCs w:val="24"/>
        </w:rPr>
        <w:t>（三）招标</w:t>
      </w:r>
      <w:r>
        <w:rPr>
          <w:rFonts w:hint="eastAsia"/>
          <w:b/>
          <w:sz w:val="24"/>
          <w:szCs w:val="24"/>
        </w:rPr>
        <w:t>内容</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67"/>
        <w:gridCol w:w="4070"/>
        <w:gridCol w:w="92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b/>
                <w:bCs/>
                <w:color w:val="000000"/>
                <w:kern w:val="0"/>
                <w:szCs w:val="21"/>
              </w:rPr>
            </w:pPr>
            <w:bookmarkStart w:id="31" w:name="_Toc73614327"/>
            <w:r>
              <w:rPr>
                <w:b/>
                <w:bCs/>
                <w:color w:val="000000"/>
                <w:kern w:val="0"/>
                <w:szCs w:val="21"/>
              </w:rPr>
              <w:t>序号</w:t>
            </w:r>
          </w:p>
        </w:tc>
        <w:tc>
          <w:tcPr>
            <w:tcW w:w="1667" w:type="dxa"/>
            <w:vAlign w:val="center"/>
          </w:tcPr>
          <w:p>
            <w:pPr>
              <w:widowControl/>
              <w:spacing w:line="276" w:lineRule="auto"/>
              <w:jc w:val="center"/>
              <w:rPr>
                <w:b/>
                <w:bCs/>
                <w:color w:val="000000"/>
                <w:kern w:val="0"/>
                <w:szCs w:val="21"/>
              </w:rPr>
            </w:pPr>
            <w:r>
              <w:rPr>
                <w:b/>
                <w:bCs/>
                <w:color w:val="000000"/>
                <w:kern w:val="0"/>
                <w:szCs w:val="21"/>
              </w:rPr>
              <w:t>类别</w:t>
            </w:r>
          </w:p>
        </w:tc>
        <w:tc>
          <w:tcPr>
            <w:tcW w:w="4070" w:type="dxa"/>
            <w:vAlign w:val="center"/>
          </w:tcPr>
          <w:p>
            <w:pPr>
              <w:widowControl/>
              <w:spacing w:line="276" w:lineRule="auto"/>
              <w:jc w:val="center"/>
              <w:rPr>
                <w:b/>
                <w:bCs/>
                <w:color w:val="000000"/>
                <w:kern w:val="0"/>
                <w:szCs w:val="21"/>
              </w:rPr>
            </w:pPr>
            <w:r>
              <w:rPr>
                <w:b/>
                <w:bCs/>
                <w:color w:val="000000"/>
                <w:kern w:val="0"/>
                <w:szCs w:val="21"/>
              </w:rPr>
              <w:t>项目名称</w:t>
            </w:r>
          </w:p>
        </w:tc>
        <w:tc>
          <w:tcPr>
            <w:tcW w:w="929" w:type="dxa"/>
            <w:vAlign w:val="center"/>
          </w:tcPr>
          <w:p>
            <w:pPr>
              <w:widowControl/>
              <w:spacing w:line="276" w:lineRule="auto"/>
              <w:jc w:val="center"/>
              <w:rPr>
                <w:b/>
                <w:bCs/>
                <w:color w:val="000000"/>
                <w:kern w:val="0"/>
                <w:szCs w:val="21"/>
              </w:rPr>
            </w:pPr>
            <w:r>
              <w:rPr>
                <w:b/>
                <w:bCs/>
                <w:color w:val="000000"/>
                <w:kern w:val="0"/>
                <w:szCs w:val="21"/>
              </w:rPr>
              <w:t>数量</w:t>
            </w:r>
          </w:p>
        </w:tc>
        <w:tc>
          <w:tcPr>
            <w:tcW w:w="985" w:type="dxa"/>
            <w:vAlign w:val="center"/>
          </w:tcPr>
          <w:p>
            <w:pPr>
              <w:widowControl/>
              <w:spacing w:line="276" w:lineRule="auto"/>
              <w:jc w:val="center"/>
              <w:rPr>
                <w:b/>
                <w:bCs/>
                <w:color w:val="000000"/>
                <w:kern w:val="0"/>
                <w:szCs w:val="21"/>
              </w:rPr>
            </w:pPr>
            <w:r>
              <w:rPr>
                <w:b/>
                <w:bCs/>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5"/>
            <w:vAlign w:val="center"/>
          </w:tcPr>
          <w:p>
            <w:pPr>
              <w:widowControl/>
              <w:spacing w:line="276" w:lineRule="auto"/>
              <w:jc w:val="center"/>
              <w:rPr>
                <w:b/>
                <w:color w:val="000000"/>
                <w:kern w:val="0"/>
                <w:szCs w:val="21"/>
              </w:rPr>
            </w:pPr>
            <w:r>
              <w:rPr>
                <w:b/>
                <w:color w:val="000000"/>
                <w:kern w:val="0"/>
                <w:szCs w:val="21"/>
              </w:rPr>
              <w:t>南豪桥、上叶桥、仙人桥、沙柳桥、外黎渡5个水质自动监测站建设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w:t>
            </w:r>
          </w:p>
        </w:tc>
        <w:tc>
          <w:tcPr>
            <w:tcW w:w="1667" w:type="dxa"/>
            <w:vMerge w:val="restart"/>
            <w:vAlign w:val="center"/>
          </w:tcPr>
          <w:p>
            <w:pPr>
              <w:widowControl/>
              <w:spacing w:line="276" w:lineRule="auto"/>
              <w:jc w:val="center"/>
              <w:rPr>
                <w:color w:val="000000"/>
                <w:kern w:val="0"/>
                <w:szCs w:val="21"/>
              </w:rPr>
            </w:pPr>
            <w:r>
              <w:rPr>
                <w:color w:val="000000"/>
                <w:kern w:val="0"/>
                <w:szCs w:val="21"/>
              </w:rPr>
              <w:t>分析仪表</w:t>
            </w:r>
          </w:p>
        </w:tc>
        <w:tc>
          <w:tcPr>
            <w:tcW w:w="4070" w:type="dxa"/>
            <w:vAlign w:val="center"/>
          </w:tcPr>
          <w:p>
            <w:pPr>
              <w:widowControl/>
              <w:spacing w:line="276" w:lineRule="auto"/>
              <w:jc w:val="left"/>
              <w:rPr>
                <w:color w:val="000000"/>
                <w:kern w:val="0"/>
                <w:szCs w:val="21"/>
              </w:rPr>
            </w:pPr>
            <w:r>
              <w:rPr>
                <w:color w:val="000000"/>
                <w:kern w:val="0"/>
                <w:szCs w:val="21"/>
              </w:rPr>
              <w:t>常规五参数在线分析仪</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2</w:t>
            </w:r>
          </w:p>
        </w:tc>
        <w:tc>
          <w:tcPr>
            <w:tcW w:w="1667" w:type="dxa"/>
            <w:vMerge w:val="continue"/>
            <w:vAlign w:val="center"/>
          </w:tcPr>
          <w:p>
            <w:pPr>
              <w:widowControl/>
              <w:spacing w:line="276" w:lineRule="auto"/>
              <w:jc w:val="left"/>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高锰酸盐指数分析仪</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3</w:t>
            </w:r>
          </w:p>
        </w:tc>
        <w:tc>
          <w:tcPr>
            <w:tcW w:w="1667" w:type="dxa"/>
            <w:vMerge w:val="continue"/>
            <w:vAlign w:val="center"/>
          </w:tcPr>
          <w:p>
            <w:pPr>
              <w:widowControl/>
              <w:spacing w:line="276" w:lineRule="auto"/>
              <w:jc w:val="left"/>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氨氮在线分析仪</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4</w:t>
            </w:r>
          </w:p>
        </w:tc>
        <w:tc>
          <w:tcPr>
            <w:tcW w:w="1667" w:type="dxa"/>
            <w:vMerge w:val="continue"/>
            <w:vAlign w:val="center"/>
          </w:tcPr>
          <w:p>
            <w:pPr>
              <w:widowControl/>
              <w:spacing w:line="276" w:lineRule="auto"/>
              <w:jc w:val="left"/>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总磷在线分析仪</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5</w:t>
            </w:r>
          </w:p>
        </w:tc>
        <w:tc>
          <w:tcPr>
            <w:tcW w:w="1667" w:type="dxa"/>
            <w:vMerge w:val="continue"/>
            <w:vAlign w:val="center"/>
          </w:tcPr>
          <w:p>
            <w:pPr>
              <w:widowControl/>
              <w:spacing w:line="276" w:lineRule="auto"/>
              <w:jc w:val="left"/>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总氮在线分析仪</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6</w:t>
            </w:r>
          </w:p>
        </w:tc>
        <w:tc>
          <w:tcPr>
            <w:tcW w:w="1667" w:type="dxa"/>
            <w:vMerge w:val="restart"/>
            <w:vAlign w:val="center"/>
          </w:tcPr>
          <w:p>
            <w:pPr>
              <w:widowControl/>
              <w:spacing w:line="276" w:lineRule="auto"/>
              <w:jc w:val="center"/>
              <w:rPr>
                <w:rFonts w:hint="eastAsia"/>
                <w:color w:val="000000"/>
                <w:kern w:val="0"/>
                <w:szCs w:val="21"/>
              </w:rPr>
            </w:pPr>
            <w:r>
              <w:rPr>
                <w:rFonts w:hint="eastAsia"/>
                <w:color w:val="000000"/>
                <w:kern w:val="0"/>
                <w:szCs w:val="21"/>
              </w:rPr>
              <w:t>一体化</w:t>
            </w:r>
            <w:r>
              <w:rPr>
                <w:color w:val="000000"/>
                <w:kern w:val="0"/>
                <w:szCs w:val="21"/>
              </w:rPr>
              <w:t>监测</w:t>
            </w:r>
          </w:p>
          <w:p>
            <w:pPr>
              <w:spacing w:line="276" w:lineRule="auto"/>
              <w:jc w:val="center"/>
              <w:rPr>
                <w:color w:val="000000"/>
                <w:kern w:val="0"/>
                <w:szCs w:val="21"/>
              </w:rPr>
            </w:pPr>
            <w:r>
              <w:rPr>
                <w:color w:val="000000"/>
                <w:kern w:val="0"/>
                <w:szCs w:val="21"/>
              </w:rPr>
              <w:t>站房</w:t>
            </w:r>
          </w:p>
        </w:tc>
        <w:tc>
          <w:tcPr>
            <w:tcW w:w="4070" w:type="dxa"/>
            <w:vAlign w:val="center"/>
          </w:tcPr>
          <w:p>
            <w:pPr>
              <w:widowControl/>
              <w:spacing w:line="276" w:lineRule="auto"/>
              <w:jc w:val="left"/>
              <w:rPr>
                <w:color w:val="000000"/>
                <w:kern w:val="0"/>
                <w:szCs w:val="21"/>
              </w:rPr>
            </w:pPr>
            <w:r>
              <w:rPr>
                <w:color w:val="000000"/>
                <w:kern w:val="0"/>
                <w:szCs w:val="21"/>
              </w:rPr>
              <w:t>采水单元</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7</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配水单元</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8</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控制</w:t>
            </w:r>
            <w:r>
              <w:rPr>
                <w:rFonts w:hint="eastAsia"/>
                <w:color w:val="000000"/>
                <w:kern w:val="0"/>
                <w:szCs w:val="21"/>
              </w:rPr>
              <w:t>单元</w:t>
            </w:r>
            <w:r>
              <w:rPr>
                <w:color w:val="000000"/>
                <w:kern w:val="0"/>
                <w:szCs w:val="21"/>
              </w:rPr>
              <w:t>与数据采集/传输单元</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9</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质控</w:t>
            </w:r>
            <w:r>
              <w:rPr>
                <w:rFonts w:hint="eastAsia"/>
                <w:color w:val="000000"/>
                <w:kern w:val="0"/>
                <w:szCs w:val="21"/>
              </w:rPr>
              <w:t>单元（可仪器自带</w:t>
            </w:r>
            <w:r>
              <w:rPr>
                <w:color w:val="000000"/>
                <w:kern w:val="0"/>
                <w:szCs w:val="21"/>
              </w:rPr>
              <w:t>或单独提供</w:t>
            </w:r>
            <w:r>
              <w:rPr>
                <w:rFonts w:hint="eastAsia"/>
                <w:color w:val="000000"/>
                <w:kern w:val="0"/>
                <w:szCs w:val="21"/>
              </w:rPr>
              <w:t>）</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10</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辅助单元</w:t>
            </w:r>
            <w:r>
              <w:rPr>
                <w:rFonts w:hint="eastAsia"/>
                <w:color w:val="000000"/>
                <w:kern w:val="0"/>
                <w:szCs w:val="21"/>
              </w:rPr>
              <w:t>（含</w:t>
            </w:r>
            <w:r>
              <w:rPr>
                <w:color w:val="000000"/>
                <w:kern w:val="0"/>
                <w:szCs w:val="21"/>
              </w:rPr>
              <w:t>视频监控</w:t>
            </w:r>
            <w:r>
              <w:rPr>
                <w:rFonts w:hint="eastAsia"/>
                <w:color w:val="000000"/>
                <w:kern w:val="0"/>
                <w:szCs w:val="21"/>
              </w:rPr>
              <w:t>）</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11</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站房</w:t>
            </w:r>
            <w:r>
              <w:rPr>
                <w:rFonts w:hint="eastAsia"/>
                <w:color w:val="000000"/>
                <w:kern w:val="0"/>
                <w:szCs w:val="21"/>
              </w:rPr>
              <w:t>单元</w:t>
            </w:r>
            <w:r>
              <w:rPr>
                <w:color w:val="000000"/>
                <w:kern w:val="0"/>
                <w:szCs w:val="21"/>
              </w:rPr>
              <w:t>（</w:t>
            </w:r>
            <w:r>
              <w:rPr>
                <w:rFonts w:hint="eastAsia"/>
                <w:color w:val="000000"/>
                <w:kern w:val="0"/>
                <w:szCs w:val="21"/>
              </w:rPr>
              <w:t>不大于</w:t>
            </w:r>
            <w:r>
              <w:rPr>
                <w:color w:val="000000"/>
                <w:kern w:val="0"/>
                <w:szCs w:val="21"/>
              </w:rPr>
              <w:t>10平方米）</w:t>
            </w:r>
          </w:p>
        </w:tc>
        <w:tc>
          <w:tcPr>
            <w:tcW w:w="929" w:type="dxa"/>
            <w:vAlign w:val="center"/>
          </w:tcPr>
          <w:p>
            <w:pPr>
              <w:widowControl/>
              <w:spacing w:line="276" w:lineRule="auto"/>
              <w:jc w:val="center"/>
              <w:rPr>
                <w:color w:val="000000"/>
                <w:kern w:val="0"/>
                <w:szCs w:val="21"/>
              </w:rPr>
            </w:pPr>
            <w:r>
              <w:rPr>
                <w:color w:val="000000"/>
                <w:kern w:val="0"/>
                <w:szCs w:val="21"/>
              </w:rPr>
              <w:t>5</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5"/>
            <w:vAlign w:val="center"/>
          </w:tcPr>
          <w:p>
            <w:pPr>
              <w:widowControl/>
              <w:spacing w:line="276" w:lineRule="auto"/>
              <w:jc w:val="center"/>
              <w:rPr>
                <w:b/>
                <w:color w:val="000000"/>
                <w:kern w:val="0"/>
                <w:szCs w:val="21"/>
              </w:rPr>
            </w:pPr>
            <w:r>
              <w:rPr>
                <w:b/>
                <w:color w:val="000000"/>
                <w:kern w:val="0"/>
                <w:szCs w:val="21"/>
              </w:rPr>
              <w:t>大岙田水库、罗岙水库、施家岙水库、石门水库4个水质自动监测站建设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w:t>
            </w:r>
          </w:p>
        </w:tc>
        <w:tc>
          <w:tcPr>
            <w:tcW w:w="1667" w:type="dxa"/>
            <w:vMerge w:val="restart"/>
            <w:vAlign w:val="center"/>
          </w:tcPr>
          <w:p>
            <w:pPr>
              <w:widowControl/>
              <w:spacing w:line="276" w:lineRule="auto"/>
              <w:jc w:val="center"/>
              <w:rPr>
                <w:color w:val="000000"/>
                <w:kern w:val="0"/>
                <w:szCs w:val="21"/>
              </w:rPr>
            </w:pPr>
            <w:r>
              <w:rPr>
                <w:color w:val="000000"/>
                <w:kern w:val="0"/>
                <w:szCs w:val="21"/>
              </w:rPr>
              <w:t>分析仪表</w:t>
            </w:r>
          </w:p>
        </w:tc>
        <w:tc>
          <w:tcPr>
            <w:tcW w:w="4070" w:type="dxa"/>
            <w:vAlign w:val="center"/>
          </w:tcPr>
          <w:p>
            <w:pPr>
              <w:widowControl/>
              <w:spacing w:line="276" w:lineRule="auto"/>
              <w:jc w:val="left"/>
              <w:rPr>
                <w:color w:val="000000"/>
                <w:kern w:val="0"/>
                <w:szCs w:val="21"/>
              </w:rPr>
            </w:pPr>
            <w:r>
              <w:rPr>
                <w:color w:val="000000"/>
                <w:kern w:val="0"/>
                <w:szCs w:val="21"/>
              </w:rPr>
              <w:t>常规五参数在线分析仪</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2</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高锰酸盐指数分析仪</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3</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氨氮在线分析仪</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4</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总磷在线分析仪</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5</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总氮在线分析仪</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6</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rPr>
                <w:color w:val="000000"/>
                <w:kern w:val="0"/>
                <w:szCs w:val="21"/>
              </w:rPr>
            </w:pPr>
            <w:r>
              <w:rPr>
                <w:color w:val="000000"/>
                <w:kern w:val="0"/>
                <w:szCs w:val="21"/>
              </w:rPr>
              <w:t>叶绿素a在线分析仪</w:t>
            </w:r>
          </w:p>
        </w:tc>
        <w:tc>
          <w:tcPr>
            <w:tcW w:w="929" w:type="dxa"/>
            <w:vAlign w:val="center"/>
          </w:tcPr>
          <w:p>
            <w:pPr>
              <w:widowControl/>
              <w:spacing w:line="276" w:lineRule="auto"/>
              <w:jc w:val="center"/>
              <w:rPr>
                <w:color w:val="000000"/>
                <w:kern w:val="0"/>
                <w:szCs w:val="21"/>
              </w:rPr>
            </w:pPr>
            <w:r>
              <w:rPr>
                <w:color w:val="000000"/>
                <w:kern w:val="0"/>
                <w:szCs w:val="21"/>
              </w:rPr>
              <w:t>3</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7</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rPr>
                <w:color w:val="000000"/>
                <w:kern w:val="0"/>
                <w:szCs w:val="21"/>
              </w:rPr>
            </w:pPr>
            <w:r>
              <w:rPr>
                <w:rFonts w:hint="eastAsia"/>
                <w:color w:val="000000"/>
                <w:kern w:val="0"/>
                <w:szCs w:val="21"/>
              </w:rPr>
              <w:t>透明度</w:t>
            </w:r>
            <w:r>
              <w:rPr>
                <w:color w:val="000000"/>
                <w:kern w:val="0"/>
                <w:szCs w:val="21"/>
              </w:rPr>
              <w:t>在线分析仪</w:t>
            </w:r>
          </w:p>
        </w:tc>
        <w:tc>
          <w:tcPr>
            <w:tcW w:w="929" w:type="dxa"/>
            <w:vAlign w:val="center"/>
          </w:tcPr>
          <w:p>
            <w:pPr>
              <w:widowControl/>
              <w:spacing w:line="276" w:lineRule="auto"/>
              <w:jc w:val="center"/>
              <w:rPr>
                <w:color w:val="000000"/>
                <w:kern w:val="0"/>
                <w:szCs w:val="21"/>
              </w:rPr>
            </w:pPr>
            <w:r>
              <w:rPr>
                <w:color w:val="000000"/>
                <w:kern w:val="0"/>
                <w:szCs w:val="21"/>
              </w:rPr>
              <w:t>3</w:t>
            </w:r>
          </w:p>
        </w:tc>
        <w:tc>
          <w:tcPr>
            <w:tcW w:w="985" w:type="dxa"/>
            <w:vAlign w:val="center"/>
          </w:tcPr>
          <w:p>
            <w:pPr>
              <w:widowControl/>
              <w:spacing w:line="276" w:lineRule="auto"/>
              <w:jc w:val="center"/>
              <w:rPr>
                <w:color w:val="000000"/>
                <w:kern w:val="0"/>
                <w:szCs w:val="21"/>
              </w:rPr>
            </w:pPr>
            <w:r>
              <w:rPr>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rFonts w:hint="eastAsia"/>
                <w:color w:val="000000"/>
                <w:kern w:val="0"/>
                <w:szCs w:val="21"/>
              </w:rPr>
              <w:t>8</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rPr>
                <w:rFonts w:hint="eastAsia"/>
                <w:color w:val="000000"/>
                <w:kern w:val="0"/>
                <w:szCs w:val="21"/>
              </w:rPr>
            </w:pPr>
            <w:r>
              <w:rPr>
                <w:rFonts w:hint="eastAsia"/>
                <w:color w:val="000000"/>
                <w:kern w:val="0"/>
                <w:szCs w:val="21"/>
              </w:rPr>
              <w:t>生物毒性在线</w:t>
            </w:r>
            <w:r>
              <w:rPr>
                <w:color w:val="000000"/>
                <w:kern w:val="0"/>
                <w:szCs w:val="21"/>
              </w:rPr>
              <w:t>分析仪</w:t>
            </w:r>
          </w:p>
        </w:tc>
        <w:tc>
          <w:tcPr>
            <w:tcW w:w="929" w:type="dxa"/>
            <w:vAlign w:val="center"/>
          </w:tcPr>
          <w:p>
            <w:pPr>
              <w:widowControl/>
              <w:spacing w:line="276" w:lineRule="auto"/>
              <w:jc w:val="center"/>
              <w:rPr>
                <w:color w:val="000000"/>
                <w:kern w:val="0"/>
                <w:szCs w:val="21"/>
              </w:rPr>
            </w:pPr>
            <w:r>
              <w:rPr>
                <w:color w:val="000000"/>
                <w:kern w:val="0"/>
                <w:szCs w:val="21"/>
              </w:rPr>
              <w:t>1</w:t>
            </w:r>
          </w:p>
        </w:tc>
        <w:tc>
          <w:tcPr>
            <w:tcW w:w="985" w:type="dxa"/>
            <w:vAlign w:val="center"/>
          </w:tcPr>
          <w:p>
            <w:pPr>
              <w:widowControl/>
              <w:spacing w:line="276" w:lineRule="auto"/>
              <w:jc w:val="center"/>
              <w:rPr>
                <w:color w:val="000000"/>
                <w:kern w:val="0"/>
                <w:szCs w:val="21"/>
              </w:rPr>
            </w:pPr>
            <w:r>
              <w:rPr>
                <w:rFonts w:hint="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rFonts w:hint="eastAsia"/>
                <w:color w:val="000000"/>
                <w:kern w:val="0"/>
                <w:szCs w:val="21"/>
              </w:rPr>
            </w:pPr>
            <w:r>
              <w:rPr>
                <w:rFonts w:hint="eastAsia"/>
                <w:color w:val="000000"/>
                <w:kern w:val="0"/>
                <w:szCs w:val="21"/>
              </w:rPr>
              <w:t>9</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rPr>
                <w:rFonts w:hint="eastAsia"/>
                <w:color w:val="000000"/>
                <w:kern w:val="0"/>
                <w:szCs w:val="21"/>
              </w:rPr>
            </w:pPr>
            <w:r>
              <w:rPr>
                <w:rFonts w:hint="eastAsia"/>
                <w:color w:val="000000"/>
                <w:kern w:val="0"/>
                <w:szCs w:val="21"/>
              </w:rPr>
              <w:t>藻分类在线</w:t>
            </w:r>
            <w:r>
              <w:rPr>
                <w:color w:val="000000"/>
                <w:kern w:val="0"/>
                <w:szCs w:val="21"/>
              </w:rPr>
              <w:t>分析仪</w:t>
            </w:r>
            <w:r>
              <w:rPr>
                <w:rFonts w:hint="eastAsia" w:ascii="Times New Roman" w:hAnsi="Times New Roman" w:eastAsia="宋体" w:cs="Times New Roman"/>
                <w:color w:val="000000"/>
                <w:kern w:val="0"/>
                <w:szCs w:val="21"/>
              </w:rPr>
              <w:t>（叶绿素a总量、蓝藻、绿藻、硅甲藻、隐藻）</w:t>
            </w:r>
          </w:p>
        </w:tc>
        <w:tc>
          <w:tcPr>
            <w:tcW w:w="929" w:type="dxa"/>
            <w:vAlign w:val="center"/>
          </w:tcPr>
          <w:p>
            <w:pPr>
              <w:widowControl/>
              <w:spacing w:line="276" w:lineRule="auto"/>
              <w:jc w:val="center"/>
              <w:rPr>
                <w:color w:val="000000"/>
                <w:kern w:val="0"/>
                <w:szCs w:val="21"/>
              </w:rPr>
            </w:pPr>
            <w:r>
              <w:rPr>
                <w:rFonts w:hint="eastAsia"/>
                <w:color w:val="000000"/>
                <w:kern w:val="0"/>
                <w:szCs w:val="21"/>
              </w:rPr>
              <w:t>1</w:t>
            </w:r>
          </w:p>
        </w:tc>
        <w:tc>
          <w:tcPr>
            <w:tcW w:w="985" w:type="dxa"/>
            <w:vAlign w:val="center"/>
          </w:tcPr>
          <w:p>
            <w:pPr>
              <w:widowControl/>
              <w:spacing w:line="276" w:lineRule="auto"/>
              <w:jc w:val="center"/>
              <w:rPr>
                <w:rFonts w:hint="eastAsia"/>
                <w:color w:val="000000"/>
                <w:kern w:val="0"/>
                <w:szCs w:val="21"/>
              </w:rPr>
            </w:pPr>
            <w:r>
              <w:rPr>
                <w:rFonts w:hint="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10</w:t>
            </w:r>
          </w:p>
        </w:tc>
        <w:tc>
          <w:tcPr>
            <w:tcW w:w="1667" w:type="dxa"/>
            <w:vMerge w:val="restart"/>
            <w:vAlign w:val="center"/>
          </w:tcPr>
          <w:p>
            <w:pPr>
              <w:widowControl/>
              <w:spacing w:line="276" w:lineRule="auto"/>
              <w:jc w:val="center"/>
              <w:rPr>
                <w:rFonts w:hint="eastAsia"/>
                <w:color w:val="000000"/>
                <w:kern w:val="0"/>
                <w:szCs w:val="21"/>
              </w:rPr>
            </w:pPr>
            <w:r>
              <w:rPr>
                <w:rFonts w:hint="eastAsia"/>
                <w:color w:val="000000"/>
                <w:kern w:val="0"/>
                <w:szCs w:val="21"/>
              </w:rPr>
              <w:t>一体化</w:t>
            </w:r>
            <w:r>
              <w:rPr>
                <w:color w:val="000000"/>
                <w:kern w:val="0"/>
                <w:szCs w:val="21"/>
              </w:rPr>
              <w:t>监测</w:t>
            </w:r>
          </w:p>
          <w:p>
            <w:pPr>
              <w:spacing w:line="276" w:lineRule="auto"/>
              <w:jc w:val="center"/>
              <w:rPr>
                <w:color w:val="000000"/>
                <w:kern w:val="0"/>
                <w:szCs w:val="21"/>
              </w:rPr>
            </w:pPr>
            <w:r>
              <w:rPr>
                <w:color w:val="000000"/>
                <w:kern w:val="0"/>
                <w:szCs w:val="21"/>
              </w:rPr>
              <w:t>站房</w:t>
            </w:r>
          </w:p>
        </w:tc>
        <w:tc>
          <w:tcPr>
            <w:tcW w:w="4070" w:type="dxa"/>
            <w:vAlign w:val="center"/>
          </w:tcPr>
          <w:p>
            <w:pPr>
              <w:widowControl/>
              <w:spacing w:line="276" w:lineRule="auto"/>
              <w:jc w:val="left"/>
              <w:rPr>
                <w:color w:val="000000"/>
                <w:kern w:val="0"/>
                <w:szCs w:val="21"/>
              </w:rPr>
            </w:pPr>
            <w:r>
              <w:rPr>
                <w:color w:val="000000"/>
                <w:kern w:val="0"/>
                <w:szCs w:val="21"/>
              </w:rPr>
              <w:t>采水单元</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11</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配水单元</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12</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控制系</w:t>
            </w:r>
            <w:r>
              <w:rPr>
                <w:rFonts w:hint="eastAsia"/>
                <w:color w:val="000000"/>
                <w:kern w:val="0"/>
                <w:szCs w:val="21"/>
              </w:rPr>
              <w:t>单元</w:t>
            </w:r>
            <w:r>
              <w:rPr>
                <w:color w:val="000000"/>
                <w:kern w:val="0"/>
                <w:szCs w:val="21"/>
              </w:rPr>
              <w:t>与数据采集/传输单元</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13</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质控</w:t>
            </w:r>
            <w:r>
              <w:rPr>
                <w:rFonts w:hint="eastAsia"/>
                <w:color w:val="000000"/>
                <w:kern w:val="0"/>
                <w:szCs w:val="21"/>
              </w:rPr>
              <w:t>单元（可仪器自带</w:t>
            </w:r>
            <w:r>
              <w:rPr>
                <w:color w:val="000000"/>
                <w:kern w:val="0"/>
                <w:szCs w:val="21"/>
              </w:rPr>
              <w:t>或单独提供</w:t>
            </w:r>
            <w:r>
              <w:rPr>
                <w:rFonts w:hint="eastAsia"/>
                <w:color w:val="000000"/>
                <w:kern w:val="0"/>
                <w:szCs w:val="21"/>
              </w:rPr>
              <w:t>）</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14</w:t>
            </w:r>
          </w:p>
        </w:tc>
        <w:tc>
          <w:tcPr>
            <w:tcW w:w="1667" w:type="dxa"/>
            <w:vMerge w:val="continue"/>
            <w:vAlign w:val="center"/>
          </w:tcPr>
          <w:p>
            <w:pPr>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辅助单元</w:t>
            </w:r>
            <w:r>
              <w:rPr>
                <w:rFonts w:hint="eastAsia"/>
                <w:color w:val="000000"/>
                <w:kern w:val="0"/>
                <w:szCs w:val="21"/>
              </w:rPr>
              <w:t>（含</w:t>
            </w:r>
            <w:r>
              <w:rPr>
                <w:color w:val="000000"/>
                <w:kern w:val="0"/>
                <w:szCs w:val="21"/>
              </w:rPr>
              <w:t>视频监控</w:t>
            </w:r>
            <w:r>
              <w:rPr>
                <w:rFonts w:hint="eastAsia"/>
                <w:color w:val="000000"/>
                <w:kern w:val="0"/>
                <w:szCs w:val="21"/>
              </w:rPr>
              <w:t>）</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color w:val="000000"/>
                <w:kern w:val="0"/>
                <w:szCs w:val="21"/>
              </w:rPr>
            </w:pPr>
            <w:r>
              <w:rPr>
                <w:color w:val="000000"/>
                <w:kern w:val="0"/>
                <w:szCs w:val="21"/>
              </w:rPr>
              <w:t>15</w:t>
            </w:r>
          </w:p>
        </w:tc>
        <w:tc>
          <w:tcPr>
            <w:tcW w:w="1667" w:type="dxa"/>
            <w:vMerge w:val="continue"/>
            <w:vAlign w:val="center"/>
          </w:tcPr>
          <w:p>
            <w:pPr>
              <w:widowControl/>
              <w:spacing w:line="276" w:lineRule="auto"/>
              <w:jc w:val="center"/>
              <w:rPr>
                <w:color w:val="000000"/>
                <w:kern w:val="0"/>
                <w:szCs w:val="21"/>
              </w:rPr>
            </w:pPr>
          </w:p>
        </w:tc>
        <w:tc>
          <w:tcPr>
            <w:tcW w:w="4070" w:type="dxa"/>
            <w:vAlign w:val="center"/>
          </w:tcPr>
          <w:p>
            <w:pPr>
              <w:widowControl/>
              <w:spacing w:line="276" w:lineRule="auto"/>
              <w:jc w:val="left"/>
              <w:rPr>
                <w:color w:val="000000"/>
                <w:kern w:val="0"/>
                <w:szCs w:val="21"/>
              </w:rPr>
            </w:pPr>
            <w:r>
              <w:rPr>
                <w:color w:val="000000"/>
                <w:kern w:val="0"/>
                <w:szCs w:val="21"/>
              </w:rPr>
              <w:t>站房</w:t>
            </w:r>
            <w:r>
              <w:rPr>
                <w:rFonts w:hint="eastAsia"/>
                <w:color w:val="000000"/>
                <w:kern w:val="0"/>
                <w:szCs w:val="21"/>
              </w:rPr>
              <w:t>单元</w:t>
            </w:r>
            <w:r>
              <w:rPr>
                <w:color w:val="000000"/>
                <w:kern w:val="0"/>
                <w:szCs w:val="21"/>
              </w:rPr>
              <w:t>（</w:t>
            </w:r>
            <w:r>
              <w:rPr>
                <w:rFonts w:hint="eastAsia"/>
                <w:color w:val="000000"/>
                <w:kern w:val="0"/>
                <w:szCs w:val="21"/>
              </w:rPr>
              <w:t>不大于</w:t>
            </w:r>
            <w:r>
              <w:rPr>
                <w:color w:val="000000"/>
                <w:kern w:val="0"/>
                <w:szCs w:val="21"/>
              </w:rPr>
              <w:t>15平方米）</w:t>
            </w:r>
          </w:p>
        </w:tc>
        <w:tc>
          <w:tcPr>
            <w:tcW w:w="929" w:type="dxa"/>
            <w:vAlign w:val="center"/>
          </w:tcPr>
          <w:p>
            <w:pPr>
              <w:widowControl/>
              <w:spacing w:line="276" w:lineRule="auto"/>
              <w:jc w:val="center"/>
              <w:rPr>
                <w:color w:val="000000"/>
                <w:kern w:val="0"/>
                <w:szCs w:val="21"/>
              </w:rPr>
            </w:pPr>
            <w:r>
              <w:rPr>
                <w:color w:val="000000"/>
                <w:kern w:val="0"/>
                <w:szCs w:val="21"/>
              </w:rPr>
              <w:t>4</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rFonts w:hint="eastAsia"/>
                <w:color w:val="000000"/>
                <w:kern w:val="0"/>
                <w:szCs w:val="21"/>
              </w:rPr>
            </w:pPr>
            <w:r>
              <w:rPr>
                <w:color w:val="000000"/>
                <w:kern w:val="0"/>
                <w:szCs w:val="21"/>
              </w:rPr>
              <w:t>1</w:t>
            </w:r>
            <w:r>
              <w:rPr>
                <w:rFonts w:hint="eastAsia"/>
                <w:color w:val="000000"/>
                <w:kern w:val="0"/>
                <w:szCs w:val="21"/>
                <w:lang w:val="en-US" w:eastAsia="zh-CN"/>
              </w:rPr>
              <w:t>6</w:t>
            </w:r>
          </w:p>
        </w:tc>
        <w:tc>
          <w:tcPr>
            <w:tcW w:w="5737" w:type="dxa"/>
            <w:gridSpan w:val="2"/>
            <w:vAlign w:val="center"/>
          </w:tcPr>
          <w:p>
            <w:pPr>
              <w:widowControl/>
              <w:spacing w:line="276" w:lineRule="auto"/>
              <w:jc w:val="left"/>
              <w:rPr>
                <w:color w:val="000000"/>
                <w:kern w:val="0"/>
                <w:szCs w:val="21"/>
              </w:rPr>
            </w:pPr>
            <w:r>
              <w:rPr>
                <w:color w:val="000000"/>
                <w:kern w:val="0"/>
                <w:szCs w:val="21"/>
              </w:rPr>
              <w:t>便携式水质自动分析仪</w:t>
            </w:r>
          </w:p>
        </w:tc>
        <w:tc>
          <w:tcPr>
            <w:tcW w:w="929" w:type="dxa"/>
            <w:vAlign w:val="center"/>
          </w:tcPr>
          <w:p>
            <w:pPr>
              <w:widowControl/>
              <w:spacing w:line="276" w:lineRule="auto"/>
              <w:jc w:val="center"/>
              <w:rPr>
                <w:color w:val="000000"/>
                <w:kern w:val="0"/>
                <w:szCs w:val="21"/>
              </w:rPr>
            </w:pPr>
            <w:r>
              <w:rPr>
                <w:color w:val="000000"/>
                <w:kern w:val="0"/>
                <w:szCs w:val="21"/>
              </w:rPr>
              <w:t>1</w:t>
            </w:r>
          </w:p>
        </w:tc>
        <w:tc>
          <w:tcPr>
            <w:tcW w:w="985" w:type="dxa"/>
            <w:vAlign w:val="center"/>
          </w:tcPr>
          <w:p>
            <w:pPr>
              <w:widowControl/>
              <w:spacing w:line="276" w:lineRule="auto"/>
              <w:jc w:val="center"/>
              <w:rPr>
                <w:color w:val="000000"/>
                <w:kern w:val="0"/>
                <w:szCs w:val="21"/>
              </w:rPr>
            </w:pPr>
            <w:r>
              <w:rPr>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 w:type="dxa"/>
            <w:vAlign w:val="center"/>
          </w:tcPr>
          <w:p>
            <w:pPr>
              <w:widowControl/>
              <w:spacing w:line="276" w:lineRule="auto"/>
              <w:jc w:val="center"/>
              <w:rPr>
                <w:rFonts w:hint="eastAsia"/>
                <w:color w:val="000000"/>
                <w:kern w:val="0"/>
                <w:szCs w:val="21"/>
              </w:rPr>
            </w:pPr>
            <w:r>
              <w:rPr>
                <w:color w:val="000000"/>
                <w:kern w:val="0"/>
                <w:szCs w:val="21"/>
              </w:rPr>
              <w:t>1</w:t>
            </w:r>
            <w:r>
              <w:rPr>
                <w:rFonts w:hint="eastAsia"/>
                <w:color w:val="000000"/>
                <w:kern w:val="0"/>
                <w:szCs w:val="21"/>
                <w:lang w:val="en-US" w:eastAsia="zh-CN"/>
              </w:rPr>
              <w:t>7</w:t>
            </w:r>
          </w:p>
        </w:tc>
        <w:tc>
          <w:tcPr>
            <w:tcW w:w="7651" w:type="dxa"/>
            <w:gridSpan w:val="4"/>
            <w:vAlign w:val="center"/>
          </w:tcPr>
          <w:p>
            <w:pPr>
              <w:widowControl/>
              <w:spacing w:line="276" w:lineRule="auto"/>
              <w:jc w:val="left"/>
              <w:rPr>
                <w:color w:val="000000"/>
                <w:kern w:val="0"/>
                <w:szCs w:val="21"/>
              </w:rPr>
            </w:pPr>
            <w:r>
              <w:rPr>
                <w:rFonts w:hint="eastAsia"/>
                <w:color w:val="000000"/>
                <w:kern w:val="0"/>
                <w:szCs w:val="21"/>
                <w:lang w:eastAsia="zh-CN"/>
              </w:rPr>
              <w:t>本项目</w:t>
            </w:r>
            <w:r>
              <w:rPr>
                <w:rFonts w:hint="eastAsia"/>
                <w:color w:val="000000"/>
                <w:kern w:val="0"/>
                <w:szCs w:val="21"/>
              </w:rPr>
              <w:t>9个水质自动</w:t>
            </w:r>
            <w:r>
              <w:rPr>
                <w:rFonts w:hint="eastAsia"/>
                <w:color w:val="000000"/>
                <w:kern w:val="0"/>
                <w:szCs w:val="21"/>
                <w:lang w:eastAsia="zh-CN"/>
              </w:rPr>
              <w:t>监测</w:t>
            </w:r>
            <w:r>
              <w:rPr>
                <w:rFonts w:hint="eastAsia"/>
                <w:color w:val="000000"/>
                <w:kern w:val="0"/>
                <w:szCs w:val="21"/>
              </w:rPr>
              <w:t>站的</w:t>
            </w:r>
            <w:r>
              <w:rPr>
                <w:rFonts w:hint="eastAsia"/>
                <w:color w:val="auto"/>
                <w:kern w:val="0"/>
                <w:szCs w:val="21"/>
              </w:rPr>
              <w:t>免费</w:t>
            </w:r>
            <w:r>
              <w:rPr>
                <w:rFonts w:hint="eastAsia"/>
                <w:color w:val="000000"/>
                <w:kern w:val="0"/>
                <w:szCs w:val="21"/>
              </w:rPr>
              <w:t>运维服务</w:t>
            </w:r>
            <w:r>
              <w:rPr>
                <w:rFonts w:hint="eastAsia"/>
                <w:color w:val="000000"/>
                <w:kern w:val="0"/>
                <w:szCs w:val="21"/>
                <w:lang w:val="en-US" w:eastAsia="zh-CN"/>
              </w:rPr>
              <w:t>1年</w:t>
            </w:r>
            <w:r>
              <w:rPr>
                <w:rFonts w:hint="eastAsia"/>
                <w:color w:val="000000"/>
                <w:kern w:val="0"/>
                <w:szCs w:val="21"/>
                <w:lang w:eastAsia="zh-CN"/>
              </w:rPr>
              <w:t>和</w:t>
            </w:r>
            <w:r>
              <w:rPr>
                <w:rFonts w:hint="eastAsia"/>
                <w:color w:val="000000"/>
                <w:kern w:val="0"/>
                <w:szCs w:val="21"/>
                <w:lang w:val="en-US" w:eastAsia="zh-CN"/>
              </w:rPr>
              <w:t>水质</w:t>
            </w:r>
            <w:r>
              <w:rPr>
                <w:rFonts w:hint="eastAsia" w:eastAsia="宋体"/>
                <w:color w:val="000000"/>
                <w:kern w:val="0"/>
                <w:szCs w:val="21"/>
                <w:lang w:val="en-US" w:eastAsia="zh-CN"/>
              </w:rPr>
              <w:t>超标</w:t>
            </w:r>
            <w:r>
              <w:rPr>
                <w:rFonts w:hint="eastAsia"/>
                <w:color w:val="000000"/>
                <w:kern w:val="0"/>
                <w:szCs w:val="21"/>
                <w:lang w:val="en-US" w:eastAsia="zh-CN"/>
              </w:rPr>
              <w:t>站点免费</w:t>
            </w:r>
            <w:r>
              <w:rPr>
                <w:rFonts w:hint="eastAsia" w:eastAsia="宋体"/>
                <w:color w:val="000000"/>
                <w:kern w:val="0"/>
                <w:szCs w:val="21"/>
                <w:lang w:val="en-US" w:eastAsia="zh-CN"/>
              </w:rPr>
              <w:t>溯源分析服务</w:t>
            </w:r>
            <w:r>
              <w:rPr>
                <w:rFonts w:hint="eastAsia"/>
                <w:color w:val="000000"/>
                <w:kern w:val="0"/>
                <w:szCs w:val="21"/>
                <w:lang w:val="en-US" w:eastAsia="zh-CN"/>
              </w:rPr>
              <w:t>1年，</w:t>
            </w:r>
            <w:r>
              <w:rPr>
                <w:rFonts w:hint="eastAsia"/>
                <w:color w:val="000000"/>
                <w:kern w:val="0"/>
                <w:szCs w:val="21"/>
              </w:rPr>
              <w:t>服务时间从验收合格之日</w:t>
            </w:r>
            <w:r>
              <w:rPr>
                <w:rFonts w:hint="eastAsia"/>
                <w:color w:val="000000"/>
                <w:kern w:val="0"/>
                <w:szCs w:val="21"/>
                <w:lang w:eastAsia="zh-CN"/>
              </w:rPr>
              <w:t>起。</w:t>
            </w:r>
          </w:p>
        </w:tc>
      </w:tr>
    </w:tbl>
    <w:p>
      <w:pPr>
        <w:numPr>
          <w:ilvl w:val="0"/>
          <w:numId w:val="10"/>
        </w:numPr>
        <w:snapToGrid w:val="0"/>
        <w:spacing w:line="360" w:lineRule="auto"/>
        <w:outlineLvl w:val="1"/>
        <w:rPr>
          <w:b/>
          <w:bCs/>
          <w:color w:val="000000"/>
          <w:sz w:val="24"/>
          <w:szCs w:val="24"/>
        </w:rPr>
      </w:pPr>
      <w:r>
        <w:rPr>
          <w:rFonts w:hint="eastAsia"/>
          <w:b/>
          <w:bCs/>
          <w:color w:val="000000"/>
          <w:sz w:val="24"/>
          <w:szCs w:val="24"/>
        </w:rPr>
        <w:t>仪器设备</w:t>
      </w:r>
      <w:r>
        <w:rPr>
          <w:b/>
          <w:bCs/>
          <w:color w:val="000000"/>
          <w:sz w:val="24"/>
          <w:szCs w:val="24"/>
        </w:rPr>
        <w:t>技术</w:t>
      </w:r>
      <w:r>
        <w:rPr>
          <w:rFonts w:hint="eastAsia"/>
          <w:b/>
          <w:bCs/>
          <w:color w:val="000000"/>
          <w:sz w:val="24"/>
          <w:szCs w:val="24"/>
        </w:rPr>
        <w:t>要求</w:t>
      </w:r>
    </w:p>
    <w:p>
      <w:pPr>
        <w:snapToGrid w:val="0"/>
        <w:spacing w:line="360" w:lineRule="auto"/>
        <w:ind w:firstLine="480"/>
        <w:rPr>
          <w:rFonts w:ascii="Times New Roman" w:hAnsi="Times New Roman" w:eastAsia="宋体" w:cs="Times New Roman"/>
          <w:sz w:val="24"/>
          <w:szCs w:val="20"/>
        </w:rPr>
      </w:pPr>
      <w:r>
        <w:rPr>
          <w:rFonts w:hint="default" w:ascii="Times New Roman" w:hAnsi="Times New Roman" w:eastAsia="宋体" w:cs="Times New Roman"/>
          <w:sz w:val="24"/>
          <w:szCs w:val="20"/>
        </w:rPr>
        <w:t>（</w:t>
      </w:r>
      <w:r>
        <w:rPr>
          <w:rFonts w:ascii="Times New Roman" w:hAnsi="Times New Roman" w:eastAsia="宋体" w:cs="Times New Roman"/>
          <w:sz w:val="24"/>
          <w:szCs w:val="20"/>
        </w:rPr>
        <w:t>1</w:t>
      </w:r>
      <w:r>
        <w:rPr>
          <w:rFonts w:hint="default" w:ascii="Times New Roman" w:hAnsi="Times New Roman" w:eastAsia="宋体" w:cs="Times New Roman"/>
          <w:sz w:val="24"/>
          <w:szCs w:val="20"/>
        </w:rPr>
        <w:t>）高锰酸盐指数、</w:t>
      </w:r>
      <w:r>
        <w:rPr>
          <w:rFonts w:ascii="Times New Roman" w:hAnsi="Times New Roman" w:eastAsia="宋体" w:cs="Times New Roman"/>
          <w:sz w:val="24"/>
          <w:szCs w:val="20"/>
        </w:rPr>
        <w:t>氨氮、总磷、总氮分析仪具有自动标样核查、零点校准、标样校准等功能；</w:t>
      </w:r>
    </w:p>
    <w:p>
      <w:pPr>
        <w:snapToGrid w:val="0"/>
        <w:spacing w:line="360" w:lineRule="auto"/>
        <w:ind w:firstLine="480"/>
        <w:rPr>
          <w:rFonts w:ascii="Times New Roman" w:hAnsi="Times New Roman" w:eastAsia="宋体" w:cs="Times New Roman"/>
          <w:sz w:val="24"/>
          <w:szCs w:val="20"/>
        </w:rPr>
      </w:pPr>
      <w:r>
        <w:rPr>
          <w:rFonts w:hint="default" w:ascii="Times New Roman" w:hAnsi="Times New Roman" w:eastAsia="宋体" w:cs="Times New Roman"/>
          <w:sz w:val="24"/>
          <w:szCs w:val="20"/>
        </w:rPr>
        <w:t>（2）具有异常信息记录、上传功能，如零部件故障、超量程报警、超标报警、缺试剂报警等信息；</w:t>
      </w:r>
    </w:p>
    <w:p>
      <w:pPr>
        <w:snapToGrid w:val="0"/>
        <w:spacing w:line="360" w:lineRule="auto"/>
        <w:ind w:firstLine="480"/>
        <w:rPr>
          <w:rFonts w:ascii="Times New Roman" w:hAnsi="Times New Roman" w:eastAsia="宋体" w:cs="Times New Roman"/>
          <w:sz w:val="24"/>
          <w:szCs w:val="20"/>
        </w:rPr>
      </w:pPr>
      <w:r>
        <w:rPr>
          <w:rFonts w:hint="default" w:ascii="Times New Roman" w:hAnsi="Times New Roman" w:eastAsia="宋体" w:cs="Times New Roman"/>
          <w:sz w:val="24"/>
          <w:szCs w:val="20"/>
        </w:rPr>
        <w:t>（</w:t>
      </w:r>
      <w:r>
        <w:rPr>
          <w:rFonts w:ascii="Times New Roman" w:hAnsi="Times New Roman" w:eastAsia="宋体" w:cs="Times New Roman"/>
          <w:sz w:val="24"/>
          <w:szCs w:val="20"/>
        </w:rPr>
        <w:t>3</w:t>
      </w:r>
      <w:r>
        <w:rPr>
          <w:rFonts w:hint="default" w:ascii="Times New Roman" w:hAnsi="Times New Roman" w:eastAsia="宋体" w:cs="Times New Roman"/>
          <w:sz w:val="24"/>
          <w:szCs w:val="20"/>
        </w:rPr>
        <w:t>）具有仪器状态(如测量、空闲、故障等)显示；</w:t>
      </w:r>
    </w:p>
    <w:p>
      <w:pPr>
        <w:snapToGrid w:val="0"/>
        <w:spacing w:line="360" w:lineRule="auto"/>
        <w:ind w:firstLine="480"/>
        <w:rPr>
          <w:rFonts w:ascii="Times New Roman" w:hAnsi="Times New Roman" w:eastAsia="宋体" w:cs="Times New Roman"/>
          <w:sz w:val="24"/>
          <w:szCs w:val="20"/>
        </w:rPr>
      </w:pPr>
      <w:r>
        <w:rPr>
          <w:rFonts w:hint="default" w:ascii="Times New Roman" w:hAnsi="Times New Roman" w:eastAsia="宋体" w:cs="Times New Roman"/>
          <w:sz w:val="24"/>
          <w:szCs w:val="20"/>
        </w:rPr>
        <w:t>（</w:t>
      </w:r>
      <w:r>
        <w:rPr>
          <w:rFonts w:ascii="Times New Roman" w:hAnsi="Times New Roman" w:eastAsia="宋体" w:cs="Times New Roman"/>
          <w:sz w:val="24"/>
          <w:szCs w:val="20"/>
        </w:rPr>
        <w:t>4</w:t>
      </w:r>
      <w:r>
        <w:rPr>
          <w:rFonts w:hint="default" w:ascii="Times New Roman" w:hAnsi="Times New Roman" w:eastAsia="宋体" w:cs="Times New Roman"/>
          <w:sz w:val="24"/>
          <w:szCs w:val="20"/>
        </w:rPr>
        <w:t>）</w:t>
      </w:r>
      <w:r>
        <w:rPr>
          <w:rFonts w:ascii="Times New Roman" w:hAnsi="Times New Roman" w:eastAsia="宋体" w:cs="Times New Roman"/>
          <w:sz w:val="24"/>
          <w:szCs w:val="20"/>
        </w:rPr>
        <w:t>具有RS-232或RS-485标准通讯接口</w:t>
      </w:r>
      <w:r>
        <w:rPr>
          <w:rFonts w:hint="default" w:ascii="Times New Roman" w:hAnsi="Times New Roman" w:eastAsia="宋体" w:cs="Times New Roman"/>
          <w:sz w:val="24"/>
          <w:szCs w:val="20"/>
        </w:rPr>
        <w:t>；</w:t>
      </w:r>
    </w:p>
    <w:p>
      <w:pPr>
        <w:snapToGrid w:val="0"/>
        <w:spacing w:line="360" w:lineRule="auto"/>
        <w:ind w:firstLine="480"/>
        <w:rPr>
          <w:rFonts w:ascii="Times New Roman" w:hAnsi="Times New Roman" w:eastAsia="宋体" w:cs="Times New Roman"/>
          <w:sz w:val="24"/>
          <w:szCs w:val="20"/>
        </w:rPr>
      </w:pPr>
      <w:r>
        <w:rPr>
          <w:rFonts w:hint="default" w:ascii="Times New Roman" w:hAnsi="Times New Roman" w:eastAsia="宋体" w:cs="Times New Roman"/>
          <w:sz w:val="24"/>
          <w:szCs w:val="20"/>
        </w:rPr>
        <w:t>（5）具备1小时1次的监测能力。</w:t>
      </w:r>
    </w:p>
    <w:p>
      <w:pPr>
        <w:keepNext/>
        <w:keepLines/>
        <w:spacing w:before="160" w:after="160" w:line="360" w:lineRule="auto"/>
        <w:contextualSpacing/>
        <w:jc w:val="left"/>
        <w:outlineLvl w:val="2"/>
        <w:rPr>
          <w:b/>
          <w:sz w:val="24"/>
          <w:szCs w:val="24"/>
        </w:rPr>
      </w:pPr>
      <w:r>
        <w:rPr>
          <w:b/>
          <w:sz w:val="24"/>
          <w:szCs w:val="24"/>
        </w:rPr>
        <w:t>（一）五参数水质分析仪</w:t>
      </w:r>
    </w:p>
    <w:p>
      <w:pPr>
        <w:pStyle w:val="3"/>
        <w:spacing w:after="0" w:line="360" w:lineRule="auto"/>
        <w:ind w:firstLine="0"/>
        <w:rPr>
          <w:b/>
          <w:color w:val="auto"/>
          <w:highlight w:val="none"/>
        </w:rPr>
      </w:pPr>
      <w:r>
        <w:rPr>
          <w:b/>
          <w:color w:val="auto"/>
          <w:highlight w:val="none"/>
        </w:rPr>
        <w:t>（1）水温</w:t>
      </w:r>
    </w:p>
    <w:p>
      <w:pPr>
        <w:pStyle w:val="3"/>
        <w:numPr>
          <w:ilvl w:val="0"/>
          <w:numId w:val="11"/>
        </w:numPr>
        <w:spacing w:after="0" w:line="360" w:lineRule="auto"/>
        <w:ind w:left="0" w:firstLine="480" w:firstLineChars="200"/>
        <w:rPr>
          <w:color w:val="auto"/>
          <w:highlight w:val="none"/>
        </w:rPr>
      </w:pPr>
      <w:r>
        <w:rPr>
          <w:color w:val="auto"/>
          <w:highlight w:val="none"/>
        </w:rPr>
        <w:t>测定原理：热电阻或热电偶法；</w:t>
      </w:r>
    </w:p>
    <w:p>
      <w:pPr>
        <w:pStyle w:val="3"/>
        <w:numPr>
          <w:ilvl w:val="0"/>
          <w:numId w:val="11"/>
        </w:numPr>
        <w:spacing w:after="0" w:line="360" w:lineRule="auto"/>
        <w:ind w:left="0" w:firstLine="480" w:firstLineChars="200"/>
        <w:rPr>
          <w:color w:val="auto"/>
          <w:highlight w:val="none"/>
        </w:rPr>
      </w:pPr>
      <w:r>
        <w:rPr>
          <w:color w:val="auto"/>
          <w:highlight w:val="none"/>
        </w:rPr>
        <w:t>量程：0℃～</w:t>
      </w:r>
      <w:r>
        <w:rPr>
          <w:rFonts w:hint="eastAsia"/>
          <w:color w:val="auto"/>
          <w:highlight w:val="none"/>
        </w:rPr>
        <w:t>5</w:t>
      </w:r>
      <w:r>
        <w:rPr>
          <w:color w:val="auto"/>
          <w:highlight w:val="none"/>
        </w:rPr>
        <w:t>0℃</w:t>
      </w:r>
    </w:p>
    <w:p>
      <w:pPr>
        <w:pStyle w:val="3"/>
        <w:numPr>
          <w:ilvl w:val="0"/>
          <w:numId w:val="11"/>
        </w:numPr>
        <w:spacing w:after="0" w:line="360" w:lineRule="auto"/>
        <w:ind w:left="0" w:firstLine="480" w:firstLineChars="200"/>
        <w:rPr>
          <w:color w:val="auto"/>
          <w:highlight w:val="none"/>
        </w:rPr>
      </w:pPr>
      <w:r>
        <w:rPr>
          <w:color w:val="auto"/>
          <w:sz w:val="24"/>
          <w:szCs w:val="24"/>
          <w:highlight w:val="none"/>
        </w:rPr>
        <w:t>▲</w:t>
      </w:r>
      <w:r>
        <w:rPr>
          <w:color w:val="auto"/>
          <w:highlight w:val="none"/>
        </w:rPr>
        <w:t>测量</w:t>
      </w:r>
      <w:r>
        <w:rPr>
          <w:rFonts w:hint="eastAsia"/>
          <w:color w:val="auto"/>
          <w:highlight w:val="none"/>
        </w:rPr>
        <w:t>偏</w:t>
      </w:r>
      <w:r>
        <w:rPr>
          <w:color w:val="auto"/>
          <w:highlight w:val="none"/>
        </w:rPr>
        <w:t>差：</w:t>
      </w:r>
      <w:r>
        <w:rPr>
          <w:color w:val="auto"/>
          <w:szCs w:val="21"/>
          <w:highlight w:val="none"/>
        </w:rPr>
        <w:t>±</w:t>
      </w:r>
      <w:r>
        <w:rPr>
          <w:color w:val="auto"/>
          <w:highlight w:val="none"/>
        </w:rPr>
        <w:t>0.</w:t>
      </w:r>
      <w:r>
        <w:rPr>
          <w:rFonts w:hint="eastAsia"/>
          <w:color w:val="auto"/>
          <w:highlight w:val="none"/>
          <w:lang w:val="en-US" w:eastAsia="zh-CN"/>
        </w:rPr>
        <w:t>1</w:t>
      </w:r>
      <w:r>
        <w:rPr>
          <w:color w:val="auto"/>
          <w:highlight w:val="none"/>
        </w:rPr>
        <w:t>5℃</w:t>
      </w:r>
    </w:p>
    <w:p>
      <w:pPr>
        <w:pStyle w:val="3"/>
        <w:numPr>
          <w:ilvl w:val="0"/>
          <w:numId w:val="11"/>
        </w:numPr>
        <w:spacing w:after="0" w:line="360" w:lineRule="auto"/>
        <w:ind w:left="0" w:firstLine="480" w:firstLineChars="200"/>
        <w:rPr>
          <w:color w:val="auto"/>
          <w:highlight w:val="none"/>
        </w:rPr>
      </w:pPr>
      <w:r>
        <w:rPr>
          <w:color w:val="auto"/>
          <w:highlight w:val="none"/>
        </w:rPr>
        <w:t>MTBF：≥720h/次</w:t>
      </w:r>
    </w:p>
    <w:p>
      <w:pPr>
        <w:pStyle w:val="3"/>
        <w:spacing w:after="0" w:line="360" w:lineRule="auto"/>
        <w:ind w:firstLine="0"/>
        <w:rPr>
          <w:b/>
          <w:color w:val="auto"/>
          <w:highlight w:val="none"/>
        </w:rPr>
      </w:pPr>
      <w:r>
        <w:rPr>
          <w:b/>
          <w:color w:val="auto"/>
          <w:highlight w:val="none"/>
        </w:rPr>
        <w:t>（2）pH</w:t>
      </w:r>
    </w:p>
    <w:p>
      <w:pPr>
        <w:pStyle w:val="3"/>
        <w:numPr>
          <w:ilvl w:val="0"/>
          <w:numId w:val="12"/>
        </w:numPr>
        <w:spacing w:after="0" w:line="360" w:lineRule="auto"/>
        <w:ind w:left="0" w:firstLine="480" w:firstLineChars="200"/>
        <w:rPr>
          <w:color w:val="auto"/>
          <w:highlight w:val="none"/>
        </w:rPr>
      </w:pPr>
      <w:r>
        <w:rPr>
          <w:color w:val="auto"/>
          <w:highlight w:val="none"/>
        </w:rPr>
        <w:t>测定原理：玻璃电极法</w:t>
      </w:r>
    </w:p>
    <w:p>
      <w:pPr>
        <w:pStyle w:val="3"/>
        <w:numPr>
          <w:ilvl w:val="0"/>
          <w:numId w:val="12"/>
        </w:numPr>
        <w:spacing w:after="0" w:line="360" w:lineRule="auto"/>
        <w:ind w:left="0" w:firstLine="480" w:firstLineChars="200"/>
        <w:rPr>
          <w:color w:val="auto"/>
          <w:highlight w:val="none"/>
        </w:rPr>
      </w:pPr>
      <w:r>
        <w:rPr>
          <w:color w:val="auto"/>
          <w:highlight w:val="none"/>
        </w:rPr>
        <w:t>量程：pH0～14</w:t>
      </w:r>
    </w:p>
    <w:p>
      <w:pPr>
        <w:pStyle w:val="3"/>
        <w:numPr>
          <w:ilvl w:val="0"/>
          <w:numId w:val="12"/>
        </w:numPr>
        <w:spacing w:after="0" w:line="360" w:lineRule="auto"/>
        <w:ind w:left="0" w:firstLine="480" w:firstLineChars="200"/>
        <w:rPr>
          <w:color w:val="auto"/>
          <w:highlight w:val="none"/>
        </w:rPr>
      </w:pPr>
      <w:r>
        <w:rPr>
          <w:color w:val="auto"/>
          <w:sz w:val="24"/>
          <w:szCs w:val="24"/>
          <w:highlight w:val="none"/>
        </w:rPr>
        <w:t>▲</w:t>
      </w:r>
      <w:r>
        <w:rPr>
          <w:color w:val="auto"/>
          <w:highlight w:val="none"/>
        </w:rPr>
        <w:t>漂移（pH=4、7、9）：±0.</w:t>
      </w:r>
      <w:r>
        <w:rPr>
          <w:rFonts w:hint="eastAsia"/>
          <w:color w:val="auto"/>
          <w:highlight w:val="none"/>
          <w:lang w:val="en-US" w:eastAsia="zh-CN"/>
        </w:rPr>
        <w:t>02</w:t>
      </w:r>
      <w:r>
        <w:rPr>
          <w:color w:val="auto"/>
          <w:highlight w:val="none"/>
        </w:rPr>
        <w:t>pH</w:t>
      </w:r>
    </w:p>
    <w:p>
      <w:pPr>
        <w:pStyle w:val="3"/>
        <w:numPr>
          <w:ilvl w:val="0"/>
          <w:numId w:val="12"/>
        </w:numPr>
        <w:spacing w:after="0" w:line="360" w:lineRule="auto"/>
        <w:ind w:left="0" w:firstLine="480" w:firstLineChars="200"/>
        <w:rPr>
          <w:color w:val="auto"/>
          <w:highlight w:val="none"/>
        </w:rPr>
      </w:pPr>
      <w:r>
        <w:rPr>
          <w:color w:val="auto"/>
          <w:highlight w:val="none"/>
        </w:rPr>
        <w:t>重复性：±0.1pH</w:t>
      </w:r>
    </w:p>
    <w:p>
      <w:pPr>
        <w:pStyle w:val="3"/>
        <w:numPr>
          <w:ilvl w:val="0"/>
          <w:numId w:val="12"/>
        </w:numPr>
        <w:spacing w:after="0" w:line="360" w:lineRule="auto"/>
        <w:ind w:left="0" w:firstLine="480" w:firstLineChars="200"/>
        <w:rPr>
          <w:color w:val="auto"/>
          <w:highlight w:val="none"/>
        </w:rPr>
      </w:pPr>
      <w:r>
        <w:rPr>
          <w:color w:val="auto"/>
          <w:sz w:val="24"/>
          <w:szCs w:val="24"/>
          <w:highlight w:val="none"/>
        </w:rPr>
        <w:t>▲</w:t>
      </w:r>
      <w:r>
        <w:rPr>
          <w:color w:val="auto"/>
          <w:highlight w:val="none"/>
        </w:rPr>
        <w:t>响应时间：≤</w:t>
      </w:r>
      <w:r>
        <w:rPr>
          <w:rFonts w:hint="eastAsia"/>
          <w:color w:val="auto"/>
          <w:highlight w:val="none"/>
          <w:lang w:val="en-US" w:eastAsia="zh-CN"/>
        </w:rPr>
        <w:t>0.1min</w:t>
      </w:r>
    </w:p>
    <w:p>
      <w:pPr>
        <w:pStyle w:val="3"/>
        <w:numPr>
          <w:ilvl w:val="0"/>
          <w:numId w:val="12"/>
        </w:numPr>
        <w:spacing w:after="0" w:line="360" w:lineRule="auto"/>
        <w:ind w:left="0" w:firstLine="480" w:firstLineChars="200"/>
        <w:rPr>
          <w:color w:val="auto"/>
          <w:highlight w:val="none"/>
        </w:rPr>
      </w:pPr>
      <w:r>
        <w:rPr>
          <w:color w:val="auto"/>
          <w:highlight w:val="none"/>
        </w:rPr>
        <w:t>温度补偿精度：±0.1pH</w:t>
      </w:r>
    </w:p>
    <w:p>
      <w:pPr>
        <w:pStyle w:val="3"/>
        <w:numPr>
          <w:ilvl w:val="0"/>
          <w:numId w:val="12"/>
        </w:numPr>
        <w:spacing w:after="0" w:line="360" w:lineRule="auto"/>
        <w:ind w:left="0" w:leftChars="0" w:firstLine="480" w:firstLineChars="200"/>
        <w:rPr>
          <w:color w:val="auto"/>
          <w:highlight w:val="none"/>
        </w:rPr>
      </w:pPr>
      <w:r>
        <w:rPr>
          <w:color w:val="auto"/>
          <w:highlight w:val="none"/>
        </w:rPr>
        <w:t>MTBF：≥720h/次</w:t>
      </w:r>
    </w:p>
    <w:p>
      <w:pPr>
        <w:pStyle w:val="3"/>
        <w:spacing w:after="0" w:line="360" w:lineRule="auto"/>
        <w:ind w:firstLine="0"/>
        <w:rPr>
          <w:b/>
          <w:color w:val="auto"/>
          <w:highlight w:val="none"/>
        </w:rPr>
      </w:pPr>
      <w:r>
        <w:rPr>
          <w:b/>
          <w:color w:val="auto"/>
          <w:highlight w:val="none"/>
        </w:rPr>
        <w:t>（3）溶解氧</w:t>
      </w:r>
    </w:p>
    <w:p>
      <w:pPr>
        <w:pStyle w:val="3"/>
        <w:numPr>
          <w:ilvl w:val="0"/>
          <w:numId w:val="13"/>
        </w:numPr>
        <w:spacing w:after="0" w:line="360" w:lineRule="auto"/>
        <w:ind w:left="0" w:firstLine="480" w:firstLineChars="200"/>
        <w:rPr>
          <w:color w:val="auto"/>
          <w:highlight w:val="none"/>
        </w:rPr>
      </w:pPr>
      <w:r>
        <w:rPr>
          <w:color w:val="auto"/>
          <w:highlight w:val="none"/>
        </w:rPr>
        <w:t>测定原理：</w:t>
      </w:r>
      <w:r>
        <w:rPr>
          <w:rFonts w:hint="eastAsia"/>
          <w:color w:val="auto"/>
          <w:highlight w:val="none"/>
        </w:rPr>
        <w:t>电极</w:t>
      </w:r>
      <w:r>
        <w:rPr>
          <w:color w:val="auto"/>
          <w:highlight w:val="none"/>
        </w:rPr>
        <w:t>法/荧光法</w:t>
      </w:r>
    </w:p>
    <w:p>
      <w:pPr>
        <w:pStyle w:val="3"/>
        <w:numPr>
          <w:ilvl w:val="0"/>
          <w:numId w:val="13"/>
        </w:numPr>
        <w:spacing w:after="0" w:line="360" w:lineRule="auto"/>
        <w:ind w:left="0" w:firstLine="480" w:firstLineChars="200"/>
        <w:rPr>
          <w:color w:val="auto"/>
          <w:highlight w:val="none"/>
        </w:rPr>
      </w:pPr>
      <w:r>
        <w:rPr>
          <w:color w:val="auto"/>
          <w:highlight w:val="none"/>
        </w:rPr>
        <w:t xml:space="preserve">量程：0～20mg/L </w:t>
      </w:r>
    </w:p>
    <w:p>
      <w:pPr>
        <w:pStyle w:val="3"/>
        <w:numPr>
          <w:ilvl w:val="0"/>
          <w:numId w:val="13"/>
        </w:numPr>
        <w:spacing w:after="0" w:line="360" w:lineRule="auto"/>
        <w:ind w:left="0" w:firstLine="480" w:firstLineChars="200"/>
        <w:rPr>
          <w:color w:val="auto"/>
          <w:highlight w:val="none"/>
        </w:rPr>
      </w:pPr>
      <w:r>
        <w:rPr>
          <w:color w:val="auto"/>
          <w:sz w:val="24"/>
          <w:szCs w:val="24"/>
          <w:highlight w:val="none"/>
        </w:rPr>
        <w:t>▲</w:t>
      </w:r>
      <w:r>
        <w:rPr>
          <w:color w:val="auto"/>
          <w:highlight w:val="none"/>
        </w:rPr>
        <w:t>零点漂移：</w:t>
      </w:r>
      <w:r>
        <w:rPr>
          <w:rFonts w:hint="eastAsia"/>
          <w:color w:val="auto"/>
          <w:highlight w:val="none"/>
          <w:lang w:val="en-US" w:eastAsia="zh-CN"/>
        </w:rPr>
        <w:t>＜</w:t>
      </w:r>
      <w:r>
        <w:rPr>
          <w:color w:val="auto"/>
          <w:highlight w:val="none"/>
        </w:rPr>
        <w:t>±0.</w:t>
      </w:r>
      <w:r>
        <w:rPr>
          <w:rFonts w:hint="eastAsia"/>
          <w:color w:val="auto"/>
          <w:highlight w:val="none"/>
          <w:lang w:val="en-US" w:eastAsia="zh-CN"/>
        </w:rPr>
        <w:t>01</w:t>
      </w:r>
      <w:r>
        <w:rPr>
          <w:color w:val="auto"/>
          <w:highlight w:val="none"/>
        </w:rPr>
        <w:t>mg/L</w:t>
      </w:r>
    </w:p>
    <w:p>
      <w:pPr>
        <w:pStyle w:val="3"/>
        <w:numPr>
          <w:ilvl w:val="0"/>
          <w:numId w:val="13"/>
        </w:numPr>
        <w:spacing w:after="0" w:line="360" w:lineRule="auto"/>
        <w:ind w:left="0" w:firstLine="480" w:firstLineChars="200"/>
        <w:rPr>
          <w:color w:val="auto"/>
          <w:highlight w:val="none"/>
        </w:rPr>
      </w:pPr>
      <w:r>
        <w:rPr>
          <w:color w:val="auto"/>
          <w:sz w:val="24"/>
          <w:szCs w:val="24"/>
          <w:highlight w:val="none"/>
        </w:rPr>
        <w:t>▲</w:t>
      </w:r>
      <w:r>
        <w:rPr>
          <w:color w:val="auto"/>
          <w:highlight w:val="none"/>
        </w:rPr>
        <w:t>量程漂移：</w:t>
      </w:r>
      <w:r>
        <w:rPr>
          <w:rFonts w:hint="eastAsia"/>
          <w:color w:val="auto"/>
          <w:highlight w:val="none"/>
          <w:lang w:val="en-US" w:eastAsia="zh-CN"/>
        </w:rPr>
        <w:t>＜</w:t>
      </w:r>
      <w:r>
        <w:rPr>
          <w:color w:val="auto"/>
          <w:highlight w:val="none"/>
        </w:rPr>
        <w:t>±0.</w:t>
      </w:r>
      <w:r>
        <w:rPr>
          <w:rFonts w:hint="eastAsia"/>
          <w:color w:val="auto"/>
          <w:highlight w:val="none"/>
          <w:lang w:val="en-US" w:eastAsia="zh-CN"/>
        </w:rPr>
        <w:t>02</w:t>
      </w:r>
      <w:r>
        <w:rPr>
          <w:color w:val="auto"/>
          <w:highlight w:val="none"/>
        </w:rPr>
        <w:t>mg/L</w:t>
      </w:r>
    </w:p>
    <w:p>
      <w:pPr>
        <w:pStyle w:val="3"/>
        <w:numPr>
          <w:ilvl w:val="0"/>
          <w:numId w:val="13"/>
        </w:numPr>
        <w:spacing w:after="0" w:line="360" w:lineRule="auto"/>
        <w:ind w:left="0" w:firstLine="480" w:firstLineChars="200"/>
        <w:rPr>
          <w:color w:val="auto"/>
          <w:highlight w:val="none"/>
        </w:rPr>
      </w:pPr>
      <w:r>
        <w:rPr>
          <w:color w:val="auto"/>
          <w:sz w:val="24"/>
          <w:szCs w:val="24"/>
          <w:highlight w:val="none"/>
        </w:rPr>
        <w:t>▲</w:t>
      </w:r>
      <w:r>
        <w:rPr>
          <w:color w:val="auto"/>
          <w:highlight w:val="none"/>
        </w:rPr>
        <w:t>重复性误差：±0.</w:t>
      </w:r>
      <w:r>
        <w:rPr>
          <w:rFonts w:hint="eastAsia"/>
          <w:color w:val="auto"/>
          <w:highlight w:val="none"/>
          <w:lang w:val="en-US" w:eastAsia="zh-CN"/>
        </w:rPr>
        <w:t>01</w:t>
      </w:r>
      <w:r>
        <w:rPr>
          <w:color w:val="auto"/>
          <w:highlight w:val="none"/>
        </w:rPr>
        <w:t>mg/L</w:t>
      </w:r>
    </w:p>
    <w:p>
      <w:pPr>
        <w:pStyle w:val="3"/>
        <w:numPr>
          <w:ilvl w:val="0"/>
          <w:numId w:val="13"/>
        </w:numPr>
        <w:spacing w:after="0" w:line="360" w:lineRule="auto"/>
        <w:ind w:left="0" w:firstLine="480" w:firstLineChars="200"/>
        <w:rPr>
          <w:color w:val="auto"/>
          <w:highlight w:val="none"/>
        </w:rPr>
      </w:pPr>
      <w:r>
        <w:rPr>
          <w:color w:val="auto"/>
          <w:highlight w:val="none"/>
        </w:rPr>
        <w:t>响应时间：≤120s</w:t>
      </w:r>
    </w:p>
    <w:p>
      <w:pPr>
        <w:pStyle w:val="3"/>
        <w:numPr>
          <w:ilvl w:val="0"/>
          <w:numId w:val="13"/>
        </w:numPr>
        <w:spacing w:after="0" w:line="360" w:lineRule="auto"/>
        <w:ind w:left="0" w:firstLine="480" w:firstLineChars="200"/>
        <w:rPr>
          <w:color w:val="auto"/>
          <w:highlight w:val="none"/>
        </w:rPr>
      </w:pPr>
      <w:r>
        <w:rPr>
          <w:color w:val="auto"/>
          <w:highlight w:val="none"/>
        </w:rPr>
        <w:t>温度补偿精度：±0.</w:t>
      </w:r>
      <w:r>
        <w:rPr>
          <w:rFonts w:hint="eastAsia"/>
          <w:color w:val="auto"/>
          <w:highlight w:val="none"/>
          <w:lang w:val="en-US" w:eastAsia="zh-CN"/>
        </w:rPr>
        <w:t>16</w:t>
      </w:r>
      <w:r>
        <w:rPr>
          <w:color w:val="auto"/>
          <w:highlight w:val="none"/>
        </w:rPr>
        <w:t>mg/L</w:t>
      </w:r>
    </w:p>
    <w:p>
      <w:pPr>
        <w:pStyle w:val="3"/>
        <w:numPr>
          <w:ilvl w:val="0"/>
          <w:numId w:val="13"/>
        </w:numPr>
        <w:spacing w:after="0" w:line="360" w:lineRule="auto"/>
        <w:ind w:left="0" w:leftChars="0" w:firstLine="480" w:firstLineChars="200"/>
        <w:rPr>
          <w:color w:val="auto"/>
          <w:highlight w:val="none"/>
        </w:rPr>
      </w:pPr>
      <w:r>
        <w:rPr>
          <w:color w:val="auto"/>
          <w:highlight w:val="none"/>
        </w:rPr>
        <w:t>MTBF：≥720h/次</w:t>
      </w:r>
    </w:p>
    <w:p>
      <w:pPr>
        <w:pStyle w:val="3"/>
        <w:spacing w:after="0" w:line="360" w:lineRule="auto"/>
        <w:ind w:firstLine="0"/>
        <w:rPr>
          <w:b/>
          <w:color w:val="auto"/>
          <w:highlight w:val="none"/>
        </w:rPr>
      </w:pPr>
      <w:r>
        <w:rPr>
          <w:b/>
          <w:color w:val="auto"/>
          <w:highlight w:val="none"/>
        </w:rPr>
        <w:t>（4）电导率</w:t>
      </w:r>
    </w:p>
    <w:p>
      <w:pPr>
        <w:pStyle w:val="3"/>
        <w:numPr>
          <w:ilvl w:val="0"/>
          <w:numId w:val="14"/>
        </w:numPr>
        <w:spacing w:after="0" w:line="360" w:lineRule="auto"/>
        <w:ind w:left="0" w:firstLine="480" w:firstLineChars="200"/>
        <w:rPr>
          <w:color w:val="auto"/>
          <w:highlight w:val="none"/>
        </w:rPr>
      </w:pPr>
      <w:r>
        <w:rPr>
          <w:color w:val="auto"/>
          <w:highlight w:val="none"/>
        </w:rPr>
        <w:t>测定原理：电极法</w:t>
      </w:r>
    </w:p>
    <w:p>
      <w:pPr>
        <w:pStyle w:val="3"/>
        <w:numPr>
          <w:ilvl w:val="0"/>
          <w:numId w:val="14"/>
        </w:numPr>
        <w:spacing w:after="0" w:line="360" w:lineRule="auto"/>
        <w:ind w:left="0" w:firstLine="480" w:firstLineChars="200"/>
        <w:rPr>
          <w:color w:val="auto"/>
          <w:highlight w:val="none"/>
        </w:rPr>
      </w:pPr>
      <w:r>
        <w:rPr>
          <w:color w:val="auto"/>
          <w:highlight w:val="none"/>
        </w:rPr>
        <w:t>量程：0～500mS/cm</w:t>
      </w:r>
    </w:p>
    <w:p>
      <w:pPr>
        <w:pStyle w:val="3"/>
        <w:numPr>
          <w:ilvl w:val="0"/>
          <w:numId w:val="14"/>
        </w:numPr>
        <w:spacing w:after="0" w:line="360" w:lineRule="auto"/>
        <w:ind w:left="0" w:firstLine="480" w:firstLineChars="200"/>
        <w:rPr>
          <w:color w:val="auto"/>
          <w:highlight w:val="none"/>
        </w:rPr>
      </w:pPr>
      <w:r>
        <w:rPr>
          <w:color w:val="auto"/>
          <w:highlight w:val="none"/>
        </w:rPr>
        <w:t>重复性误差：±</w:t>
      </w:r>
      <w:r>
        <w:rPr>
          <w:rFonts w:hint="eastAsia"/>
          <w:color w:val="auto"/>
          <w:highlight w:val="none"/>
          <w:lang w:val="en-US" w:eastAsia="zh-CN"/>
        </w:rPr>
        <w:t>0.3</w:t>
      </w:r>
      <w:r>
        <w:rPr>
          <w:color w:val="auto"/>
          <w:highlight w:val="none"/>
        </w:rPr>
        <w:t>%</w:t>
      </w:r>
    </w:p>
    <w:p>
      <w:pPr>
        <w:pStyle w:val="3"/>
        <w:numPr>
          <w:ilvl w:val="0"/>
          <w:numId w:val="14"/>
        </w:numPr>
        <w:spacing w:after="0" w:line="360" w:lineRule="auto"/>
        <w:ind w:left="0" w:firstLine="480" w:firstLineChars="200"/>
        <w:rPr>
          <w:color w:val="auto"/>
          <w:highlight w:val="none"/>
        </w:rPr>
      </w:pPr>
      <w:r>
        <w:rPr>
          <w:color w:val="auto"/>
          <w:sz w:val="24"/>
          <w:szCs w:val="24"/>
          <w:highlight w:val="none"/>
        </w:rPr>
        <w:t>▲</w:t>
      </w:r>
      <w:r>
        <w:rPr>
          <w:color w:val="auto"/>
          <w:highlight w:val="none"/>
        </w:rPr>
        <w:t>零点漂移：</w:t>
      </w:r>
      <w:r>
        <w:rPr>
          <w:rFonts w:hint="eastAsia"/>
          <w:color w:val="auto"/>
          <w:highlight w:val="none"/>
          <w:lang w:val="en-US" w:eastAsia="zh-CN"/>
        </w:rPr>
        <w:t>＜</w:t>
      </w:r>
      <w:r>
        <w:rPr>
          <w:color w:val="auto"/>
          <w:highlight w:val="none"/>
        </w:rPr>
        <w:t>±</w:t>
      </w:r>
      <w:r>
        <w:rPr>
          <w:rFonts w:hint="eastAsia"/>
          <w:color w:val="auto"/>
          <w:highlight w:val="none"/>
          <w:lang w:val="en-US" w:eastAsia="zh-CN"/>
        </w:rPr>
        <w:t>0.01</w:t>
      </w:r>
      <w:r>
        <w:rPr>
          <w:color w:val="auto"/>
          <w:highlight w:val="none"/>
        </w:rPr>
        <w:t>%</w:t>
      </w:r>
    </w:p>
    <w:p>
      <w:pPr>
        <w:pStyle w:val="3"/>
        <w:numPr>
          <w:ilvl w:val="0"/>
          <w:numId w:val="14"/>
        </w:numPr>
        <w:spacing w:after="0" w:line="360" w:lineRule="auto"/>
        <w:ind w:left="0" w:firstLine="480" w:firstLineChars="200"/>
        <w:rPr>
          <w:color w:val="auto"/>
          <w:highlight w:val="none"/>
        </w:rPr>
      </w:pPr>
      <w:r>
        <w:rPr>
          <w:color w:val="auto"/>
          <w:highlight w:val="none"/>
        </w:rPr>
        <w:t>量程漂移：</w:t>
      </w:r>
      <w:r>
        <w:rPr>
          <w:rFonts w:hint="eastAsia"/>
          <w:color w:val="auto"/>
          <w:highlight w:val="none"/>
          <w:lang w:val="en-US" w:eastAsia="zh-CN"/>
        </w:rPr>
        <w:t>＜</w:t>
      </w:r>
      <w:r>
        <w:rPr>
          <w:color w:val="auto"/>
          <w:highlight w:val="none"/>
        </w:rPr>
        <w:t>±</w:t>
      </w:r>
      <w:r>
        <w:rPr>
          <w:rFonts w:hint="eastAsia"/>
          <w:color w:val="auto"/>
          <w:highlight w:val="none"/>
          <w:lang w:val="en-US" w:eastAsia="zh-CN"/>
        </w:rPr>
        <w:t>0.</w:t>
      </w:r>
      <w:r>
        <w:rPr>
          <w:color w:val="auto"/>
          <w:highlight w:val="none"/>
        </w:rPr>
        <w:t>1%</w:t>
      </w:r>
    </w:p>
    <w:p>
      <w:pPr>
        <w:pStyle w:val="3"/>
        <w:numPr>
          <w:ilvl w:val="0"/>
          <w:numId w:val="14"/>
        </w:numPr>
        <w:spacing w:after="0" w:line="360" w:lineRule="auto"/>
        <w:ind w:left="0" w:firstLine="480" w:firstLineChars="200"/>
        <w:rPr>
          <w:color w:val="auto"/>
          <w:highlight w:val="none"/>
        </w:rPr>
      </w:pPr>
      <w:r>
        <w:rPr>
          <w:color w:val="auto"/>
          <w:highlight w:val="none"/>
        </w:rPr>
        <w:t>响应时间：≤</w:t>
      </w:r>
      <w:r>
        <w:rPr>
          <w:rFonts w:hint="eastAsia"/>
          <w:color w:val="auto"/>
          <w:highlight w:val="none"/>
          <w:lang w:val="en-US" w:eastAsia="zh-CN"/>
        </w:rPr>
        <w:t>0.15min</w:t>
      </w:r>
    </w:p>
    <w:p>
      <w:pPr>
        <w:pStyle w:val="3"/>
        <w:numPr>
          <w:ilvl w:val="0"/>
          <w:numId w:val="14"/>
        </w:numPr>
        <w:spacing w:after="0" w:line="360" w:lineRule="auto"/>
        <w:ind w:left="0" w:firstLine="480" w:firstLineChars="200"/>
        <w:rPr>
          <w:color w:val="auto"/>
          <w:highlight w:val="none"/>
        </w:rPr>
      </w:pPr>
      <w:r>
        <w:rPr>
          <w:color w:val="auto"/>
          <w:highlight w:val="none"/>
        </w:rPr>
        <w:t>温度补偿精度：±1%</w:t>
      </w:r>
    </w:p>
    <w:p>
      <w:pPr>
        <w:pStyle w:val="3"/>
        <w:numPr>
          <w:ilvl w:val="0"/>
          <w:numId w:val="14"/>
        </w:numPr>
        <w:spacing w:after="0" w:line="360" w:lineRule="auto"/>
        <w:ind w:left="0" w:firstLine="480" w:firstLineChars="200"/>
        <w:rPr>
          <w:color w:val="auto"/>
          <w:highlight w:val="none"/>
        </w:rPr>
      </w:pPr>
      <w:r>
        <w:rPr>
          <w:color w:val="auto"/>
          <w:highlight w:val="none"/>
        </w:rPr>
        <w:t>MTBF：≥720h/次</w:t>
      </w:r>
    </w:p>
    <w:p>
      <w:pPr>
        <w:pStyle w:val="3"/>
        <w:spacing w:after="0" w:line="360" w:lineRule="auto"/>
        <w:ind w:firstLine="0"/>
        <w:rPr>
          <w:b/>
          <w:color w:val="auto"/>
          <w:highlight w:val="none"/>
        </w:rPr>
      </w:pPr>
      <w:r>
        <w:rPr>
          <w:b/>
          <w:color w:val="auto"/>
          <w:highlight w:val="none"/>
        </w:rPr>
        <w:t>（5）浊度</w:t>
      </w:r>
    </w:p>
    <w:p>
      <w:pPr>
        <w:pStyle w:val="3"/>
        <w:numPr>
          <w:ilvl w:val="0"/>
          <w:numId w:val="15"/>
        </w:numPr>
        <w:spacing w:after="0" w:line="360" w:lineRule="auto"/>
        <w:ind w:left="0" w:firstLine="480" w:firstLineChars="200"/>
        <w:rPr>
          <w:color w:val="auto"/>
          <w:highlight w:val="none"/>
        </w:rPr>
      </w:pPr>
      <w:r>
        <w:rPr>
          <w:color w:val="auto"/>
          <w:highlight w:val="none"/>
        </w:rPr>
        <w:t>测定原理：光散射法</w:t>
      </w:r>
    </w:p>
    <w:p>
      <w:pPr>
        <w:pStyle w:val="3"/>
        <w:numPr>
          <w:ilvl w:val="0"/>
          <w:numId w:val="15"/>
        </w:numPr>
        <w:spacing w:after="0" w:line="360" w:lineRule="auto"/>
        <w:ind w:left="0" w:firstLine="480" w:firstLineChars="200"/>
        <w:rPr>
          <w:color w:val="auto"/>
          <w:highlight w:val="none"/>
        </w:rPr>
      </w:pPr>
      <w:r>
        <w:rPr>
          <w:color w:val="auto"/>
          <w:highlight w:val="none"/>
        </w:rPr>
        <w:t>量程：0～</w:t>
      </w:r>
      <w:r>
        <w:rPr>
          <w:rFonts w:hint="eastAsia"/>
          <w:color w:val="auto"/>
          <w:highlight w:val="none"/>
        </w:rPr>
        <w:t>4</w:t>
      </w:r>
      <w:r>
        <w:rPr>
          <w:color w:val="auto"/>
          <w:highlight w:val="none"/>
        </w:rPr>
        <w:t xml:space="preserve">000NTU </w:t>
      </w:r>
    </w:p>
    <w:p>
      <w:pPr>
        <w:pStyle w:val="3"/>
        <w:numPr>
          <w:ilvl w:val="0"/>
          <w:numId w:val="15"/>
        </w:numPr>
        <w:spacing w:after="0" w:line="360" w:lineRule="auto"/>
        <w:ind w:left="0" w:firstLine="480" w:firstLineChars="200"/>
        <w:rPr>
          <w:color w:val="auto"/>
          <w:highlight w:val="none"/>
        </w:rPr>
      </w:pPr>
      <w:r>
        <w:rPr>
          <w:color w:val="auto"/>
          <w:highlight w:val="none"/>
        </w:rPr>
        <w:t>重复性误差：±</w:t>
      </w:r>
      <w:r>
        <w:rPr>
          <w:rFonts w:hint="eastAsia"/>
          <w:color w:val="auto"/>
          <w:highlight w:val="none"/>
          <w:lang w:val="en-US" w:eastAsia="zh-CN"/>
        </w:rPr>
        <w:t>1.</w:t>
      </w:r>
      <w:r>
        <w:rPr>
          <w:color w:val="auto"/>
          <w:highlight w:val="none"/>
        </w:rPr>
        <w:t>5%</w:t>
      </w:r>
    </w:p>
    <w:p>
      <w:pPr>
        <w:pStyle w:val="3"/>
        <w:numPr>
          <w:ilvl w:val="0"/>
          <w:numId w:val="15"/>
        </w:numPr>
        <w:spacing w:after="0" w:line="360" w:lineRule="auto"/>
        <w:ind w:left="0" w:firstLine="480" w:firstLineChars="200"/>
        <w:rPr>
          <w:color w:val="auto"/>
          <w:highlight w:val="none"/>
        </w:rPr>
      </w:pPr>
      <w:r>
        <w:rPr>
          <w:color w:val="auto"/>
          <w:sz w:val="24"/>
          <w:szCs w:val="24"/>
          <w:highlight w:val="none"/>
        </w:rPr>
        <w:t>▲</w:t>
      </w:r>
      <w:r>
        <w:rPr>
          <w:color w:val="auto"/>
          <w:highlight w:val="none"/>
        </w:rPr>
        <w:t>零点漂移：±</w:t>
      </w:r>
      <w:r>
        <w:rPr>
          <w:rFonts w:hint="eastAsia"/>
          <w:color w:val="auto"/>
          <w:highlight w:val="none"/>
          <w:lang w:val="en-US" w:eastAsia="zh-CN"/>
        </w:rPr>
        <w:t>0.05</w:t>
      </w:r>
      <w:r>
        <w:rPr>
          <w:color w:val="auto"/>
          <w:highlight w:val="none"/>
        </w:rPr>
        <w:t>%</w:t>
      </w:r>
    </w:p>
    <w:p>
      <w:pPr>
        <w:pStyle w:val="3"/>
        <w:numPr>
          <w:ilvl w:val="0"/>
          <w:numId w:val="15"/>
        </w:numPr>
        <w:spacing w:after="0" w:line="360" w:lineRule="auto"/>
        <w:ind w:left="0" w:firstLine="480" w:firstLineChars="200"/>
        <w:rPr>
          <w:color w:val="auto"/>
          <w:highlight w:val="none"/>
        </w:rPr>
      </w:pPr>
      <w:r>
        <w:rPr>
          <w:color w:val="auto"/>
          <w:sz w:val="24"/>
          <w:szCs w:val="24"/>
          <w:highlight w:val="none"/>
        </w:rPr>
        <w:t>▲</w:t>
      </w:r>
      <w:r>
        <w:rPr>
          <w:color w:val="auto"/>
          <w:highlight w:val="none"/>
        </w:rPr>
        <w:t>量程漂移：±</w:t>
      </w:r>
      <w:r>
        <w:rPr>
          <w:rFonts w:hint="eastAsia"/>
          <w:color w:val="auto"/>
          <w:highlight w:val="none"/>
          <w:lang w:val="en-US" w:eastAsia="zh-CN"/>
        </w:rPr>
        <w:t>1</w:t>
      </w:r>
      <w:r>
        <w:rPr>
          <w:color w:val="auto"/>
          <w:highlight w:val="none"/>
        </w:rPr>
        <w:t>%</w:t>
      </w:r>
    </w:p>
    <w:p>
      <w:pPr>
        <w:pStyle w:val="3"/>
        <w:numPr>
          <w:ilvl w:val="0"/>
          <w:numId w:val="15"/>
        </w:numPr>
        <w:spacing w:after="0" w:line="360" w:lineRule="auto"/>
        <w:ind w:left="0" w:firstLine="480" w:firstLineChars="200"/>
        <w:rPr>
          <w:color w:val="auto"/>
          <w:highlight w:val="none"/>
        </w:rPr>
      </w:pPr>
      <w:r>
        <w:rPr>
          <w:color w:val="auto"/>
          <w:highlight w:val="none"/>
        </w:rPr>
        <w:t>线性误差：±</w:t>
      </w:r>
      <w:r>
        <w:rPr>
          <w:rFonts w:hint="eastAsia"/>
          <w:color w:val="auto"/>
          <w:highlight w:val="none"/>
          <w:lang w:val="en-US" w:eastAsia="zh-CN"/>
        </w:rPr>
        <w:t>0.</w:t>
      </w:r>
      <w:r>
        <w:rPr>
          <w:color w:val="auto"/>
          <w:highlight w:val="none"/>
        </w:rPr>
        <w:t>5%</w:t>
      </w:r>
    </w:p>
    <w:p>
      <w:pPr>
        <w:pStyle w:val="3"/>
        <w:numPr>
          <w:ilvl w:val="0"/>
          <w:numId w:val="15"/>
        </w:numPr>
        <w:spacing w:after="0" w:line="360" w:lineRule="auto"/>
        <w:ind w:left="0" w:firstLine="480" w:firstLineChars="200"/>
        <w:rPr>
          <w:color w:val="auto"/>
          <w:highlight w:val="none"/>
        </w:rPr>
      </w:pPr>
      <w:r>
        <w:rPr>
          <w:color w:val="auto"/>
          <w:highlight w:val="none"/>
        </w:rPr>
        <w:t>MTBF：≥720h/次</w:t>
      </w:r>
    </w:p>
    <w:p>
      <w:pPr>
        <w:pStyle w:val="3"/>
        <w:spacing w:after="0" w:line="360" w:lineRule="auto"/>
        <w:ind w:left="420" w:leftChars="200" w:firstLine="0"/>
        <w:rPr>
          <w:color w:val="auto"/>
          <w:highlight w:val="none"/>
        </w:rPr>
      </w:pP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（二）高锰酸盐指数水质分析仪</w:t>
      </w:r>
    </w:p>
    <w:p>
      <w:pPr>
        <w:pStyle w:val="3"/>
        <w:numPr>
          <w:ilvl w:val="0"/>
          <w:numId w:val="16"/>
        </w:numPr>
        <w:spacing w:after="0" w:line="360" w:lineRule="auto"/>
        <w:ind w:left="0" w:firstLine="480" w:firstLineChars="200"/>
        <w:rPr>
          <w:color w:val="auto"/>
          <w:highlight w:val="none"/>
        </w:rPr>
      </w:pPr>
      <w:r>
        <w:rPr>
          <w:color w:val="auto"/>
          <w:highlight w:val="none"/>
        </w:rPr>
        <w:t>测定原理：高锰酸钾氧化法</w:t>
      </w:r>
    </w:p>
    <w:p>
      <w:pPr>
        <w:pStyle w:val="3"/>
        <w:numPr>
          <w:ilvl w:val="0"/>
          <w:numId w:val="16"/>
        </w:numPr>
        <w:spacing w:after="0" w:line="360" w:lineRule="auto"/>
        <w:ind w:left="0" w:firstLine="480" w:firstLineChars="200"/>
        <w:rPr>
          <w:color w:val="auto"/>
          <w:highlight w:val="none"/>
        </w:rPr>
      </w:pPr>
      <w:r>
        <w:rPr>
          <w:color w:val="auto"/>
          <w:highlight w:val="none"/>
        </w:rPr>
        <w:t>量程：0～20mg/L</w:t>
      </w:r>
    </w:p>
    <w:p>
      <w:pPr>
        <w:pStyle w:val="3"/>
        <w:numPr>
          <w:ilvl w:val="0"/>
          <w:numId w:val="16"/>
        </w:numPr>
        <w:spacing w:after="0" w:line="360" w:lineRule="auto"/>
        <w:ind w:left="0" w:firstLine="480" w:firstLineChars="200"/>
        <w:rPr>
          <w:color w:val="auto"/>
          <w:highlight w:val="none"/>
        </w:rPr>
      </w:pPr>
      <w:r>
        <w:rPr>
          <w:color w:val="auto"/>
          <w:sz w:val="24"/>
          <w:szCs w:val="24"/>
          <w:highlight w:val="none"/>
        </w:rPr>
        <w:t>▲</w:t>
      </w:r>
      <w:r>
        <w:rPr>
          <w:color w:val="auto"/>
          <w:highlight w:val="none"/>
        </w:rPr>
        <w:t>重复性误差：±</w:t>
      </w:r>
      <w:r>
        <w:rPr>
          <w:rFonts w:hint="eastAsia"/>
          <w:color w:val="auto"/>
          <w:highlight w:val="none"/>
          <w:lang w:val="en-US" w:eastAsia="zh-CN"/>
        </w:rPr>
        <w:t>2</w:t>
      </w:r>
      <w:r>
        <w:rPr>
          <w:color w:val="auto"/>
          <w:highlight w:val="none"/>
        </w:rPr>
        <w:t>%</w:t>
      </w:r>
    </w:p>
    <w:p>
      <w:pPr>
        <w:pStyle w:val="3"/>
        <w:numPr>
          <w:ilvl w:val="0"/>
          <w:numId w:val="16"/>
        </w:numPr>
        <w:spacing w:after="0" w:line="360" w:lineRule="auto"/>
        <w:ind w:left="0" w:firstLine="480" w:firstLineChars="200"/>
        <w:rPr>
          <w:color w:val="auto"/>
          <w:highlight w:val="none"/>
        </w:rPr>
      </w:pPr>
      <w:r>
        <w:rPr>
          <w:color w:val="auto"/>
          <w:highlight w:val="none"/>
        </w:rPr>
        <w:t>零点漂移：±</w:t>
      </w:r>
      <w:r>
        <w:rPr>
          <w:rFonts w:hint="eastAsia"/>
          <w:color w:val="auto"/>
          <w:highlight w:val="none"/>
          <w:lang w:val="en-US" w:eastAsia="zh-CN"/>
        </w:rPr>
        <w:t>1.</w:t>
      </w:r>
      <w:r>
        <w:rPr>
          <w:color w:val="auto"/>
          <w:highlight w:val="none"/>
        </w:rPr>
        <w:t>5%</w:t>
      </w:r>
    </w:p>
    <w:p>
      <w:pPr>
        <w:pStyle w:val="3"/>
        <w:numPr>
          <w:ilvl w:val="0"/>
          <w:numId w:val="16"/>
        </w:numPr>
        <w:spacing w:after="0" w:line="360" w:lineRule="auto"/>
        <w:ind w:left="0" w:firstLine="480" w:firstLineChars="200"/>
        <w:rPr>
          <w:color w:val="auto"/>
          <w:highlight w:val="none"/>
        </w:rPr>
      </w:pPr>
      <w:r>
        <w:rPr>
          <w:color w:val="auto"/>
          <w:highlight w:val="none"/>
        </w:rPr>
        <w:t>量程漂移：±</w:t>
      </w:r>
      <w:r>
        <w:rPr>
          <w:rFonts w:hint="eastAsia"/>
          <w:color w:val="auto"/>
          <w:highlight w:val="none"/>
          <w:lang w:val="en-US" w:eastAsia="zh-CN"/>
        </w:rPr>
        <w:t>2.</w:t>
      </w:r>
      <w:r>
        <w:rPr>
          <w:color w:val="auto"/>
          <w:highlight w:val="none"/>
        </w:rPr>
        <w:t>5%</w:t>
      </w:r>
    </w:p>
    <w:p>
      <w:pPr>
        <w:pStyle w:val="3"/>
        <w:numPr>
          <w:ilvl w:val="0"/>
          <w:numId w:val="16"/>
        </w:numPr>
        <w:spacing w:after="0" w:line="360" w:lineRule="auto"/>
        <w:ind w:left="0" w:firstLine="480" w:firstLineChars="200"/>
        <w:rPr>
          <w:color w:val="auto"/>
          <w:highlight w:val="none"/>
        </w:rPr>
      </w:pPr>
      <w:r>
        <w:rPr>
          <w:color w:val="auto"/>
          <w:sz w:val="24"/>
          <w:szCs w:val="24"/>
          <w:highlight w:val="none"/>
        </w:rPr>
        <w:t>▲</w:t>
      </w:r>
      <w:r>
        <w:rPr>
          <w:color w:val="auto"/>
          <w:highlight w:val="none"/>
        </w:rPr>
        <w:t>葡萄糖试验：±</w:t>
      </w:r>
      <w:r>
        <w:rPr>
          <w:rFonts w:hint="eastAsia"/>
          <w:color w:val="auto"/>
          <w:highlight w:val="none"/>
          <w:lang w:val="en-US" w:eastAsia="zh-CN"/>
        </w:rPr>
        <w:t>0.7</w:t>
      </w:r>
      <w:r>
        <w:rPr>
          <w:color w:val="auto"/>
          <w:highlight w:val="none"/>
        </w:rPr>
        <w:t>%</w:t>
      </w:r>
    </w:p>
    <w:p>
      <w:pPr>
        <w:pStyle w:val="3"/>
        <w:numPr>
          <w:ilvl w:val="0"/>
          <w:numId w:val="16"/>
        </w:numPr>
        <w:spacing w:after="0" w:line="360" w:lineRule="auto"/>
        <w:ind w:left="0" w:firstLine="480" w:firstLineChars="200"/>
        <w:rPr>
          <w:color w:val="auto"/>
          <w:highlight w:val="none"/>
        </w:rPr>
      </w:pPr>
      <w:r>
        <w:rPr>
          <w:color w:val="auto"/>
          <w:sz w:val="24"/>
          <w:szCs w:val="24"/>
          <w:highlight w:val="none"/>
        </w:rPr>
        <w:t>▲</w:t>
      </w:r>
      <w:r>
        <w:rPr>
          <w:color w:val="auto"/>
          <w:highlight w:val="none"/>
        </w:rPr>
        <w:t>MTBF：≥</w:t>
      </w:r>
      <w:r>
        <w:rPr>
          <w:rFonts w:hint="eastAsia"/>
          <w:color w:val="auto"/>
          <w:highlight w:val="none"/>
          <w:lang w:val="en-US" w:eastAsia="zh-CN"/>
        </w:rPr>
        <w:t>1440</w:t>
      </w:r>
      <w:r>
        <w:rPr>
          <w:color w:val="auto"/>
          <w:highlight w:val="none"/>
        </w:rPr>
        <w:t>h/次</w:t>
      </w:r>
    </w:p>
    <w:p>
      <w:pPr>
        <w:pStyle w:val="3"/>
        <w:numPr>
          <w:ilvl w:val="0"/>
          <w:numId w:val="16"/>
        </w:numPr>
        <w:spacing w:after="0" w:line="360" w:lineRule="auto"/>
        <w:ind w:left="0" w:leftChars="0" w:firstLine="480" w:firstLineChars="200"/>
        <w:rPr>
          <w:color w:val="auto"/>
          <w:highlight w:val="none"/>
        </w:rPr>
      </w:pPr>
      <w:r>
        <w:rPr>
          <w:color w:val="auto"/>
          <w:highlight w:val="none"/>
        </w:rPr>
        <w:t>实际水样比对：±10%</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（三）氨氮水质分析仪</w:t>
      </w:r>
    </w:p>
    <w:p>
      <w:pPr>
        <w:pStyle w:val="3"/>
        <w:numPr>
          <w:ilvl w:val="0"/>
          <w:numId w:val="17"/>
        </w:numPr>
        <w:spacing w:after="0" w:line="360" w:lineRule="auto"/>
        <w:ind w:left="0" w:firstLine="480" w:firstLineChars="200"/>
        <w:rPr>
          <w:color w:val="auto"/>
          <w:highlight w:val="none"/>
        </w:rPr>
      </w:pPr>
      <w:r>
        <w:rPr>
          <w:color w:val="auto"/>
          <w:highlight w:val="none"/>
        </w:rPr>
        <w:t>测定原理：水杨酸分光光度法</w:t>
      </w:r>
      <w:r>
        <w:rPr>
          <w:rFonts w:hint="eastAsia"/>
          <w:color w:val="auto"/>
          <w:highlight w:val="none"/>
          <w:lang w:val="en-US" w:eastAsia="zh-CN"/>
        </w:rPr>
        <w:t>或纳氏试剂分光光度法</w:t>
      </w:r>
    </w:p>
    <w:p>
      <w:pPr>
        <w:pStyle w:val="3"/>
        <w:numPr>
          <w:ilvl w:val="0"/>
          <w:numId w:val="17"/>
        </w:numPr>
        <w:spacing w:after="0" w:line="360" w:lineRule="auto"/>
        <w:ind w:left="0" w:firstLine="480" w:firstLineChars="200"/>
        <w:rPr>
          <w:color w:val="auto"/>
          <w:highlight w:val="none"/>
        </w:rPr>
      </w:pPr>
      <w:r>
        <w:rPr>
          <w:color w:val="auto"/>
          <w:highlight w:val="none"/>
        </w:rPr>
        <w:t xml:space="preserve">量程：0～10mg/L </w:t>
      </w:r>
    </w:p>
    <w:p>
      <w:pPr>
        <w:pStyle w:val="3"/>
        <w:numPr>
          <w:ilvl w:val="0"/>
          <w:numId w:val="17"/>
        </w:numPr>
        <w:spacing w:after="0" w:line="360" w:lineRule="auto"/>
        <w:ind w:left="0" w:firstLine="480" w:firstLineChars="200"/>
        <w:rPr>
          <w:color w:val="auto"/>
          <w:highlight w:val="none"/>
        </w:rPr>
      </w:pPr>
      <w:r>
        <w:rPr>
          <w:color w:val="auto"/>
          <w:sz w:val="24"/>
          <w:szCs w:val="24"/>
          <w:highlight w:val="none"/>
        </w:rPr>
        <w:t>▲</w:t>
      </w:r>
      <w:r>
        <w:rPr>
          <w:rFonts w:hint="eastAsia"/>
          <w:color w:val="auto"/>
          <w:highlight w:val="none"/>
          <w:lang w:val="en-US" w:eastAsia="zh-CN"/>
        </w:rPr>
        <w:t>24小时低浓度</w:t>
      </w:r>
      <w:r>
        <w:rPr>
          <w:color w:val="auto"/>
          <w:highlight w:val="none"/>
        </w:rPr>
        <w:t>漂移：±0.0</w:t>
      </w:r>
      <w:r>
        <w:rPr>
          <w:rFonts w:hint="eastAsia"/>
          <w:color w:val="auto"/>
          <w:highlight w:val="none"/>
          <w:lang w:val="en-US" w:eastAsia="zh-CN"/>
        </w:rPr>
        <w:t>03</w:t>
      </w:r>
      <w:r>
        <w:rPr>
          <w:color w:val="auto"/>
          <w:highlight w:val="none"/>
        </w:rPr>
        <w:t>mg/L</w:t>
      </w:r>
    </w:p>
    <w:p>
      <w:pPr>
        <w:pStyle w:val="3"/>
        <w:numPr>
          <w:ilvl w:val="0"/>
          <w:numId w:val="17"/>
        </w:numPr>
        <w:spacing w:after="0" w:line="360" w:lineRule="auto"/>
        <w:ind w:left="0" w:firstLine="480" w:firstLineChars="200"/>
        <w:rPr>
          <w:color w:val="auto"/>
          <w:highlight w:val="none"/>
        </w:rPr>
      </w:pPr>
      <w:r>
        <w:rPr>
          <w:rFonts w:hint="eastAsia"/>
          <w:color w:val="auto"/>
          <w:highlight w:val="none"/>
          <w:lang w:val="en-US" w:eastAsia="zh-CN"/>
        </w:rPr>
        <w:t>24小时高浓度</w:t>
      </w:r>
      <w:r>
        <w:rPr>
          <w:color w:val="auto"/>
          <w:highlight w:val="none"/>
        </w:rPr>
        <w:t>漂移：≤1.0%</w:t>
      </w:r>
    </w:p>
    <w:p>
      <w:pPr>
        <w:pStyle w:val="3"/>
        <w:numPr>
          <w:ilvl w:val="0"/>
          <w:numId w:val="17"/>
        </w:numPr>
        <w:spacing w:after="0" w:line="360" w:lineRule="auto"/>
        <w:ind w:left="0" w:firstLine="480" w:firstLineChars="200"/>
        <w:rPr>
          <w:color w:val="auto"/>
          <w:highlight w:val="none"/>
        </w:rPr>
      </w:pPr>
      <w:r>
        <w:rPr>
          <w:color w:val="auto"/>
          <w:sz w:val="24"/>
          <w:szCs w:val="24"/>
          <w:highlight w:val="none"/>
        </w:rPr>
        <w:t>▲</w:t>
      </w:r>
      <w:r>
        <w:rPr>
          <w:color w:val="auto"/>
          <w:highlight w:val="none"/>
        </w:rPr>
        <w:t>示值误差：标液浓度为</w:t>
      </w:r>
      <w:r>
        <w:rPr>
          <w:rFonts w:hint="eastAsia"/>
          <w:color w:val="auto"/>
          <w:highlight w:val="none"/>
          <w:lang w:val="en-US" w:eastAsia="zh-CN"/>
        </w:rPr>
        <w:t>20%</w:t>
      </w:r>
      <w:r>
        <w:rPr>
          <w:color w:val="auto"/>
          <w:highlight w:val="none"/>
        </w:rPr>
        <w:t>时：±</w:t>
      </w:r>
      <w:r>
        <w:rPr>
          <w:rFonts w:hint="eastAsia"/>
          <w:color w:val="auto"/>
          <w:highlight w:val="none"/>
          <w:lang w:val="en-US" w:eastAsia="zh-CN"/>
        </w:rPr>
        <w:t>3.5</w:t>
      </w:r>
      <w:r>
        <w:rPr>
          <w:color w:val="auto"/>
          <w:highlight w:val="none"/>
        </w:rPr>
        <w:t>%；标液浓度为</w:t>
      </w:r>
      <w:r>
        <w:rPr>
          <w:rFonts w:hint="eastAsia"/>
          <w:color w:val="auto"/>
          <w:highlight w:val="none"/>
          <w:lang w:val="en-US" w:eastAsia="zh-CN"/>
        </w:rPr>
        <w:t>50%</w:t>
      </w:r>
      <w:r>
        <w:rPr>
          <w:color w:val="auto"/>
          <w:highlight w:val="none"/>
        </w:rPr>
        <w:t>时：±</w:t>
      </w:r>
      <w:r>
        <w:rPr>
          <w:rFonts w:hint="eastAsia"/>
          <w:color w:val="auto"/>
          <w:highlight w:val="none"/>
          <w:lang w:val="en-US" w:eastAsia="zh-CN"/>
        </w:rPr>
        <w:t>1.</w:t>
      </w:r>
      <w:r>
        <w:rPr>
          <w:color w:val="auto"/>
          <w:highlight w:val="none"/>
        </w:rPr>
        <w:t>5%；标液浓度为</w:t>
      </w:r>
      <w:r>
        <w:rPr>
          <w:rFonts w:hint="eastAsia"/>
          <w:color w:val="auto"/>
          <w:highlight w:val="none"/>
          <w:lang w:val="en-US" w:eastAsia="zh-CN"/>
        </w:rPr>
        <w:t>80%</w:t>
      </w:r>
      <w:r>
        <w:rPr>
          <w:color w:val="auto"/>
          <w:highlight w:val="none"/>
        </w:rPr>
        <w:t>时：±</w:t>
      </w:r>
      <w:r>
        <w:rPr>
          <w:rFonts w:hint="eastAsia"/>
          <w:color w:val="auto"/>
          <w:highlight w:val="none"/>
          <w:lang w:val="en-US" w:eastAsia="zh-CN"/>
        </w:rPr>
        <w:t>1</w:t>
      </w:r>
      <w:r>
        <w:rPr>
          <w:color w:val="auto"/>
          <w:highlight w:val="none"/>
        </w:rPr>
        <w:t>.</w:t>
      </w:r>
      <w:r>
        <w:rPr>
          <w:rFonts w:hint="eastAsia"/>
          <w:color w:val="auto"/>
          <w:highlight w:val="none"/>
          <w:lang w:val="en-US" w:eastAsia="zh-CN"/>
        </w:rPr>
        <w:t>6</w:t>
      </w:r>
      <w:r>
        <w:rPr>
          <w:color w:val="auto"/>
          <w:highlight w:val="none"/>
        </w:rPr>
        <w:t>%</w:t>
      </w:r>
    </w:p>
    <w:p>
      <w:pPr>
        <w:pStyle w:val="3"/>
        <w:numPr>
          <w:ilvl w:val="0"/>
          <w:numId w:val="17"/>
        </w:numPr>
        <w:spacing w:after="0" w:line="360" w:lineRule="auto"/>
        <w:ind w:left="0" w:firstLine="480" w:firstLineChars="200"/>
        <w:rPr>
          <w:color w:val="auto"/>
          <w:highlight w:val="none"/>
        </w:rPr>
      </w:pPr>
      <w:r>
        <w:rPr>
          <w:color w:val="auto"/>
          <w:sz w:val="24"/>
          <w:szCs w:val="24"/>
          <w:highlight w:val="none"/>
        </w:rPr>
        <w:t>▲</w:t>
      </w:r>
      <w:r>
        <w:rPr>
          <w:color w:val="auto"/>
          <w:highlight w:val="none"/>
        </w:rPr>
        <w:t>重复性：≤</w:t>
      </w:r>
      <w:r>
        <w:rPr>
          <w:rFonts w:hint="eastAsia"/>
          <w:color w:val="auto"/>
          <w:highlight w:val="none"/>
          <w:lang w:val="en-US" w:eastAsia="zh-CN"/>
        </w:rPr>
        <w:t>0</w:t>
      </w:r>
      <w:r>
        <w:rPr>
          <w:color w:val="auto"/>
          <w:highlight w:val="none"/>
        </w:rPr>
        <w:t>.</w:t>
      </w:r>
      <w:r>
        <w:rPr>
          <w:rFonts w:hint="eastAsia"/>
          <w:color w:val="auto"/>
          <w:highlight w:val="none"/>
          <w:lang w:val="en-US" w:eastAsia="zh-CN"/>
        </w:rPr>
        <w:t>8</w:t>
      </w:r>
      <w:r>
        <w:rPr>
          <w:color w:val="auto"/>
          <w:highlight w:val="none"/>
        </w:rPr>
        <w:t>%</w:t>
      </w:r>
    </w:p>
    <w:p>
      <w:pPr>
        <w:pStyle w:val="3"/>
        <w:numPr>
          <w:ilvl w:val="0"/>
          <w:numId w:val="17"/>
        </w:numPr>
        <w:spacing w:after="0" w:line="360" w:lineRule="auto"/>
        <w:ind w:left="0" w:firstLine="480" w:firstLineChars="200"/>
        <w:rPr>
          <w:color w:val="auto"/>
          <w:highlight w:val="none"/>
        </w:rPr>
      </w:pPr>
      <w:r>
        <w:rPr>
          <w:color w:val="auto"/>
          <w:highlight w:val="none"/>
        </w:rPr>
        <w:t>pH影响：±</w:t>
      </w:r>
      <w:r>
        <w:rPr>
          <w:rFonts w:hint="eastAsia"/>
          <w:color w:val="auto"/>
          <w:highlight w:val="none"/>
          <w:lang w:val="en-US" w:eastAsia="zh-CN"/>
        </w:rPr>
        <w:t>3</w:t>
      </w:r>
      <w:r>
        <w:rPr>
          <w:color w:val="auto"/>
          <w:highlight w:val="none"/>
        </w:rPr>
        <w:t>.</w:t>
      </w:r>
      <w:r>
        <w:rPr>
          <w:rFonts w:hint="eastAsia"/>
          <w:color w:val="auto"/>
          <w:highlight w:val="none"/>
          <w:lang w:val="en-US" w:eastAsia="zh-CN"/>
        </w:rPr>
        <w:t>5</w:t>
      </w:r>
      <w:r>
        <w:rPr>
          <w:color w:val="auto"/>
          <w:highlight w:val="none"/>
        </w:rPr>
        <w:t>%</w:t>
      </w:r>
    </w:p>
    <w:p>
      <w:pPr>
        <w:pStyle w:val="3"/>
        <w:numPr>
          <w:ilvl w:val="0"/>
          <w:numId w:val="17"/>
        </w:numPr>
        <w:spacing w:after="0" w:line="360" w:lineRule="auto"/>
        <w:ind w:left="0" w:firstLine="480" w:firstLineChars="200"/>
        <w:rPr>
          <w:color w:val="auto"/>
          <w:highlight w:val="none"/>
        </w:rPr>
      </w:pPr>
      <w:r>
        <w:rPr>
          <w:color w:val="auto"/>
          <w:highlight w:val="none"/>
        </w:rPr>
        <w:t>最小维护周期：≥168h</w:t>
      </w:r>
    </w:p>
    <w:p>
      <w:pPr>
        <w:pStyle w:val="3"/>
        <w:numPr>
          <w:ilvl w:val="0"/>
          <w:numId w:val="17"/>
        </w:numPr>
        <w:spacing w:after="0" w:line="360" w:lineRule="auto"/>
        <w:ind w:left="0" w:firstLine="480" w:firstLineChars="200"/>
        <w:rPr>
          <w:color w:val="auto"/>
          <w:highlight w:val="none"/>
        </w:rPr>
      </w:pPr>
      <w:r>
        <w:rPr>
          <w:color w:val="auto"/>
          <w:sz w:val="24"/>
          <w:szCs w:val="24"/>
          <w:highlight w:val="none"/>
        </w:rPr>
        <w:t>▲</w:t>
      </w:r>
      <w:r>
        <w:rPr>
          <w:color w:val="auto"/>
          <w:highlight w:val="none"/>
        </w:rPr>
        <w:t>实际水样比对：水样浓度&lt;2.0mg/L：≤0.</w:t>
      </w:r>
      <w:r>
        <w:rPr>
          <w:rFonts w:hint="eastAsia"/>
          <w:color w:val="auto"/>
          <w:highlight w:val="none"/>
          <w:lang w:val="en-US" w:eastAsia="zh-CN"/>
        </w:rPr>
        <w:t>01</w:t>
      </w:r>
      <w:r>
        <w:rPr>
          <w:color w:val="auto"/>
          <w:highlight w:val="none"/>
        </w:rPr>
        <w:t>mg/L；水样浓度≥2.0mg/L：≤±</w:t>
      </w:r>
      <w:r>
        <w:rPr>
          <w:rFonts w:hint="eastAsia"/>
          <w:color w:val="auto"/>
          <w:highlight w:val="none"/>
          <w:lang w:val="en-US" w:eastAsia="zh-CN"/>
        </w:rPr>
        <w:t>2</w:t>
      </w:r>
      <w:r>
        <w:rPr>
          <w:color w:val="auto"/>
          <w:highlight w:val="none"/>
        </w:rPr>
        <w:t>.</w:t>
      </w:r>
      <w:r>
        <w:rPr>
          <w:rFonts w:hint="eastAsia"/>
          <w:color w:val="auto"/>
          <w:highlight w:val="none"/>
          <w:lang w:val="en-US" w:eastAsia="zh-CN"/>
        </w:rPr>
        <w:t>6</w:t>
      </w:r>
      <w:r>
        <w:rPr>
          <w:color w:val="auto"/>
          <w:highlight w:val="none"/>
        </w:rPr>
        <w:t>%</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（四）总磷水质分析仪</w:t>
      </w:r>
    </w:p>
    <w:p>
      <w:pPr>
        <w:pStyle w:val="3"/>
        <w:numPr>
          <w:ilvl w:val="0"/>
          <w:numId w:val="18"/>
        </w:numPr>
        <w:spacing w:after="0" w:line="360" w:lineRule="auto"/>
        <w:ind w:left="0" w:firstLine="480" w:firstLineChars="200"/>
        <w:rPr>
          <w:color w:val="auto"/>
          <w:highlight w:val="none"/>
        </w:rPr>
      </w:pPr>
      <w:r>
        <w:rPr>
          <w:color w:val="auto"/>
          <w:highlight w:val="none"/>
        </w:rPr>
        <w:t>测定原理：钼酸铵分光光度法</w:t>
      </w:r>
    </w:p>
    <w:p>
      <w:pPr>
        <w:pStyle w:val="3"/>
        <w:numPr>
          <w:ilvl w:val="0"/>
          <w:numId w:val="18"/>
        </w:numPr>
        <w:spacing w:after="0" w:line="360" w:lineRule="auto"/>
        <w:ind w:left="0" w:firstLine="480" w:firstLineChars="200"/>
        <w:rPr>
          <w:color w:val="auto"/>
          <w:highlight w:val="none"/>
        </w:rPr>
      </w:pPr>
      <w:r>
        <w:rPr>
          <w:color w:val="auto"/>
          <w:highlight w:val="none"/>
        </w:rPr>
        <w:t xml:space="preserve">量程：0～10mg/L </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零点漂移：±</w:t>
      </w:r>
      <w:r>
        <w:rPr>
          <w:rFonts w:hint="eastAsia"/>
          <w:color w:val="auto"/>
          <w:highlight w:val="none"/>
          <w:lang w:val="en-US" w:eastAsia="zh-CN"/>
        </w:rPr>
        <w:t>0.</w:t>
      </w:r>
      <w:r>
        <w:rPr>
          <w:color w:val="auto"/>
          <w:highlight w:val="none"/>
        </w:rPr>
        <w:t>5%</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量程漂移：±1</w:t>
      </w:r>
      <w:r>
        <w:rPr>
          <w:rFonts w:hint="eastAsia"/>
          <w:color w:val="auto"/>
          <w:highlight w:val="none"/>
          <w:lang w:val="en-US" w:eastAsia="zh-CN"/>
        </w:rPr>
        <w:t>.5</w:t>
      </w:r>
      <w:r>
        <w:rPr>
          <w:color w:val="auto"/>
          <w:highlight w:val="none"/>
        </w:rPr>
        <w:t>%</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直线性：±1</w:t>
      </w:r>
      <w:r>
        <w:rPr>
          <w:rFonts w:hint="eastAsia"/>
          <w:color w:val="auto"/>
          <w:highlight w:val="none"/>
          <w:lang w:val="en-US" w:eastAsia="zh-CN"/>
        </w:rPr>
        <w:t>.5</w:t>
      </w:r>
      <w:r>
        <w:rPr>
          <w:color w:val="auto"/>
          <w:highlight w:val="none"/>
        </w:rPr>
        <w:t>%</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重复性误差：±1</w:t>
      </w:r>
      <w:r>
        <w:rPr>
          <w:rFonts w:hint="eastAsia"/>
          <w:color w:val="auto"/>
          <w:highlight w:val="none"/>
          <w:lang w:val="en-US" w:eastAsia="zh-CN"/>
        </w:rPr>
        <w:t>.5</w:t>
      </w:r>
      <w:r>
        <w:rPr>
          <w:color w:val="auto"/>
          <w:highlight w:val="none"/>
        </w:rPr>
        <w:t>%</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MTBF：≥</w:t>
      </w:r>
      <w:r>
        <w:rPr>
          <w:rFonts w:hint="eastAsia"/>
          <w:color w:val="auto"/>
          <w:highlight w:val="none"/>
          <w:lang w:val="en-US" w:eastAsia="zh-CN"/>
        </w:rPr>
        <w:t>1440</w:t>
      </w:r>
      <w:r>
        <w:rPr>
          <w:color w:val="auto"/>
          <w:highlight w:val="none"/>
        </w:rPr>
        <w:t>h/次</w:t>
      </w:r>
    </w:p>
    <w:p>
      <w:pPr>
        <w:pStyle w:val="3"/>
        <w:numPr>
          <w:ilvl w:val="0"/>
          <w:numId w:val="18"/>
        </w:numPr>
        <w:spacing w:after="0" w:line="360" w:lineRule="auto"/>
        <w:ind w:left="0" w:firstLine="480" w:firstLineChars="200"/>
        <w:rPr>
          <w:color w:val="auto"/>
          <w:highlight w:val="none"/>
        </w:rPr>
      </w:pPr>
      <w:r>
        <w:rPr>
          <w:color w:val="auto"/>
          <w:sz w:val="24"/>
          <w:szCs w:val="24"/>
          <w:highlight w:val="none"/>
        </w:rPr>
        <w:t>▲</w:t>
      </w:r>
      <w:r>
        <w:rPr>
          <w:color w:val="auto"/>
          <w:highlight w:val="none"/>
        </w:rPr>
        <w:t>实际水样比对：≤</w:t>
      </w:r>
      <w:r>
        <w:rPr>
          <w:rFonts w:hint="eastAsia"/>
          <w:color w:val="auto"/>
          <w:highlight w:val="none"/>
          <w:lang w:val="en-US" w:eastAsia="zh-CN"/>
        </w:rPr>
        <w:t>4</w:t>
      </w:r>
      <w:r>
        <w:rPr>
          <w:color w:val="auto"/>
          <w:highlight w:val="none"/>
        </w:rPr>
        <w:t>%</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（五）总氮水质分析仪</w:t>
      </w:r>
    </w:p>
    <w:p>
      <w:pPr>
        <w:pStyle w:val="3"/>
        <w:numPr>
          <w:ilvl w:val="0"/>
          <w:numId w:val="19"/>
        </w:numPr>
        <w:spacing w:after="0" w:line="360" w:lineRule="auto"/>
        <w:ind w:left="0" w:firstLine="480" w:firstLineChars="200"/>
        <w:rPr>
          <w:color w:val="auto"/>
          <w:highlight w:val="none"/>
        </w:rPr>
      </w:pPr>
      <w:r>
        <w:rPr>
          <w:color w:val="auto"/>
          <w:highlight w:val="none"/>
        </w:rPr>
        <w:t>测定原理：过硫酸钾氧化-紫外分光光度法</w:t>
      </w:r>
    </w:p>
    <w:p>
      <w:pPr>
        <w:pStyle w:val="3"/>
        <w:numPr>
          <w:ilvl w:val="0"/>
          <w:numId w:val="19"/>
        </w:numPr>
        <w:spacing w:after="0" w:line="360" w:lineRule="auto"/>
        <w:ind w:left="0" w:firstLine="480" w:firstLineChars="200"/>
        <w:rPr>
          <w:color w:val="auto"/>
          <w:highlight w:val="none"/>
        </w:rPr>
      </w:pPr>
      <w:r>
        <w:rPr>
          <w:color w:val="auto"/>
          <w:highlight w:val="none"/>
        </w:rPr>
        <w:t xml:space="preserve">量程：0～50mg/L </w:t>
      </w:r>
    </w:p>
    <w:p>
      <w:pPr>
        <w:pStyle w:val="3"/>
        <w:numPr>
          <w:ilvl w:val="0"/>
          <w:numId w:val="19"/>
        </w:numPr>
        <w:spacing w:after="0" w:line="360" w:lineRule="auto"/>
        <w:ind w:left="0" w:firstLine="480" w:firstLineChars="200"/>
        <w:rPr>
          <w:color w:val="auto"/>
          <w:highlight w:val="none"/>
        </w:rPr>
      </w:pPr>
      <w:r>
        <w:rPr>
          <w:color w:val="auto"/>
          <w:sz w:val="24"/>
          <w:szCs w:val="24"/>
          <w:highlight w:val="none"/>
        </w:rPr>
        <w:t>▲</w:t>
      </w:r>
      <w:r>
        <w:rPr>
          <w:color w:val="auto"/>
          <w:highlight w:val="none"/>
        </w:rPr>
        <w:t>零点漂移：±</w:t>
      </w:r>
      <w:r>
        <w:rPr>
          <w:rFonts w:hint="eastAsia"/>
          <w:color w:val="auto"/>
          <w:highlight w:val="none"/>
          <w:lang w:val="en-US" w:eastAsia="zh-CN"/>
        </w:rPr>
        <w:t>1.</w:t>
      </w:r>
      <w:r>
        <w:rPr>
          <w:color w:val="auto"/>
          <w:highlight w:val="none"/>
        </w:rPr>
        <w:t>5%</w:t>
      </w:r>
    </w:p>
    <w:p>
      <w:pPr>
        <w:pStyle w:val="3"/>
        <w:numPr>
          <w:ilvl w:val="0"/>
          <w:numId w:val="19"/>
        </w:numPr>
        <w:spacing w:after="0" w:line="360" w:lineRule="auto"/>
        <w:ind w:left="0" w:firstLine="480" w:firstLineChars="200"/>
        <w:rPr>
          <w:color w:val="auto"/>
          <w:highlight w:val="none"/>
        </w:rPr>
      </w:pPr>
      <w:r>
        <w:rPr>
          <w:color w:val="auto"/>
          <w:sz w:val="24"/>
          <w:szCs w:val="24"/>
          <w:highlight w:val="none"/>
        </w:rPr>
        <w:t>▲</w:t>
      </w:r>
      <w:r>
        <w:rPr>
          <w:color w:val="auto"/>
          <w:highlight w:val="none"/>
        </w:rPr>
        <w:t>量程漂移：±</w:t>
      </w:r>
      <w:r>
        <w:rPr>
          <w:rFonts w:hint="eastAsia"/>
          <w:color w:val="auto"/>
          <w:highlight w:val="none"/>
          <w:lang w:val="en-US" w:eastAsia="zh-CN"/>
        </w:rPr>
        <w:t>2</w:t>
      </w:r>
      <w:r>
        <w:rPr>
          <w:color w:val="auto"/>
          <w:highlight w:val="none"/>
        </w:rPr>
        <w:t>%</w:t>
      </w:r>
    </w:p>
    <w:p>
      <w:pPr>
        <w:pStyle w:val="3"/>
        <w:numPr>
          <w:ilvl w:val="0"/>
          <w:numId w:val="19"/>
        </w:numPr>
        <w:spacing w:after="0" w:line="360" w:lineRule="auto"/>
        <w:ind w:left="0" w:firstLine="480" w:firstLineChars="200"/>
        <w:rPr>
          <w:color w:val="auto"/>
          <w:highlight w:val="none"/>
        </w:rPr>
      </w:pPr>
      <w:r>
        <w:rPr>
          <w:color w:val="auto"/>
          <w:sz w:val="24"/>
          <w:szCs w:val="24"/>
          <w:highlight w:val="none"/>
        </w:rPr>
        <w:t>▲</w:t>
      </w:r>
      <w:r>
        <w:rPr>
          <w:color w:val="auto"/>
          <w:highlight w:val="none"/>
        </w:rPr>
        <w:t>直线性：±1</w:t>
      </w:r>
      <w:r>
        <w:rPr>
          <w:rFonts w:hint="eastAsia"/>
          <w:color w:val="auto"/>
          <w:highlight w:val="none"/>
          <w:lang w:val="en-US" w:eastAsia="zh-CN"/>
        </w:rPr>
        <w:t>.6</w:t>
      </w:r>
      <w:r>
        <w:rPr>
          <w:color w:val="auto"/>
          <w:highlight w:val="none"/>
        </w:rPr>
        <w:t>%</w:t>
      </w:r>
    </w:p>
    <w:p>
      <w:pPr>
        <w:pStyle w:val="3"/>
        <w:numPr>
          <w:ilvl w:val="0"/>
          <w:numId w:val="19"/>
        </w:numPr>
        <w:spacing w:after="0" w:line="360" w:lineRule="auto"/>
        <w:ind w:left="0" w:firstLine="480" w:firstLineChars="200"/>
        <w:rPr>
          <w:color w:val="auto"/>
          <w:highlight w:val="none"/>
        </w:rPr>
      </w:pPr>
      <w:r>
        <w:rPr>
          <w:color w:val="auto"/>
          <w:highlight w:val="none"/>
        </w:rPr>
        <w:t>重复性误差：±</w:t>
      </w:r>
      <w:r>
        <w:rPr>
          <w:rFonts w:hint="eastAsia"/>
          <w:color w:val="auto"/>
          <w:highlight w:val="none"/>
          <w:lang w:val="en-US" w:eastAsia="zh-CN"/>
        </w:rPr>
        <w:t>2.5</w:t>
      </w:r>
      <w:r>
        <w:rPr>
          <w:color w:val="auto"/>
          <w:highlight w:val="none"/>
        </w:rPr>
        <w:t>%</w:t>
      </w:r>
    </w:p>
    <w:p>
      <w:pPr>
        <w:pStyle w:val="3"/>
        <w:numPr>
          <w:ilvl w:val="0"/>
          <w:numId w:val="19"/>
        </w:numPr>
        <w:spacing w:after="0" w:line="360" w:lineRule="auto"/>
        <w:ind w:left="0" w:firstLine="480" w:firstLineChars="200"/>
        <w:rPr>
          <w:color w:val="auto"/>
          <w:highlight w:val="none"/>
        </w:rPr>
      </w:pPr>
      <w:r>
        <w:rPr>
          <w:color w:val="auto"/>
          <w:highlight w:val="none"/>
        </w:rPr>
        <w:t>MTBF：≥720h/次</w:t>
      </w:r>
    </w:p>
    <w:p>
      <w:pPr>
        <w:pStyle w:val="3"/>
        <w:numPr>
          <w:ilvl w:val="0"/>
          <w:numId w:val="19"/>
        </w:numPr>
        <w:spacing w:after="0" w:line="360" w:lineRule="auto"/>
        <w:ind w:left="0" w:firstLine="480" w:firstLineChars="200"/>
        <w:rPr>
          <w:color w:val="auto"/>
          <w:highlight w:val="none"/>
        </w:rPr>
      </w:pPr>
      <w:r>
        <w:rPr>
          <w:color w:val="auto"/>
          <w:highlight w:val="none"/>
        </w:rPr>
        <w:t>实际水样比对：≤10%</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w:t>
      </w:r>
      <w:r>
        <w:rPr>
          <w:rFonts w:hint="eastAsia"/>
          <w:b/>
          <w:color w:val="auto"/>
          <w:sz w:val="24"/>
          <w:szCs w:val="24"/>
          <w:highlight w:val="none"/>
        </w:rPr>
        <w:t>六</w:t>
      </w:r>
      <w:r>
        <w:rPr>
          <w:b/>
          <w:color w:val="auto"/>
          <w:sz w:val="24"/>
          <w:szCs w:val="24"/>
          <w:highlight w:val="none"/>
        </w:rPr>
        <w:t>）透明度水质分析仪</w:t>
      </w:r>
    </w:p>
    <w:p>
      <w:pPr>
        <w:pStyle w:val="3"/>
        <w:numPr>
          <w:ilvl w:val="0"/>
          <w:numId w:val="20"/>
        </w:numPr>
        <w:spacing w:after="0" w:line="360" w:lineRule="auto"/>
        <w:ind w:left="0" w:firstLine="480" w:firstLineChars="200"/>
        <w:rPr>
          <w:color w:val="auto"/>
          <w:highlight w:val="none"/>
        </w:rPr>
      </w:pPr>
      <w:r>
        <w:rPr>
          <w:color w:val="auto"/>
          <w:highlight w:val="none"/>
        </w:rPr>
        <w:t>测量原理：光度法</w:t>
      </w:r>
    </w:p>
    <w:p>
      <w:pPr>
        <w:pStyle w:val="3"/>
        <w:numPr>
          <w:ilvl w:val="0"/>
          <w:numId w:val="20"/>
        </w:numPr>
        <w:spacing w:after="0" w:line="360" w:lineRule="auto"/>
        <w:ind w:left="0" w:firstLine="480" w:firstLineChars="200"/>
        <w:rPr>
          <w:color w:val="auto"/>
          <w:highlight w:val="none"/>
        </w:rPr>
      </w:pPr>
      <w:r>
        <w:rPr>
          <w:color w:val="auto"/>
          <w:highlight w:val="none"/>
        </w:rPr>
        <w:t>检测范围：2~100/1000cm</w:t>
      </w:r>
    </w:p>
    <w:p>
      <w:pPr>
        <w:pStyle w:val="3"/>
        <w:numPr>
          <w:ilvl w:val="0"/>
          <w:numId w:val="20"/>
        </w:numPr>
        <w:spacing w:after="0" w:line="360" w:lineRule="auto"/>
        <w:ind w:left="0" w:firstLine="480" w:firstLineChars="200"/>
        <w:rPr>
          <w:color w:val="auto"/>
          <w:highlight w:val="none"/>
        </w:rPr>
      </w:pPr>
      <w:r>
        <w:rPr>
          <w:color w:val="auto"/>
          <w:highlight w:val="none"/>
        </w:rPr>
        <w:t>测量精度：≤5%FS</w:t>
      </w:r>
    </w:p>
    <w:p>
      <w:pPr>
        <w:pStyle w:val="3"/>
        <w:numPr>
          <w:ilvl w:val="0"/>
          <w:numId w:val="20"/>
        </w:numPr>
        <w:spacing w:after="0" w:line="360" w:lineRule="auto"/>
        <w:ind w:left="0" w:firstLine="480" w:firstLineChars="200"/>
        <w:rPr>
          <w:color w:val="auto"/>
          <w:highlight w:val="none"/>
        </w:rPr>
      </w:pPr>
      <w:r>
        <w:rPr>
          <w:color w:val="auto"/>
          <w:highlight w:val="none"/>
        </w:rPr>
        <w:t>通讯接口：RS485，标准 Modbus 协议</w:t>
      </w:r>
    </w:p>
    <w:p>
      <w:pPr>
        <w:pStyle w:val="3"/>
        <w:numPr>
          <w:ilvl w:val="0"/>
          <w:numId w:val="20"/>
        </w:numPr>
        <w:spacing w:after="0" w:line="360" w:lineRule="auto"/>
        <w:ind w:left="0" w:firstLine="480" w:firstLineChars="200"/>
        <w:rPr>
          <w:color w:val="auto"/>
          <w:highlight w:val="none"/>
        </w:rPr>
      </w:pPr>
      <w:r>
        <w:rPr>
          <w:color w:val="auto"/>
          <w:highlight w:val="none"/>
        </w:rPr>
        <w:t xml:space="preserve">工作环境：0~40 </w:t>
      </w:r>
      <w:r>
        <w:rPr>
          <w:rFonts w:hint="eastAsia"/>
          <w:color w:val="auto"/>
          <w:highlight w:val="none"/>
        </w:rPr>
        <w:t>℃</w:t>
      </w:r>
      <w:r>
        <w:rPr>
          <w:color w:val="auto"/>
          <w:highlight w:val="none"/>
        </w:rPr>
        <w:t>（不结冰），0~0.2 bar</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w:t>
      </w:r>
      <w:r>
        <w:rPr>
          <w:rFonts w:hint="eastAsia"/>
          <w:b/>
          <w:color w:val="auto"/>
          <w:sz w:val="24"/>
          <w:szCs w:val="24"/>
          <w:highlight w:val="none"/>
        </w:rPr>
        <w:t>七</w:t>
      </w:r>
      <w:r>
        <w:rPr>
          <w:b/>
          <w:color w:val="auto"/>
          <w:sz w:val="24"/>
          <w:szCs w:val="24"/>
          <w:highlight w:val="none"/>
        </w:rPr>
        <w:t>）叶绿素a水质分析仪</w:t>
      </w:r>
    </w:p>
    <w:p>
      <w:pPr>
        <w:pStyle w:val="3"/>
        <w:numPr>
          <w:ilvl w:val="0"/>
          <w:numId w:val="21"/>
        </w:numPr>
        <w:spacing w:after="0" w:line="360" w:lineRule="auto"/>
        <w:ind w:left="0" w:firstLine="480" w:firstLineChars="200"/>
        <w:rPr>
          <w:color w:val="auto"/>
          <w:highlight w:val="none"/>
        </w:rPr>
      </w:pPr>
      <w:r>
        <w:rPr>
          <w:color w:val="auto"/>
          <w:highlight w:val="none"/>
        </w:rPr>
        <w:t>测量原理：荧光法</w:t>
      </w:r>
    </w:p>
    <w:p>
      <w:pPr>
        <w:pStyle w:val="3"/>
        <w:numPr>
          <w:ilvl w:val="0"/>
          <w:numId w:val="21"/>
        </w:numPr>
        <w:spacing w:after="0" w:line="360" w:lineRule="auto"/>
        <w:ind w:left="0" w:firstLine="480" w:firstLineChars="200"/>
        <w:rPr>
          <w:color w:val="auto"/>
          <w:highlight w:val="none"/>
        </w:rPr>
      </w:pPr>
      <w:r>
        <w:rPr>
          <w:rFonts w:hint="eastAsia"/>
          <w:color w:val="auto"/>
          <w:highlight w:val="none"/>
        </w:rPr>
        <w:t>量程</w:t>
      </w:r>
      <w:r>
        <w:rPr>
          <w:color w:val="auto"/>
          <w:highlight w:val="none"/>
        </w:rPr>
        <w:t>：0～500μg/L</w:t>
      </w:r>
    </w:p>
    <w:p>
      <w:pPr>
        <w:pStyle w:val="3"/>
        <w:numPr>
          <w:ilvl w:val="0"/>
          <w:numId w:val="21"/>
        </w:numPr>
        <w:spacing w:after="0" w:line="360" w:lineRule="auto"/>
        <w:ind w:left="0" w:firstLine="480" w:firstLineChars="200"/>
        <w:rPr>
          <w:color w:val="auto"/>
          <w:highlight w:val="none"/>
        </w:rPr>
      </w:pPr>
      <w:r>
        <w:rPr>
          <w:rFonts w:hint="eastAsia"/>
          <w:color w:val="auto"/>
          <w:highlight w:val="none"/>
        </w:rPr>
        <w:t>准确度</w:t>
      </w:r>
      <w:r>
        <w:rPr>
          <w:color w:val="auto"/>
          <w:highlight w:val="none"/>
        </w:rPr>
        <w:t>：±3%</w:t>
      </w:r>
    </w:p>
    <w:p>
      <w:pPr>
        <w:pStyle w:val="3"/>
        <w:numPr>
          <w:ilvl w:val="0"/>
          <w:numId w:val="21"/>
        </w:numPr>
        <w:spacing w:after="0" w:line="360" w:lineRule="auto"/>
        <w:ind w:left="0" w:firstLine="480" w:firstLineChars="200"/>
        <w:rPr>
          <w:color w:val="auto"/>
          <w:highlight w:val="none"/>
        </w:rPr>
      </w:pPr>
      <w:r>
        <w:rPr>
          <w:rFonts w:hint="eastAsia"/>
          <w:color w:val="auto"/>
          <w:highlight w:val="none"/>
        </w:rPr>
        <w:t>重复性</w:t>
      </w:r>
      <w:r>
        <w:rPr>
          <w:color w:val="auto"/>
          <w:highlight w:val="none"/>
        </w:rPr>
        <w:t xml:space="preserve">：≤2% </w:t>
      </w:r>
    </w:p>
    <w:p>
      <w:pPr>
        <w:pStyle w:val="3"/>
        <w:numPr>
          <w:ilvl w:val="0"/>
          <w:numId w:val="21"/>
        </w:numPr>
        <w:spacing w:after="0" w:line="360" w:lineRule="auto"/>
        <w:ind w:left="0" w:firstLine="480" w:firstLineChars="200"/>
        <w:rPr>
          <w:color w:val="auto"/>
          <w:highlight w:val="none"/>
        </w:rPr>
      </w:pPr>
      <w:r>
        <w:rPr>
          <w:color w:val="auto"/>
          <w:highlight w:val="none"/>
        </w:rPr>
        <w:t>分辨率：0.01μg/L</w:t>
      </w:r>
    </w:p>
    <w:p>
      <w:pPr>
        <w:pStyle w:val="3"/>
        <w:numPr>
          <w:ilvl w:val="0"/>
          <w:numId w:val="21"/>
        </w:numPr>
        <w:spacing w:after="0" w:line="360" w:lineRule="auto"/>
        <w:ind w:left="0" w:firstLine="480" w:firstLineChars="200"/>
        <w:rPr>
          <w:color w:val="auto"/>
          <w:highlight w:val="none"/>
        </w:rPr>
      </w:pPr>
      <w:r>
        <w:rPr>
          <w:rFonts w:hint="eastAsia"/>
          <w:color w:val="auto"/>
          <w:highlight w:val="none"/>
        </w:rPr>
        <w:t>检出限</w:t>
      </w:r>
      <w:r>
        <w:rPr>
          <w:color w:val="auto"/>
          <w:highlight w:val="none"/>
        </w:rPr>
        <w:t>：0.05μg/L</w:t>
      </w:r>
    </w:p>
    <w:p>
      <w:pPr>
        <w:pStyle w:val="3"/>
        <w:numPr>
          <w:ilvl w:val="0"/>
          <w:numId w:val="21"/>
        </w:numPr>
        <w:spacing w:after="0" w:line="360" w:lineRule="auto"/>
        <w:ind w:left="0" w:firstLine="480" w:firstLineChars="200"/>
        <w:rPr>
          <w:color w:val="auto"/>
          <w:highlight w:val="none"/>
        </w:rPr>
      </w:pPr>
      <w:r>
        <w:rPr>
          <w:rFonts w:hint="eastAsia"/>
          <w:color w:val="auto"/>
          <w:highlight w:val="none"/>
        </w:rPr>
        <w:t>响应时间</w:t>
      </w:r>
      <w:r>
        <w:rPr>
          <w:color w:val="auto"/>
          <w:highlight w:val="none"/>
        </w:rPr>
        <w:t>：≤10S</w:t>
      </w:r>
    </w:p>
    <w:p>
      <w:pPr>
        <w:pStyle w:val="3"/>
        <w:numPr>
          <w:ilvl w:val="0"/>
          <w:numId w:val="21"/>
        </w:numPr>
        <w:spacing w:after="0" w:line="360" w:lineRule="auto"/>
        <w:ind w:left="0" w:firstLine="480" w:firstLineChars="200"/>
        <w:rPr>
          <w:color w:val="auto"/>
          <w:highlight w:val="none"/>
        </w:rPr>
      </w:pPr>
      <w:r>
        <w:rPr>
          <w:color w:val="auto"/>
          <w:highlight w:val="none"/>
        </w:rPr>
        <w:t>MTBF：≥720 h/次</w:t>
      </w:r>
    </w:p>
    <w:p>
      <w:pPr>
        <w:pStyle w:val="3"/>
        <w:numPr>
          <w:ilvl w:val="0"/>
          <w:numId w:val="21"/>
        </w:numPr>
        <w:spacing w:after="0" w:line="360" w:lineRule="auto"/>
        <w:ind w:left="0" w:firstLine="480" w:firstLineChars="200"/>
        <w:rPr>
          <w:color w:val="auto"/>
          <w:highlight w:val="none"/>
        </w:rPr>
      </w:pPr>
      <w:r>
        <w:rPr>
          <w:color w:val="auto"/>
          <w:highlight w:val="none"/>
        </w:rPr>
        <w:t>防护等级：IP68</w:t>
      </w:r>
    </w:p>
    <w:p>
      <w:pPr>
        <w:pStyle w:val="3"/>
        <w:numPr>
          <w:ilvl w:val="0"/>
          <w:numId w:val="0"/>
        </w:numPr>
        <w:spacing w:after="0" w:line="360" w:lineRule="auto"/>
        <w:ind w:left="420" w:leftChars="200" w:firstLine="0" w:firstLineChars="0"/>
        <w:rPr>
          <w:rStyle w:val="84"/>
          <w:rFonts w:hint="default" w:ascii="Times New Roman" w:hAnsi="Times New Roman" w:cs="Times New Roman"/>
          <w:color w:val="auto"/>
          <w:szCs w:val="20"/>
          <w:highlight w:val="none"/>
        </w:rPr>
      </w:pPr>
      <w:r>
        <w:rPr>
          <w:rFonts w:hint="eastAsia"/>
          <w:color w:val="auto"/>
          <w:highlight w:val="none"/>
          <w:lang w:val="en-US" w:eastAsia="zh-CN"/>
        </w:rPr>
        <w:t>10）</w:t>
      </w:r>
      <w:r>
        <w:rPr>
          <w:color w:val="auto"/>
          <w:highlight w:val="none"/>
        </w:rPr>
        <w:t>温度范围：0 ~ 50℃</w:t>
      </w:r>
    </w:p>
    <w:p>
      <w:pPr>
        <w:keepNext/>
        <w:keepLines/>
        <w:spacing w:before="160" w:after="160" w:line="360" w:lineRule="auto"/>
        <w:contextualSpacing/>
        <w:jc w:val="left"/>
        <w:outlineLvl w:val="2"/>
        <w:rPr>
          <w:b/>
          <w:color w:val="auto"/>
          <w:sz w:val="24"/>
          <w:szCs w:val="24"/>
          <w:highlight w:val="none"/>
        </w:rPr>
      </w:pPr>
      <w:r>
        <w:rPr>
          <w:b/>
          <w:color w:val="auto"/>
          <w:sz w:val="24"/>
          <w:szCs w:val="24"/>
          <w:highlight w:val="none"/>
        </w:rPr>
        <w:t>（</w:t>
      </w:r>
      <w:r>
        <w:rPr>
          <w:rFonts w:hint="eastAsia"/>
          <w:b/>
          <w:color w:val="auto"/>
          <w:sz w:val="24"/>
          <w:szCs w:val="24"/>
          <w:highlight w:val="none"/>
        </w:rPr>
        <w:t>八</w:t>
      </w:r>
      <w:r>
        <w:rPr>
          <w:b/>
          <w:color w:val="auto"/>
          <w:sz w:val="24"/>
          <w:szCs w:val="24"/>
          <w:highlight w:val="none"/>
        </w:rPr>
        <w:t>）</w:t>
      </w:r>
      <w:r>
        <w:rPr>
          <w:rFonts w:hint="eastAsia"/>
          <w:b/>
          <w:color w:val="auto"/>
          <w:sz w:val="24"/>
          <w:szCs w:val="24"/>
          <w:highlight w:val="none"/>
        </w:rPr>
        <w:t>生物毒性</w:t>
      </w:r>
      <w:r>
        <w:rPr>
          <w:b/>
          <w:color w:val="auto"/>
          <w:sz w:val="24"/>
          <w:szCs w:val="24"/>
          <w:highlight w:val="none"/>
        </w:rPr>
        <w:t>水质分析仪</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 xml:space="preserve">测量方法：双光路对照测量法 </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测定原理：发光细菌急性毒性原理</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测定量程：相对发光度：0～200%；抑制率：-100% ～ 100%</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sz w:val="24"/>
          <w:szCs w:val="20"/>
          <w:highlight w:val="none"/>
          <w:lang w:val="en-US" w:eastAsia="zh-CN"/>
        </w:rPr>
        <w:t>4）</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 xml:space="preserve">温度控制组件：仪器有4个独立的温控组件：1、内置空调控制整机温度，2、测量仓温度控制组件，3、培养仓温度控制组件，4、菌种低温保存温度控制组件。（提供省级以上质量技术监督部门出具的检测报告证明及实物照片证明） </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sz w:val="24"/>
          <w:szCs w:val="20"/>
          <w:highlight w:val="none"/>
          <w:lang w:val="en-US" w:eastAsia="zh-CN"/>
        </w:rPr>
        <w:t>5）</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温度控制误差：1、系统内置整机恒温控制系统（非外挂），误差≤±1.0℃；2、测量仓温度控制误差≤±1.0℃；3、培养仓温度控制误差≤±1.0℃；4、菌种低温保存温度控制组件≤±1.0℃；（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6）</w:t>
      </w:r>
      <w:r>
        <w:rPr>
          <w:rFonts w:hint="eastAsia" w:ascii="Times New Roman" w:hAnsi="Times New Roman" w:eastAsia="宋体" w:cs="Times New Roman"/>
        </w:rPr>
        <w:t>纯水光损：±3%</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7）</w:t>
      </w:r>
      <w:r>
        <w:rPr>
          <w:rFonts w:hint="eastAsia" w:ascii="Times New Roman" w:hAnsi="Times New Roman" w:eastAsia="宋体" w:cs="Times New Roman"/>
        </w:rPr>
        <w:t>测量重复性：≤10%</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8）</w:t>
      </w:r>
      <w:r>
        <w:rPr>
          <w:rFonts w:hint="eastAsia" w:ascii="Times New Roman" w:hAnsi="Times New Roman" w:eastAsia="宋体" w:cs="Times New Roman"/>
        </w:rPr>
        <w:t xml:space="preserve">零点漂移：±3%  </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9）</w:t>
      </w:r>
      <w:r>
        <w:rPr>
          <w:rFonts w:hint="eastAsia" w:ascii="Times New Roman" w:hAnsi="Times New Roman" w:eastAsia="宋体" w:cs="Times New Roman"/>
        </w:rPr>
        <w:t xml:space="preserve">实际水样比对试验：≤20%  </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10）</w:t>
      </w:r>
      <w:r>
        <w:rPr>
          <w:rFonts w:hint="eastAsia" w:ascii="Times New Roman" w:hAnsi="Times New Roman" w:eastAsia="宋体" w:cs="Times New Roman"/>
        </w:rPr>
        <w:t>反应时间：5min、15min、30min可选</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sz w:val="24"/>
          <w:szCs w:val="20"/>
          <w:highlight w:val="none"/>
          <w:lang w:val="en-US" w:eastAsia="zh-CN"/>
        </w:rPr>
        <w:t>11）</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 xml:space="preserve">测试模式：国标模式/ISO模式 自由切换  </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sz w:val="24"/>
          <w:szCs w:val="20"/>
          <w:highlight w:val="none"/>
          <w:lang w:val="en-US" w:eastAsia="zh-CN"/>
        </w:rPr>
        <w:t>13）</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结果显示：1.测试过程中抑制率和相对发光度变化实时显示，抑制率和相对发光度自由切换，同时显示毒物当量（提供省级以上质量技术监督部门出具的检测报告证明及实物照片证明）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14）</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具有废液分离功能:测量废液、清洗废液分离。（提供省级以上质量技术监督部门出具的检测报告证明及实物照片证明）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15）</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具有曲线绘制功能，可输入或读取测试结果，绘制浓度与相对发光度的标准曲线，计算毒物当量。（提供省级以上质量技术监督部门出具的检测报告证明及实物照片证明）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16）</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具有双重恒温保障系统。 （提供省级以上质量技术监督部门出具的检测报告证明及实物照片证明）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17）</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仪器采样系统:旋转采样 （提供省级以上质量技术监督部门出具的检测报告证明及实物照片证明）</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18）</w:t>
      </w:r>
      <w:r>
        <w:rPr>
          <w:rFonts w:hint="eastAsia" w:ascii="Times New Roman" w:hAnsi="Times New Roman" w:eastAsia="宋体" w:cs="Times New Roman"/>
          <w:sz w:val="24"/>
          <w:szCs w:val="20"/>
          <w:highlight w:val="none"/>
        </w:rPr>
        <w:t>▲</w:t>
      </w:r>
      <w:r>
        <w:rPr>
          <w:rFonts w:hint="eastAsia" w:ascii="Times New Roman" w:hAnsi="Times New Roman" w:eastAsia="宋体" w:cs="Times New Roman"/>
        </w:rPr>
        <w:t>菌种检验报告：提供仪器运行所采用菌种（明亮发光杆菌，费氏弧菌，青海弧菌）细菌同源性检测报告</w:t>
      </w:r>
    </w:p>
    <w:p>
      <w:pPr>
        <w:pStyle w:val="3"/>
        <w:numPr>
          <w:ilvl w:val="0"/>
          <w:numId w:val="0"/>
        </w:numPr>
        <w:spacing w:line="360" w:lineRule="auto"/>
        <w:ind w:left="420" w:leftChars="20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19）通讯</w:t>
      </w:r>
      <w:r>
        <w:rPr>
          <w:rFonts w:hint="eastAsia" w:ascii="Times New Roman" w:hAnsi="Times New Roman" w:eastAsia="宋体" w:cs="Times New Roman"/>
        </w:rPr>
        <w:t>:4-20mA</w:t>
      </w:r>
      <w:r>
        <w:rPr>
          <w:rFonts w:hint="eastAsia" w:ascii="Times New Roman" w:hAnsi="Times New Roman" w:eastAsia="宋体" w:cs="Times New Roman"/>
          <w:lang w:eastAsia="zh-CN"/>
        </w:rPr>
        <w:t>，</w:t>
      </w:r>
      <w:r>
        <w:rPr>
          <w:rFonts w:hint="eastAsia" w:ascii="Times New Roman" w:hAnsi="Times New Roman" w:eastAsia="宋体" w:cs="Times New Roman"/>
        </w:rPr>
        <w:t>RS485</w:t>
      </w:r>
    </w:p>
    <w:p>
      <w:pPr>
        <w:pStyle w:val="3"/>
        <w:numPr>
          <w:ilvl w:val="0"/>
          <w:numId w:val="0"/>
        </w:numPr>
        <w:spacing w:line="360" w:lineRule="auto"/>
        <w:ind w:left="420" w:leftChars="20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lang w:val="en-US" w:eastAsia="zh-CN"/>
        </w:rPr>
        <w:t>20）</w:t>
      </w:r>
      <w:r>
        <w:rPr>
          <w:rFonts w:hint="eastAsia" w:ascii="Times New Roman" w:hAnsi="Times New Roman" w:eastAsia="宋体" w:cs="Times New Roman"/>
        </w:rPr>
        <w:t>环境要求:温度：0～40℃，湿度≤90%不结露</w:t>
      </w:r>
    </w:p>
    <w:p>
      <w:pPr>
        <w:keepNext/>
        <w:keepLines/>
        <w:spacing w:before="160" w:after="160" w:line="360" w:lineRule="auto"/>
        <w:contextualSpacing/>
        <w:jc w:val="left"/>
        <w:outlineLvl w:val="2"/>
        <w:rPr>
          <w:b/>
          <w:color w:val="auto"/>
          <w:sz w:val="24"/>
          <w:szCs w:val="24"/>
          <w:highlight w:val="none"/>
        </w:rPr>
      </w:pPr>
      <w:r>
        <w:rPr>
          <w:rFonts w:hint="eastAsia"/>
          <w:b/>
          <w:color w:val="auto"/>
          <w:sz w:val="24"/>
          <w:szCs w:val="24"/>
          <w:highlight w:val="none"/>
        </w:rPr>
        <w:t>（九）藻分类水质自动分析仪</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▲分析方法：多波长荧光指纹谱图分析法</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▲分析参数：叶绿素a总量，蓝藻、绿藻、硅甲藻、隐藻，浊度、水温、黄色物质测量</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▲能够计算并显示相应藻类的细胞数及总细胞数</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▲激发光数量：至少8种以上（含8种）不同波长或波长组合的激发光源用于叶绿素荧光检测</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▲本地化校准：支持本地优势藻类校准</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叶绿素测量范围：0~400ug/L；</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▲浊度测量范围： 0-1000NTU</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叶绿素分辨率： 0.01μg/L叶绿素；</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▲叶绿素检出限：0.1 ug/L；</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rPr>
        <w:t>叶绿素测量准确度：±2%FS (0~100ug/L)</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rPr>
        <w:t>测量周期/模式≤5min；连续、间隔（时长可选），外部触发等</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rPr>
        <w:t>清洗功能：每个分析周期结束后自动清洗</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13）</w:t>
      </w:r>
      <w:r>
        <w:rPr>
          <w:rFonts w:hint="default" w:ascii="Times New Roman" w:hAnsi="Times New Roman" w:eastAsia="宋体" w:cs="Times New Roman"/>
          <w:sz w:val="24"/>
          <w:szCs w:val="24"/>
          <w:highlight w:val="none"/>
        </w:rPr>
        <w:t>▲人机操作界面：触控屏操作，具有中文操作界面</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14）</w:t>
      </w:r>
      <w:r>
        <w:rPr>
          <w:rFonts w:hint="default" w:ascii="Times New Roman" w:hAnsi="Times New Roman" w:eastAsia="宋体" w:cs="Times New Roman"/>
          <w:sz w:val="24"/>
          <w:szCs w:val="24"/>
          <w:highlight w:val="none"/>
        </w:rPr>
        <w:t>信号输出接口：RS-485/232或者LAN</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rPr>
        <w:t>电源：220V±10%，50Hz±1%Hz</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16）</w:t>
      </w:r>
      <w:r>
        <w:rPr>
          <w:rFonts w:hint="default" w:ascii="Times New Roman" w:hAnsi="Times New Roman" w:eastAsia="宋体" w:cs="Times New Roman"/>
          <w:sz w:val="24"/>
          <w:szCs w:val="24"/>
          <w:highlight w:val="none"/>
        </w:rPr>
        <w:t>保护等级：IP54;</w:t>
      </w:r>
    </w:p>
    <w:p>
      <w:pPr>
        <w:numPr>
          <w:ilvl w:val="0"/>
          <w:numId w:val="0"/>
        </w:numPr>
        <w:spacing w:before="0"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17）</w:t>
      </w:r>
      <w:r>
        <w:rPr>
          <w:rFonts w:hint="default" w:ascii="Times New Roman" w:hAnsi="Times New Roman" w:eastAsia="宋体" w:cs="Times New Roman"/>
          <w:sz w:val="24"/>
          <w:szCs w:val="24"/>
          <w:highlight w:val="none"/>
        </w:rPr>
        <w:t>配备通讯端口防感应雷装置</w:t>
      </w:r>
    </w:p>
    <w:p>
      <w:pPr>
        <w:keepNext/>
        <w:keepLines/>
        <w:spacing w:before="160" w:after="160" w:line="360" w:lineRule="auto"/>
        <w:ind w:firstLine="0" w:firstLineChars="0"/>
        <w:contextualSpacing/>
        <w:jc w:val="left"/>
        <w:outlineLvl w:val="2"/>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    18）</w:t>
      </w:r>
      <w:r>
        <w:rPr>
          <w:rFonts w:hint="default" w:ascii="Times New Roman" w:hAnsi="Times New Roman" w:eastAsia="宋体" w:cs="Times New Roman"/>
          <w:sz w:val="24"/>
          <w:szCs w:val="24"/>
          <w:highlight w:val="none"/>
        </w:rPr>
        <w:t>工作环境：工作温度 5℃~40℃, 相对湿度 ≤90%</w:t>
      </w:r>
      <w:r>
        <w:rPr>
          <w:rFonts w:hint="eastAsia" w:ascii="Times New Roman" w:hAnsi="Times New Roman" w:eastAsia="宋体" w:cs="Times New Roman"/>
          <w:sz w:val="24"/>
          <w:szCs w:val="24"/>
          <w:highlight w:val="none"/>
          <w:lang w:eastAsia="zh-CN"/>
        </w:rPr>
        <w:t>。</w:t>
      </w:r>
    </w:p>
    <w:p>
      <w:pPr>
        <w:keepNext/>
        <w:keepLines/>
        <w:spacing w:before="160" w:after="160" w:line="360" w:lineRule="auto"/>
        <w:ind w:firstLine="0" w:firstLineChars="0"/>
        <w:contextualSpacing/>
        <w:jc w:val="left"/>
        <w:outlineLvl w:val="2"/>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lang w:val="en-US" w:eastAsia="zh-CN"/>
        </w:rPr>
        <w:t>十）超标溯源分析</w:t>
      </w:r>
      <w:r>
        <w:rPr>
          <w:rFonts w:hint="eastAsia" w:ascii="Times New Roman" w:hAnsi="Times New Roman" w:eastAsia="宋体" w:cs="Times New Roman"/>
          <w:b/>
          <w:color w:val="auto"/>
          <w:sz w:val="24"/>
          <w:szCs w:val="24"/>
          <w:highlight w:val="none"/>
          <w:lang w:val="en-US" w:eastAsia="zh-CN"/>
        </w:rPr>
        <w:t>服务</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针对</w:t>
      </w:r>
      <w:r>
        <w:rPr>
          <w:rFonts w:hint="default" w:ascii="Times New Roman" w:hAnsi="Times New Roman" w:eastAsia="宋体" w:cs="Times New Roman"/>
          <w:color w:val="auto"/>
          <w:sz w:val="24"/>
          <w:szCs w:val="24"/>
          <w:highlight w:val="none"/>
          <w:lang w:val="en-US" w:eastAsia="zh-CN"/>
        </w:rPr>
        <w:t>断面监测数据超标情况，进行排查溯源分析并提供排查溯源分析报告。</w:t>
      </w:r>
      <w:r>
        <w:rPr>
          <w:rFonts w:hint="default" w:ascii="Times New Roman" w:hAnsi="Times New Roman" w:eastAsia="宋体" w:cs="Times New Roman"/>
          <w:color w:val="auto"/>
          <w:sz w:val="24"/>
          <w:szCs w:val="24"/>
          <w:highlight w:val="none"/>
        </w:rPr>
        <w:t>利用多光谱智能识别无人机系统、走航监测无人船、</w:t>
      </w:r>
      <w:r>
        <w:rPr>
          <w:rFonts w:hint="default" w:ascii="Times New Roman" w:hAnsi="Times New Roman" w:eastAsia="宋体" w:cs="Times New Roman"/>
          <w:color w:val="auto"/>
          <w:sz w:val="24"/>
          <w:szCs w:val="24"/>
          <w:highlight w:val="none"/>
          <w:lang w:val="en-US" w:eastAsia="zh-CN"/>
        </w:rPr>
        <w:t>分段式压缩式溯源监测系统、</w:t>
      </w:r>
      <w:r>
        <w:rPr>
          <w:rFonts w:hint="default" w:ascii="Times New Roman" w:hAnsi="Times New Roman" w:eastAsia="宋体" w:cs="Times New Roman"/>
          <w:color w:val="auto"/>
          <w:sz w:val="24"/>
          <w:szCs w:val="24"/>
          <w:highlight w:val="none"/>
        </w:rPr>
        <w:t>暗管探测仪（探地雷达）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管道机器人、管道潜望镜</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水体指纹</w:t>
      </w:r>
      <w:r>
        <w:rPr>
          <w:rFonts w:hint="default" w:ascii="Times New Roman" w:hAnsi="Times New Roman" w:eastAsia="宋体" w:cs="Times New Roman"/>
          <w:color w:val="auto"/>
          <w:sz w:val="24"/>
          <w:szCs w:val="24"/>
          <w:highlight w:val="none"/>
        </w:rPr>
        <w:t>等高科技手段开展污染来源调查，</w:t>
      </w:r>
      <w:r>
        <w:rPr>
          <w:rFonts w:hint="default" w:ascii="Times New Roman" w:hAnsi="Times New Roman" w:eastAsia="宋体" w:cs="Times New Roman"/>
          <w:color w:val="auto"/>
          <w:sz w:val="24"/>
          <w:szCs w:val="24"/>
          <w:highlight w:val="none"/>
          <w:lang w:val="en-US" w:eastAsia="zh-CN"/>
        </w:rPr>
        <w:t>查清</w:t>
      </w:r>
      <w:r>
        <w:rPr>
          <w:rFonts w:hint="default" w:ascii="Times New Roman" w:hAnsi="Times New Roman" w:eastAsia="宋体" w:cs="Times New Roman"/>
          <w:color w:val="auto"/>
          <w:sz w:val="24"/>
          <w:szCs w:val="24"/>
          <w:highlight w:val="none"/>
        </w:rPr>
        <w:t>识别污染物排放情况；掌握污染源及分布情况厘清污染来源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准确锁定河道水质变化趋势。</w:t>
      </w:r>
    </w:p>
    <w:p>
      <w:pPr>
        <w:spacing w:line="360" w:lineRule="auto"/>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ascii="Times New Roman" w:hAnsi="Times New Roman" w:eastAsia="宋体" w:cs="Times New Roman"/>
          <w:b/>
          <w:bCs/>
          <w:color w:val="auto"/>
          <w:sz w:val="24"/>
          <w:szCs w:val="24"/>
          <w:highlight w:val="none"/>
        </w:rPr>
        <w:t>实时分析指导服务</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为了全面推进水生态环境保护水平，强化数据分析与预测，准确及时地记录</w:t>
      </w:r>
      <w:r>
        <w:rPr>
          <w:rFonts w:hint="default" w:ascii="Times New Roman" w:hAnsi="Times New Roman" w:eastAsia="宋体" w:cs="Times New Roman"/>
          <w:color w:val="auto"/>
          <w:sz w:val="24"/>
          <w:szCs w:val="24"/>
          <w:highlight w:val="none"/>
          <w:lang w:val="en-US" w:eastAsia="zh-CN"/>
        </w:rPr>
        <w:t>水环境</w:t>
      </w:r>
      <w:r>
        <w:rPr>
          <w:rFonts w:ascii="Times New Roman" w:hAnsi="Times New Roman" w:eastAsia="宋体" w:cs="Times New Roman"/>
          <w:color w:val="auto"/>
          <w:sz w:val="24"/>
          <w:szCs w:val="24"/>
          <w:highlight w:val="none"/>
        </w:rPr>
        <w:t>监控情况，为环境综合决策提供数据支持，对</w:t>
      </w:r>
      <w:r>
        <w:rPr>
          <w:rFonts w:hint="default" w:ascii="Times New Roman" w:hAnsi="Times New Roman" w:eastAsia="宋体" w:cs="Times New Roman"/>
          <w:color w:val="auto"/>
          <w:sz w:val="24"/>
          <w:szCs w:val="24"/>
          <w:highlight w:val="none"/>
          <w:lang w:val="en-US" w:eastAsia="zh-CN"/>
        </w:rPr>
        <w:t>断面水环境</w:t>
      </w:r>
      <w:r>
        <w:rPr>
          <w:rFonts w:ascii="Times New Roman" w:hAnsi="Times New Roman" w:eastAsia="宋体" w:cs="Times New Roman"/>
          <w:color w:val="auto"/>
          <w:sz w:val="24"/>
          <w:szCs w:val="24"/>
          <w:highlight w:val="none"/>
        </w:rPr>
        <w:t>进行数据日常查勘，有异常情况立即进行分析及工作指导。</w:t>
      </w:r>
    </w:p>
    <w:p>
      <w:pPr>
        <w:spacing w:line="360" w:lineRule="auto"/>
        <w:ind w:firstLine="48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水质超标研判</w:t>
      </w:r>
      <w:r>
        <w:rPr>
          <w:rFonts w:hint="eastAsia" w:ascii="Times New Roman" w:hAnsi="Times New Roman" w:eastAsia="宋体" w:cs="Times New Roman"/>
          <w:b/>
          <w:bCs/>
          <w:color w:val="auto"/>
          <w:sz w:val="24"/>
          <w:szCs w:val="24"/>
          <w:highlight w:val="none"/>
          <w:lang w:val="en-US" w:eastAsia="zh-CN"/>
        </w:rPr>
        <w:t>服务</w:t>
      </w:r>
    </w:p>
    <w:p>
      <w:pPr>
        <w:spacing w:line="360" w:lineRule="auto"/>
        <w:ind w:firstLine="480" w:firstLineChars="2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每月</w:t>
      </w:r>
      <w:r>
        <w:rPr>
          <w:rFonts w:hint="default" w:ascii="Times New Roman" w:hAnsi="Times New Roman" w:eastAsia="宋体" w:cs="Times New Roman"/>
          <w:color w:val="auto"/>
          <w:sz w:val="24"/>
          <w:szCs w:val="24"/>
          <w:highlight w:val="none"/>
        </w:rPr>
        <w:t>结合自动监测及历史监测数据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超标溯源分析</w:t>
      </w:r>
      <w:r>
        <w:rPr>
          <w:rFonts w:hint="default" w:ascii="Times New Roman" w:hAnsi="Times New Roman" w:eastAsia="宋体" w:cs="Times New Roman"/>
          <w:color w:val="auto"/>
          <w:sz w:val="24"/>
          <w:szCs w:val="24"/>
          <w:highlight w:val="none"/>
        </w:rPr>
        <w:t>情况，开展水质研判分析，</w:t>
      </w:r>
      <w:r>
        <w:rPr>
          <w:rFonts w:hint="default" w:ascii="Times New Roman" w:hAnsi="Times New Roman" w:eastAsia="宋体"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rPr>
        <w:t>水环境质量月报，及时报告存在问题，提交水质研判年度工作报告。</w:t>
      </w:r>
    </w:p>
    <w:p>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3、走航监测</w:t>
      </w:r>
      <w:r>
        <w:rPr>
          <w:rFonts w:hint="eastAsia" w:ascii="Times New Roman" w:hAnsi="Times New Roman" w:eastAsia="宋体" w:cs="Times New Roman"/>
          <w:b/>
          <w:bCs/>
          <w:color w:val="auto"/>
          <w:sz w:val="24"/>
          <w:szCs w:val="24"/>
          <w:highlight w:val="none"/>
          <w:lang w:val="en-US" w:eastAsia="zh-CN"/>
        </w:rPr>
        <w:t>服务</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每季度对重点河流断面上游10km的河道进行无人船走航监测，并提交无人船走航监测问题图集和工作报告。走航监测指标高锰酸盐指数、氨氮、总磷、总氮、PH、电导率、水温，并对疑似排污口进行原位监测，实时回传监测水质参数变化情况，形成水质参数分布图，直观反映河道水质变化趋势、疑似污染来源。</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注：投标人具有</w:t>
      </w:r>
      <w:r>
        <w:rPr>
          <w:rFonts w:hint="default" w:ascii="Times New Roman" w:hAnsi="Times New Roman" w:eastAsia="宋体" w:cs="Times New Roman"/>
          <w:color w:val="auto"/>
          <w:sz w:val="24"/>
          <w:szCs w:val="24"/>
          <w:highlight w:val="none"/>
        </w:rPr>
        <w:t>多光谱智能识别无人机系统、走航监测无人船、</w:t>
      </w:r>
      <w:r>
        <w:rPr>
          <w:rFonts w:hint="default" w:ascii="Times New Roman" w:hAnsi="Times New Roman" w:eastAsia="宋体" w:cs="Times New Roman"/>
          <w:color w:val="auto"/>
          <w:sz w:val="24"/>
          <w:szCs w:val="24"/>
          <w:highlight w:val="none"/>
          <w:lang w:val="en-US" w:eastAsia="zh-CN"/>
        </w:rPr>
        <w:t>分段式压缩溯源监测系统、</w:t>
      </w:r>
      <w:r>
        <w:rPr>
          <w:rFonts w:hint="default" w:ascii="Times New Roman" w:hAnsi="Times New Roman" w:eastAsia="宋体" w:cs="Times New Roman"/>
          <w:color w:val="auto"/>
          <w:sz w:val="24"/>
          <w:szCs w:val="24"/>
          <w:highlight w:val="none"/>
        </w:rPr>
        <w:t>暗管探测仪（探地雷达）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管道机器人、管道潜望镜</w:t>
      </w:r>
      <w:r>
        <w:rPr>
          <w:rFonts w:hint="default" w:ascii="Times New Roman" w:hAnsi="Times New Roman" w:eastAsia="宋体" w:cs="Times New Roman"/>
          <w:color w:val="auto"/>
          <w:sz w:val="24"/>
          <w:szCs w:val="24"/>
          <w:highlight w:val="none"/>
          <w:lang w:val="en-US" w:eastAsia="zh-CN"/>
        </w:rPr>
        <w:t>等智能设备，具备水体指纹</w:t>
      </w:r>
      <w:r>
        <w:rPr>
          <w:rFonts w:hint="eastAsia" w:ascii="Times New Roman" w:hAnsi="Times New Roman" w:eastAsia="宋体" w:cs="Times New Roman"/>
          <w:color w:val="auto"/>
          <w:sz w:val="24"/>
          <w:szCs w:val="24"/>
          <w:highlight w:val="none"/>
          <w:lang w:val="en-US" w:eastAsia="zh-CN"/>
        </w:rPr>
        <w:t>分析能力</w:t>
      </w:r>
      <w:r>
        <w:rPr>
          <w:rFonts w:hint="default" w:ascii="Times New Roman" w:hAnsi="Times New Roman" w:eastAsia="宋体" w:cs="Times New Roman"/>
          <w:color w:val="auto"/>
          <w:sz w:val="24"/>
          <w:szCs w:val="24"/>
          <w:highlight w:val="none"/>
          <w:lang w:val="en-US" w:eastAsia="zh-CN"/>
        </w:rPr>
        <w:t>，并能提供相应证明材料。</w:t>
      </w:r>
    </w:p>
    <w:p>
      <w:pPr>
        <w:keepNext/>
        <w:keepLines/>
        <w:spacing w:before="160" w:after="160" w:line="360" w:lineRule="auto"/>
        <w:ind w:firstLine="482" w:firstLineChars="200"/>
        <w:contextualSpacing/>
        <w:jc w:val="left"/>
        <w:outlineLvl w:val="2"/>
        <w:rPr>
          <w:b/>
          <w:sz w:val="24"/>
          <w:szCs w:val="24"/>
        </w:rPr>
      </w:pPr>
      <w:r>
        <w:rPr>
          <w:b/>
          <w:sz w:val="24"/>
          <w:szCs w:val="24"/>
          <w:highlight w:val="none"/>
        </w:rPr>
        <w:t>（</w:t>
      </w:r>
      <w:r>
        <w:rPr>
          <w:rFonts w:hint="eastAsia"/>
          <w:b/>
          <w:sz w:val="24"/>
          <w:szCs w:val="24"/>
          <w:highlight w:val="none"/>
        </w:rPr>
        <w:t>十一</w:t>
      </w:r>
      <w:r>
        <w:rPr>
          <w:b/>
          <w:sz w:val="24"/>
          <w:szCs w:val="24"/>
          <w:highlight w:val="none"/>
        </w:rPr>
        <w:t>）</w:t>
      </w:r>
      <w:bookmarkEnd w:id="31"/>
      <w:bookmarkStart w:id="32" w:name="_Toc73614331"/>
      <w:r>
        <w:rPr>
          <w:b/>
          <w:sz w:val="24"/>
          <w:szCs w:val="24"/>
        </w:rPr>
        <w:t>便携式水质自动分析仪</w:t>
      </w:r>
    </w:p>
    <w:p>
      <w:pPr>
        <w:pStyle w:val="3"/>
        <w:spacing w:line="360" w:lineRule="auto"/>
        <w:ind w:firstLine="0"/>
        <w:rPr>
          <w:rFonts w:hint="eastAsia" w:eastAsia="宋体"/>
          <w:lang w:val="en-US" w:eastAsia="zh-CN"/>
        </w:rPr>
      </w:pPr>
      <w:r>
        <w:rPr>
          <w:rFonts w:hint="eastAsia"/>
          <w:lang w:val="en-US" w:eastAsia="zh-CN"/>
        </w:rPr>
        <w:t xml:space="preserve">   </w:t>
      </w:r>
      <w:r>
        <w:rPr>
          <w:rFonts w:hint="eastAsia"/>
          <w:lang w:eastAsia="zh-CN"/>
        </w:rPr>
        <w:t>（</w:t>
      </w:r>
      <w:r>
        <w:rPr>
          <w:rFonts w:hint="eastAsia"/>
          <w:lang w:val="en-US" w:eastAsia="zh-CN"/>
        </w:rPr>
        <w:t>1</w:t>
      </w:r>
      <w:r>
        <w:rPr>
          <w:rFonts w:hint="eastAsia"/>
          <w:lang w:eastAsia="zh-CN"/>
        </w:rPr>
        <w:t>）</w:t>
      </w:r>
      <w:r>
        <w:rPr>
          <w:rFonts w:hint="eastAsia"/>
          <w:lang w:val="en-US" w:eastAsia="zh-CN"/>
        </w:rPr>
        <w:t>主要功能性能要求</w:t>
      </w:r>
    </w:p>
    <w:p>
      <w:pPr>
        <w:pStyle w:val="3"/>
        <w:spacing w:after="0" w:line="360" w:lineRule="auto"/>
        <w:ind w:firstLineChars="200"/>
        <w:rPr>
          <w:rFonts w:hint="eastAsia"/>
          <w:lang w:val="en-US" w:eastAsia="zh-CN"/>
        </w:rPr>
      </w:pPr>
      <w:r>
        <w:rPr>
          <w:rFonts w:hint="eastAsia"/>
          <w:lang w:val="en-US" w:eastAsia="zh-CN"/>
        </w:rPr>
        <w:t>①多参数自动分析仪应由控制模块、多参数流路模块、自动进样模块等组成，便携拉杆箱设计，可选配高性能移动电源模块，实现野外无电源条件下测量。</w:t>
      </w:r>
    </w:p>
    <w:p>
      <w:pPr>
        <w:pStyle w:val="3"/>
        <w:spacing w:after="0" w:line="360" w:lineRule="auto"/>
        <w:ind w:firstLine="480" w:firstLineChars="200"/>
        <w:rPr>
          <w:rFonts w:hint="eastAsia"/>
          <w:lang w:val="en-US" w:eastAsia="zh-CN"/>
        </w:rPr>
      </w:pPr>
      <w:r>
        <w:rPr>
          <w:rFonts w:hint="eastAsia"/>
          <w:lang w:val="en-US" w:eastAsia="zh-CN"/>
        </w:rPr>
        <w:t>②多参数水质自动分析仪应能实现氨氮、总磷、总氮、高锰酸盐指数指标的自动监测。</w:t>
      </w:r>
    </w:p>
    <w:p>
      <w:pPr>
        <w:pStyle w:val="3"/>
        <w:spacing w:after="0" w:line="360" w:lineRule="auto"/>
        <w:ind w:firstLine="480" w:firstLineChars="200"/>
        <w:rPr>
          <w:rFonts w:hint="eastAsia"/>
          <w:lang w:val="en-US" w:eastAsia="zh-CN"/>
        </w:rPr>
      </w:pPr>
      <w:r>
        <w:rPr>
          <w:rFonts w:hint="default" w:ascii="Times New Roman" w:hAnsi="Times New Roman" w:eastAsia="宋体" w:cs="Times New Roman"/>
          <w:color w:val="auto"/>
          <w:sz w:val="24"/>
          <w:szCs w:val="24"/>
          <w:highlight w:val="none"/>
        </w:rPr>
        <w:t>▲</w:t>
      </w:r>
      <w:r>
        <w:rPr>
          <w:rFonts w:hint="eastAsia"/>
          <w:lang w:val="en-US" w:eastAsia="zh-CN"/>
        </w:rPr>
        <w:t>③应具有多指标自由切换功能：多参数水质自动分析仪不更换任何器件，即可实现一台仪表氨氮、总磷、总氮、高锰酸盐指数四个参数自由切换</w:t>
      </w:r>
      <w:r>
        <w:rPr>
          <w:rFonts w:hint="eastAsia"/>
          <w:color w:val="auto"/>
          <w:lang w:val="en-US" w:eastAsia="zh-CN"/>
        </w:rPr>
        <w:t>（需提供专业计量机构出具的检测（或评价分析）报告复印件作为证明材料）</w:t>
      </w:r>
      <w:r>
        <w:rPr>
          <w:rFonts w:hint="eastAsia"/>
          <w:lang w:val="en-US" w:eastAsia="zh-CN"/>
        </w:rPr>
        <w:t>。</w:t>
      </w:r>
    </w:p>
    <w:p>
      <w:pPr>
        <w:pStyle w:val="3"/>
        <w:spacing w:line="360" w:lineRule="auto"/>
        <w:rPr>
          <w:rFonts w:hint="default"/>
          <w:lang w:val="en-US" w:eastAsia="zh-CN"/>
        </w:rPr>
      </w:pPr>
      <w:r>
        <w:rPr>
          <w:rFonts w:hint="default" w:ascii="Times New Roman" w:hAnsi="Times New Roman" w:eastAsia="宋体" w:cs="Times New Roman"/>
          <w:color w:val="auto"/>
          <w:sz w:val="24"/>
          <w:szCs w:val="24"/>
          <w:highlight w:val="none"/>
        </w:rPr>
        <w:t>▲</w:t>
      </w:r>
      <w:r>
        <w:rPr>
          <w:rFonts w:hint="eastAsia"/>
          <w:lang w:val="en-US" w:eastAsia="zh-CN"/>
        </w:rPr>
        <w:t>④</w:t>
      </w:r>
      <w:r>
        <w:rPr>
          <w:rFonts w:hint="eastAsia"/>
          <w:sz w:val="24"/>
          <w:szCs w:val="22"/>
          <w:lang w:eastAsia="zh-CN"/>
        </w:rPr>
        <w:t>扩展能力：多参数水质自动分析仪可支持扩展光谱直读模式，实现光谱直读模式和化学法准确定量双模式运行</w:t>
      </w:r>
      <w:r>
        <w:rPr>
          <w:rFonts w:hint="eastAsia"/>
          <w:color w:val="auto"/>
          <w:lang w:val="en-US" w:eastAsia="zh-CN"/>
        </w:rPr>
        <w:t>（需提供专业计量机构出具的检测（或评价分析）报告复印件作为证明材料）</w:t>
      </w:r>
      <w:r>
        <w:rPr>
          <w:rFonts w:hint="eastAsia"/>
          <w:sz w:val="24"/>
          <w:szCs w:val="22"/>
          <w:lang w:eastAsia="zh-CN"/>
        </w:rPr>
        <w:t>。</w:t>
      </w:r>
    </w:p>
    <w:p>
      <w:pPr>
        <w:pStyle w:val="3"/>
        <w:spacing w:line="360" w:lineRule="auto"/>
        <w:rPr>
          <w:rFonts w:hint="eastAsia" w:eastAsia="宋体"/>
          <w:sz w:val="24"/>
          <w:szCs w:val="22"/>
          <w:lang w:eastAsia="zh-CN"/>
        </w:rPr>
      </w:pPr>
      <w:r>
        <w:rPr>
          <w:rFonts w:hint="default" w:ascii="Times New Roman" w:hAnsi="Times New Roman" w:eastAsia="宋体" w:cs="Times New Roman"/>
          <w:color w:val="auto"/>
          <w:sz w:val="24"/>
          <w:szCs w:val="24"/>
          <w:highlight w:val="none"/>
        </w:rPr>
        <w:t>▲</w:t>
      </w:r>
      <w:r>
        <w:rPr>
          <w:rFonts w:hint="eastAsia"/>
          <w:lang w:val="en-US" w:eastAsia="zh-CN"/>
        </w:rPr>
        <w:t>⑤</w:t>
      </w:r>
      <w:r>
        <w:rPr>
          <w:rFonts w:hint="eastAsia"/>
          <w:sz w:val="24"/>
          <w:szCs w:val="24"/>
          <w:lang w:eastAsia="zh-CN"/>
        </w:rPr>
        <w:t>光</w:t>
      </w:r>
      <w:r>
        <w:rPr>
          <w:rFonts w:hint="eastAsia"/>
          <w:sz w:val="24"/>
          <w:szCs w:val="22"/>
          <w:lang w:eastAsia="zh-CN"/>
        </w:rPr>
        <w:t>谱直读模式</w:t>
      </w:r>
      <w:r>
        <w:rPr>
          <w:rFonts w:hint="eastAsia"/>
          <w:lang w:val="en-US" w:eastAsia="zh-CN"/>
        </w:rPr>
        <w:t>支持秒级出数，最小连续出数时间不大于10s；光谱扫描范围190nm~1100nm，像素分辨率≤0.5nm，光学分辨率≤2nm，支持谱图的显示、存储、查询等功能。</w:t>
      </w:r>
    </w:p>
    <w:p>
      <w:pPr>
        <w:pStyle w:val="3"/>
        <w:spacing w:line="360" w:lineRule="auto"/>
        <w:rPr>
          <w:rFonts w:hint="eastAsia"/>
          <w:lang w:val="en-US" w:eastAsia="zh-CN"/>
        </w:rPr>
      </w:pPr>
      <w:r>
        <w:rPr>
          <w:rFonts w:hint="eastAsia"/>
          <w:sz w:val="24"/>
          <w:szCs w:val="22"/>
          <w:lang w:eastAsia="zh-CN"/>
        </w:rPr>
        <w:t>（</w:t>
      </w:r>
      <w:r>
        <w:rPr>
          <w:rFonts w:hint="eastAsia"/>
          <w:sz w:val="24"/>
          <w:szCs w:val="22"/>
          <w:lang w:val="en-US" w:eastAsia="zh-CN"/>
        </w:rPr>
        <w:t>2</w:t>
      </w:r>
      <w:r>
        <w:rPr>
          <w:rFonts w:hint="eastAsia"/>
          <w:sz w:val="24"/>
          <w:szCs w:val="22"/>
          <w:lang w:eastAsia="zh-CN"/>
        </w:rPr>
        <w:t>）</w:t>
      </w:r>
      <w:r>
        <w:rPr>
          <w:rFonts w:hint="eastAsia"/>
          <w:sz w:val="24"/>
          <w:szCs w:val="22"/>
        </w:rPr>
        <w:t>主要技术参数</w:t>
      </w:r>
    </w:p>
    <w:p>
      <w:pPr>
        <w:pStyle w:val="3"/>
        <w:spacing w:line="360" w:lineRule="auto"/>
        <w:ind w:firstLine="480" w:firstLineChars="200"/>
        <w:rPr>
          <w:rFonts w:hint="eastAsia"/>
          <w:lang w:val="en-US" w:eastAsia="zh-CN"/>
        </w:rPr>
      </w:pPr>
      <w:r>
        <w:rPr>
          <w:rFonts w:hint="eastAsia"/>
          <w:lang w:val="en-US" w:eastAsia="zh-CN"/>
        </w:rPr>
        <w:t>①氨氮</w:t>
      </w:r>
    </w:p>
    <w:tbl>
      <w:tblPr>
        <w:tblStyle w:val="25"/>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3" w:type="dxa"/>
            <w:vAlign w:val="center"/>
          </w:tcPr>
          <w:p>
            <w:pPr>
              <w:spacing w:line="360" w:lineRule="auto"/>
              <w:rPr>
                <w:rFonts w:hint="eastAsia" w:ascii="宋体" w:hAnsi="宋体" w:cs="宋体"/>
                <w:szCs w:val="21"/>
              </w:rPr>
            </w:pPr>
            <w:r>
              <w:rPr>
                <w:rFonts w:hint="eastAsia" w:ascii="宋体" w:hAnsi="宋体" w:cs="宋体"/>
                <w:szCs w:val="21"/>
              </w:rPr>
              <w:t>项目</w:t>
            </w:r>
          </w:p>
        </w:tc>
        <w:tc>
          <w:tcPr>
            <w:tcW w:w="5795" w:type="dxa"/>
            <w:vAlign w:val="center"/>
          </w:tcPr>
          <w:p>
            <w:pPr>
              <w:spacing w:line="360" w:lineRule="auto"/>
              <w:rPr>
                <w:rFonts w:hint="eastAsia"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3" w:type="dxa"/>
            <w:vAlign w:val="center"/>
          </w:tcPr>
          <w:p>
            <w:pPr>
              <w:spacing w:line="360" w:lineRule="auto"/>
              <w:rPr>
                <w:rFonts w:hint="eastAsia" w:ascii="宋体" w:hAnsi="宋体" w:cs="宋体"/>
                <w:szCs w:val="21"/>
              </w:rPr>
            </w:pPr>
            <w:r>
              <w:rPr>
                <w:rFonts w:hint="eastAsia" w:ascii="宋体" w:hAnsi="宋体" w:cs="宋体"/>
                <w:szCs w:val="21"/>
              </w:rPr>
              <w:t>测定原理</w:t>
            </w:r>
          </w:p>
        </w:tc>
        <w:tc>
          <w:tcPr>
            <w:tcW w:w="5795" w:type="dxa"/>
            <w:vAlign w:val="center"/>
          </w:tcPr>
          <w:p>
            <w:pPr>
              <w:spacing w:line="360" w:lineRule="auto"/>
              <w:rPr>
                <w:rFonts w:hint="eastAsia" w:ascii="宋体" w:hAnsi="宋体" w:cs="宋体"/>
                <w:szCs w:val="21"/>
              </w:rPr>
            </w:pPr>
            <w:r>
              <w:rPr>
                <w:rFonts w:hint="eastAsia" w:ascii="宋体" w:hAnsi="宋体" w:cs="宋体"/>
                <w:szCs w:val="21"/>
              </w:rPr>
              <w:t>纳氏试剂分光光度法、水杨酸分光光度法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3" w:type="dxa"/>
            <w:vAlign w:val="center"/>
          </w:tcPr>
          <w:p>
            <w:pPr>
              <w:spacing w:line="360" w:lineRule="auto"/>
              <w:rPr>
                <w:rFonts w:hint="eastAsia" w:ascii="宋体" w:hAnsi="宋体" w:cs="宋体"/>
                <w:szCs w:val="21"/>
              </w:rPr>
            </w:pPr>
            <w:r>
              <w:rPr>
                <w:rFonts w:hint="eastAsia" w:ascii="宋体" w:hAnsi="宋体" w:cs="宋体"/>
                <w:szCs w:val="21"/>
              </w:rPr>
              <w:t>量程</w:t>
            </w:r>
          </w:p>
        </w:tc>
        <w:tc>
          <w:tcPr>
            <w:tcW w:w="5795"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150</w:t>
            </w:r>
            <w:r>
              <w:rPr>
                <w:rFonts w:hint="eastAsia" w:ascii="宋体" w:hAnsi="宋体" w:cs="宋体"/>
                <w:szCs w:val="21"/>
              </w:rPr>
              <w:t xml:space="preserve"> mg/L</w:t>
            </w:r>
            <w:r>
              <w:rPr>
                <w:rFonts w:hint="eastAsia" w:ascii="宋体" w:hAnsi="宋体" w:cs="宋体"/>
                <w:szCs w:val="21"/>
                <w:lang w:eastAsia="zh-CN"/>
              </w:rPr>
              <w:t>，</w:t>
            </w:r>
            <w:r>
              <w:rPr>
                <w:rFonts w:hint="eastAsia" w:ascii="宋体" w:hAnsi="宋体" w:cs="宋体"/>
                <w:szCs w:val="21"/>
                <w:lang w:val="en-US" w:eastAsia="zh-CN"/>
              </w:rPr>
              <w:t>分段可调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3" w:type="dxa"/>
            <w:vAlign w:val="center"/>
          </w:tcPr>
          <w:p>
            <w:pPr>
              <w:spacing w:line="360" w:lineRule="auto"/>
              <w:rPr>
                <w:rFonts w:hint="eastAsia" w:ascii="宋体" w:hAnsi="宋体" w:cs="宋体"/>
                <w:szCs w:val="21"/>
                <w:highlight w:val="none"/>
              </w:rPr>
            </w:pPr>
            <w:r>
              <w:rPr>
                <w:rFonts w:hint="eastAsia" w:ascii="宋体" w:hAnsi="宋体" w:cs="宋体"/>
                <w:szCs w:val="21"/>
                <w:highlight w:val="none"/>
              </w:rPr>
              <w:t>重复性</w:t>
            </w:r>
          </w:p>
        </w:tc>
        <w:tc>
          <w:tcPr>
            <w:tcW w:w="5795" w:type="dxa"/>
            <w:vAlign w:val="center"/>
          </w:tcPr>
          <w:p>
            <w:pPr>
              <w:spacing w:line="360" w:lineRule="auto"/>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3"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准确度</w:t>
            </w:r>
          </w:p>
        </w:tc>
        <w:tc>
          <w:tcPr>
            <w:tcW w:w="5795" w:type="dxa"/>
            <w:vAlign w:val="center"/>
          </w:tcPr>
          <w:p>
            <w:pPr>
              <w:spacing w:line="360" w:lineRule="auto"/>
              <w:rPr>
                <w:rFonts w:hint="eastAsia" w:ascii="宋体" w:hAnsi="宋体" w:eastAsia="宋体" w:cs="宋体"/>
                <w:strike/>
                <w:kern w:val="2"/>
                <w:sz w:val="21"/>
                <w:szCs w:val="21"/>
                <w:lang w:val="en-US" w:eastAsia="zh-CN" w:bidi="ar-SA"/>
              </w:rPr>
            </w:pPr>
            <w:r>
              <w:rPr>
                <w:rFonts w:hint="eastAsia" w:ascii="宋体" w:hAnsi="宋体" w:cs="宋体"/>
                <w:szCs w:val="21"/>
              </w:rPr>
              <w:t>≤±5.0%</w:t>
            </w:r>
          </w:p>
        </w:tc>
      </w:tr>
    </w:tbl>
    <w:p>
      <w:pPr>
        <w:pStyle w:val="3"/>
        <w:spacing w:line="360" w:lineRule="auto"/>
        <w:rPr>
          <w:rFonts w:hint="default"/>
          <w:lang w:val="en-US" w:eastAsia="zh-CN"/>
        </w:rPr>
      </w:pPr>
      <w:r>
        <w:rPr>
          <w:rFonts w:hint="eastAsia"/>
          <w:lang w:val="en-US" w:eastAsia="zh-CN"/>
        </w:rPr>
        <w:t>②总磷</w:t>
      </w:r>
    </w:p>
    <w:tbl>
      <w:tblPr>
        <w:tblStyle w:val="25"/>
        <w:tblW w:w="7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91" w:type="dxa"/>
            <w:vAlign w:val="center"/>
          </w:tcPr>
          <w:p>
            <w:pPr>
              <w:spacing w:line="360" w:lineRule="auto"/>
              <w:rPr>
                <w:rFonts w:hint="eastAsia" w:ascii="宋体" w:hAnsi="宋体" w:cs="宋体"/>
                <w:szCs w:val="21"/>
              </w:rPr>
            </w:pPr>
            <w:r>
              <w:rPr>
                <w:rFonts w:hint="eastAsia" w:ascii="宋体" w:hAnsi="宋体" w:cs="宋体"/>
                <w:szCs w:val="21"/>
              </w:rPr>
              <w:t>项目</w:t>
            </w:r>
          </w:p>
        </w:tc>
        <w:tc>
          <w:tcPr>
            <w:tcW w:w="5565" w:type="dxa"/>
            <w:vAlign w:val="center"/>
          </w:tcPr>
          <w:p>
            <w:pPr>
              <w:spacing w:line="360" w:lineRule="auto"/>
              <w:rPr>
                <w:rFonts w:hint="eastAsia"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1" w:type="dxa"/>
            <w:vAlign w:val="center"/>
          </w:tcPr>
          <w:p>
            <w:pPr>
              <w:spacing w:line="360" w:lineRule="auto"/>
              <w:rPr>
                <w:rFonts w:hint="eastAsia" w:ascii="宋体" w:hAnsi="宋体" w:cs="宋体"/>
                <w:szCs w:val="21"/>
              </w:rPr>
            </w:pPr>
            <w:r>
              <w:rPr>
                <w:rFonts w:hint="eastAsia" w:ascii="宋体" w:hAnsi="宋体" w:cs="宋体"/>
                <w:szCs w:val="21"/>
              </w:rPr>
              <w:t>测定原理</w:t>
            </w:r>
          </w:p>
        </w:tc>
        <w:tc>
          <w:tcPr>
            <w:tcW w:w="5565" w:type="dxa"/>
            <w:vAlign w:val="center"/>
          </w:tcPr>
          <w:p>
            <w:pPr>
              <w:spacing w:line="360" w:lineRule="auto"/>
              <w:rPr>
                <w:rFonts w:hint="eastAsia" w:ascii="宋体" w:hAnsi="宋体" w:cs="宋体"/>
                <w:szCs w:val="21"/>
              </w:rPr>
            </w:pPr>
            <w:r>
              <w:rPr>
                <w:rFonts w:hint="eastAsia" w:ascii="宋体" w:hAnsi="宋体" w:cs="宋体"/>
                <w:szCs w:val="21"/>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1" w:type="dxa"/>
            <w:vAlign w:val="center"/>
          </w:tcPr>
          <w:p>
            <w:pPr>
              <w:spacing w:line="360" w:lineRule="auto"/>
              <w:rPr>
                <w:rFonts w:hint="eastAsia" w:ascii="宋体" w:hAnsi="宋体" w:cs="宋体"/>
                <w:szCs w:val="21"/>
              </w:rPr>
            </w:pPr>
            <w:r>
              <w:rPr>
                <w:rFonts w:hint="eastAsia" w:ascii="宋体" w:hAnsi="宋体" w:cs="宋体"/>
                <w:szCs w:val="21"/>
              </w:rPr>
              <w:t>量程</w:t>
            </w:r>
          </w:p>
        </w:tc>
        <w:tc>
          <w:tcPr>
            <w:tcW w:w="5565" w:type="dxa"/>
            <w:vAlign w:val="center"/>
          </w:tcPr>
          <w:p>
            <w:pPr>
              <w:spacing w:line="360" w:lineRule="auto"/>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50</w:t>
            </w:r>
            <w:r>
              <w:rPr>
                <w:rFonts w:hint="eastAsia" w:ascii="宋体" w:hAnsi="宋体" w:cs="宋体"/>
                <w:szCs w:val="21"/>
              </w:rPr>
              <w:t>mg/L，</w:t>
            </w:r>
            <w:r>
              <w:rPr>
                <w:rFonts w:hint="eastAsia" w:ascii="宋体" w:hAnsi="宋体" w:cs="宋体"/>
                <w:szCs w:val="21"/>
                <w:lang w:val="en-US" w:eastAsia="zh-CN"/>
              </w:rPr>
              <w:t>分段</w:t>
            </w:r>
            <w:r>
              <w:rPr>
                <w:rFonts w:hint="eastAsia" w:ascii="宋体" w:hAnsi="宋体" w:cs="宋体"/>
                <w:szCs w:val="21"/>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1"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重复性</w:t>
            </w:r>
          </w:p>
        </w:tc>
        <w:tc>
          <w:tcPr>
            <w:tcW w:w="5565"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1"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检出限</w:t>
            </w:r>
          </w:p>
        </w:tc>
        <w:tc>
          <w:tcPr>
            <w:tcW w:w="5565"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≤0.0</w:t>
            </w:r>
            <w:r>
              <w:rPr>
                <w:rFonts w:ascii="宋体" w:hAnsi="宋体" w:cs="宋体"/>
                <w:szCs w:val="21"/>
                <w:highlight w:val="none"/>
              </w:rPr>
              <w:t>1</w:t>
            </w:r>
            <w:r>
              <w:rPr>
                <w:rFonts w:hint="eastAsia" w:ascii="宋体" w:hAnsi="宋体" w:cs="宋体"/>
                <w:szCs w:val="21"/>
                <w:highlight w:val="none"/>
              </w:rPr>
              <w:t>mg/L</w:t>
            </w:r>
          </w:p>
        </w:tc>
      </w:tr>
    </w:tbl>
    <w:p>
      <w:pPr>
        <w:pStyle w:val="3"/>
        <w:spacing w:line="360" w:lineRule="auto"/>
        <w:rPr>
          <w:rFonts w:hint="default"/>
          <w:lang w:val="en-US" w:eastAsia="zh-CN"/>
        </w:rPr>
      </w:pPr>
      <w:r>
        <w:rPr>
          <w:rFonts w:hint="eastAsia"/>
          <w:lang w:val="en-US" w:eastAsia="zh-CN"/>
        </w:rPr>
        <w:t>③总氮</w:t>
      </w:r>
    </w:p>
    <w:tbl>
      <w:tblPr>
        <w:tblStyle w:val="25"/>
        <w:tblW w:w="7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项目</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测定原理</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量程</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0～2</w:t>
            </w:r>
            <w:r>
              <w:rPr>
                <w:rFonts w:hint="eastAsia" w:ascii="宋体" w:hAnsi="宋体" w:cs="宋体"/>
                <w:szCs w:val="21"/>
                <w:lang w:val="en-US" w:eastAsia="zh-CN"/>
              </w:rPr>
              <w:t>0</w:t>
            </w:r>
            <w:r>
              <w:rPr>
                <w:rFonts w:hint="eastAsia" w:ascii="宋体" w:hAnsi="宋体" w:cs="宋体"/>
                <w:szCs w:val="21"/>
              </w:rPr>
              <w:t>0mg/L</w:t>
            </w:r>
            <w:r>
              <w:rPr>
                <w:rFonts w:hint="eastAsia" w:ascii="宋体" w:hAnsi="宋体" w:cs="宋体"/>
                <w:szCs w:val="21"/>
                <w:lang w:eastAsia="zh-CN"/>
              </w:rPr>
              <w:t>，</w:t>
            </w:r>
            <w:r>
              <w:rPr>
                <w:rFonts w:hint="eastAsia" w:ascii="宋体" w:hAnsi="宋体" w:cs="宋体"/>
                <w:szCs w:val="21"/>
                <w:lang w:val="en-US" w:eastAsia="zh-CN"/>
              </w:rPr>
              <w:t>分段可调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重复性</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检出限</w:t>
            </w:r>
          </w:p>
        </w:tc>
        <w:tc>
          <w:tcPr>
            <w:tcW w:w="5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highlight w:val="none"/>
              </w:rPr>
              <w:t>≤0.0</w:t>
            </w:r>
            <w:r>
              <w:rPr>
                <w:rFonts w:ascii="宋体" w:hAnsi="宋体" w:cs="宋体"/>
                <w:szCs w:val="21"/>
                <w:highlight w:val="none"/>
              </w:rPr>
              <w:t>5</w:t>
            </w:r>
            <w:r>
              <w:rPr>
                <w:rFonts w:hint="eastAsia" w:ascii="宋体" w:hAnsi="宋体" w:cs="宋体"/>
                <w:szCs w:val="21"/>
                <w:highlight w:val="none"/>
              </w:rPr>
              <w:t>mg/L</w:t>
            </w:r>
          </w:p>
        </w:tc>
      </w:tr>
    </w:tbl>
    <w:p>
      <w:pPr>
        <w:pStyle w:val="3"/>
        <w:spacing w:line="360" w:lineRule="auto"/>
        <w:rPr>
          <w:rFonts w:hint="default"/>
          <w:lang w:val="en-US" w:eastAsia="zh-CN"/>
        </w:rPr>
      </w:pPr>
      <w:r>
        <w:rPr>
          <w:rFonts w:hint="eastAsia"/>
          <w:lang w:val="en-US" w:eastAsia="zh-CN"/>
        </w:rPr>
        <w:t>④高锰酸盐指数</w:t>
      </w:r>
    </w:p>
    <w:tbl>
      <w:tblPr>
        <w:tblStyle w:val="25"/>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1" w:type="dxa"/>
            <w:vAlign w:val="center"/>
          </w:tcPr>
          <w:p>
            <w:pPr>
              <w:spacing w:line="360" w:lineRule="auto"/>
              <w:rPr>
                <w:rFonts w:hint="eastAsia" w:ascii="宋体" w:hAnsi="宋体" w:cs="宋体"/>
                <w:szCs w:val="21"/>
              </w:rPr>
            </w:pPr>
            <w:r>
              <w:rPr>
                <w:rFonts w:hint="eastAsia" w:ascii="宋体" w:hAnsi="宋体" w:cs="宋体"/>
                <w:szCs w:val="21"/>
              </w:rPr>
              <w:t>项目</w:t>
            </w:r>
          </w:p>
        </w:tc>
        <w:tc>
          <w:tcPr>
            <w:tcW w:w="5356" w:type="dxa"/>
            <w:vAlign w:val="center"/>
          </w:tcPr>
          <w:p>
            <w:pPr>
              <w:spacing w:line="360" w:lineRule="auto"/>
              <w:rPr>
                <w:rFonts w:hint="eastAsia"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1" w:type="dxa"/>
            <w:vAlign w:val="center"/>
          </w:tcPr>
          <w:p>
            <w:pPr>
              <w:spacing w:line="360" w:lineRule="auto"/>
              <w:rPr>
                <w:rFonts w:hint="eastAsia" w:ascii="宋体" w:hAnsi="宋体" w:cs="宋体"/>
                <w:szCs w:val="21"/>
              </w:rPr>
            </w:pPr>
            <w:r>
              <w:rPr>
                <w:rFonts w:hint="eastAsia" w:ascii="宋体" w:hAnsi="宋体" w:cs="宋体"/>
                <w:szCs w:val="21"/>
              </w:rPr>
              <w:t>测定原理</w:t>
            </w:r>
          </w:p>
        </w:tc>
        <w:tc>
          <w:tcPr>
            <w:tcW w:w="5356" w:type="dxa"/>
            <w:vAlign w:val="center"/>
          </w:tcPr>
          <w:p>
            <w:pPr>
              <w:spacing w:line="360" w:lineRule="auto"/>
              <w:rPr>
                <w:rFonts w:hint="eastAsia" w:ascii="宋体" w:hAnsi="宋体" w:cs="宋体"/>
                <w:szCs w:val="21"/>
              </w:rPr>
            </w:pPr>
            <w:r>
              <w:rPr>
                <w:rFonts w:hint="eastAsia" w:ascii="宋体" w:hAnsi="宋体" w:cs="宋体"/>
                <w:szCs w:val="21"/>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1" w:type="dxa"/>
            <w:vAlign w:val="center"/>
          </w:tcPr>
          <w:p>
            <w:pPr>
              <w:spacing w:line="360" w:lineRule="auto"/>
              <w:rPr>
                <w:rFonts w:hint="eastAsia" w:ascii="宋体" w:hAnsi="宋体" w:cs="宋体"/>
                <w:szCs w:val="21"/>
              </w:rPr>
            </w:pPr>
            <w:r>
              <w:rPr>
                <w:rFonts w:hint="eastAsia" w:ascii="宋体" w:hAnsi="宋体" w:cs="宋体"/>
                <w:szCs w:val="21"/>
              </w:rPr>
              <w:t>量程</w:t>
            </w:r>
          </w:p>
        </w:tc>
        <w:tc>
          <w:tcPr>
            <w:tcW w:w="5356" w:type="dxa"/>
            <w:vAlign w:val="center"/>
          </w:tcPr>
          <w:p>
            <w:pPr>
              <w:spacing w:line="360" w:lineRule="auto"/>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100</w:t>
            </w:r>
            <w:r>
              <w:rPr>
                <w:rFonts w:hint="eastAsia" w:ascii="宋体" w:hAnsi="宋体" w:cs="宋体"/>
                <w:szCs w:val="21"/>
              </w:rPr>
              <w:t>mg/L</w:t>
            </w:r>
            <w:r>
              <w:rPr>
                <w:rFonts w:hint="eastAsia" w:ascii="宋体" w:hAnsi="宋体" w:cs="宋体"/>
                <w:szCs w:val="21"/>
                <w:lang w:eastAsia="zh-CN"/>
              </w:rPr>
              <w:t>，</w:t>
            </w:r>
            <w:r>
              <w:rPr>
                <w:rFonts w:hint="eastAsia" w:ascii="宋体" w:hAnsi="宋体" w:cs="宋体"/>
                <w:szCs w:val="21"/>
                <w:lang w:val="en-US" w:eastAsia="zh-CN"/>
              </w:rPr>
              <w:t>分段可调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1" w:type="dxa"/>
            <w:vAlign w:val="center"/>
          </w:tcPr>
          <w:p>
            <w:pPr>
              <w:spacing w:line="360" w:lineRule="auto"/>
              <w:rPr>
                <w:rFonts w:hint="eastAsia" w:ascii="宋体" w:hAnsi="宋体" w:cs="宋体"/>
                <w:szCs w:val="21"/>
                <w:highlight w:val="none"/>
              </w:rPr>
            </w:pPr>
            <w:r>
              <w:rPr>
                <w:rFonts w:hint="eastAsia" w:ascii="宋体" w:hAnsi="宋体" w:cs="宋体"/>
                <w:szCs w:val="21"/>
                <w:highlight w:val="none"/>
              </w:rPr>
              <w:t>重复性</w:t>
            </w:r>
          </w:p>
        </w:tc>
        <w:tc>
          <w:tcPr>
            <w:tcW w:w="5356" w:type="dxa"/>
            <w:vAlign w:val="center"/>
          </w:tcPr>
          <w:p>
            <w:pPr>
              <w:spacing w:line="360" w:lineRule="auto"/>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3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检出限</w:t>
            </w:r>
          </w:p>
        </w:tc>
        <w:tc>
          <w:tcPr>
            <w:tcW w:w="53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highlight w:val="none"/>
              </w:rPr>
              <w:t>≤0.</w:t>
            </w:r>
            <w:r>
              <w:rPr>
                <w:rFonts w:ascii="宋体" w:hAnsi="宋体" w:cs="宋体"/>
                <w:szCs w:val="21"/>
                <w:highlight w:val="none"/>
              </w:rPr>
              <w:t>5</w:t>
            </w:r>
            <w:r>
              <w:rPr>
                <w:rFonts w:hint="eastAsia" w:ascii="宋体" w:hAnsi="宋体" w:cs="宋体"/>
                <w:szCs w:val="21"/>
                <w:highlight w:val="none"/>
              </w:rPr>
              <w:t>mg/L</w:t>
            </w:r>
          </w:p>
        </w:tc>
      </w:tr>
    </w:tbl>
    <w:p>
      <w:pPr>
        <w:spacing w:line="360" w:lineRule="auto"/>
      </w:pPr>
    </w:p>
    <w:p>
      <w:pPr>
        <w:snapToGrid w:val="0"/>
        <w:spacing w:line="360" w:lineRule="auto"/>
        <w:outlineLvl w:val="1"/>
        <w:rPr>
          <w:b/>
          <w:bCs/>
          <w:color w:val="000000"/>
          <w:sz w:val="24"/>
          <w:szCs w:val="24"/>
        </w:rPr>
      </w:pPr>
      <w:r>
        <w:rPr>
          <w:b/>
          <w:bCs/>
          <w:color w:val="000000"/>
          <w:sz w:val="24"/>
          <w:szCs w:val="24"/>
        </w:rPr>
        <w:t>三、</w:t>
      </w:r>
      <w:r>
        <w:rPr>
          <w:rFonts w:hint="eastAsia"/>
          <w:b/>
          <w:bCs/>
          <w:color w:val="000000"/>
          <w:sz w:val="24"/>
          <w:szCs w:val="24"/>
        </w:rPr>
        <w:t>一体化</w:t>
      </w:r>
      <w:r>
        <w:rPr>
          <w:b/>
          <w:bCs/>
          <w:color w:val="000000"/>
          <w:sz w:val="24"/>
          <w:szCs w:val="24"/>
        </w:rPr>
        <w:t>水质监测站房技术要求</w:t>
      </w:r>
    </w:p>
    <w:p>
      <w:pPr>
        <w:spacing w:line="360" w:lineRule="auto"/>
        <w:ind w:firstLine="480" w:firstLineChars="200"/>
        <w:rPr>
          <w:sz w:val="24"/>
          <w:szCs w:val="24"/>
        </w:rPr>
      </w:pPr>
      <w:r>
        <w:rPr>
          <w:sz w:val="24"/>
          <w:szCs w:val="24"/>
        </w:rPr>
        <w:t>主要包括采水单元、配水单元、控制单元、数据采集与传输单元、</w:t>
      </w:r>
      <w:r>
        <w:rPr>
          <w:rFonts w:hint="eastAsia"/>
          <w:sz w:val="24"/>
          <w:szCs w:val="24"/>
        </w:rPr>
        <w:t>质控单元、</w:t>
      </w:r>
      <w:r>
        <w:rPr>
          <w:sz w:val="24"/>
          <w:szCs w:val="24"/>
        </w:rPr>
        <w:t>辅助单元、</w:t>
      </w:r>
      <w:r>
        <w:rPr>
          <w:rFonts w:hint="eastAsia"/>
          <w:sz w:val="24"/>
          <w:szCs w:val="24"/>
        </w:rPr>
        <w:t>站房</w:t>
      </w:r>
      <w:r>
        <w:rPr>
          <w:sz w:val="24"/>
          <w:szCs w:val="24"/>
        </w:rPr>
        <w:t>单元等。投标人须提供合理、先进、完整的系统集成方案，具备智能化、标准化、流程化的质量控制体系，确保采水、预处理、分析、质控、清洗以及数据采集和传输等环节的准确可靠。</w:t>
      </w:r>
    </w:p>
    <w:p>
      <w:pPr>
        <w:keepNext/>
        <w:keepLines/>
        <w:spacing w:before="160" w:after="160" w:line="360" w:lineRule="auto"/>
        <w:contextualSpacing/>
        <w:jc w:val="left"/>
        <w:outlineLvl w:val="2"/>
        <w:rPr>
          <w:b/>
          <w:sz w:val="24"/>
          <w:szCs w:val="24"/>
        </w:rPr>
      </w:pPr>
      <w:r>
        <w:rPr>
          <w:b/>
          <w:sz w:val="24"/>
          <w:szCs w:val="24"/>
        </w:rPr>
        <w:t>（一）系统集成功能要求</w:t>
      </w:r>
    </w:p>
    <w:p>
      <w:pPr>
        <w:spacing w:line="360" w:lineRule="auto"/>
        <w:ind w:firstLine="480" w:firstLineChars="200"/>
        <w:rPr>
          <w:sz w:val="24"/>
          <w:szCs w:val="24"/>
        </w:rPr>
      </w:pPr>
      <w:r>
        <w:rPr>
          <w:sz w:val="24"/>
          <w:szCs w:val="24"/>
        </w:rPr>
        <w:t>（1）具有系统运行周期设置功能，至少具备连续、间歇、手动、应急等多种运行模式；</w:t>
      </w:r>
    </w:p>
    <w:p>
      <w:pPr>
        <w:spacing w:line="360" w:lineRule="auto"/>
        <w:ind w:firstLine="480" w:firstLineChars="200"/>
        <w:rPr>
          <w:sz w:val="24"/>
          <w:szCs w:val="24"/>
        </w:rPr>
      </w:pPr>
      <w:r>
        <w:rPr>
          <w:sz w:val="24"/>
          <w:szCs w:val="24"/>
        </w:rPr>
        <w:t>（2）具有</w:t>
      </w:r>
      <w:r>
        <w:rPr>
          <w:rFonts w:hint="eastAsia"/>
          <w:sz w:val="24"/>
          <w:szCs w:val="24"/>
        </w:rPr>
        <w:t>动态管控</w:t>
      </w:r>
      <w:r>
        <w:rPr>
          <w:sz w:val="24"/>
          <w:szCs w:val="24"/>
        </w:rPr>
        <w:t>功能，仪器关键参数上传、远程设置功能，能接受远程控制指令；</w:t>
      </w:r>
    </w:p>
    <w:p>
      <w:pPr>
        <w:spacing w:line="360" w:lineRule="auto"/>
        <w:ind w:firstLine="480" w:firstLineChars="200"/>
        <w:rPr>
          <w:sz w:val="24"/>
          <w:szCs w:val="24"/>
        </w:rPr>
      </w:pPr>
      <w:r>
        <w:rPr>
          <w:sz w:val="24"/>
          <w:szCs w:val="24"/>
        </w:rPr>
        <w:t>（3）具备断电再度通电后自动排空水样和试剂、自动清洗管路、自动复位到待机状态的功能；</w:t>
      </w:r>
    </w:p>
    <w:p>
      <w:pPr>
        <w:spacing w:line="360" w:lineRule="auto"/>
        <w:ind w:firstLine="480" w:firstLineChars="200"/>
        <w:rPr>
          <w:sz w:val="24"/>
          <w:szCs w:val="24"/>
        </w:rPr>
      </w:pPr>
      <w:r>
        <w:rPr>
          <w:sz w:val="24"/>
          <w:szCs w:val="24"/>
        </w:rPr>
        <w:t>（4）具有分析仪器过程日志记录和环境参数记录功能，并能够上传至中心平台；确保仪器、系统运行的监测数据和状态信息等稳定传输；</w:t>
      </w:r>
    </w:p>
    <w:p>
      <w:pPr>
        <w:spacing w:line="360" w:lineRule="auto"/>
        <w:ind w:firstLine="480" w:firstLineChars="200"/>
        <w:rPr>
          <w:sz w:val="24"/>
          <w:szCs w:val="24"/>
        </w:rPr>
      </w:pPr>
      <w:r>
        <w:rPr>
          <w:sz w:val="24"/>
          <w:szCs w:val="24"/>
        </w:rPr>
        <w:t>（5）存储不少于1年的原始数据和运行日志；</w:t>
      </w:r>
    </w:p>
    <w:p>
      <w:pPr>
        <w:spacing w:line="360" w:lineRule="auto"/>
        <w:ind w:firstLine="480" w:firstLineChars="200"/>
        <w:rPr>
          <w:sz w:val="24"/>
          <w:szCs w:val="24"/>
        </w:rPr>
      </w:pPr>
      <w:r>
        <w:rPr>
          <w:sz w:val="24"/>
          <w:szCs w:val="24"/>
        </w:rPr>
        <w:t>（6）水质自动分析仪器（常规五参数外）及控制单元须具有三级管理权限；</w:t>
      </w:r>
    </w:p>
    <w:p>
      <w:pPr>
        <w:spacing w:line="360" w:lineRule="auto"/>
        <w:ind w:firstLine="480" w:firstLineChars="200"/>
        <w:rPr>
          <w:sz w:val="24"/>
          <w:szCs w:val="24"/>
        </w:rPr>
      </w:pPr>
      <w:r>
        <w:rPr>
          <w:sz w:val="24"/>
          <w:szCs w:val="24"/>
        </w:rPr>
        <w:t>（7）系统应具有良好的扩展性和兼容性，根据实际应用需要，可增加新的监测参数，并方便仪器安装与接入；</w:t>
      </w:r>
    </w:p>
    <w:p>
      <w:pPr>
        <w:spacing w:line="360" w:lineRule="auto"/>
        <w:ind w:firstLine="480" w:firstLineChars="200"/>
        <w:rPr>
          <w:sz w:val="24"/>
          <w:szCs w:val="24"/>
        </w:rPr>
      </w:pPr>
      <w:r>
        <w:rPr>
          <w:sz w:val="24"/>
          <w:szCs w:val="24"/>
        </w:rPr>
        <w:t>（8）采水监控：系统具有水源监控功能，对采样点是否有水样进行监测。</w:t>
      </w:r>
    </w:p>
    <w:p>
      <w:pPr>
        <w:keepNext/>
        <w:keepLines/>
        <w:spacing w:before="160" w:after="160" w:line="360" w:lineRule="auto"/>
        <w:contextualSpacing/>
        <w:jc w:val="left"/>
        <w:outlineLvl w:val="2"/>
        <w:rPr>
          <w:b/>
          <w:sz w:val="24"/>
          <w:szCs w:val="24"/>
        </w:rPr>
      </w:pPr>
      <w:r>
        <w:rPr>
          <w:b/>
          <w:sz w:val="24"/>
          <w:szCs w:val="24"/>
        </w:rPr>
        <w:t>（二）采水单元</w:t>
      </w:r>
    </w:p>
    <w:p>
      <w:pPr>
        <w:spacing w:line="360" w:lineRule="auto"/>
        <w:ind w:firstLine="480" w:firstLineChars="200"/>
        <w:rPr>
          <w:sz w:val="24"/>
          <w:szCs w:val="24"/>
        </w:rPr>
      </w:pPr>
      <w:r>
        <w:rPr>
          <w:sz w:val="24"/>
          <w:szCs w:val="24"/>
        </w:rPr>
        <w:t>采水单元应结合现场水文、地质条件确定合适的采水方式，符合《地表水和污水监测技术规范》(HJ/T91-2002)和《关于加快推进国家地表水水质自动站建设工作的通知》（环办监测函[2017］1762号）的附件《国家地表水水质自动监测站站房及采水技术要求》，保证运行的稳定性、水样的代表性、维护的方便性。</w:t>
      </w:r>
    </w:p>
    <w:p>
      <w:pPr>
        <w:spacing w:line="360" w:lineRule="auto"/>
        <w:ind w:firstLine="480" w:firstLineChars="200"/>
        <w:rPr>
          <w:sz w:val="24"/>
          <w:szCs w:val="24"/>
        </w:rPr>
      </w:pPr>
      <w:r>
        <w:rPr>
          <w:sz w:val="24"/>
          <w:szCs w:val="24"/>
        </w:rPr>
        <w:t>（1）采水单元包括采水构筑物、采水泵、采水管道、清洗配套装置、防堵塞装置和保温配套装置。</w:t>
      </w:r>
    </w:p>
    <w:p>
      <w:pPr>
        <w:spacing w:line="360" w:lineRule="auto"/>
        <w:ind w:firstLine="480" w:firstLineChars="200"/>
        <w:rPr>
          <w:sz w:val="24"/>
          <w:szCs w:val="24"/>
        </w:rPr>
      </w:pPr>
      <w:r>
        <w:rPr>
          <w:sz w:val="24"/>
          <w:szCs w:val="24"/>
        </w:rPr>
        <w:t>（2）采水装置的吸水口应设在水下0.5～1米范围内，并能够随水位变化适时调整位置，同时与水体底部保持</w:t>
      </w:r>
      <w:r>
        <w:rPr>
          <w:rFonts w:hint="eastAsia"/>
          <w:sz w:val="24"/>
          <w:szCs w:val="24"/>
        </w:rPr>
        <w:t>0.5米</w:t>
      </w:r>
      <w:r>
        <w:rPr>
          <w:sz w:val="24"/>
          <w:szCs w:val="24"/>
        </w:rPr>
        <w:t>的距离。</w:t>
      </w:r>
    </w:p>
    <w:p>
      <w:pPr>
        <w:spacing w:line="360" w:lineRule="auto"/>
        <w:ind w:firstLine="480" w:firstLineChars="200"/>
        <w:rPr>
          <w:sz w:val="24"/>
          <w:szCs w:val="24"/>
        </w:rPr>
      </w:pPr>
      <w:r>
        <w:rPr>
          <w:sz w:val="24"/>
          <w:szCs w:val="24"/>
        </w:rPr>
        <w:t>（3）采水</w:t>
      </w:r>
      <w:r>
        <w:rPr>
          <w:rFonts w:hint="eastAsia"/>
          <w:sz w:val="24"/>
          <w:szCs w:val="24"/>
        </w:rPr>
        <w:t>单元</w:t>
      </w:r>
      <w:r>
        <w:rPr>
          <w:sz w:val="24"/>
          <w:szCs w:val="24"/>
        </w:rPr>
        <w:t>应具备双泵/双管路轮换功能，一备一用；可进行自动或手动切换。</w:t>
      </w:r>
    </w:p>
    <w:p>
      <w:pPr>
        <w:spacing w:line="360" w:lineRule="auto"/>
        <w:ind w:firstLine="480" w:firstLineChars="200"/>
        <w:rPr>
          <w:rFonts w:hint="eastAsia"/>
          <w:sz w:val="24"/>
          <w:szCs w:val="24"/>
        </w:rPr>
      </w:pPr>
      <w:r>
        <w:rPr>
          <w:sz w:val="24"/>
          <w:szCs w:val="24"/>
        </w:rPr>
        <w:t>（4）采水管道材质应</w:t>
      </w:r>
      <w:r>
        <w:rPr>
          <w:rFonts w:hint="eastAsia"/>
          <w:sz w:val="24"/>
          <w:szCs w:val="24"/>
        </w:rPr>
        <w:t>满足</w:t>
      </w:r>
      <w:r>
        <w:rPr>
          <w:sz w:val="24"/>
          <w:szCs w:val="24"/>
        </w:rPr>
        <w:t>水样在输送过程中，不发生物理、化学性质的变化，满足配水单元和仪器的需求。</w:t>
      </w:r>
    </w:p>
    <w:p>
      <w:pPr>
        <w:spacing w:line="360" w:lineRule="auto"/>
        <w:ind w:firstLine="480" w:firstLineChars="200"/>
        <w:rPr>
          <w:rFonts w:hint="eastAsia"/>
          <w:sz w:val="24"/>
          <w:szCs w:val="24"/>
        </w:rPr>
      </w:pPr>
      <w:r>
        <w:rPr>
          <w:sz w:val="24"/>
          <w:szCs w:val="24"/>
        </w:rPr>
        <w:t>（5）采水管道应具</w:t>
      </w:r>
      <w:r>
        <w:rPr>
          <w:rFonts w:hint="eastAsia"/>
          <w:sz w:val="24"/>
          <w:szCs w:val="24"/>
        </w:rPr>
        <w:t>备</w:t>
      </w:r>
      <w:r>
        <w:rPr>
          <w:sz w:val="24"/>
          <w:szCs w:val="24"/>
        </w:rPr>
        <w:t>防冻、保温、防压、防</w:t>
      </w:r>
      <w:r>
        <w:rPr>
          <w:rFonts w:hint="eastAsia"/>
          <w:sz w:val="24"/>
          <w:szCs w:val="24"/>
        </w:rPr>
        <w:t>淤、</w:t>
      </w:r>
      <w:r>
        <w:rPr>
          <w:sz w:val="24"/>
          <w:szCs w:val="24"/>
        </w:rPr>
        <w:t>防藻等功能。</w:t>
      </w:r>
    </w:p>
    <w:p>
      <w:pPr>
        <w:spacing w:line="360" w:lineRule="auto"/>
        <w:ind w:firstLine="480" w:firstLineChars="200"/>
        <w:rPr>
          <w:rFonts w:hint="eastAsia"/>
          <w:sz w:val="24"/>
          <w:szCs w:val="24"/>
        </w:rPr>
      </w:pPr>
      <w:r>
        <w:rPr>
          <w:sz w:val="24"/>
          <w:szCs w:val="24"/>
        </w:rPr>
        <w:t>（6采水管道应有除藻和反清洗设备，可以通过清水或自来水进行自动反冲洗。</w:t>
      </w:r>
    </w:p>
    <w:p>
      <w:pPr>
        <w:keepNext/>
        <w:keepLines/>
        <w:spacing w:before="160" w:after="160" w:line="360" w:lineRule="auto"/>
        <w:contextualSpacing/>
        <w:jc w:val="left"/>
        <w:outlineLvl w:val="2"/>
        <w:rPr>
          <w:rFonts w:hint="eastAsia"/>
          <w:b/>
          <w:sz w:val="24"/>
          <w:szCs w:val="24"/>
        </w:rPr>
      </w:pPr>
      <w:r>
        <w:rPr>
          <w:b/>
          <w:sz w:val="24"/>
          <w:szCs w:val="24"/>
        </w:rPr>
        <w:t>（三）配水单元</w:t>
      </w:r>
    </w:p>
    <w:p>
      <w:pPr>
        <w:spacing w:line="360" w:lineRule="auto"/>
        <w:ind w:firstLine="480" w:firstLineChars="200"/>
        <w:rPr>
          <w:sz w:val="24"/>
          <w:szCs w:val="24"/>
        </w:rPr>
      </w:pPr>
      <w:r>
        <w:rPr>
          <w:sz w:val="24"/>
          <w:szCs w:val="24"/>
        </w:rPr>
        <w:t>配水单元由水样分配单元、预处理装置及管道等组成。实现对分析仪器配水的功能，并具有自动反清（吹）洗和自动除藻功能。配水单元为不同分析仪器配备预处理装置，常规五参数水质自动分析仪器使用原水直接分析，应根据国家标准分析方法要求对高锰酸盐指数、氨氮、总磷、总氮分析仪器提供相应的预处理方法。</w:t>
      </w:r>
    </w:p>
    <w:p>
      <w:pPr>
        <w:spacing w:line="360" w:lineRule="auto"/>
        <w:ind w:firstLine="480" w:firstLineChars="200"/>
        <w:rPr>
          <w:sz w:val="24"/>
          <w:szCs w:val="24"/>
        </w:rPr>
      </w:pPr>
      <w:r>
        <w:rPr>
          <w:sz w:val="24"/>
          <w:szCs w:val="24"/>
        </w:rPr>
        <w:t>（1）配水管路设计合理，流向清晰，便于维护；保证仪器分析测试的水样应能代表断面水质情况并满足仪器测试需求。</w:t>
      </w:r>
    </w:p>
    <w:p>
      <w:pPr>
        <w:spacing w:line="360" w:lineRule="auto"/>
        <w:ind w:firstLine="480" w:firstLineChars="200"/>
        <w:rPr>
          <w:sz w:val="24"/>
          <w:szCs w:val="24"/>
        </w:rPr>
      </w:pPr>
      <w:r>
        <w:rPr>
          <w:sz w:val="24"/>
          <w:szCs w:val="24"/>
        </w:rPr>
        <w:t>（2）配水单元具备自动反清（吹）洗功能，防止菌类和藻类等微生物对样品污染或对系统工作造成不良影响。</w:t>
      </w:r>
    </w:p>
    <w:p>
      <w:pPr>
        <w:spacing w:line="360" w:lineRule="auto"/>
        <w:ind w:firstLine="480" w:firstLineChars="200"/>
        <w:rPr>
          <w:sz w:val="24"/>
          <w:szCs w:val="24"/>
        </w:rPr>
      </w:pPr>
      <w:r>
        <w:rPr>
          <w:sz w:val="24"/>
          <w:szCs w:val="24"/>
        </w:rPr>
        <w:t>（3）配水主管路采用串联方式，各仪器之间管路采用并联方式，每台仪器从各自的取样杯中取水，任何仪器的配水管路出现故障不能影响其他仪器的测试。</w:t>
      </w:r>
    </w:p>
    <w:p>
      <w:pPr>
        <w:spacing w:line="360" w:lineRule="auto"/>
        <w:ind w:firstLine="480" w:firstLineChars="200"/>
        <w:rPr>
          <w:sz w:val="24"/>
          <w:szCs w:val="24"/>
        </w:rPr>
      </w:pPr>
      <w:r>
        <w:rPr>
          <w:sz w:val="24"/>
          <w:szCs w:val="24"/>
        </w:rPr>
        <w:t>（4）具备可扩展功能，水站预留不少于4台设备的接水口、排水口以及水样比对实验用的手动取水口。</w:t>
      </w:r>
    </w:p>
    <w:p>
      <w:pPr>
        <w:spacing w:line="360" w:lineRule="auto"/>
        <w:ind w:firstLine="480" w:firstLineChars="200"/>
        <w:rPr>
          <w:sz w:val="24"/>
          <w:szCs w:val="24"/>
        </w:rPr>
      </w:pPr>
      <w:r>
        <w:rPr>
          <w:sz w:val="24"/>
          <w:szCs w:val="24"/>
        </w:rPr>
        <w:t>（5）能配合系统实现水样自动分配、自动预处理、故障自动报警、关键部件工作状态的显示和反控等功能。</w:t>
      </w:r>
    </w:p>
    <w:p>
      <w:pPr>
        <w:spacing w:line="360" w:lineRule="auto"/>
        <w:ind w:firstLine="480" w:firstLineChars="200"/>
        <w:rPr>
          <w:sz w:val="24"/>
          <w:szCs w:val="24"/>
        </w:rPr>
      </w:pPr>
      <w:r>
        <w:rPr>
          <w:sz w:val="24"/>
          <w:szCs w:val="24"/>
        </w:rPr>
        <w:t>（6）配水单元的所有操作均可通过控制单元实现，并接受平台端的远程控制；</w:t>
      </w:r>
    </w:p>
    <w:p>
      <w:pPr>
        <w:spacing w:line="360" w:lineRule="auto"/>
        <w:ind w:firstLine="480" w:firstLineChars="200"/>
        <w:rPr>
          <w:sz w:val="24"/>
          <w:szCs w:val="24"/>
        </w:rPr>
      </w:pPr>
      <w:r>
        <w:rPr>
          <w:sz w:val="24"/>
          <w:szCs w:val="24"/>
        </w:rPr>
        <w:t>（7）所选管材机械强度及化学稳定性好、使用寿命长、便于安装维护，不会对水样水质造成影响；管路内径、压力、流量、流速满足仪器分析需要，并留有余量。</w:t>
      </w:r>
    </w:p>
    <w:p>
      <w:pPr>
        <w:keepNext/>
        <w:keepLines/>
        <w:spacing w:before="160" w:after="160" w:line="360" w:lineRule="auto"/>
        <w:contextualSpacing/>
        <w:jc w:val="left"/>
        <w:outlineLvl w:val="2"/>
        <w:rPr>
          <w:b/>
          <w:sz w:val="24"/>
          <w:szCs w:val="24"/>
        </w:rPr>
      </w:pPr>
      <w:r>
        <w:rPr>
          <w:b/>
          <w:sz w:val="24"/>
          <w:szCs w:val="24"/>
        </w:rPr>
        <w:t>（四）控制单元</w:t>
      </w:r>
    </w:p>
    <w:p>
      <w:pPr>
        <w:spacing w:line="360" w:lineRule="auto"/>
        <w:ind w:firstLine="480" w:firstLineChars="200"/>
        <w:rPr>
          <w:sz w:val="24"/>
          <w:szCs w:val="24"/>
        </w:rPr>
      </w:pPr>
      <w:r>
        <w:rPr>
          <w:sz w:val="24"/>
          <w:szCs w:val="24"/>
        </w:rPr>
        <w:t>控制单元对采水单元、配水单元、分析单元、辅助单元等进行控制，并实现数据采集与传输功能，保证系统连续、可靠和安全运行。</w:t>
      </w:r>
    </w:p>
    <w:p>
      <w:pPr>
        <w:spacing w:line="360" w:lineRule="auto"/>
        <w:ind w:firstLine="480" w:firstLineChars="200"/>
        <w:rPr>
          <w:sz w:val="24"/>
          <w:szCs w:val="24"/>
        </w:rPr>
      </w:pPr>
      <w:r>
        <w:rPr>
          <w:sz w:val="24"/>
          <w:szCs w:val="24"/>
        </w:rPr>
        <w:t>1、功能要求</w:t>
      </w:r>
    </w:p>
    <w:p>
      <w:pPr>
        <w:spacing w:line="360" w:lineRule="auto"/>
        <w:ind w:firstLine="480" w:firstLineChars="200"/>
        <w:rPr>
          <w:sz w:val="24"/>
          <w:szCs w:val="24"/>
        </w:rPr>
      </w:pPr>
      <w:r>
        <w:rPr>
          <w:sz w:val="24"/>
          <w:szCs w:val="24"/>
        </w:rPr>
        <w:t>（1）具有断电保护功能，能够在断电时保存系统参数和历史数据，在来电时自动恢复系统。</w:t>
      </w:r>
    </w:p>
    <w:p>
      <w:pPr>
        <w:spacing w:line="360" w:lineRule="auto"/>
        <w:ind w:firstLine="480" w:firstLineChars="200"/>
        <w:rPr>
          <w:sz w:val="24"/>
          <w:szCs w:val="24"/>
        </w:rPr>
      </w:pPr>
      <w:r>
        <w:rPr>
          <w:sz w:val="24"/>
          <w:szCs w:val="24"/>
        </w:rPr>
        <w:t>（2）具备自动采集数据功能，包括自动采集水质自动分析仪器数据、集成控制数据等，采集的数据应自动添加数据标识，异常监测数据能自动识别，并主动上传至中心平台。</w:t>
      </w:r>
    </w:p>
    <w:p>
      <w:pPr>
        <w:spacing w:line="360" w:lineRule="auto"/>
        <w:ind w:firstLine="480" w:firstLineChars="200"/>
        <w:rPr>
          <w:sz w:val="24"/>
          <w:szCs w:val="24"/>
        </w:rPr>
      </w:pPr>
      <w:r>
        <w:rPr>
          <w:sz w:val="24"/>
          <w:szCs w:val="24"/>
        </w:rPr>
        <w:t>（3）具备单点控制功能，能够对单一控制点（阀、泵等）进行调试。</w:t>
      </w:r>
    </w:p>
    <w:p>
      <w:pPr>
        <w:spacing w:line="360" w:lineRule="auto"/>
        <w:ind w:firstLine="480" w:firstLineChars="200"/>
        <w:rPr>
          <w:sz w:val="24"/>
          <w:szCs w:val="24"/>
        </w:rPr>
      </w:pPr>
      <w:r>
        <w:rPr>
          <w:sz w:val="24"/>
          <w:szCs w:val="24"/>
        </w:rPr>
        <w:t>（4）具备对自动分析仪器的启停、校时、校准、质控测试等控制功能。</w:t>
      </w:r>
    </w:p>
    <w:p>
      <w:pPr>
        <w:spacing w:line="360" w:lineRule="auto"/>
        <w:ind w:firstLine="480" w:firstLineChars="200"/>
        <w:rPr>
          <w:sz w:val="24"/>
          <w:szCs w:val="24"/>
        </w:rPr>
      </w:pPr>
      <w:r>
        <w:rPr>
          <w:sz w:val="24"/>
          <w:szCs w:val="24"/>
        </w:rPr>
        <w:t>（5）能够兼容视频监控设备并能实现对视频设备进行校时、重新启动、参数设置、软件升级、远程维护等功能。</w:t>
      </w:r>
    </w:p>
    <w:p>
      <w:pPr>
        <w:spacing w:line="360" w:lineRule="auto"/>
        <w:ind w:firstLine="480" w:firstLineChars="200"/>
        <w:rPr>
          <w:sz w:val="24"/>
          <w:szCs w:val="24"/>
        </w:rPr>
      </w:pPr>
      <w:r>
        <w:rPr>
          <w:sz w:val="24"/>
          <w:szCs w:val="24"/>
        </w:rPr>
        <w:t>（6）具备参数设置功能，能够对小数位、单位、仪器测定上下限、报警（超标）上下限等参数进行设置。</w:t>
      </w:r>
    </w:p>
    <w:p>
      <w:pPr>
        <w:spacing w:line="360" w:lineRule="auto"/>
        <w:ind w:firstLine="480" w:firstLineChars="200"/>
        <w:rPr>
          <w:sz w:val="24"/>
          <w:szCs w:val="24"/>
        </w:rPr>
      </w:pPr>
      <w:r>
        <w:rPr>
          <w:sz w:val="24"/>
          <w:szCs w:val="24"/>
        </w:rPr>
        <w:t>（7）具备各仪器监测结果、状态参数、运行流程、报警信息等显示的功能。</w:t>
      </w:r>
    </w:p>
    <w:p>
      <w:pPr>
        <w:spacing w:line="360" w:lineRule="auto"/>
        <w:ind w:firstLine="480" w:firstLineChars="200"/>
        <w:rPr>
          <w:sz w:val="24"/>
          <w:szCs w:val="24"/>
        </w:rPr>
      </w:pPr>
      <w:r>
        <w:rPr>
          <w:sz w:val="24"/>
          <w:szCs w:val="24"/>
        </w:rPr>
        <w:t>（8）具有监测数据查询、导出、自动备份功能，可分类查询水质周期数据、质控数据（空白测试数据、标样核查数据、加标回收率数据等）及其对应的仪器、系统日志流程信息。</w:t>
      </w:r>
    </w:p>
    <w:p>
      <w:pPr>
        <w:spacing w:line="360" w:lineRule="auto"/>
        <w:ind w:firstLine="480" w:firstLineChars="200"/>
        <w:rPr>
          <w:sz w:val="24"/>
          <w:szCs w:val="24"/>
        </w:rPr>
      </w:pPr>
      <w:r>
        <w:rPr>
          <w:sz w:val="24"/>
          <w:szCs w:val="24"/>
        </w:rPr>
        <w:t>2、硬件设备技术参数</w:t>
      </w:r>
    </w:p>
    <w:p>
      <w:pPr>
        <w:spacing w:line="360" w:lineRule="auto"/>
        <w:ind w:firstLine="480" w:firstLineChars="200"/>
        <w:rPr>
          <w:sz w:val="24"/>
          <w:szCs w:val="24"/>
        </w:rPr>
      </w:pPr>
      <w:r>
        <w:rPr>
          <w:sz w:val="24"/>
          <w:szCs w:val="24"/>
        </w:rPr>
        <w:t>（1）工业控制计算机</w:t>
      </w:r>
    </w:p>
    <w:tbl>
      <w:tblPr>
        <w:tblStyle w:val="2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540"/>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Align w:val="center"/>
          </w:tcPr>
          <w:p>
            <w:pPr>
              <w:autoSpaceDE w:val="0"/>
              <w:autoSpaceDN w:val="0"/>
              <w:spacing w:line="360" w:lineRule="auto"/>
              <w:jc w:val="center"/>
              <w:rPr>
                <w:color w:val="000000"/>
                <w:szCs w:val="21"/>
              </w:rPr>
            </w:pPr>
            <w:r>
              <w:rPr>
                <w:color w:val="000000"/>
                <w:spacing w:val="15"/>
                <w:szCs w:val="21"/>
                <w:lang w:eastAsia="en-US"/>
              </w:rPr>
              <w:t>序号</w:t>
            </w:r>
          </w:p>
        </w:tc>
        <w:tc>
          <w:tcPr>
            <w:tcW w:w="1540" w:type="dxa"/>
            <w:vAlign w:val="center"/>
          </w:tcPr>
          <w:p>
            <w:pPr>
              <w:autoSpaceDE w:val="0"/>
              <w:autoSpaceDN w:val="0"/>
              <w:spacing w:line="360" w:lineRule="auto"/>
              <w:jc w:val="center"/>
              <w:rPr>
                <w:color w:val="000000"/>
                <w:szCs w:val="21"/>
              </w:rPr>
            </w:pPr>
            <w:r>
              <w:rPr>
                <w:color w:val="000000"/>
                <w:szCs w:val="21"/>
                <w:lang w:eastAsia="en-US"/>
              </w:rPr>
              <w:t>指标名称</w:t>
            </w:r>
          </w:p>
        </w:tc>
        <w:tc>
          <w:tcPr>
            <w:tcW w:w="5893" w:type="dxa"/>
            <w:vAlign w:val="center"/>
          </w:tcPr>
          <w:p>
            <w:pPr>
              <w:autoSpaceDE w:val="0"/>
              <w:autoSpaceDN w:val="0"/>
              <w:spacing w:line="360" w:lineRule="auto"/>
              <w:jc w:val="center"/>
              <w:rPr>
                <w:color w:val="000000"/>
                <w:szCs w:val="21"/>
              </w:rPr>
            </w:pPr>
            <w:r>
              <w:rPr>
                <w:color w:val="000000"/>
                <w:szCs w:val="21"/>
                <w:lang w:eastAsia="en-US"/>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Align w:val="center"/>
          </w:tcPr>
          <w:p>
            <w:pPr>
              <w:autoSpaceDE w:val="0"/>
              <w:autoSpaceDN w:val="0"/>
              <w:spacing w:line="360" w:lineRule="auto"/>
              <w:jc w:val="center"/>
              <w:rPr>
                <w:color w:val="000000"/>
                <w:szCs w:val="21"/>
              </w:rPr>
            </w:pPr>
            <w:r>
              <w:rPr>
                <w:color w:val="000000"/>
                <w:szCs w:val="21"/>
                <w:lang w:eastAsia="en-US"/>
              </w:rPr>
              <w:t>1</w:t>
            </w:r>
          </w:p>
        </w:tc>
        <w:tc>
          <w:tcPr>
            <w:tcW w:w="1540" w:type="dxa"/>
            <w:vAlign w:val="center"/>
          </w:tcPr>
          <w:p>
            <w:pPr>
              <w:autoSpaceDE w:val="0"/>
              <w:autoSpaceDN w:val="0"/>
              <w:spacing w:line="360" w:lineRule="auto"/>
              <w:jc w:val="center"/>
              <w:rPr>
                <w:color w:val="000000"/>
                <w:szCs w:val="21"/>
              </w:rPr>
            </w:pPr>
            <w:r>
              <w:rPr>
                <w:color w:val="000000"/>
                <w:szCs w:val="21"/>
                <w:lang w:eastAsia="en-US"/>
              </w:rPr>
              <w:t>CPU</w:t>
            </w:r>
          </w:p>
        </w:tc>
        <w:tc>
          <w:tcPr>
            <w:tcW w:w="5893" w:type="dxa"/>
            <w:vAlign w:val="center"/>
          </w:tcPr>
          <w:p>
            <w:pPr>
              <w:autoSpaceDE w:val="0"/>
              <w:autoSpaceDN w:val="0"/>
              <w:spacing w:line="360" w:lineRule="auto"/>
              <w:jc w:val="center"/>
              <w:rPr>
                <w:color w:val="000000"/>
                <w:szCs w:val="21"/>
              </w:rPr>
            </w:pPr>
            <w:r>
              <w:rPr>
                <w:color w:val="000000"/>
                <w:szCs w:val="21"/>
                <w:lang w:eastAsia="en-US"/>
              </w:rPr>
              <w:t>≥2.0GHz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Align w:val="center"/>
          </w:tcPr>
          <w:p>
            <w:pPr>
              <w:autoSpaceDE w:val="0"/>
              <w:autoSpaceDN w:val="0"/>
              <w:spacing w:line="360" w:lineRule="auto"/>
              <w:jc w:val="center"/>
              <w:rPr>
                <w:color w:val="000000"/>
                <w:szCs w:val="21"/>
              </w:rPr>
            </w:pPr>
            <w:r>
              <w:rPr>
                <w:color w:val="000000"/>
                <w:szCs w:val="21"/>
                <w:lang w:eastAsia="en-US"/>
              </w:rPr>
              <w:t>2</w:t>
            </w:r>
          </w:p>
        </w:tc>
        <w:tc>
          <w:tcPr>
            <w:tcW w:w="1540" w:type="dxa"/>
            <w:vAlign w:val="center"/>
          </w:tcPr>
          <w:p>
            <w:pPr>
              <w:autoSpaceDE w:val="0"/>
              <w:autoSpaceDN w:val="0"/>
              <w:spacing w:line="360" w:lineRule="auto"/>
              <w:jc w:val="center"/>
              <w:rPr>
                <w:color w:val="000000"/>
                <w:szCs w:val="21"/>
              </w:rPr>
            </w:pPr>
            <w:r>
              <w:rPr>
                <w:color w:val="000000"/>
                <w:szCs w:val="21"/>
                <w:lang w:eastAsia="en-US"/>
              </w:rPr>
              <w:t>内存</w:t>
            </w:r>
          </w:p>
        </w:tc>
        <w:tc>
          <w:tcPr>
            <w:tcW w:w="5893" w:type="dxa"/>
            <w:vAlign w:val="center"/>
          </w:tcPr>
          <w:p>
            <w:pPr>
              <w:autoSpaceDE w:val="0"/>
              <w:autoSpaceDN w:val="0"/>
              <w:spacing w:line="360" w:lineRule="auto"/>
              <w:jc w:val="center"/>
              <w:rPr>
                <w:color w:val="000000"/>
                <w:szCs w:val="21"/>
              </w:rPr>
            </w:pPr>
            <w:r>
              <w:rPr>
                <w:color w:val="000000"/>
                <w:szCs w:val="21"/>
                <w:lang w:eastAsia="en-US"/>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Align w:val="center"/>
          </w:tcPr>
          <w:p>
            <w:pPr>
              <w:autoSpaceDE w:val="0"/>
              <w:autoSpaceDN w:val="0"/>
              <w:spacing w:line="360" w:lineRule="auto"/>
              <w:jc w:val="center"/>
              <w:rPr>
                <w:color w:val="000000"/>
                <w:szCs w:val="21"/>
              </w:rPr>
            </w:pPr>
            <w:r>
              <w:rPr>
                <w:color w:val="000000"/>
                <w:szCs w:val="21"/>
                <w:lang w:eastAsia="en-US"/>
              </w:rPr>
              <w:t>3</w:t>
            </w:r>
          </w:p>
        </w:tc>
        <w:tc>
          <w:tcPr>
            <w:tcW w:w="1540" w:type="dxa"/>
            <w:vAlign w:val="center"/>
          </w:tcPr>
          <w:p>
            <w:pPr>
              <w:autoSpaceDE w:val="0"/>
              <w:autoSpaceDN w:val="0"/>
              <w:spacing w:line="360" w:lineRule="auto"/>
              <w:jc w:val="center"/>
              <w:rPr>
                <w:color w:val="000000"/>
                <w:szCs w:val="21"/>
              </w:rPr>
            </w:pPr>
            <w:r>
              <w:rPr>
                <w:color w:val="000000"/>
                <w:szCs w:val="21"/>
                <w:lang w:eastAsia="en-US"/>
              </w:rPr>
              <w:t>硬盘容量</w:t>
            </w:r>
          </w:p>
        </w:tc>
        <w:tc>
          <w:tcPr>
            <w:tcW w:w="5893" w:type="dxa"/>
            <w:vAlign w:val="center"/>
          </w:tcPr>
          <w:p>
            <w:pPr>
              <w:autoSpaceDE w:val="0"/>
              <w:autoSpaceDN w:val="0"/>
              <w:spacing w:line="360" w:lineRule="auto"/>
              <w:jc w:val="center"/>
              <w:rPr>
                <w:color w:val="000000"/>
                <w:szCs w:val="21"/>
              </w:rPr>
            </w:pPr>
            <w:r>
              <w:rPr>
                <w:color w:val="000000"/>
                <w:szCs w:val="21"/>
                <w:lang w:eastAsia="en-US"/>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Align w:val="center"/>
          </w:tcPr>
          <w:p>
            <w:pPr>
              <w:autoSpaceDE w:val="0"/>
              <w:autoSpaceDN w:val="0"/>
              <w:spacing w:line="360" w:lineRule="auto"/>
              <w:jc w:val="center"/>
              <w:rPr>
                <w:color w:val="000000"/>
                <w:szCs w:val="21"/>
              </w:rPr>
            </w:pPr>
            <w:r>
              <w:rPr>
                <w:color w:val="000000"/>
                <w:szCs w:val="21"/>
                <w:lang w:eastAsia="en-US"/>
              </w:rPr>
              <w:t>4</w:t>
            </w:r>
          </w:p>
        </w:tc>
        <w:tc>
          <w:tcPr>
            <w:tcW w:w="1540" w:type="dxa"/>
            <w:vAlign w:val="center"/>
          </w:tcPr>
          <w:p>
            <w:pPr>
              <w:autoSpaceDE w:val="0"/>
              <w:autoSpaceDN w:val="0"/>
              <w:spacing w:line="360" w:lineRule="auto"/>
              <w:jc w:val="center"/>
              <w:rPr>
                <w:color w:val="000000"/>
                <w:szCs w:val="21"/>
              </w:rPr>
            </w:pPr>
            <w:r>
              <w:rPr>
                <w:color w:val="000000"/>
                <w:szCs w:val="21"/>
                <w:lang w:eastAsia="en-US"/>
              </w:rPr>
              <w:t>显示器</w:t>
            </w:r>
          </w:p>
        </w:tc>
        <w:tc>
          <w:tcPr>
            <w:tcW w:w="5893" w:type="dxa"/>
            <w:vAlign w:val="center"/>
          </w:tcPr>
          <w:p>
            <w:pPr>
              <w:autoSpaceDE w:val="0"/>
              <w:autoSpaceDN w:val="0"/>
              <w:spacing w:line="360" w:lineRule="auto"/>
              <w:jc w:val="center"/>
              <w:rPr>
                <w:color w:val="000000"/>
                <w:szCs w:val="21"/>
              </w:rPr>
            </w:pPr>
            <w:r>
              <w:rPr>
                <w:color w:val="000000"/>
                <w:szCs w:val="21"/>
                <w:lang w:eastAsia="en-US"/>
              </w:rPr>
              <w:t>≥12英寸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Merge w:val="restart"/>
            <w:vAlign w:val="center"/>
          </w:tcPr>
          <w:p>
            <w:pPr>
              <w:autoSpaceDE w:val="0"/>
              <w:autoSpaceDN w:val="0"/>
              <w:spacing w:line="360" w:lineRule="auto"/>
              <w:jc w:val="center"/>
              <w:rPr>
                <w:color w:val="000000"/>
                <w:szCs w:val="21"/>
              </w:rPr>
            </w:pPr>
            <w:r>
              <w:rPr>
                <w:color w:val="000000"/>
                <w:szCs w:val="21"/>
                <w:lang w:eastAsia="en-US"/>
              </w:rPr>
              <w:t>5</w:t>
            </w:r>
          </w:p>
        </w:tc>
        <w:tc>
          <w:tcPr>
            <w:tcW w:w="1540" w:type="dxa"/>
            <w:vMerge w:val="restart"/>
            <w:vAlign w:val="center"/>
          </w:tcPr>
          <w:p>
            <w:pPr>
              <w:autoSpaceDE w:val="0"/>
              <w:autoSpaceDN w:val="0"/>
              <w:spacing w:line="360" w:lineRule="auto"/>
              <w:jc w:val="center"/>
              <w:rPr>
                <w:color w:val="000000"/>
                <w:szCs w:val="21"/>
              </w:rPr>
            </w:pPr>
            <w:r>
              <w:rPr>
                <w:color w:val="000000"/>
                <w:szCs w:val="21"/>
                <w:lang w:eastAsia="en-US"/>
              </w:rPr>
              <w:t>通讯接口</w:t>
            </w:r>
          </w:p>
        </w:tc>
        <w:tc>
          <w:tcPr>
            <w:tcW w:w="5893" w:type="dxa"/>
            <w:vAlign w:val="center"/>
          </w:tcPr>
          <w:p>
            <w:pPr>
              <w:autoSpaceDE w:val="0"/>
              <w:autoSpaceDN w:val="0"/>
              <w:spacing w:line="360" w:lineRule="auto"/>
              <w:jc w:val="center"/>
              <w:rPr>
                <w:color w:val="000000"/>
                <w:szCs w:val="21"/>
              </w:rPr>
            </w:pPr>
            <w:r>
              <w:rPr>
                <w:color w:val="000000"/>
                <w:szCs w:val="21"/>
                <w:lang w:eastAsia="en-US"/>
              </w:rPr>
              <w:t>RS232/485COM口，不小于8个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Merge w:val="continue"/>
            <w:vAlign w:val="center"/>
          </w:tcPr>
          <w:p>
            <w:pPr>
              <w:autoSpaceDE w:val="0"/>
              <w:autoSpaceDN w:val="0"/>
              <w:spacing w:line="360" w:lineRule="auto"/>
              <w:jc w:val="center"/>
              <w:rPr>
                <w:color w:val="000000"/>
                <w:szCs w:val="21"/>
              </w:rPr>
            </w:pPr>
          </w:p>
        </w:tc>
        <w:tc>
          <w:tcPr>
            <w:tcW w:w="1540" w:type="dxa"/>
            <w:vMerge w:val="continue"/>
            <w:vAlign w:val="center"/>
          </w:tcPr>
          <w:p>
            <w:pPr>
              <w:autoSpaceDE w:val="0"/>
              <w:autoSpaceDN w:val="0"/>
              <w:spacing w:line="360" w:lineRule="auto"/>
              <w:jc w:val="center"/>
              <w:rPr>
                <w:color w:val="000000"/>
                <w:szCs w:val="21"/>
              </w:rPr>
            </w:pPr>
          </w:p>
        </w:tc>
        <w:tc>
          <w:tcPr>
            <w:tcW w:w="5893" w:type="dxa"/>
            <w:vAlign w:val="center"/>
          </w:tcPr>
          <w:p>
            <w:pPr>
              <w:autoSpaceDE w:val="0"/>
              <w:autoSpaceDN w:val="0"/>
              <w:spacing w:line="360" w:lineRule="auto"/>
              <w:jc w:val="center"/>
              <w:rPr>
                <w:color w:val="000000"/>
                <w:szCs w:val="21"/>
              </w:rPr>
            </w:pPr>
            <w:r>
              <w:rPr>
                <w:color w:val="000000"/>
                <w:szCs w:val="21"/>
                <w:lang w:eastAsia="en-US"/>
              </w:rPr>
              <w:t>网口，不少于2个</w:t>
            </w:r>
          </w:p>
        </w:tc>
      </w:tr>
    </w:tbl>
    <w:p>
      <w:pPr>
        <w:spacing w:line="360" w:lineRule="auto"/>
        <w:ind w:firstLine="480" w:firstLineChars="200"/>
        <w:rPr>
          <w:sz w:val="24"/>
          <w:szCs w:val="24"/>
        </w:rPr>
      </w:pPr>
      <w:r>
        <w:rPr>
          <w:sz w:val="24"/>
          <w:szCs w:val="24"/>
        </w:rPr>
        <w:t>（2）可编程控制器</w:t>
      </w:r>
    </w:p>
    <w:tbl>
      <w:tblPr>
        <w:tblStyle w:val="2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1532"/>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vAlign w:val="center"/>
          </w:tcPr>
          <w:p>
            <w:pPr>
              <w:autoSpaceDE w:val="0"/>
              <w:autoSpaceDN w:val="0"/>
              <w:spacing w:line="360" w:lineRule="auto"/>
              <w:jc w:val="center"/>
              <w:rPr>
                <w:color w:val="000000"/>
                <w:szCs w:val="21"/>
              </w:rPr>
            </w:pPr>
            <w:r>
              <w:rPr>
                <w:color w:val="000000"/>
                <w:spacing w:val="15"/>
                <w:szCs w:val="21"/>
                <w:lang w:eastAsia="en-US"/>
              </w:rPr>
              <w:t>序号</w:t>
            </w:r>
          </w:p>
        </w:tc>
        <w:tc>
          <w:tcPr>
            <w:tcW w:w="1532" w:type="dxa"/>
            <w:vAlign w:val="center"/>
          </w:tcPr>
          <w:p>
            <w:pPr>
              <w:autoSpaceDE w:val="0"/>
              <w:autoSpaceDN w:val="0"/>
              <w:spacing w:line="360" w:lineRule="auto"/>
              <w:jc w:val="center"/>
              <w:rPr>
                <w:color w:val="000000"/>
                <w:szCs w:val="21"/>
              </w:rPr>
            </w:pPr>
            <w:r>
              <w:rPr>
                <w:color w:val="000000"/>
                <w:szCs w:val="21"/>
                <w:lang w:eastAsia="en-US"/>
              </w:rPr>
              <w:t>指标名称</w:t>
            </w:r>
          </w:p>
        </w:tc>
        <w:tc>
          <w:tcPr>
            <w:tcW w:w="5899" w:type="dxa"/>
            <w:vAlign w:val="center"/>
          </w:tcPr>
          <w:p>
            <w:pPr>
              <w:autoSpaceDE w:val="0"/>
              <w:autoSpaceDN w:val="0"/>
              <w:spacing w:line="360" w:lineRule="auto"/>
              <w:jc w:val="center"/>
              <w:rPr>
                <w:color w:val="000000"/>
                <w:szCs w:val="21"/>
              </w:rPr>
            </w:pPr>
            <w:r>
              <w:rPr>
                <w:color w:val="000000"/>
                <w:szCs w:val="21"/>
                <w:lang w:eastAsia="en-US"/>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vAlign w:val="center"/>
          </w:tcPr>
          <w:p>
            <w:pPr>
              <w:autoSpaceDE w:val="0"/>
              <w:autoSpaceDN w:val="0"/>
              <w:spacing w:line="360" w:lineRule="auto"/>
              <w:jc w:val="center"/>
              <w:rPr>
                <w:color w:val="000000"/>
                <w:szCs w:val="21"/>
              </w:rPr>
            </w:pPr>
            <w:r>
              <w:rPr>
                <w:color w:val="000000"/>
                <w:szCs w:val="21"/>
                <w:lang w:eastAsia="en-US"/>
              </w:rPr>
              <w:t>1</w:t>
            </w:r>
          </w:p>
        </w:tc>
        <w:tc>
          <w:tcPr>
            <w:tcW w:w="1532" w:type="dxa"/>
            <w:vAlign w:val="center"/>
          </w:tcPr>
          <w:p>
            <w:pPr>
              <w:autoSpaceDE w:val="0"/>
              <w:autoSpaceDN w:val="0"/>
              <w:spacing w:line="360" w:lineRule="auto"/>
              <w:jc w:val="center"/>
              <w:rPr>
                <w:color w:val="000000"/>
                <w:szCs w:val="21"/>
              </w:rPr>
            </w:pPr>
            <w:r>
              <w:rPr>
                <w:color w:val="000000"/>
                <w:szCs w:val="21"/>
                <w:lang w:eastAsia="en-US"/>
              </w:rPr>
              <w:t>扩展能力</w:t>
            </w:r>
          </w:p>
        </w:tc>
        <w:tc>
          <w:tcPr>
            <w:tcW w:w="5899" w:type="dxa"/>
            <w:vAlign w:val="center"/>
          </w:tcPr>
          <w:p>
            <w:pPr>
              <w:autoSpaceDE w:val="0"/>
              <w:autoSpaceDN w:val="0"/>
              <w:spacing w:line="360" w:lineRule="auto"/>
              <w:jc w:val="left"/>
              <w:rPr>
                <w:color w:val="000000"/>
                <w:szCs w:val="21"/>
              </w:rPr>
            </w:pPr>
            <w:r>
              <w:rPr>
                <w:color w:val="000000"/>
                <w:szCs w:val="21"/>
              </w:rPr>
              <w:t>控制器输入输出接口满足需求且余量不少于 4 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vAlign w:val="center"/>
          </w:tcPr>
          <w:p>
            <w:pPr>
              <w:autoSpaceDE w:val="0"/>
              <w:autoSpaceDN w:val="0"/>
              <w:spacing w:line="360" w:lineRule="auto"/>
              <w:jc w:val="center"/>
              <w:rPr>
                <w:color w:val="000000"/>
                <w:szCs w:val="21"/>
              </w:rPr>
            </w:pPr>
            <w:r>
              <w:rPr>
                <w:color w:val="000000"/>
                <w:szCs w:val="21"/>
                <w:lang w:eastAsia="en-US"/>
              </w:rPr>
              <w:t>2</w:t>
            </w:r>
          </w:p>
        </w:tc>
        <w:tc>
          <w:tcPr>
            <w:tcW w:w="1532" w:type="dxa"/>
            <w:vAlign w:val="center"/>
          </w:tcPr>
          <w:p>
            <w:pPr>
              <w:autoSpaceDE w:val="0"/>
              <w:autoSpaceDN w:val="0"/>
              <w:spacing w:line="360" w:lineRule="auto"/>
              <w:jc w:val="center"/>
              <w:rPr>
                <w:color w:val="000000"/>
                <w:szCs w:val="21"/>
              </w:rPr>
            </w:pPr>
            <w:r>
              <w:rPr>
                <w:color w:val="000000"/>
                <w:szCs w:val="21"/>
                <w:lang w:eastAsia="en-US"/>
              </w:rPr>
              <w:t>防雷抗干扰能力</w:t>
            </w:r>
          </w:p>
        </w:tc>
        <w:tc>
          <w:tcPr>
            <w:tcW w:w="5899" w:type="dxa"/>
            <w:vAlign w:val="center"/>
          </w:tcPr>
          <w:p>
            <w:pPr>
              <w:autoSpaceDE w:val="0"/>
              <w:autoSpaceDN w:val="0"/>
              <w:spacing w:line="360" w:lineRule="auto"/>
              <w:jc w:val="left"/>
              <w:rPr>
                <w:color w:val="000000"/>
                <w:szCs w:val="21"/>
              </w:rPr>
            </w:pPr>
            <w:r>
              <w:rPr>
                <w:color w:val="000000"/>
                <w:szCs w:val="21"/>
              </w:rPr>
              <w:t>符合抗电磁辐射、电磁感应的相关规定，具备电源隔离和信号隔离措施。</w:t>
            </w:r>
          </w:p>
        </w:tc>
      </w:tr>
    </w:tbl>
    <w:p>
      <w:pPr>
        <w:keepNext/>
        <w:keepLines/>
        <w:spacing w:before="160" w:after="160" w:line="360" w:lineRule="auto"/>
        <w:contextualSpacing/>
        <w:jc w:val="left"/>
        <w:outlineLvl w:val="2"/>
        <w:rPr>
          <w:b/>
          <w:sz w:val="24"/>
          <w:szCs w:val="24"/>
        </w:rPr>
      </w:pPr>
      <w:r>
        <w:rPr>
          <w:b/>
          <w:sz w:val="24"/>
          <w:szCs w:val="24"/>
        </w:rPr>
        <w:t>（五）数据采集与传输单元</w:t>
      </w:r>
    </w:p>
    <w:p>
      <w:pPr>
        <w:spacing w:line="360" w:lineRule="auto"/>
        <w:ind w:firstLine="480" w:firstLineChars="200"/>
        <w:rPr>
          <w:sz w:val="24"/>
          <w:szCs w:val="24"/>
        </w:rPr>
      </w:pPr>
      <w:r>
        <w:rPr>
          <w:sz w:val="24"/>
          <w:szCs w:val="24"/>
        </w:rPr>
        <w:t>1、数据采集与存储</w:t>
      </w:r>
    </w:p>
    <w:p>
      <w:pPr>
        <w:spacing w:line="360" w:lineRule="auto"/>
        <w:ind w:firstLine="480" w:firstLineChars="200"/>
        <w:rPr>
          <w:sz w:val="24"/>
          <w:szCs w:val="24"/>
        </w:rPr>
      </w:pPr>
      <w:r>
        <w:rPr>
          <w:sz w:val="24"/>
          <w:szCs w:val="24"/>
        </w:rPr>
        <w:t>（1）采集自动分析仪器的监测数据，并分类保存。</w:t>
      </w:r>
    </w:p>
    <w:p>
      <w:pPr>
        <w:spacing w:line="360" w:lineRule="auto"/>
        <w:ind w:firstLine="480" w:firstLineChars="200"/>
        <w:rPr>
          <w:sz w:val="24"/>
          <w:szCs w:val="24"/>
        </w:rPr>
      </w:pPr>
      <w:r>
        <w:rPr>
          <w:sz w:val="24"/>
          <w:szCs w:val="24"/>
        </w:rPr>
        <w:t>（2）采集自动分析仪器和集成系统各单元的工作状态量，并以运行日志的形式记录保存。</w:t>
      </w:r>
    </w:p>
    <w:p>
      <w:pPr>
        <w:spacing w:line="360" w:lineRule="auto"/>
        <w:ind w:firstLine="480" w:firstLineChars="200"/>
        <w:rPr>
          <w:sz w:val="24"/>
          <w:szCs w:val="24"/>
        </w:rPr>
      </w:pPr>
      <w:r>
        <w:rPr>
          <w:sz w:val="24"/>
          <w:szCs w:val="24"/>
        </w:rPr>
        <w:t>（3）能够实时采集视频信息并传输至中心平台。</w:t>
      </w:r>
    </w:p>
    <w:p>
      <w:pPr>
        <w:spacing w:line="360" w:lineRule="auto"/>
        <w:ind w:firstLine="480" w:firstLineChars="200"/>
        <w:rPr>
          <w:sz w:val="24"/>
          <w:szCs w:val="24"/>
        </w:rPr>
      </w:pPr>
      <w:r>
        <w:rPr>
          <w:sz w:val="24"/>
          <w:szCs w:val="24"/>
        </w:rPr>
        <w:t>（4）断电后能自动保存历史数据和参数设置。</w:t>
      </w:r>
    </w:p>
    <w:p>
      <w:pPr>
        <w:spacing w:line="360" w:lineRule="auto"/>
        <w:ind w:firstLine="480" w:firstLineChars="200"/>
        <w:rPr>
          <w:sz w:val="24"/>
          <w:szCs w:val="24"/>
        </w:rPr>
      </w:pPr>
      <w:r>
        <w:rPr>
          <w:sz w:val="24"/>
          <w:szCs w:val="24"/>
        </w:rPr>
        <w:t>2、数据传输与通讯</w:t>
      </w:r>
    </w:p>
    <w:p>
      <w:pPr>
        <w:spacing w:line="360" w:lineRule="auto"/>
        <w:ind w:firstLine="480" w:firstLineChars="200"/>
        <w:rPr>
          <w:sz w:val="24"/>
          <w:szCs w:val="24"/>
        </w:rPr>
      </w:pPr>
      <w:r>
        <w:rPr>
          <w:sz w:val="24"/>
          <w:szCs w:val="24"/>
        </w:rPr>
        <w:t>（1）采用无线</w:t>
      </w:r>
      <w:r>
        <w:rPr>
          <w:rFonts w:hint="eastAsia"/>
          <w:sz w:val="24"/>
          <w:szCs w:val="24"/>
        </w:rPr>
        <w:t>或</w:t>
      </w:r>
      <w:r>
        <w:rPr>
          <w:sz w:val="24"/>
          <w:szCs w:val="24"/>
        </w:rPr>
        <w:t>有线的通讯方式满足数据传输要求。</w:t>
      </w:r>
    </w:p>
    <w:p>
      <w:pPr>
        <w:spacing w:line="360" w:lineRule="auto"/>
        <w:ind w:firstLine="480" w:firstLineChars="200"/>
        <w:rPr>
          <w:sz w:val="24"/>
          <w:szCs w:val="24"/>
        </w:rPr>
      </w:pPr>
      <w:r>
        <w:rPr>
          <w:sz w:val="24"/>
          <w:szCs w:val="24"/>
        </w:rPr>
        <w:t>（2）具备对通信链路的自动诊断功能，具备超时补发功能。</w:t>
      </w:r>
    </w:p>
    <w:p>
      <w:pPr>
        <w:keepNext/>
        <w:keepLines/>
        <w:spacing w:line="360" w:lineRule="auto"/>
        <w:contextualSpacing/>
        <w:jc w:val="left"/>
        <w:outlineLvl w:val="2"/>
        <w:rPr>
          <w:rFonts w:hint="eastAsia"/>
          <w:b/>
          <w:sz w:val="24"/>
          <w:szCs w:val="24"/>
        </w:rPr>
      </w:pPr>
      <w:r>
        <w:rPr>
          <w:rFonts w:hint="eastAsia"/>
          <w:b/>
          <w:sz w:val="24"/>
          <w:szCs w:val="24"/>
        </w:rPr>
        <w:t>（六</w:t>
      </w:r>
      <w:r>
        <w:rPr>
          <w:b/>
          <w:sz w:val="24"/>
          <w:szCs w:val="24"/>
        </w:rPr>
        <w:t>）质控</w:t>
      </w:r>
      <w:r>
        <w:rPr>
          <w:rFonts w:hint="eastAsia"/>
          <w:b/>
          <w:sz w:val="24"/>
          <w:szCs w:val="24"/>
        </w:rPr>
        <w:t>单元</w:t>
      </w:r>
    </w:p>
    <w:p>
      <w:pPr>
        <w:spacing w:line="360" w:lineRule="auto"/>
        <w:ind w:firstLine="480" w:firstLineChars="200"/>
        <w:rPr>
          <w:sz w:val="24"/>
          <w:szCs w:val="24"/>
        </w:rPr>
      </w:pPr>
      <w:r>
        <w:rPr>
          <w:sz w:val="24"/>
          <w:szCs w:val="24"/>
        </w:rPr>
        <w:t>能够对高锰酸盐指数、氨氮、总磷、总氮水质分析仪器进行零点核查、跨度核查、多点线性测试、质控样测试、在线加标回收等质控工作，性能达到国家水站建设技术要求。</w:t>
      </w:r>
    </w:p>
    <w:p>
      <w:pPr>
        <w:keepNext/>
        <w:keepLines/>
        <w:spacing w:before="160" w:after="160" w:line="360" w:lineRule="auto"/>
        <w:contextualSpacing/>
        <w:jc w:val="left"/>
        <w:outlineLvl w:val="2"/>
        <w:rPr>
          <w:b/>
          <w:sz w:val="24"/>
          <w:szCs w:val="24"/>
        </w:rPr>
      </w:pPr>
      <w:r>
        <w:rPr>
          <w:b/>
          <w:sz w:val="24"/>
          <w:szCs w:val="24"/>
        </w:rPr>
        <w:t>（</w:t>
      </w:r>
      <w:r>
        <w:rPr>
          <w:rFonts w:hint="eastAsia"/>
          <w:b/>
          <w:sz w:val="24"/>
          <w:szCs w:val="24"/>
        </w:rPr>
        <w:t>七</w:t>
      </w:r>
      <w:r>
        <w:rPr>
          <w:b/>
          <w:sz w:val="24"/>
          <w:szCs w:val="24"/>
        </w:rPr>
        <w:t>）辅助单元</w:t>
      </w:r>
    </w:p>
    <w:p>
      <w:pPr>
        <w:spacing w:line="360" w:lineRule="auto"/>
        <w:ind w:firstLine="480" w:firstLineChars="200"/>
        <w:rPr>
          <w:sz w:val="24"/>
          <w:szCs w:val="24"/>
        </w:rPr>
      </w:pPr>
      <w:r>
        <w:rPr>
          <w:sz w:val="24"/>
          <w:szCs w:val="24"/>
        </w:rPr>
        <w:t>辅助单元应满足监测站房运行环境智能化要求，应为设备仪器提供稳定良好的运行环境，可远程采集运行环境状态信息，可实现运行环境的远程控制。</w:t>
      </w:r>
    </w:p>
    <w:p>
      <w:pPr>
        <w:spacing w:line="360" w:lineRule="auto"/>
        <w:ind w:firstLine="480" w:firstLineChars="200"/>
        <w:rPr>
          <w:sz w:val="24"/>
          <w:szCs w:val="24"/>
        </w:rPr>
      </w:pPr>
      <w:r>
        <w:rPr>
          <w:sz w:val="24"/>
          <w:szCs w:val="24"/>
        </w:rPr>
        <w:t>1、供电模块：</w:t>
      </w:r>
    </w:p>
    <w:p>
      <w:pPr>
        <w:spacing w:line="360" w:lineRule="auto"/>
        <w:ind w:firstLine="480" w:firstLineChars="200"/>
        <w:rPr>
          <w:sz w:val="24"/>
          <w:szCs w:val="24"/>
        </w:rPr>
      </w:pPr>
      <w:r>
        <w:rPr>
          <w:sz w:val="24"/>
          <w:szCs w:val="24"/>
        </w:rPr>
        <w:t>（1）供电电源电压应采用220V或380V交流电、单相或三相四线制、频率50Hz。</w:t>
      </w:r>
    </w:p>
    <w:p>
      <w:pPr>
        <w:spacing w:line="360" w:lineRule="auto"/>
        <w:ind w:firstLine="480" w:firstLineChars="200"/>
        <w:rPr>
          <w:sz w:val="24"/>
          <w:szCs w:val="24"/>
        </w:rPr>
      </w:pPr>
      <w:r>
        <w:rPr>
          <w:sz w:val="24"/>
          <w:szCs w:val="24"/>
        </w:rPr>
        <w:t>（2）应配备UPS电源，总功率≥3KW，断电后至少能保证仪器完成一个测量周期和数据上传，且待机不少于1h。</w:t>
      </w:r>
    </w:p>
    <w:p>
      <w:pPr>
        <w:spacing w:line="360" w:lineRule="auto"/>
        <w:ind w:firstLine="480" w:firstLineChars="200"/>
        <w:rPr>
          <w:sz w:val="24"/>
          <w:szCs w:val="24"/>
        </w:rPr>
      </w:pPr>
      <w:r>
        <w:rPr>
          <w:sz w:val="24"/>
          <w:szCs w:val="24"/>
        </w:rPr>
        <w:t>（3）应配备三相稳压电源，总功率≥3KW。</w:t>
      </w:r>
    </w:p>
    <w:p>
      <w:pPr>
        <w:spacing w:line="360" w:lineRule="auto"/>
        <w:ind w:firstLine="480" w:firstLineChars="200"/>
        <w:rPr>
          <w:sz w:val="24"/>
          <w:szCs w:val="24"/>
        </w:rPr>
      </w:pPr>
      <w:r>
        <w:rPr>
          <w:sz w:val="24"/>
          <w:szCs w:val="24"/>
        </w:rPr>
        <w:t>（4）站房内照明应采用LED灯。</w:t>
      </w:r>
    </w:p>
    <w:p>
      <w:pPr>
        <w:spacing w:line="360" w:lineRule="auto"/>
        <w:ind w:firstLine="480" w:firstLineChars="200"/>
        <w:rPr>
          <w:sz w:val="24"/>
          <w:szCs w:val="24"/>
        </w:rPr>
      </w:pPr>
      <w:r>
        <w:rPr>
          <w:sz w:val="24"/>
          <w:szCs w:val="24"/>
        </w:rPr>
        <w:t>2、供水排水模块：</w:t>
      </w:r>
    </w:p>
    <w:p>
      <w:pPr>
        <w:spacing w:line="360" w:lineRule="auto"/>
        <w:ind w:firstLine="480" w:firstLineChars="200"/>
        <w:rPr>
          <w:sz w:val="24"/>
          <w:szCs w:val="24"/>
        </w:rPr>
      </w:pPr>
      <w:r>
        <w:rPr>
          <w:sz w:val="24"/>
          <w:szCs w:val="24"/>
        </w:rPr>
        <w:t>（1）站房内所有供水排水管线应采用标准接口，不同类型的管道应有明确标识。</w:t>
      </w:r>
    </w:p>
    <w:p>
      <w:pPr>
        <w:spacing w:line="360" w:lineRule="auto"/>
        <w:ind w:firstLine="480" w:firstLineChars="200"/>
        <w:rPr>
          <w:sz w:val="24"/>
          <w:szCs w:val="24"/>
        </w:rPr>
      </w:pPr>
      <w:r>
        <w:rPr>
          <w:sz w:val="24"/>
          <w:szCs w:val="24"/>
        </w:rPr>
        <w:t>（2）站房内应引入自来水，自来水的水量瞬时最大流量为3m3/h，压力不小于0.5kg/cm2。</w:t>
      </w:r>
    </w:p>
    <w:p>
      <w:pPr>
        <w:spacing w:line="360" w:lineRule="auto"/>
        <w:ind w:firstLine="480" w:firstLineChars="200"/>
        <w:rPr>
          <w:sz w:val="24"/>
          <w:szCs w:val="24"/>
        </w:rPr>
      </w:pPr>
      <w:r>
        <w:rPr>
          <w:sz w:val="24"/>
          <w:szCs w:val="24"/>
        </w:rPr>
        <w:t>（3）站房的总排水口应排入采水点下游不小于10m处。</w:t>
      </w:r>
    </w:p>
    <w:p>
      <w:pPr>
        <w:spacing w:line="360" w:lineRule="auto"/>
        <w:ind w:firstLine="480" w:firstLineChars="200"/>
        <w:rPr>
          <w:sz w:val="24"/>
          <w:szCs w:val="24"/>
        </w:rPr>
      </w:pPr>
      <w:r>
        <w:rPr>
          <w:sz w:val="24"/>
          <w:szCs w:val="24"/>
        </w:rPr>
        <w:t>（4）仪器分析所产生的废液必须储存于废液回收装置</w:t>
      </w:r>
      <w:r>
        <w:rPr>
          <w:rFonts w:hint="eastAsia"/>
          <w:sz w:val="24"/>
          <w:szCs w:val="24"/>
        </w:rPr>
        <w:t>，</w:t>
      </w:r>
      <w:r>
        <w:rPr>
          <w:sz w:val="24"/>
          <w:szCs w:val="24"/>
        </w:rPr>
        <w:t>并及时处理。</w:t>
      </w:r>
    </w:p>
    <w:p>
      <w:pPr>
        <w:spacing w:line="360" w:lineRule="auto"/>
        <w:ind w:firstLine="480" w:firstLineChars="200"/>
        <w:rPr>
          <w:sz w:val="24"/>
          <w:szCs w:val="24"/>
        </w:rPr>
      </w:pPr>
      <w:r>
        <w:rPr>
          <w:sz w:val="24"/>
          <w:szCs w:val="24"/>
        </w:rPr>
        <w:t>3、暖通模块：</w:t>
      </w:r>
    </w:p>
    <w:p>
      <w:pPr>
        <w:spacing w:line="360" w:lineRule="auto"/>
        <w:ind w:firstLine="480" w:firstLineChars="200"/>
        <w:rPr>
          <w:sz w:val="24"/>
          <w:szCs w:val="24"/>
        </w:rPr>
      </w:pPr>
      <w:r>
        <w:rPr>
          <w:sz w:val="24"/>
          <w:szCs w:val="24"/>
        </w:rPr>
        <w:t>空调（1.5P）和通风设施或设备，满足站房内仪器设备使用的环境要求。</w:t>
      </w:r>
    </w:p>
    <w:p>
      <w:pPr>
        <w:spacing w:line="360" w:lineRule="auto"/>
        <w:ind w:firstLine="480" w:firstLineChars="200"/>
        <w:rPr>
          <w:sz w:val="24"/>
          <w:szCs w:val="24"/>
        </w:rPr>
      </w:pPr>
      <w:r>
        <w:rPr>
          <w:sz w:val="24"/>
          <w:szCs w:val="24"/>
        </w:rPr>
        <w:t>4、防雷模块：</w:t>
      </w:r>
    </w:p>
    <w:p>
      <w:pPr>
        <w:spacing w:line="360" w:lineRule="auto"/>
        <w:ind w:firstLine="480" w:firstLineChars="200"/>
        <w:rPr>
          <w:sz w:val="24"/>
          <w:szCs w:val="24"/>
        </w:rPr>
      </w:pPr>
      <w:r>
        <w:rPr>
          <w:sz w:val="24"/>
          <w:szCs w:val="24"/>
        </w:rPr>
        <w:t>为保证系统稳定、可靠运行，必须具有电源、信号等设施的防雷措施</w:t>
      </w:r>
      <w:r>
        <w:rPr>
          <w:rFonts w:hint="eastAsia"/>
          <w:sz w:val="24"/>
          <w:szCs w:val="24"/>
        </w:rPr>
        <w:t>（满足</w:t>
      </w:r>
      <w:r>
        <w:rPr>
          <w:sz w:val="24"/>
          <w:szCs w:val="24"/>
        </w:rPr>
        <w:t>GB50057</w:t>
      </w:r>
      <w:r>
        <w:rPr>
          <w:rFonts w:hint="eastAsia"/>
          <w:sz w:val="24"/>
          <w:szCs w:val="24"/>
        </w:rPr>
        <w:t>标准</w:t>
      </w:r>
      <w:r>
        <w:rPr>
          <w:sz w:val="24"/>
          <w:szCs w:val="24"/>
        </w:rPr>
        <w:t>要求</w:t>
      </w:r>
      <w:r>
        <w:rPr>
          <w:rFonts w:hint="eastAsia"/>
          <w:sz w:val="24"/>
          <w:szCs w:val="24"/>
        </w:rPr>
        <w:t>）</w:t>
      </w:r>
      <w:r>
        <w:rPr>
          <w:sz w:val="24"/>
          <w:szCs w:val="24"/>
        </w:rPr>
        <w:t>。</w:t>
      </w:r>
    </w:p>
    <w:p>
      <w:pPr>
        <w:spacing w:line="360" w:lineRule="auto"/>
        <w:ind w:firstLine="480" w:firstLineChars="200"/>
        <w:rPr>
          <w:sz w:val="24"/>
          <w:szCs w:val="24"/>
        </w:rPr>
      </w:pPr>
      <w:r>
        <w:rPr>
          <w:sz w:val="24"/>
          <w:szCs w:val="24"/>
        </w:rPr>
        <w:t>5、消防模块：</w:t>
      </w:r>
    </w:p>
    <w:p>
      <w:pPr>
        <w:spacing w:line="360" w:lineRule="auto"/>
        <w:ind w:firstLine="480" w:firstLineChars="200"/>
        <w:rPr>
          <w:sz w:val="24"/>
          <w:szCs w:val="24"/>
        </w:rPr>
      </w:pPr>
      <w:r>
        <w:rPr>
          <w:sz w:val="24"/>
          <w:szCs w:val="24"/>
        </w:rPr>
        <w:t>具备自动灭火装置，采用悬挂式灭火器，灭火材料须对人体和设备无害。</w:t>
      </w:r>
    </w:p>
    <w:p>
      <w:pPr>
        <w:spacing w:line="360" w:lineRule="auto"/>
        <w:ind w:firstLine="480" w:firstLineChars="200"/>
        <w:rPr>
          <w:sz w:val="24"/>
          <w:szCs w:val="24"/>
        </w:rPr>
      </w:pPr>
      <w:r>
        <w:rPr>
          <w:sz w:val="24"/>
          <w:szCs w:val="24"/>
        </w:rPr>
        <w:t>6、安防模块：</w:t>
      </w:r>
    </w:p>
    <w:p>
      <w:pPr>
        <w:spacing w:line="360" w:lineRule="auto"/>
        <w:ind w:firstLine="480" w:firstLineChars="200"/>
        <w:rPr>
          <w:sz w:val="24"/>
          <w:szCs w:val="24"/>
        </w:rPr>
      </w:pPr>
      <w:r>
        <w:rPr>
          <w:sz w:val="24"/>
          <w:szCs w:val="24"/>
        </w:rPr>
        <w:t>（1）配置门禁系统，具备出入站记录、多重权限管理、非法开门报警功能。</w:t>
      </w:r>
    </w:p>
    <w:p>
      <w:pPr>
        <w:spacing w:line="360" w:lineRule="auto"/>
        <w:ind w:firstLine="480" w:firstLineChars="200"/>
        <w:rPr>
          <w:sz w:val="24"/>
          <w:szCs w:val="24"/>
        </w:rPr>
      </w:pPr>
      <w:r>
        <w:rPr>
          <w:sz w:val="24"/>
          <w:szCs w:val="24"/>
        </w:rPr>
        <w:t>（2）配置漏液</w:t>
      </w:r>
      <w:r>
        <w:rPr>
          <w:rFonts w:hint="eastAsia"/>
          <w:sz w:val="24"/>
          <w:szCs w:val="24"/>
        </w:rPr>
        <w:t>报警装置</w:t>
      </w:r>
      <w:r>
        <w:rPr>
          <w:sz w:val="24"/>
          <w:szCs w:val="24"/>
        </w:rPr>
        <w:t>，积水后，应实现现场和远程报警，积水报警有效值不大于15mm。</w:t>
      </w:r>
    </w:p>
    <w:p>
      <w:pPr>
        <w:spacing w:line="360" w:lineRule="auto"/>
        <w:ind w:firstLine="480" w:firstLineChars="200"/>
        <w:rPr>
          <w:sz w:val="24"/>
          <w:szCs w:val="24"/>
        </w:rPr>
      </w:pPr>
      <w:r>
        <w:rPr>
          <w:sz w:val="24"/>
          <w:szCs w:val="24"/>
        </w:rPr>
        <w:t>（3）配置烟雾传感器和温湿度传感器。</w:t>
      </w:r>
    </w:p>
    <w:p>
      <w:pPr>
        <w:spacing w:line="360" w:lineRule="auto"/>
        <w:ind w:firstLine="480" w:firstLineChars="200"/>
        <w:rPr>
          <w:sz w:val="24"/>
          <w:szCs w:val="24"/>
        </w:rPr>
      </w:pPr>
      <w:r>
        <w:rPr>
          <w:rFonts w:hint="eastAsia"/>
          <w:sz w:val="24"/>
          <w:szCs w:val="24"/>
        </w:rPr>
        <w:t>7、</w:t>
      </w:r>
      <w:r>
        <w:rPr>
          <w:sz w:val="24"/>
          <w:szCs w:val="24"/>
        </w:rPr>
        <w:t>视频监控</w:t>
      </w:r>
      <w:r>
        <w:rPr>
          <w:rFonts w:hint="eastAsia"/>
          <w:sz w:val="24"/>
          <w:szCs w:val="24"/>
        </w:rPr>
        <w:t>模块</w:t>
      </w:r>
    </w:p>
    <w:p>
      <w:pPr>
        <w:spacing w:line="360" w:lineRule="auto"/>
        <w:ind w:firstLine="480" w:firstLineChars="200"/>
        <w:rPr>
          <w:sz w:val="24"/>
          <w:szCs w:val="24"/>
        </w:rPr>
      </w:pPr>
      <w:r>
        <w:rPr>
          <w:rFonts w:hint="eastAsia"/>
          <w:sz w:val="24"/>
          <w:szCs w:val="24"/>
        </w:rPr>
        <w:t>（1）</w:t>
      </w:r>
      <w:r>
        <w:rPr>
          <w:sz w:val="24"/>
          <w:szCs w:val="24"/>
        </w:rPr>
        <w:t>、站房内应配置1套半球型摄像机，1套硬盘录像机，站房</w:t>
      </w:r>
      <w:r>
        <w:rPr>
          <w:rFonts w:hint="eastAsia"/>
          <w:sz w:val="24"/>
          <w:szCs w:val="24"/>
        </w:rPr>
        <w:t>门口</w:t>
      </w:r>
      <w:r>
        <w:rPr>
          <w:sz w:val="24"/>
          <w:szCs w:val="24"/>
        </w:rPr>
        <w:t>配置1套</w:t>
      </w:r>
      <w:r>
        <w:rPr>
          <w:rFonts w:hint="eastAsia"/>
          <w:sz w:val="24"/>
          <w:szCs w:val="24"/>
        </w:rPr>
        <w:t>枪</w:t>
      </w:r>
      <w:r>
        <w:rPr>
          <w:sz w:val="24"/>
          <w:szCs w:val="24"/>
        </w:rPr>
        <w:t>型摄像机，采水口配置1套</w:t>
      </w:r>
      <w:r>
        <w:rPr>
          <w:rFonts w:hint="eastAsia"/>
          <w:sz w:val="24"/>
          <w:szCs w:val="24"/>
        </w:rPr>
        <w:t>球</w:t>
      </w:r>
      <w:r>
        <w:rPr>
          <w:sz w:val="24"/>
          <w:szCs w:val="24"/>
        </w:rPr>
        <w:t>型摄像机，实现全方位、多视角、无盲区、全天候式监控。</w:t>
      </w:r>
    </w:p>
    <w:p>
      <w:pPr>
        <w:spacing w:line="360" w:lineRule="auto"/>
        <w:ind w:firstLine="480" w:firstLineChars="200"/>
        <w:rPr>
          <w:sz w:val="24"/>
          <w:szCs w:val="24"/>
        </w:rPr>
      </w:pPr>
      <w:r>
        <w:rPr>
          <w:rFonts w:hint="eastAsia"/>
          <w:sz w:val="24"/>
          <w:szCs w:val="24"/>
        </w:rPr>
        <w:t>（2）</w:t>
      </w:r>
      <w:r>
        <w:rPr>
          <w:sz w:val="24"/>
          <w:szCs w:val="24"/>
        </w:rPr>
        <w:t>、视频信息应实现现场存储功能，存储周期应不低于30日。</w:t>
      </w:r>
    </w:p>
    <w:p>
      <w:pPr>
        <w:spacing w:line="360" w:lineRule="auto"/>
        <w:ind w:firstLine="480" w:firstLineChars="200"/>
        <w:rPr>
          <w:sz w:val="24"/>
          <w:szCs w:val="24"/>
        </w:rPr>
      </w:pPr>
      <w:r>
        <w:rPr>
          <w:rFonts w:hint="eastAsia"/>
          <w:sz w:val="24"/>
          <w:szCs w:val="24"/>
        </w:rPr>
        <w:t>8、</w:t>
      </w:r>
      <w:r>
        <w:rPr>
          <w:sz w:val="24"/>
          <w:szCs w:val="24"/>
        </w:rPr>
        <w:t>留样</w:t>
      </w:r>
      <w:r>
        <w:rPr>
          <w:rFonts w:hint="eastAsia"/>
          <w:sz w:val="24"/>
          <w:szCs w:val="24"/>
        </w:rPr>
        <w:t>模块</w:t>
      </w:r>
    </w:p>
    <w:p>
      <w:pPr>
        <w:spacing w:line="360" w:lineRule="auto"/>
        <w:ind w:firstLine="480" w:firstLineChars="200"/>
        <w:rPr>
          <w:sz w:val="24"/>
          <w:szCs w:val="24"/>
        </w:rPr>
      </w:pPr>
      <w:r>
        <w:rPr>
          <w:sz w:val="24"/>
          <w:szCs w:val="24"/>
        </w:rPr>
        <w:t>（1）具备水样冷藏功能，温度在4±2℃。</w:t>
      </w:r>
    </w:p>
    <w:p>
      <w:pPr>
        <w:spacing w:line="360" w:lineRule="auto"/>
        <w:ind w:firstLine="480" w:firstLineChars="200"/>
        <w:rPr>
          <w:sz w:val="24"/>
          <w:szCs w:val="24"/>
        </w:rPr>
      </w:pPr>
      <w:r>
        <w:rPr>
          <w:sz w:val="24"/>
          <w:szCs w:val="24"/>
        </w:rPr>
        <w:t>（2）留样瓶数≥12个。</w:t>
      </w:r>
    </w:p>
    <w:p>
      <w:pPr>
        <w:spacing w:line="360" w:lineRule="auto"/>
        <w:ind w:firstLine="480" w:firstLineChars="200"/>
        <w:rPr>
          <w:sz w:val="24"/>
          <w:szCs w:val="24"/>
        </w:rPr>
      </w:pPr>
      <w:r>
        <w:rPr>
          <w:sz w:val="24"/>
          <w:szCs w:val="24"/>
        </w:rPr>
        <w:t>（3）留样瓶由惰性材料制成，易清洗，容量应在500mL以上。</w:t>
      </w:r>
    </w:p>
    <w:p>
      <w:pPr>
        <w:spacing w:line="360" w:lineRule="auto"/>
        <w:ind w:firstLine="480" w:firstLineChars="200"/>
        <w:rPr>
          <w:sz w:val="24"/>
          <w:szCs w:val="24"/>
        </w:rPr>
      </w:pPr>
      <w:r>
        <w:rPr>
          <w:sz w:val="24"/>
          <w:szCs w:val="24"/>
        </w:rPr>
        <w:t>（4）留样瓶具有密封功能。</w:t>
      </w:r>
    </w:p>
    <w:p>
      <w:pPr>
        <w:spacing w:line="360" w:lineRule="auto"/>
        <w:ind w:firstLine="480" w:firstLineChars="200"/>
        <w:rPr>
          <w:sz w:val="24"/>
          <w:szCs w:val="24"/>
        </w:rPr>
      </w:pPr>
      <w:r>
        <w:rPr>
          <w:sz w:val="24"/>
          <w:szCs w:val="24"/>
        </w:rPr>
        <w:t>（5）具有留样后自动排空的功能。</w:t>
      </w:r>
    </w:p>
    <w:p>
      <w:pPr>
        <w:spacing w:line="360" w:lineRule="auto"/>
        <w:ind w:firstLine="480" w:firstLineChars="200"/>
        <w:rPr>
          <w:sz w:val="24"/>
          <w:szCs w:val="24"/>
        </w:rPr>
      </w:pPr>
      <w:r>
        <w:rPr>
          <w:sz w:val="24"/>
          <w:szCs w:val="24"/>
        </w:rPr>
        <w:t>（6）配置门禁系统。</w:t>
      </w:r>
    </w:p>
    <w:p>
      <w:pPr>
        <w:spacing w:line="360" w:lineRule="auto"/>
        <w:ind w:firstLine="480" w:firstLineChars="200"/>
        <w:rPr>
          <w:sz w:val="24"/>
          <w:szCs w:val="24"/>
        </w:rPr>
      </w:pPr>
      <w:r>
        <w:rPr>
          <w:sz w:val="24"/>
          <w:szCs w:val="24"/>
        </w:rPr>
        <w:t>（7）具有留样失败报警功能。</w:t>
      </w:r>
    </w:p>
    <w:p>
      <w:pPr>
        <w:keepNext/>
        <w:keepLines/>
        <w:spacing w:before="160" w:after="160" w:line="360" w:lineRule="auto"/>
        <w:contextualSpacing/>
        <w:jc w:val="left"/>
        <w:outlineLvl w:val="2"/>
        <w:rPr>
          <w:b/>
          <w:sz w:val="24"/>
          <w:szCs w:val="24"/>
        </w:rPr>
      </w:pPr>
      <w:r>
        <w:rPr>
          <w:b/>
          <w:sz w:val="24"/>
          <w:szCs w:val="24"/>
        </w:rPr>
        <w:t>（</w:t>
      </w:r>
      <w:r>
        <w:rPr>
          <w:rFonts w:hint="eastAsia"/>
          <w:b/>
          <w:sz w:val="24"/>
          <w:szCs w:val="24"/>
        </w:rPr>
        <w:t>八</w:t>
      </w:r>
      <w:r>
        <w:rPr>
          <w:b/>
          <w:sz w:val="24"/>
          <w:szCs w:val="24"/>
        </w:rPr>
        <w:t>）站房</w:t>
      </w:r>
      <w:r>
        <w:rPr>
          <w:rFonts w:hint="eastAsia"/>
          <w:b/>
          <w:sz w:val="24"/>
          <w:szCs w:val="24"/>
        </w:rPr>
        <w:t>单元</w:t>
      </w:r>
    </w:p>
    <w:p>
      <w:pPr>
        <w:pStyle w:val="3"/>
      </w:pPr>
      <w:r>
        <w:t>站房全部采用一体化、可</w:t>
      </w:r>
      <w:r>
        <w:rPr>
          <w:rFonts w:hint="eastAsia"/>
        </w:rPr>
        <w:t>整体</w:t>
      </w:r>
      <w:r>
        <w:t>移</w:t>
      </w:r>
      <w:r>
        <w:rPr>
          <w:rFonts w:hint="eastAsia"/>
        </w:rPr>
        <w:t>址重复利用</w:t>
      </w:r>
      <w:r>
        <w:t>的小型</w:t>
      </w:r>
      <w:r>
        <w:rPr>
          <w:rFonts w:hint="eastAsia"/>
        </w:rPr>
        <w:t>智能化</w:t>
      </w:r>
      <w:r>
        <w:t>监测站房。技术要求如下：</w:t>
      </w:r>
    </w:p>
    <w:p>
      <w:pPr>
        <w:spacing w:line="360" w:lineRule="auto"/>
        <w:ind w:firstLine="480" w:firstLineChars="200"/>
        <w:rPr>
          <w:sz w:val="24"/>
          <w:szCs w:val="24"/>
          <w:highlight w:val="none"/>
        </w:rPr>
      </w:pPr>
      <w:r>
        <w:rPr>
          <w:sz w:val="24"/>
          <w:szCs w:val="24"/>
          <w:highlight w:val="none"/>
        </w:rPr>
        <w:t>1、站房外型美观、与当地环境相协调，无需征地建房，占地面积小，</w:t>
      </w:r>
      <w:r>
        <w:rPr>
          <w:rFonts w:hint="eastAsia"/>
          <w:sz w:val="24"/>
          <w:szCs w:val="24"/>
          <w:highlight w:val="none"/>
        </w:rPr>
        <w:t>地表水站</w:t>
      </w:r>
      <w:r>
        <w:rPr>
          <w:sz w:val="24"/>
          <w:szCs w:val="24"/>
          <w:highlight w:val="none"/>
        </w:rPr>
        <w:t>站房面积</w:t>
      </w:r>
      <w:r>
        <w:rPr>
          <w:rFonts w:hint="eastAsia"/>
          <w:sz w:val="24"/>
          <w:szCs w:val="24"/>
          <w:highlight w:val="none"/>
        </w:rPr>
        <w:t>不大于</w:t>
      </w:r>
      <w:r>
        <w:rPr>
          <w:sz w:val="24"/>
          <w:szCs w:val="24"/>
          <w:highlight w:val="none"/>
        </w:rPr>
        <w:t>10平方米，</w:t>
      </w:r>
      <w:r>
        <w:rPr>
          <w:rFonts w:hint="eastAsia"/>
          <w:sz w:val="24"/>
          <w:szCs w:val="24"/>
          <w:highlight w:val="none"/>
        </w:rPr>
        <w:t>饮用水站</w:t>
      </w:r>
      <w:r>
        <w:rPr>
          <w:sz w:val="24"/>
          <w:szCs w:val="24"/>
          <w:highlight w:val="none"/>
        </w:rPr>
        <w:t>站房面积</w:t>
      </w:r>
      <w:r>
        <w:rPr>
          <w:rFonts w:hint="eastAsia"/>
          <w:sz w:val="24"/>
          <w:szCs w:val="24"/>
          <w:highlight w:val="none"/>
        </w:rPr>
        <w:t>不大于</w:t>
      </w:r>
      <w:r>
        <w:rPr>
          <w:sz w:val="24"/>
          <w:szCs w:val="24"/>
          <w:highlight w:val="none"/>
        </w:rPr>
        <w:t>15平方米</w:t>
      </w:r>
      <w:r>
        <w:rPr>
          <w:rFonts w:hint="eastAsia"/>
          <w:sz w:val="24"/>
          <w:szCs w:val="24"/>
          <w:highlight w:val="none"/>
        </w:rPr>
        <w:t>，</w:t>
      </w:r>
      <w:r>
        <w:rPr>
          <w:sz w:val="24"/>
          <w:szCs w:val="24"/>
          <w:highlight w:val="none"/>
        </w:rPr>
        <w:t>需提供详细的站房设计方案和效果图。</w:t>
      </w:r>
    </w:p>
    <w:p>
      <w:pPr>
        <w:spacing w:line="360" w:lineRule="auto"/>
        <w:ind w:firstLine="480" w:firstLineChars="200"/>
        <w:rPr>
          <w:sz w:val="24"/>
          <w:szCs w:val="24"/>
        </w:rPr>
      </w:pPr>
      <w:r>
        <w:rPr>
          <w:sz w:val="24"/>
          <w:szCs w:val="24"/>
        </w:rPr>
        <w:t>2、站房主要采用覆铝锌板制作，采用组件嵌装式；</w:t>
      </w:r>
    </w:p>
    <w:p>
      <w:pPr>
        <w:spacing w:line="360" w:lineRule="auto"/>
        <w:ind w:firstLine="480" w:firstLineChars="200"/>
        <w:rPr>
          <w:sz w:val="24"/>
          <w:szCs w:val="24"/>
        </w:rPr>
      </w:pPr>
      <w:r>
        <w:rPr>
          <w:sz w:val="24"/>
          <w:szCs w:val="24"/>
        </w:rPr>
        <w:t>3、站房面积能够容纳所有的监测仪器设备，并预留人员操作区域。</w:t>
      </w:r>
    </w:p>
    <w:p>
      <w:pPr>
        <w:spacing w:line="360" w:lineRule="auto"/>
        <w:ind w:firstLine="480" w:firstLineChars="200"/>
        <w:rPr>
          <w:sz w:val="24"/>
          <w:szCs w:val="24"/>
        </w:rPr>
      </w:pPr>
      <w:r>
        <w:rPr>
          <w:sz w:val="24"/>
          <w:szCs w:val="24"/>
        </w:rPr>
        <w:t>4、站房墙体有较好的保温性能。安装有温湿度传感显示器。有防水、防潮措施，安装排风扇，保证室内空气流通良好。</w:t>
      </w:r>
      <w:r>
        <w:rPr>
          <w:color w:val="auto"/>
          <w:sz w:val="24"/>
          <w:szCs w:val="24"/>
        </w:rPr>
        <w:t>站房的建筑结构能经受</w:t>
      </w:r>
      <w:r>
        <w:rPr>
          <w:rFonts w:hint="eastAsia"/>
          <w:color w:val="auto"/>
          <w:sz w:val="24"/>
          <w:szCs w:val="24"/>
          <w:lang w:eastAsia="zh-CN"/>
        </w:rPr>
        <w:t>强台风冲击，能承受</w:t>
      </w:r>
      <w:r>
        <w:rPr>
          <w:color w:val="auto"/>
          <w:sz w:val="24"/>
          <w:szCs w:val="24"/>
        </w:rPr>
        <w:t>1</w:t>
      </w:r>
      <w:r>
        <w:rPr>
          <w:rFonts w:hint="eastAsia"/>
          <w:color w:val="auto"/>
          <w:sz w:val="24"/>
          <w:szCs w:val="24"/>
          <w:lang w:val="en-US" w:eastAsia="zh-CN"/>
        </w:rPr>
        <w:t>7</w:t>
      </w:r>
      <w:r>
        <w:rPr>
          <w:color w:val="auto"/>
          <w:sz w:val="24"/>
          <w:szCs w:val="24"/>
        </w:rPr>
        <w:t>级以上的风力。</w:t>
      </w:r>
      <w:r>
        <w:rPr>
          <w:sz w:val="24"/>
          <w:szCs w:val="24"/>
        </w:rPr>
        <w:t>站房监测仪器供电线路独立走线。电源布设符合国家用电相关安全要求，并满足设计和规划中总用电功率的需要。</w:t>
      </w:r>
    </w:p>
    <w:p>
      <w:pPr>
        <w:spacing w:line="360" w:lineRule="auto"/>
        <w:ind w:firstLine="480" w:firstLineChars="200"/>
        <w:rPr>
          <w:sz w:val="24"/>
          <w:szCs w:val="24"/>
        </w:rPr>
      </w:pPr>
      <w:r>
        <w:rPr>
          <w:sz w:val="24"/>
          <w:szCs w:val="24"/>
        </w:rPr>
        <w:t>5、站房底座要求具有足够的强度，保证在拖动、起吊、荷载和空载时不变形，安装于混凝土基础上。</w:t>
      </w:r>
    </w:p>
    <w:p>
      <w:pPr>
        <w:spacing w:line="360" w:lineRule="auto"/>
        <w:ind w:firstLine="480" w:firstLineChars="200"/>
        <w:rPr>
          <w:sz w:val="24"/>
          <w:szCs w:val="24"/>
        </w:rPr>
      </w:pPr>
      <w:r>
        <w:rPr>
          <w:sz w:val="24"/>
          <w:szCs w:val="24"/>
        </w:rPr>
        <w:t>6、要配有试验台，供操作人员配置试剂或质控使用。</w:t>
      </w:r>
    </w:p>
    <w:p>
      <w:pPr>
        <w:spacing w:line="360" w:lineRule="auto"/>
        <w:ind w:firstLine="480" w:firstLineChars="200"/>
        <w:rPr>
          <w:sz w:val="24"/>
          <w:szCs w:val="24"/>
        </w:rPr>
      </w:pPr>
      <w:r>
        <w:rPr>
          <w:sz w:val="24"/>
          <w:szCs w:val="24"/>
        </w:rPr>
        <w:t>7、设置站房铭牌，内部悬挂规章制度。</w:t>
      </w:r>
    </w:p>
    <w:bookmarkEnd w:id="32"/>
    <w:p>
      <w:pPr>
        <w:snapToGrid w:val="0"/>
        <w:spacing w:line="360" w:lineRule="auto"/>
        <w:outlineLvl w:val="1"/>
        <w:rPr>
          <w:b/>
          <w:bCs/>
          <w:color w:val="000000"/>
          <w:sz w:val="24"/>
          <w:szCs w:val="24"/>
        </w:rPr>
      </w:pPr>
      <w:r>
        <w:rPr>
          <w:rFonts w:hint="eastAsia"/>
          <w:b/>
          <w:bCs/>
          <w:color w:val="000000"/>
          <w:sz w:val="24"/>
          <w:szCs w:val="24"/>
        </w:rPr>
        <w:t>四、数据接入</w:t>
      </w:r>
      <w:r>
        <w:rPr>
          <w:b/>
          <w:bCs/>
          <w:color w:val="000000"/>
          <w:sz w:val="24"/>
          <w:szCs w:val="24"/>
        </w:rPr>
        <w:t>要求</w:t>
      </w:r>
    </w:p>
    <w:p>
      <w:pPr>
        <w:spacing w:line="360" w:lineRule="auto"/>
        <w:ind w:firstLine="360" w:firstLineChars="150"/>
        <w:rPr>
          <w:rFonts w:hint="eastAsia"/>
          <w:bCs/>
          <w:sz w:val="24"/>
          <w:szCs w:val="24"/>
        </w:rPr>
      </w:pPr>
      <w:r>
        <w:rPr>
          <w:rFonts w:hint="eastAsia"/>
          <w:bCs/>
          <w:sz w:val="24"/>
          <w:szCs w:val="24"/>
        </w:rPr>
        <w:t>所有站点数据需接入采购人已建的数据管理平台。</w:t>
      </w:r>
    </w:p>
    <w:p>
      <w:pPr>
        <w:snapToGrid w:val="0"/>
        <w:spacing w:line="360" w:lineRule="auto"/>
        <w:outlineLvl w:val="1"/>
        <w:rPr>
          <w:rFonts w:hint="eastAsia" w:eastAsia="宋体"/>
          <w:b/>
          <w:bCs/>
          <w:color w:val="000000"/>
          <w:sz w:val="24"/>
          <w:szCs w:val="24"/>
        </w:rPr>
      </w:pPr>
      <w:r>
        <w:rPr>
          <w:rFonts w:hint="eastAsia" w:eastAsia="宋体"/>
          <w:b/>
          <w:bCs/>
          <w:color w:val="000000"/>
          <w:sz w:val="24"/>
          <w:szCs w:val="24"/>
        </w:rPr>
        <w:t>五、验收要求</w:t>
      </w:r>
    </w:p>
    <w:p>
      <w:pPr>
        <w:spacing w:line="360" w:lineRule="auto"/>
        <w:ind w:firstLine="360" w:firstLineChars="15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验收由采购人组织专家及有关人员按照</w:t>
      </w:r>
      <w:r>
        <w:rPr>
          <w:rFonts w:hint="eastAsia" w:ascii="Times New Roman" w:hAnsi="Times New Roman" w:eastAsia="宋体" w:cs="Times New Roman"/>
          <w:bCs/>
          <w:sz w:val="24"/>
          <w:szCs w:val="24"/>
          <w:lang w:val="en-US" w:eastAsia="zh-CN"/>
        </w:rPr>
        <w:t>HJ 915-2017《地表水监测技术规范》</w:t>
      </w:r>
      <w:r>
        <w:rPr>
          <w:rFonts w:hint="eastAsia" w:ascii="Times New Roman" w:hAnsi="Times New Roman" w:eastAsia="宋体" w:cs="Times New Roman"/>
          <w:bCs/>
          <w:sz w:val="24"/>
          <w:szCs w:val="24"/>
        </w:rPr>
        <w:t>进行验收。货物到达安装现场后，投标人和采购人共同打开包装验货检查货物数量。只有经安装调试并且技术性能</w:t>
      </w:r>
      <w:r>
        <w:rPr>
          <w:rFonts w:hint="eastAsia" w:ascii="Times New Roman" w:hAnsi="Times New Roman" w:eastAsia="宋体" w:cs="Times New Roman"/>
          <w:bCs/>
          <w:sz w:val="24"/>
          <w:szCs w:val="24"/>
          <w:lang w:val="en-US" w:eastAsia="zh-CN"/>
        </w:rPr>
        <w:t>达到验收</w:t>
      </w:r>
      <w:r>
        <w:rPr>
          <w:rFonts w:hint="eastAsia" w:ascii="Times New Roman" w:hAnsi="Times New Roman" w:eastAsia="宋体" w:cs="Times New Roman"/>
          <w:bCs/>
          <w:sz w:val="24"/>
          <w:szCs w:val="24"/>
        </w:rPr>
        <w:t>要求后，采购人才能接受全部货物。</w:t>
      </w:r>
    </w:p>
    <w:p>
      <w:pPr>
        <w:spacing w:line="360" w:lineRule="auto"/>
        <w:ind w:firstLine="360" w:firstLineChars="150"/>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安装调试并经系统</w:t>
      </w:r>
      <w:r>
        <w:rPr>
          <w:rFonts w:hint="eastAsia" w:ascii="Times New Roman" w:hAnsi="Times New Roman" w:eastAsia="宋体" w:cs="Times New Roman"/>
          <w:bCs/>
          <w:sz w:val="24"/>
          <w:szCs w:val="24"/>
        </w:rPr>
        <w:t>稳定正常运行</w:t>
      </w:r>
      <w:r>
        <w:rPr>
          <w:rFonts w:hint="eastAsia" w:ascii="Times New Roman" w:hAnsi="Times New Roman" w:eastAsia="宋体" w:cs="Times New Roman"/>
          <w:bCs/>
          <w:sz w:val="24"/>
          <w:szCs w:val="24"/>
          <w:lang w:eastAsia="zh-CN"/>
        </w:rPr>
        <w:t>1</w:t>
      </w:r>
      <w:r>
        <w:rPr>
          <w:rFonts w:hint="eastAsia" w:ascii="Times New Roman" w:hAnsi="Times New Roman" w:eastAsia="宋体" w:cs="Times New Roman"/>
          <w:bCs/>
          <w:sz w:val="24"/>
          <w:szCs w:val="24"/>
        </w:rPr>
        <w:t>个月后</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中标人以书面形式向采购人提交验收报告及验收申请，</w:t>
      </w:r>
      <w:r>
        <w:rPr>
          <w:rFonts w:hint="eastAsia" w:ascii="Times New Roman" w:hAnsi="Times New Roman" w:eastAsia="宋体" w:cs="Times New Roman"/>
          <w:bCs/>
          <w:sz w:val="24"/>
          <w:szCs w:val="24"/>
          <w:lang w:val="en-US" w:eastAsia="zh-CN"/>
        </w:rPr>
        <w:t>经</w:t>
      </w:r>
      <w:r>
        <w:rPr>
          <w:rFonts w:hint="eastAsia" w:ascii="Times New Roman" w:hAnsi="Times New Roman" w:eastAsia="宋体" w:cs="Times New Roman"/>
          <w:bCs/>
          <w:sz w:val="24"/>
          <w:szCs w:val="24"/>
        </w:rPr>
        <w:t>采购人审核同意后组织验收组进行验收。</w:t>
      </w:r>
      <w:r>
        <w:rPr>
          <w:rFonts w:hint="eastAsia" w:ascii="Times New Roman" w:hAnsi="Times New Roman" w:eastAsia="宋体" w:cs="Times New Roman"/>
          <w:bCs/>
          <w:sz w:val="24"/>
          <w:szCs w:val="24"/>
          <w:lang w:val="en-US" w:eastAsia="zh-CN"/>
        </w:rPr>
        <w:t>验收费用由中标人承担。</w:t>
      </w:r>
    </w:p>
    <w:p>
      <w:pPr>
        <w:snapToGrid w:val="0"/>
        <w:spacing w:line="360" w:lineRule="auto"/>
        <w:outlineLvl w:val="1"/>
        <w:rPr>
          <w:b/>
          <w:bCs/>
          <w:color w:val="000000"/>
          <w:sz w:val="24"/>
          <w:szCs w:val="24"/>
        </w:rPr>
      </w:pPr>
      <w:r>
        <w:rPr>
          <w:rFonts w:hint="eastAsia"/>
          <w:b/>
          <w:bCs/>
          <w:color w:val="000000"/>
          <w:sz w:val="24"/>
          <w:szCs w:val="24"/>
        </w:rPr>
        <w:t>六</w:t>
      </w:r>
      <w:r>
        <w:rPr>
          <w:b/>
          <w:bCs/>
          <w:color w:val="000000"/>
          <w:sz w:val="24"/>
          <w:szCs w:val="24"/>
        </w:rPr>
        <w:t>、</w:t>
      </w:r>
      <w:r>
        <w:rPr>
          <w:rFonts w:hint="eastAsia"/>
          <w:b/>
          <w:bCs/>
          <w:color w:val="000000"/>
          <w:sz w:val="24"/>
          <w:szCs w:val="24"/>
        </w:rPr>
        <w:t>运维服务</w:t>
      </w:r>
      <w:r>
        <w:rPr>
          <w:b/>
          <w:bCs/>
          <w:color w:val="000000"/>
          <w:sz w:val="24"/>
          <w:szCs w:val="24"/>
        </w:rPr>
        <w:t>要求</w:t>
      </w:r>
    </w:p>
    <w:p>
      <w:pPr>
        <w:spacing w:line="360" w:lineRule="auto"/>
        <w:ind w:firstLine="480" w:firstLineChars="200"/>
        <w:rPr>
          <w:sz w:val="24"/>
          <w:szCs w:val="24"/>
        </w:rPr>
      </w:pPr>
      <w:r>
        <w:rPr>
          <w:rFonts w:hint="eastAsia"/>
          <w:sz w:val="24"/>
          <w:szCs w:val="24"/>
        </w:rPr>
        <w:t>中标单位须按照采购人的技术要求，运维期内全面负责水站（站房、采水、所有仪器设备等）的日常运营及管理。</w:t>
      </w:r>
    </w:p>
    <w:p>
      <w:pPr>
        <w:numPr>
          <w:ilvl w:val="0"/>
          <w:numId w:val="22"/>
        </w:numPr>
        <w:spacing w:line="360" w:lineRule="auto"/>
        <w:rPr>
          <w:bCs/>
          <w:sz w:val="24"/>
          <w:szCs w:val="24"/>
        </w:rPr>
      </w:pPr>
      <w:r>
        <w:rPr>
          <w:rFonts w:hint="eastAsia"/>
          <w:bCs/>
          <w:sz w:val="24"/>
          <w:szCs w:val="24"/>
        </w:rPr>
        <w:t>中标单位运营及管理期间必须遵守国家的有关法律、法规及其他规定，依照有关规范和技术要求；</w:t>
      </w:r>
    </w:p>
    <w:p>
      <w:pPr>
        <w:numPr>
          <w:ilvl w:val="0"/>
          <w:numId w:val="22"/>
        </w:numPr>
        <w:spacing w:line="360" w:lineRule="auto"/>
        <w:rPr>
          <w:sz w:val="24"/>
          <w:szCs w:val="24"/>
        </w:rPr>
      </w:pPr>
      <w:r>
        <w:rPr>
          <w:rFonts w:hint="eastAsia"/>
          <w:bCs/>
          <w:sz w:val="24"/>
          <w:szCs w:val="24"/>
        </w:rPr>
        <w:t>中标单位应</w:t>
      </w:r>
      <w:r>
        <w:rPr>
          <w:rFonts w:hint="eastAsia"/>
          <w:sz w:val="24"/>
          <w:szCs w:val="24"/>
        </w:rPr>
        <w:t>配备必要的质量控制设备、耗材和备件；</w:t>
      </w:r>
    </w:p>
    <w:p>
      <w:pPr>
        <w:numPr>
          <w:ilvl w:val="0"/>
          <w:numId w:val="22"/>
        </w:numPr>
        <w:spacing w:line="360" w:lineRule="auto"/>
        <w:rPr>
          <w:sz w:val="24"/>
          <w:szCs w:val="24"/>
        </w:rPr>
      </w:pPr>
      <w:r>
        <w:rPr>
          <w:rFonts w:hint="eastAsia"/>
          <w:bCs/>
          <w:sz w:val="24"/>
          <w:szCs w:val="24"/>
        </w:rPr>
        <w:t>中标单位应</w:t>
      </w:r>
      <w:r>
        <w:rPr>
          <w:rFonts w:hint="eastAsia"/>
          <w:sz w:val="24"/>
          <w:szCs w:val="24"/>
        </w:rPr>
        <w:t>配备专用仪器维修工具（包括便携式电脑、万用表、远程数据查询系统等）、通讯调试工具（包括各种硬件接口线、改线工具、接口调试软件及常用零部件等）。</w:t>
      </w:r>
    </w:p>
    <w:p>
      <w:pPr>
        <w:numPr>
          <w:ilvl w:val="0"/>
          <w:numId w:val="22"/>
        </w:numPr>
        <w:spacing w:line="360" w:lineRule="auto"/>
        <w:rPr>
          <w:bCs/>
          <w:sz w:val="24"/>
          <w:szCs w:val="24"/>
        </w:rPr>
      </w:pPr>
      <w:r>
        <w:rPr>
          <w:rFonts w:hint="eastAsia"/>
          <w:bCs/>
          <w:sz w:val="24"/>
          <w:szCs w:val="24"/>
        </w:rPr>
        <w:t>运营及管理期间，水电费、通讯费、试剂耗材、仪器设备维修、设施设备的保养和水站安全保障所发生的费用等均由中标单位支付；</w:t>
      </w:r>
    </w:p>
    <w:p>
      <w:pPr>
        <w:numPr>
          <w:ilvl w:val="0"/>
          <w:numId w:val="22"/>
        </w:numPr>
        <w:spacing w:line="360" w:lineRule="auto"/>
        <w:rPr>
          <w:bCs/>
          <w:sz w:val="24"/>
          <w:szCs w:val="24"/>
        </w:rPr>
      </w:pPr>
      <w:r>
        <w:rPr>
          <w:rFonts w:hint="eastAsia"/>
          <w:bCs/>
          <w:sz w:val="24"/>
          <w:szCs w:val="24"/>
        </w:rPr>
        <w:t>中标单位应设立运维服务机构；</w:t>
      </w:r>
    </w:p>
    <w:p>
      <w:pPr>
        <w:numPr>
          <w:ilvl w:val="0"/>
          <w:numId w:val="22"/>
        </w:numPr>
        <w:spacing w:line="360" w:lineRule="auto"/>
        <w:rPr>
          <w:bCs/>
          <w:sz w:val="24"/>
          <w:szCs w:val="24"/>
        </w:rPr>
      </w:pPr>
      <w:r>
        <w:rPr>
          <w:rFonts w:hint="eastAsia"/>
          <w:bCs/>
          <w:sz w:val="24"/>
          <w:szCs w:val="24"/>
        </w:rPr>
        <w:t>中标单位应至少配备</w:t>
      </w:r>
      <w:r>
        <w:rPr>
          <w:bCs/>
          <w:sz w:val="24"/>
          <w:szCs w:val="24"/>
        </w:rPr>
        <w:t>2</w:t>
      </w:r>
      <w:r>
        <w:rPr>
          <w:rFonts w:hint="eastAsia"/>
          <w:bCs/>
          <w:sz w:val="24"/>
          <w:szCs w:val="24"/>
        </w:rPr>
        <w:t>辆运维车辆；</w:t>
      </w:r>
    </w:p>
    <w:p>
      <w:pPr>
        <w:spacing w:line="360" w:lineRule="auto"/>
        <w:rPr>
          <w:bCs/>
          <w:sz w:val="24"/>
          <w:szCs w:val="24"/>
        </w:rPr>
      </w:pPr>
      <w:r>
        <w:rPr>
          <w:rFonts w:hint="eastAsia"/>
          <w:b/>
          <w:sz w:val="24"/>
          <w:szCs w:val="24"/>
        </w:rPr>
        <w:t>（</w:t>
      </w:r>
      <w:r>
        <w:rPr>
          <w:rFonts w:hint="eastAsia"/>
          <w:b/>
          <w:sz w:val="24"/>
          <w:szCs w:val="24"/>
          <w:lang w:val="en-US" w:eastAsia="zh-CN"/>
        </w:rPr>
        <w:t>7</w:t>
      </w:r>
      <w:r>
        <w:rPr>
          <w:rFonts w:hint="eastAsia"/>
          <w:b/>
          <w:sz w:val="24"/>
          <w:szCs w:val="24"/>
        </w:rPr>
        <w:t>）</w:t>
      </w:r>
      <w:r>
        <w:rPr>
          <w:rFonts w:hint="eastAsia"/>
          <w:bCs/>
          <w:sz w:val="24"/>
          <w:szCs w:val="24"/>
        </w:rPr>
        <w:t>中标单位相关技术人员具有相关的专业知识，能独立运营及管理水站；</w:t>
      </w:r>
    </w:p>
    <w:p>
      <w:pPr>
        <w:numPr>
          <w:ilvl w:val="0"/>
          <w:numId w:val="0"/>
        </w:numPr>
        <w:spacing w:line="360" w:lineRule="auto"/>
        <w:rPr>
          <w:bCs/>
          <w:sz w:val="24"/>
          <w:szCs w:val="24"/>
        </w:rPr>
      </w:pPr>
      <w:r>
        <w:rPr>
          <w:rFonts w:hint="eastAsia"/>
          <w:b/>
          <w:sz w:val="24"/>
          <w:szCs w:val="24"/>
        </w:rPr>
        <w:t>（</w:t>
      </w:r>
      <w:r>
        <w:rPr>
          <w:rFonts w:hint="eastAsia"/>
          <w:b/>
          <w:sz w:val="24"/>
          <w:szCs w:val="24"/>
          <w:lang w:val="en-US" w:eastAsia="zh-CN"/>
        </w:rPr>
        <w:t>8</w:t>
      </w:r>
      <w:r>
        <w:rPr>
          <w:rFonts w:hint="eastAsia"/>
          <w:b/>
          <w:sz w:val="24"/>
          <w:szCs w:val="24"/>
        </w:rPr>
        <w:t>）</w:t>
      </w:r>
      <w:r>
        <w:rPr>
          <w:rFonts w:hint="eastAsia"/>
          <w:bCs/>
          <w:sz w:val="24"/>
          <w:szCs w:val="24"/>
        </w:rPr>
        <w:t>人员要求：中标单位应保证项目团队中项目经理有</w:t>
      </w:r>
      <w:r>
        <w:rPr>
          <w:bCs/>
          <w:sz w:val="24"/>
          <w:szCs w:val="24"/>
        </w:rPr>
        <w:t>3</w:t>
      </w:r>
      <w:r>
        <w:rPr>
          <w:rFonts w:hint="eastAsia"/>
          <w:bCs/>
          <w:sz w:val="24"/>
          <w:szCs w:val="24"/>
        </w:rPr>
        <w:t xml:space="preserve">年水质自动监测站运维经验；项目团队中骨干人员不得少于4人。 </w:t>
      </w:r>
    </w:p>
    <w:p>
      <w:pPr>
        <w:numPr>
          <w:ilvl w:val="0"/>
          <w:numId w:val="0"/>
        </w:numPr>
        <w:spacing w:line="360" w:lineRule="auto"/>
        <w:ind w:leftChars="0"/>
        <w:rPr>
          <w:sz w:val="24"/>
          <w:szCs w:val="24"/>
        </w:rPr>
      </w:pPr>
      <w:r>
        <w:rPr>
          <w:rFonts w:hint="eastAsia"/>
          <w:b/>
          <w:sz w:val="24"/>
          <w:szCs w:val="24"/>
        </w:rPr>
        <w:t>（</w:t>
      </w:r>
      <w:r>
        <w:rPr>
          <w:rFonts w:hint="eastAsia"/>
          <w:b/>
          <w:sz w:val="24"/>
          <w:szCs w:val="24"/>
          <w:lang w:val="en-US" w:eastAsia="zh-CN"/>
        </w:rPr>
        <w:t>9</w:t>
      </w:r>
      <w:r>
        <w:rPr>
          <w:rFonts w:hint="eastAsia"/>
          <w:b/>
          <w:sz w:val="24"/>
          <w:szCs w:val="24"/>
        </w:rPr>
        <w:t>）</w:t>
      </w:r>
      <w:r>
        <w:rPr>
          <w:rFonts w:hint="eastAsia"/>
          <w:bCs/>
          <w:sz w:val="24"/>
          <w:szCs w:val="24"/>
        </w:rPr>
        <w:t>中标单位必须</w:t>
      </w:r>
      <w:r>
        <w:rPr>
          <w:sz w:val="24"/>
          <w:szCs w:val="24"/>
        </w:rPr>
        <w:t>按照规范开展运维和质控工作，</w:t>
      </w:r>
      <w:r>
        <w:rPr>
          <w:rFonts w:hint="eastAsia"/>
          <w:bCs/>
          <w:sz w:val="24"/>
          <w:szCs w:val="24"/>
        </w:rPr>
        <w:t>各项质控措施测试结果应符合</w:t>
      </w:r>
      <w:r>
        <w:rPr>
          <w:rFonts w:hint="eastAsia"/>
          <w:sz w:val="24"/>
          <w:szCs w:val="24"/>
        </w:rPr>
        <w:t>《地表水自动监测技术规范》HJ915-201</w:t>
      </w:r>
      <w:r>
        <w:rPr>
          <w:sz w:val="24"/>
          <w:szCs w:val="24"/>
        </w:rPr>
        <w:t>7</w:t>
      </w:r>
      <w:r>
        <w:rPr>
          <w:rFonts w:hint="eastAsia"/>
          <w:sz w:val="24"/>
          <w:szCs w:val="24"/>
        </w:rPr>
        <w:t>要求，确保数据有效</w:t>
      </w:r>
      <w:r>
        <w:rPr>
          <w:sz w:val="24"/>
          <w:szCs w:val="24"/>
        </w:rPr>
        <w:t>，</w:t>
      </w:r>
      <w:r>
        <w:rPr>
          <w:rFonts w:hint="eastAsia"/>
          <w:bCs/>
          <w:sz w:val="24"/>
          <w:szCs w:val="24"/>
        </w:rPr>
        <w:t>按照招标人要求报送数据结果；</w:t>
      </w:r>
    </w:p>
    <w:p>
      <w:pPr>
        <w:numPr>
          <w:ilvl w:val="0"/>
          <w:numId w:val="0"/>
        </w:numPr>
        <w:spacing w:line="360" w:lineRule="auto"/>
        <w:ind w:leftChars="0"/>
        <w:rPr>
          <w:sz w:val="24"/>
          <w:szCs w:val="24"/>
        </w:rPr>
      </w:pPr>
      <w:r>
        <w:rPr>
          <w:rFonts w:hint="eastAsia"/>
          <w:b/>
          <w:sz w:val="24"/>
          <w:szCs w:val="24"/>
        </w:rPr>
        <w:t>（</w:t>
      </w:r>
      <w:r>
        <w:rPr>
          <w:rFonts w:hint="eastAsia"/>
          <w:b/>
          <w:sz w:val="24"/>
          <w:szCs w:val="24"/>
          <w:lang w:val="en-US" w:eastAsia="zh-CN"/>
        </w:rPr>
        <w:t>10</w:t>
      </w:r>
      <w:r>
        <w:rPr>
          <w:rFonts w:hint="eastAsia"/>
          <w:b/>
          <w:sz w:val="24"/>
          <w:szCs w:val="24"/>
        </w:rPr>
        <w:t>）</w:t>
      </w:r>
      <w:r>
        <w:rPr>
          <w:rFonts w:hint="eastAsia"/>
          <w:bCs/>
          <w:sz w:val="24"/>
          <w:szCs w:val="24"/>
        </w:rPr>
        <w:t>中标单位必须</w:t>
      </w:r>
      <w:r>
        <w:rPr>
          <w:sz w:val="24"/>
          <w:szCs w:val="24"/>
        </w:rPr>
        <w:t>填写巡检及维护保养纸质记录</w:t>
      </w:r>
      <w:r>
        <w:rPr>
          <w:rFonts w:hint="eastAsia"/>
          <w:sz w:val="24"/>
          <w:szCs w:val="24"/>
        </w:rPr>
        <w:t>，</w:t>
      </w:r>
      <w:r>
        <w:rPr>
          <w:sz w:val="24"/>
          <w:szCs w:val="24"/>
        </w:rPr>
        <w:t xml:space="preserve">现场应放有巡检表单、耗材更换记录和配件更换记录等记录档案，表单需齐全、规范。 </w:t>
      </w:r>
    </w:p>
    <w:p>
      <w:pPr>
        <w:numPr>
          <w:ilvl w:val="0"/>
          <w:numId w:val="0"/>
        </w:numPr>
        <w:spacing w:line="360" w:lineRule="auto"/>
        <w:ind w:leftChars="0"/>
        <w:rPr>
          <w:bCs/>
          <w:sz w:val="24"/>
          <w:szCs w:val="24"/>
        </w:rPr>
      </w:pPr>
      <w:r>
        <w:rPr>
          <w:rFonts w:hint="eastAsia"/>
          <w:b/>
          <w:sz w:val="24"/>
          <w:szCs w:val="24"/>
        </w:rPr>
        <w:t>（</w:t>
      </w:r>
      <w:r>
        <w:rPr>
          <w:rFonts w:hint="eastAsia"/>
          <w:b/>
          <w:sz w:val="24"/>
          <w:szCs w:val="24"/>
          <w:lang w:val="en-US" w:eastAsia="zh-CN"/>
        </w:rPr>
        <w:t>11</w:t>
      </w:r>
      <w:r>
        <w:rPr>
          <w:rFonts w:hint="eastAsia"/>
          <w:b/>
          <w:sz w:val="24"/>
          <w:szCs w:val="24"/>
        </w:rPr>
        <w:t>）</w:t>
      </w:r>
      <w:r>
        <w:rPr>
          <w:rFonts w:hint="eastAsia"/>
          <w:bCs/>
          <w:sz w:val="24"/>
          <w:szCs w:val="24"/>
        </w:rPr>
        <w:t>针对异常数据、系统故障和数据缺失等情况，中标单位应</w:t>
      </w:r>
      <w:r>
        <w:rPr>
          <w:bCs/>
          <w:sz w:val="24"/>
          <w:szCs w:val="24"/>
        </w:rPr>
        <w:t>进行应急处理</w:t>
      </w:r>
      <w:r>
        <w:rPr>
          <w:rFonts w:hint="eastAsia"/>
          <w:bCs/>
          <w:sz w:val="24"/>
          <w:szCs w:val="24"/>
        </w:rPr>
        <w:t>。发生数据异常情况时应及时远程启动标样核查，通过核查结果初步判定仪表当前的状态是否正常；确系污染过程应启动水站加密测试模式，同时记录并上报；</w:t>
      </w:r>
    </w:p>
    <w:p>
      <w:pPr>
        <w:numPr>
          <w:ilvl w:val="0"/>
          <w:numId w:val="0"/>
        </w:numPr>
        <w:spacing w:line="360" w:lineRule="auto"/>
        <w:ind w:leftChars="0"/>
        <w:rPr>
          <w:bCs/>
          <w:sz w:val="24"/>
          <w:szCs w:val="24"/>
        </w:rPr>
      </w:pPr>
      <w:r>
        <w:rPr>
          <w:rFonts w:hint="eastAsia"/>
          <w:b/>
          <w:sz w:val="24"/>
          <w:szCs w:val="24"/>
        </w:rPr>
        <w:t>（</w:t>
      </w:r>
      <w:r>
        <w:rPr>
          <w:rFonts w:hint="eastAsia"/>
          <w:b/>
          <w:sz w:val="24"/>
          <w:szCs w:val="24"/>
          <w:lang w:val="en-US" w:eastAsia="zh-CN"/>
        </w:rPr>
        <w:t>12</w:t>
      </w:r>
      <w:r>
        <w:rPr>
          <w:rFonts w:hint="eastAsia"/>
          <w:b/>
          <w:sz w:val="24"/>
          <w:szCs w:val="24"/>
        </w:rPr>
        <w:t>）</w:t>
      </w:r>
      <w:r>
        <w:rPr>
          <w:rFonts w:hint="eastAsia"/>
          <w:bCs/>
          <w:sz w:val="24"/>
          <w:szCs w:val="24"/>
        </w:rPr>
        <w:t>水站仪器发生故障时，中标单位应及时响应（响应时间不超过8小时），并在24小时内解决所有的故障，如故障不能排除，应在48小时内更换备机；</w:t>
      </w:r>
    </w:p>
    <w:p>
      <w:pPr>
        <w:numPr>
          <w:ilvl w:val="0"/>
          <w:numId w:val="0"/>
        </w:numPr>
        <w:spacing w:line="360" w:lineRule="auto"/>
        <w:ind w:leftChars="0"/>
        <w:rPr>
          <w:bCs/>
          <w:sz w:val="24"/>
          <w:szCs w:val="24"/>
        </w:rPr>
      </w:pPr>
      <w:r>
        <w:rPr>
          <w:rFonts w:hint="eastAsia"/>
          <w:b/>
          <w:sz w:val="24"/>
          <w:szCs w:val="24"/>
        </w:rPr>
        <w:t>（</w:t>
      </w:r>
      <w:r>
        <w:rPr>
          <w:rFonts w:hint="eastAsia"/>
          <w:b/>
          <w:sz w:val="24"/>
          <w:szCs w:val="24"/>
          <w:lang w:val="en-US" w:eastAsia="zh-CN"/>
        </w:rPr>
        <w:t>13</w:t>
      </w:r>
      <w:r>
        <w:rPr>
          <w:rFonts w:hint="eastAsia"/>
          <w:b/>
          <w:sz w:val="24"/>
          <w:szCs w:val="24"/>
        </w:rPr>
        <w:t>）</w:t>
      </w:r>
      <w:r>
        <w:rPr>
          <w:rFonts w:hint="eastAsia"/>
          <w:bCs/>
          <w:sz w:val="24"/>
          <w:szCs w:val="24"/>
        </w:rPr>
        <w:t xml:space="preserve">数据采集间隔为4小时，每天每站点采集6组数据，每月采集180组数据。 </w:t>
      </w:r>
    </w:p>
    <w:p>
      <w:pPr>
        <w:numPr>
          <w:ilvl w:val="0"/>
          <w:numId w:val="0"/>
        </w:numPr>
        <w:spacing w:line="360" w:lineRule="auto"/>
        <w:ind w:leftChars="0"/>
        <w:rPr>
          <w:rFonts w:hint="eastAsia" w:eastAsia="宋体"/>
          <w:bCs/>
          <w:sz w:val="24"/>
          <w:szCs w:val="24"/>
        </w:rPr>
      </w:pPr>
      <w:r>
        <w:rPr>
          <w:rFonts w:hint="eastAsia"/>
          <w:b/>
          <w:sz w:val="24"/>
          <w:szCs w:val="24"/>
        </w:rPr>
        <w:t>（</w:t>
      </w:r>
      <w:r>
        <w:rPr>
          <w:rFonts w:hint="eastAsia"/>
          <w:b/>
          <w:sz w:val="24"/>
          <w:szCs w:val="24"/>
          <w:lang w:val="en-US" w:eastAsia="zh-CN"/>
        </w:rPr>
        <w:t>14</w:t>
      </w:r>
      <w:r>
        <w:rPr>
          <w:rFonts w:hint="eastAsia"/>
          <w:b/>
          <w:sz w:val="24"/>
          <w:szCs w:val="24"/>
        </w:rPr>
        <w:t>）</w:t>
      </w:r>
      <w:r>
        <w:rPr>
          <w:rFonts w:hint="eastAsia" w:eastAsia="宋体"/>
          <w:bCs/>
          <w:sz w:val="24"/>
          <w:szCs w:val="24"/>
          <w:lang w:val="en-US" w:eastAsia="zh-CN"/>
        </w:rPr>
        <w:t>项目建设开始到运维结束期间，所产生的</w:t>
      </w:r>
      <w:r>
        <w:rPr>
          <w:rFonts w:hint="eastAsia" w:eastAsia="宋体"/>
          <w:bCs/>
          <w:sz w:val="24"/>
          <w:szCs w:val="24"/>
        </w:rPr>
        <w:t>水电费、</w:t>
      </w:r>
      <w:r>
        <w:rPr>
          <w:rFonts w:hint="eastAsia" w:eastAsia="宋体"/>
          <w:bCs/>
          <w:sz w:val="24"/>
          <w:szCs w:val="24"/>
          <w:lang w:val="en-US" w:eastAsia="zh-CN"/>
        </w:rPr>
        <w:t>网络</w:t>
      </w:r>
      <w:r>
        <w:rPr>
          <w:rFonts w:hint="eastAsia" w:eastAsia="宋体"/>
          <w:bCs/>
          <w:sz w:val="24"/>
          <w:szCs w:val="24"/>
        </w:rPr>
        <w:t>通讯费、</w:t>
      </w:r>
      <w:r>
        <w:rPr>
          <w:rFonts w:hint="eastAsia" w:eastAsia="宋体"/>
          <w:bCs/>
          <w:sz w:val="24"/>
          <w:szCs w:val="24"/>
          <w:lang w:val="en-US" w:eastAsia="zh-CN"/>
        </w:rPr>
        <w:t>房屋或用地租金，</w:t>
      </w:r>
      <w:r>
        <w:rPr>
          <w:rFonts w:hint="eastAsia" w:eastAsia="宋体"/>
          <w:bCs/>
          <w:sz w:val="24"/>
          <w:szCs w:val="24"/>
        </w:rPr>
        <w:t>试剂耗材、仪器设备维修、设施设备的保养和水站安全保障所发生的费用等均由中标单位支付</w:t>
      </w:r>
      <w:r>
        <w:rPr>
          <w:rFonts w:hint="eastAsia" w:eastAsia="宋体"/>
          <w:bCs/>
          <w:sz w:val="24"/>
          <w:szCs w:val="24"/>
          <w:lang w:eastAsia="zh-CN"/>
        </w:rPr>
        <w:t>。</w:t>
      </w:r>
    </w:p>
    <w:p>
      <w:pPr>
        <w:tabs>
          <w:tab w:val="left" w:pos="8280"/>
        </w:tabs>
        <w:autoSpaceDE w:val="0"/>
        <w:autoSpaceDN w:val="0"/>
        <w:adjustRightInd w:val="0"/>
        <w:spacing w:line="480" w:lineRule="exact"/>
        <w:ind w:right="25"/>
        <w:rPr>
          <w:rFonts w:hint="eastAsia" w:ascii="宋体" w:hAnsi="宋体"/>
          <w:b/>
          <w:sz w:val="30"/>
          <w:szCs w:val="30"/>
        </w:rPr>
      </w:pPr>
      <w:r>
        <w:rPr>
          <w:rFonts w:hint="eastAsia" w:ascii="宋体" w:hAnsi="宋体"/>
          <w:b/>
          <w:sz w:val="30"/>
          <w:szCs w:val="30"/>
        </w:rPr>
        <w:t>三、商务需求</w:t>
      </w:r>
    </w:p>
    <w:p>
      <w:pPr>
        <w:spacing w:line="430" w:lineRule="exact"/>
        <w:ind w:firstLine="360" w:firstLineChars="150"/>
        <w:rPr>
          <w:rFonts w:hint="default" w:ascii="宋体" w:hAnsi="宋体" w:eastAsia="宋体"/>
          <w:kern w:val="0"/>
          <w:sz w:val="24"/>
          <w:lang w:val="en-US" w:eastAsia="zh-CN"/>
        </w:rPr>
      </w:pPr>
      <w:r>
        <w:rPr>
          <w:rFonts w:hint="eastAsia" w:ascii="宋体" w:hAnsi="宋体"/>
          <w:kern w:val="0"/>
          <w:sz w:val="24"/>
          <w:lang w:val="en-US" w:eastAsia="zh-CN"/>
        </w:rPr>
        <w:t>1、供货期限：合同签订后，在2022年10月底前完成</w:t>
      </w:r>
    </w:p>
    <w:p>
      <w:pPr>
        <w:spacing w:line="430" w:lineRule="exact"/>
        <w:ind w:firstLine="360" w:firstLineChars="15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w:t>
      </w:r>
      <w:r>
        <w:rPr>
          <w:rFonts w:hint="eastAsia" w:ascii="宋体" w:hAnsi="宋体" w:cs="Times New Roman"/>
          <w:kern w:val="0"/>
          <w:sz w:val="24"/>
          <w:lang w:val="en-US" w:eastAsia="zh-CN"/>
        </w:rPr>
        <w:t>供货</w:t>
      </w:r>
      <w:r>
        <w:rPr>
          <w:rFonts w:hint="eastAsia" w:ascii="宋体" w:hAnsi="宋体" w:eastAsia="宋体" w:cs="Times New Roman"/>
          <w:kern w:val="0"/>
          <w:sz w:val="24"/>
          <w:lang w:val="en-US" w:eastAsia="zh-CN"/>
        </w:rPr>
        <w:t>地点：三门县</w:t>
      </w:r>
    </w:p>
    <w:p>
      <w:pPr>
        <w:spacing w:line="430" w:lineRule="exact"/>
        <w:ind w:firstLine="360" w:firstLineChars="15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3、质保期：</w:t>
      </w:r>
      <w:bookmarkStart w:id="33" w:name="_Toc80976836"/>
      <w:bookmarkStart w:id="34" w:name="_Toc11933257"/>
      <w:bookmarkStart w:id="35" w:name="_Toc11616322"/>
      <w:bookmarkStart w:id="36" w:name="_Toc11963756"/>
      <w:bookmarkStart w:id="37" w:name="_Toc31872"/>
      <w:bookmarkStart w:id="38" w:name="_Toc21715"/>
      <w:r>
        <w:rPr>
          <w:rFonts w:hint="eastAsia" w:ascii="宋体" w:hAnsi="宋体" w:eastAsia="宋体" w:cs="Times New Roman"/>
          <w:kern w:val="0"/>
          <w:sz w:val="24"/>
          <w:lang w:val="en-US" w:eastAsia="zh-CN"/>
        </w:rPr>
        <w:t>1年。</w:t>
      </w:r>
      <w:bookmarkEnd w:id="33"/>
      <w:bookmarkEnd w:id="34"/>
      <w:bookmarkEnd w:id="35"/>
      <w:bookmarkEnd w:id="36"/>
      <w:bookmarkEnd w:id="37"/>
      <w:bookmarkEnd w:id="38"/>
    </w:p>
    <w:p>
      <w:pPr>
        <w:spacing w:line="430" w:lineRule="exact"/>
        <w:ind w:firstLine="360" w:firstLineChars="15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4、付款方式：签订合同后一周内支付40%，安装调试完成支付至70%，完成验收后支付剩余30%。</w:t>
      </w:r>
    </w:p>
    <w:p>
      <w:pPr>
        <w:spacing w:line="430" w:lineRule="exact"/>
        <w:ind w:firstLine="360" w:firstLineChars="150"/>
        <w:rPr>
          <w:rFonts w:hint="eastAsia" w:ascii="宋体" w:hAnsi="宋体" w:eastAsia="宋体" w:cs="Times New Roman"/>
          <w:kern w:val="0"/>
          <w:sz w:val="24"/>
          <w:lang w:val="en-US" w:eastAsia="zh-CN"/>
        </w:rPr>
      </w:pPr>
      <w:r>
        <w:rPr>
          <w:rFonts w:hint="eastAsia" w:ascii="宋体" w:hAnsi="宋体" w:cs="Times New Roman"/>
          <w:kern w:val="0"/>
          <w:sz w:val="24"/>
          <w:lang w:val="en-US" w:eastAsia="zh-CN"/>
        </w:rPr>
        <w:t>5</w:t>
      </w:r>
      <w:r>
        <w:rPr>
          <w:rFonts w:hint="eastAsia" w:ascii="宋体" w:hAnsi="宋体" w:eastAsia="宋体" w:cs="Times New Roman"/>
          <w:kern w:val="0"/>
          <w:sz w:val="24"/>
          <w:lang w:val="en-US" w:eastAsia="zh-CN"/>
        </w:rPr>
        <w:t>、履约保证金：无</w:t>
      </w:r>
    </w:p>
    <w:p>
      <w:pPr>
        <w:spacing w:line="430" w:lineRule="exact"/>
        <w:ind w:firstLine="360" w:firstLineChars="150"/>
        <w:rPr>
          <w:rFonts w:hint="eastAsia" w:ascii="宋体" w:hAnsi="宋体" w:eastAsia="宋体" w:cs="Times New Roman"/>
          <w:kern w:val="0"/>
          <w:sz w:val="24"/>
          <w:lang w:val="en-US" w:eastAsia="zh-CN"/>
        </w:rPr>
      </w:pPr>
      <w:r>
        <w:rPr>
          <w:rFonts w:hint="eastAsia" w:ascii="宋体" w:hAnsi="宋体" w:cs="Times New Roman"/>
          <w:kern w:val="0"/>
          <w:sz w:val="24"/>
          <w:lang w:val="en-US" w:eastAsia="zh-CN"/>
        </w:rPr>
        <w:t>6</w:t>
      </w:r>
      <w:r>
        <w:rPr>
          <w:rFonts w:hint="eastAsia" w:ascii="宋体" w:hAnsi="宋体" w:eastAsia="宋体" w:cs="Times New Roman"/>
          <w:kern w:val="0"/>
          <w:sz w:val="24"/>
          <w:lang w:val="en-US" w:eastAsia="zh-CN"/>
        </w:rPr>
        <w:t>、安全责任：成交人外业调查期间发生的人身意外事故由其自行负责，与采购人无关。</w:t>
      </w:r>
    </w:p>
    <w:p>
      <w:pPr>
        <w:pStyle w:val="11"/>
        <w:rPr>
          <w:rFonts w:hint="eastAsia" w:ascii="宋体" w:hAnsi="宋体" w:eastAsia="宋体" w:cs="Times New Roman"/>
          <w:kern w:val="0"/>
          <w:sz w:val="24"/>
          <w:lang w:val="en-US" w:eastAsia="zh-CN"/>
        </w:rPr>
      </w:pPr>
    </w:p>
    <w:p>
      <w:pPr>
        <w:pStyle w:val="12"/>
        <w:rPr>
          <w:rFonts w:hint="eastAsia"/>
          <w:lang w:val="en-US" w:eastAsia="zh-CN"/>
        </w:rPr>
      </w:pPr>
    </w:p>
    <w:p>
      <w:pPr>
        <w:rPr>
          <w:rFonts w:hint="eastAsia"/>
          <w:lang w:val="en-US" w:eastAsia="zh-CN"/>
        </w:rPr>
      </w:pPr>
    </w:p>
    <w:p>
      <w:pPr>
        <w:numPr>
          <w:ilvl w:val="0"/>
          <w:numId w:val="4"/>
        </w:numPr>
        <w:spacing w:line="360" w:lineRule="auto"/>
        <w:jc w:val="center"/>
        <w:rPr>
          <w:rFonts w:ascii="宋体" w:hAnsi="宋体"/>
          <w:b/>
          <w:sz w:val="36"/>
          <w:szCs w:val="36"/>
        </w:rPr>
      </w:pPr>
      <w:bookmarkStart w:id="39" w:name="_Toc31173_WPSOffice_Level1"/>
      <w:r>
        <w:rPr>
          <w:rFonts w:hint="eastAsia" w:ascii="宋体" w:hAnsi="宋体"/>
          <w:b/>
          <w:sz w:val="36"/>
          <w:szCs w:val="36"/>
        </w:rPr>
        <w:t>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w:t>
      </w:r>
      <w:r>
        <w:rPr>
          <w:rFonts w:hint="eastAsia" w:ascii="宋体" w:hAnsi="宋体"/>
          <w:sz w:val="24"/>
        </w:rPr>
        <w:t>供应商</w:t>
      </w:r>
      <w:r>
        <w:rPr>
          <w:rFonts w:hint="eastAsia" w:ascii="宋体" w:hAnsi="宋体" w:cs="宋体"/>
          <w:sz w:val="24"/>
        </w:rPr>
        <w:t>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w:t>
      </w:r>
      <w:r>
        <w:rPr>
          <w:rFonts w:hint="eastAsia" w:ascii="宋体" w:hAnsi="宋体"/>
          <w:sz w:val="24"/>
        </w:rPr>
        <w:t>供应商</w:t>
      </w:r>
      <w:r>
        <w:rPr>
          <w:rFonts w:hint="eastAsia" w:ascii="宋体" w:hAnsi="宋体" w:cs="宋体"/>
          <w:sz w:val="24"/>
        </w:rPr>
        <w:t>为中标候选人的评标方法。</w:t>
      </w:r>
    </w:p>
    <w:p>
      <w:pPr>
        <w:pStyle w:val="34"/>
        <w:spacing w:after="0" w:line="360" w:lineRule="auto"/>
        <w:ind w:left="0" w:leftChars="0" w:firstLine="482" w:firstLineChars="200"/>
        <w:rPr>
          <w:rFonts w:ascii="宋体" w:hAnsi="宋体"/>
          <w:b/>
          <w:sz w:val="24"/>
        </w:rPr>
      </w:pPr>
      <w:r>
        <w:rPr>
          <w:rFonts w:hint="eastAsia" w:ascii="宋体" w:hAnsi="宋体"/>
          <w:b/>
          <w:sz w:val="24"/>
        </w:rPr>
        <w:t>三、评标委员会</w:t>
      </w:r>
    </w:p>
    <w:p>
      <w:pPr>
        <w:pStyle w:val="30"/>
        <w:spacing w:line="360" w:lineRule="auto"/>
        <w:ind w:firstLine="480" w:firstLineChars="200"/>
        <w:rPr>
          <w:rFonts w:ascii="宋体" w:hAnsi="宋体" w:cs="宋体"/>
          <w:sz w:val="24"/>
        </w:rPr>
      </w:pPr>
      <w:r>
        <w:rPr>
          <w:rFonts w:hint="eastAsia" w:ascii="宋体" w:hAnsi="宋体" w:cs="宋体"/>
          <w:sz w:val="24"/>
        </w:rPr>
        <w:t>（一）本项目评标委员会由采购人代表和评审专家组成。</w:t>
      </w:r>
    </w:p>
    <w:p>
      <w:pPr>
        <w:pStyle w:val="30"/>
        <w:spacing w:line="360" w:lineRule="auto"/>
        <w:ind w:firstLine="480" w:firstLineChars="200"/>
        <w:rPr>
          <w:rFonts w:ascii="宋体" w:hAnsi="宋体" w:cs="宋体"/>
          <w:sz w:val="24"/>
        </w:rPr>
      </w:pPr>
      <w:r>
        <w:rPr>
          <w:rFonts w:hint="eastAsia" w:ascii="宋体" w:hAnsi="宋体" w:cs="宋体"/>
          <w:sz w:val="24"/>
        </w:rPr>
        <w:t>（二）评标委员会成员与参与投标的供应商有下列情形之一的，应当回避：</w:t>
      </w:r>
    </w:p>
    <w:p>
      <w:pPr>
        <w:pStyle w:val="30"/>
        <w:spacing w:line="360" w:lineRule="auto"/>
        <w:ind w:firstLine="480" w:firstLineChars="200"/>
        <w:rPr>
          <w:rFonts w:ascii="宋体" w:hAnsi="宋体"/>
          <w:sz w:val="24"/>
        </w:rPr>
      </w:pPr>
      <w:r>
        <w:rPr>
          <w:rFonts w:hint="eastAsia" w:ascii="宋体" w:hAnsi="宋体"/>
          <w:sz w:val="24"/>
        </w:rPr>
        <w:t>1.参加采购活动前3年内与供应商存在劳动关系；</w:t>
      </w:r>
    </w:p>
    <w:p>
      <w:pPr>
        <w:pStyle w:val="30"/>
        <w:spacing w:line="360" w:lineRule="auto"/>
        <w:ind w:firstLine="480" w:firstLineChars="200"/>
        <w:rPr>
          <w:rFonts w:ascii="宋体" w:hAnsi="宋体"/>
          <w:sz w:val="24"/>
        </w:rPr>
      </w:pPr>
      <w:r>
        <w:rPr>
          <w:rFonts w:hint="eastAsia" w:ascii="宋体" w:hAnsi="宋体"/>
          <w:sz w:val="24"/>
        </w:rPr>
        <w:t>2.参加采购活动前3年内担任供应商的董事、监事；</w:t>
      </w:r>
    </w:p>
    <w:p>
      <w:pPr>
        <w:pStyle w:val="30"/>
        <w:spacing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pPr>
        <w:pStyle w:val="30"/>
        <w:spacing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pPr>
        <w:pStyle w:val="30"/>
        <w:spacing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pPr>
        <w:pStyle w:val="30"/>
        <w:spacing w:line="360" w:lineRule="auto"/>
        <w:ind w:firstLine="480" w:firstLineChars="200"/>
        <w:rPr>
          <w:rFonts w:ascii="宋体" w:hAnsi="宋体"/>
          <w:sz w:val="24"/>
        </w:rPr>
      </w:pPr>
      <w:r>
        <w:rPr>
          <w:rFonts w:hint="eastAsia" w:ascii="宋体" w:hAnsi="宋体"/>
          <w:sz w:val="24"/>
        </w:rPr>
        <w:t>6.法律法规规定的其他情形。</w:t>
      </w:r>
    </w:p>
    <w:p>
      <w:pPr>
        <w:pStyle w:val="30"/>
        <w:spacing w:line="360" w:lineRule="auto"/>
        <w:ind w:firstLine="480" w:firstLineChars="200"/>
        <w:rPr>
          <w:rFonts w:ascii="宋体" w:hAnsi="宋体"/>
          <w:sz w:val="24"/>
        </w:rPr>
      </w:pPr>
      <w:r>
        <w:rPr>
          <w:rFonts w:hint="eastAsia" w:ascii="宋体" w:hAnsi="宋体"/>
          <w:sz w:val="24"/>
        </w:rPr>
        <w:t>（三）评标委员会负责具体评标事务，并独立履行下列职责：</w:t>
      </w:r>
    </w:p>
    <w:p>
      <w:pPr>
        <w:pStyle w:val="30"/>
        <w:spacing w:line="360" w:lineRule="auto"/>
        <w:ind w:firstLine="480" w:firstLineChars="200"/>
        <w:rPr>
          <w:rFonts w:ascii="宋体" w:hAnsi="宋体"/>
          <w:sz w:val="24"/>
        </w:rPr>
      </w:pPr>
      <w:r>
        <w:rPr>
          <w:rFonts w:hint="eastAsia" w:ascii="宋体" w:hAnsi="宋体"/>
          <w:sz w:val="24"/>
        </w:rPr>
        <w:t>1.审查、评价投标文件是否符合招标文件的商务、技术等实质性要求；</w:t>
      </w:r>
    </w:p>
    <w:p>
      <w:pPr>
        <w:pStyle w:val="30"/>
        <w:spacing w:line="360" w:lineRule="auto"/>
        <w:ind w:firstLine="480" w:firstLineChars="200"/>
        <w:rPr>
          <w:rFonts w:ascii="宋体" w:hAnsi="宋体"/>
          <w:sz w:val="24"/>
        </w:rPr>
      </w:pPr>
      <w:r>
        <w:rPr>
          <w:rFonts w:hint="eastAsia" w:ascii="宋体" w:hAnsi="宋体"/>
          <w:sz w:val="24"/>
        </w:rPr>
        <w:t>2.要求供应商对投标文件有关事项作出澄清或者说明；</w:t>
      </w:r>
    </w:p>
    <w:p>
      <w:pPr>
        <w:pStyle w:val="30"/>
        <w:spacing w:line="360" w:lineRule="auto"/>
        <w:ind w:firstLine="480" w:firstLineChars="200"/>
        <w:rPr>
          <w:rFonts w:ascii="宋体" w:hAnsi="宋体"/>
          <w:sz w:val="24"/>
        </w:rPr>
      </w:pPr>
      <w:r>
        <w:rPr>
          <w:rFonts w:hint="eastAsia" w:ascii="宋体" w:hAnsi="宋体"/>
          <w:sz w:val="24"/>
        </w:rPr>
        <w:t>3.对投标文件进行比较和评价；</w:t>
      </w:r>
    </w:p>
    <w:p>
      <w:pPr>
        <w:pStyle w:val="30"/>
        <w:spacing w:line="360" w:lineRule="auto"/>
        <w:ind w:firstLine="480" w:firstLineChars="200"/>
        <w:rPr>
          <w:rFonts w:ascii="宋体" w:hAnsi="宋体"/>
          <w:sz w:val="24"/>
        </w:rPr>
      </w:pPr>
      <w:r>
        <w:rPr>
          <w:rFonts w:hint="eastAsia" w:ascii="宋体" w:hAnsi="宋体"/>
          <w:sz w:val="24"/>
        </w:rPr>
        <w:t>4.确定中标候选人名单，以及根据采购人委托直接确定中标人；</w:t>
      </w:r>
    </w:p>
    <w:p>
      <w:pPr>
        <w:pStyle w:val="30"/>
        <w:spacing w:line="360" w:lineRule="auto"/>
        <w:ind w:firstLine="480" w:firstLineChars="200"/>
        <w:rPr>
          <w:rFonts w:ascii="宋体" w:hAnsi="宋体"/>
          <w:sz w:val="24"/>
        </w:rPr>
      </w:pPr>
      <w:r>
        <w:rPr>
          <w:rFonts w:hint="eastAsia" w:ascii="宋体" w:hAnsi="宋体"/>
          <w:sz w:val="24"/>
        </w:rPr>
        <w:t>5.向采购人、采购组织机构或者有关部门报告评标中发现的违法行为；</w:t>
      </w:r>
    </w:p>
    <w:p>
      <w:pPr>
        <w:pStyle w:val="30"/>
        <w:spacing w:line="360" w:lineRule="auto"/>
        <w:ind w:firstLine="480" w:firstLineChars="200"/>
        <w:rPr>
          <w:rFonts w:ascii="宋体" w:hAnsi="宋体"/>
          <w:sz w:val="24"/>
        </w:rPr>
      </w:pPr>
      <w:r>
        <w:rPr>
          <w:rFonts w:hint="eastAsia" w:ascii="宋体" w:hAnsi="宋体"/>
          <w:sz w:val="24"/>
        </w:rPr>
        <w:t>6.法律法规规定的其他职责。</w:t>
      </w:r>
    </w:p>
    <w:p>
      <w:pPr>
        <w:pStyle w:val="37"/>
        <w:spacing w:before="0" w:beforeAutospacing="0" w:after="0" w:afterAutospacing="0" w:line="360" w:lineRule="auto"/>
        <w:ind w:firstLine="482" w:firstLineChars="200"/>
        <w:jc w:val="both"/>
        <w:rPr>
          <w:rFonts w:hint="default"/>
          <w:b/>
        </w:rPr>
      </w:pPr>
      <w:r>
        <w:rPr>
          <w:b/>
        </w:rPr>
        <w:t>四、无效标情形</w:t>
      </w:r>
    </w:p>
    <w:p>
      <w:pPr>
        <w:adjustRightInd w:val="0"/>
        <w:snapToGrid w:val="0"/>
        <w:spacing w:line="360" w:lineRule="auto"/>
        <w:ind w:firstLine="480" w:firstLineChars="200"/>
        <w:rPr>
          <w:rFonts w:ascii="宋体" w:hAnsi="宋体"/>
          <w:b/>
          <w:bCs/>
          <w:sz w:val="24"/>
        </w:rPr>
      </w:pPr>
      <w:r>
        <w:rPr>
          <w:rFonts w:hint="eastAsia" w:ascii="宋体" w:hAnsi="宋体"/>
          <w:kern w:val="0"/>
          <w:sz w:val="24"/>
        </w:rPr>
        <w:t>（一）在资格证明文件或商务与技术文件中出现投标报价的，或者报价文件中报价的服务跟商务与技术文件中的投标服务出现重大偏差的；</w:t>
      </w:r>
    </w:p>
    <w:p>
      <w:pPr>
        <w:pStyle w:val="37"/>
        <w:tabs>
          <w:tab w:val="left" w:pos="7380"/>
        </w:tabs>
        <w:adjustRightInd w:val="0"/>
        <w:snapToGrid w:val="0"/>
        <w:spacing w:before="0" w:beforeAutospacing="0" w:after="0" w:afterAutospacing="0" w:line="360" w:lineRule="auto"/>
        <w:ind w:firstLine="480" w:firstLineChars="200"/>
        <w:jc w:val="both"/>
        <w:rPr>
          <w:rFonts w:hint="default"/>
        </w:rPr>
      </w:pPr>
      <w:r>
        <w:t>（二）不具备招标文件中规定的资格要求的；</w:t>
      </w:r>
      <w:r>
        <w:rPr>
          <w:rFonts w:hint="default"/>
        </w:rPr>
        <w:tab/>
      </w:r>
    </w:p>
    <w:p>
      <w:pPr>
        <w:pStyle w:val="37"/>
        <w:adjustRightInd w:val="0"/>
        <w:snapToGrid w:val="0"/>
        <w:spacing w:before="0" w:beforeAutospacing="0" w:after="0" w:afterAutospacing="0" w:line="360" w:lineRule="auto"/>
        <w:ind w:firstLine="480" w:firstLineChars="200"/>
        <w:jc w:val="both"/>
        <w:rPr>
          <w:rFonts w:hint="default"/>
        </w:rPr>
      </w:pPr>
      <w:r>
        <w:t>（三）投标文件含有采购人不能接受的附加条件的；</w:t>
      </w:r>
    </w:p>
    <w:p>
      <w:pPr>
        <w:pStyle w:val="10"/>
        <w:spacing w:line="360" w:lineRule="auto"/>
        <w:ind w:firstLine="480" w:firstLineChars="200"/>
        <w:jc w:val="both"/>
        <w:rPr>
          <w:rFonts w:ascii="宋体" w:hAnsi="宋体"/>
          <w:bCs/>
          <w:kern w:val="0"/>
          <w:sz w:val="24"/>
        </w:rPr>
      </w:pPr>
      <w:r>
        <w:rPr>
          <w:rFonts w:hint="eastAsia" w:ascii="宋体" w:hAnsi="宋体"/>
          <w:kern w:val="0"/>
          <w:sz w:val="24"/>
        </w:rPr>
        <w:t>（四）评标委员会认为</w:t>
      </w:r>
      <w:r>
        <w:rPr>
          <w:rFonts w:hint="eastAsia" w:ascii="宋体" w:hAnsi="宋体"/>
          <w:sz w:val="24"/>
        </w:rPr>
        <w:t>供应商</w:t>
      </w:r>
      <w:r>
        <w:rPr>
          <w:rFonts w:hint="eastAsia" w:ascii="宋体" w:hAnsi="宋体"/>
          <w:kern w:val="0"/>
          <w:sz w:val="24"/>
        </w:rPr>
        <w:t>的报价明显低于其他通过符合性审查</w:t>
      </w:r>
      <w:r>
        <w:rPr>
          <w:rFonts w:hint="eastAsia" w:ascii="宋体" w:hAnsi="宋体"/>
          <w:sz w:val="24"/>
        </w:rPr>
        <w:t>供应商</w:t>
      </w:r>
      <w:r>
        <w:rPr>
          <w:rFonts w:hint="eastAsia" w:ascii="宋体" w:hAnsi="宋体"/>
          <w:kern w:val="0"/>
          <w:sz w:val="24"/>
        </w:rPr>
        <w:t>的报价，有可能影响服务质量或者不能诚信履约的，</w:t>
      </w:r>
      <w:r>
        <w:rPr>
          <w:rFonts w:hint="eastAsia" w:ascii="宋体" w:hAnsi="宋体"/>
          <w:sz w:val="24"/>
        </w:rPr>
        <w:t>供应商</w:t>
      </w:r>
      <w:r>
        <w:rPr>
          <w:rFonts w:hint="eastAsia" w:ascii="宋体" w:hAnsi="宋体"/>
          <w:kern w:val="0"/>
          <w:sz w:val="24"/>
        </w:rPr>
        <w:t>在限定的时间内不能证明其报价合理性的，评标委员会应当将其作为无效投标处理；</w:t>
      </w:r>
    </w:p>
    <w:p>
      <w:pPr>
        <w:pStyle w:val="37"/>
        <w:adjustRightInd w:val="0"/>
        <w:snapToGrid w:val="0"/>
        <w:spacing w:before="0" w:beforeAutospacing="0" w:after="0" w:afterAutospacing="0" w:line="360" w:lineRule="auto"/>
        <w:ind w:firstLine="480" w:firstLineChars="200"/>
        <w:jc w:val="both"/>
        <w:rPr>
          <w:rFonts w:hint="default"/>
        </w:rPr>
      </w:pPr>
      <w:r>
        <w:t xml:space="preserve">（五）报价超过招标文件中规定的预算金额和最高限价或未填写投标报价的； </w:t>
      </w:r>
    </w:p>
    <w:p>
      <w:pPr>
        <w:pStyle w:val="10"/>
        <w:spacing w:line="360" w:lineRule="auto"/>
        <w:ind w:firstLine="480" w:firstLineChars="200"/>
        <w:rPr>
          <w:rFonts w:ascii="宋体" w:hAnsi="宋体"/>
          <w:b/>
          <w:bCs/>
          <w:kern w:val="0"/>
          <w:sz w:val="24"/>
        </w:rPr>
      </w:pPr>
      <w:r>
        <w:rPr>
          <w:rFonts w:hint="eastAsia" w:ascii="宋体" w:hAnsi="宋体"/>
          <w:kern w:val="0"/>
          <w:sz w:val="24"/>
        </w:rPr>
        <w:t>（六）</w:t>
      </w:r>
      <w:r>
        <w:rPr>
          <w:rFonts w:hint="eastAsia" w:ascii="宋体" w:hAnsi="宋体" w:eastAsia="宋体"/>
          <w:kern w:val="0"/>
          <w:sz w:val="24"/>
        </w:rPr>
        <w:t>主要性能参数指标负偏离</w:t>
      </w:r>
      <w:r>
        <w:rPr>
          <w:rFonts w:ascii="宋体" w:hAnsi="宋体" w:eastAsia="宋体"/>
          <w:kern w:val="0"/>
          <w:sz w:val="24"/>
        </w:rPr>
        <w:t>8</w:t>
      </w:r>
      <w:r>
        <w:rPr>
          <w:rFonts w:hint="eastAsia" w:ascii="宋体" w:hAnsi="宋体" w:eastAsia="宋体"/>
          <w:kern w:val="0"/>
          <w:sz w:val="24"/>
        </w:rPr>
        <w:t>项（含）以上的；</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（九）有</w:t>
      </w:r>
      <w:r>
        <w:rPr>
          <w:rFonts w:ascii="宋体" w:hAnsi="宋体"/>
          <w:kern w:val="0"/>
          <w:sz w:val="24"/>
        </w:rPr>
        <w:t>中华人民共和国财政部令第87号《政府采购货物和服务招标投标管理办法》第三十七条情形之一的，视为</w:t>
      </w:r>
      <w:r>
        <w:rPr>
          <w:rFonts w:hint="eastAsia" w:ascii="宋体" w:hAnsi="宋体"/>
          <w:sz w:val="24"/>
        </w:rPr>
        <w:t>供应商</w:t>
      </w:r>
      <w:r>
        <w:rPr>
          <w:rFonts w:ascii="宋体" w:hAnsi="宋体"/>
          <w:kern w:val="0"/>
          <w:sz w:val="24"/>
        </w:rPr>
        <w:t>串通投标，其投标无效</w:t>
      </w:r>
      <w:r>
        <w:rPr>
          <w:rFonts w:hint="eastAsia" w:ascii="宋体" w:hAnsi="宋体"/>
          <w:kern w:val="0"/>
          <w:sz w:val="24"/>
        </w:rPr>
        <w:t>，并移送采购监管部门</w:t>
      </w:r>
      <w:r>
        <w:rPr>
          <w:rFonts w:ascii="宋体" w:hAnsi="宋体"/>
          <w:kern w:val="0"/>
          <w:sz w:val="24"/>
        </w:rPr>
        <w:t>：</w:t>
      </w:r>
    </w:p>
    <w:p>
      <w:pPr>
        <w:tabs>
          <w:tab w:val="left" w:pos="1898"/>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不同</w:t>
      </w:r>
      <w:r>
        <w:rPr>
          <w:rFonts w:hint="eastAsia" w:ascii="宋体" w:hAnsi="宋体"/>
          <w:sz w:val="24"/>
        </w:rPr>
        <w:t>供应商</w:t>
      </w:r>
      <w:r>
        <w:rPr>
          <w:rFonts w:ascii="宋体" w:hAnsi="宋体"/>
          <w:sz w:val="24"/>
        </w:rPr>
        <w:t>的投标文件由同一单位或者个人编制；</w:t>
      </w:r>
    </w:p>
    <w:p>
      <w:pPr>
        <w:pStyle w:val="37"/>
        <w:spacing w:before="0" w:beforeAutospacing="0" w:after="0" w:afterAutospacing="0" w:line="360" w:lineRule="auto"/>
        <w:ind w:firstLine="480" w:firstLineChars="200"/>
        <w:jc w:val="both"/>
        <w:rPr>
          <w:rFonts w:hint="default"/>
        </w:rPr>
      </w:pPr>
      <w:r>
        <w:t>2.不同供应商委托同一单位或者个人办理投标事宜；</w:t>
      </w:r>
    </w:p>
    <w:p>
      <w:pPr>
        <w:pStyle w:val="37"/>
        <w:spacing w:before="0" w:beforeAutospacing="0" w:after="0" w:afterAutospacing="0" w:line="360" w:lineRule="auto"/>
        <w:ind w:firstLine="480" w:firstLineChars="200"/>
        <w:jc w:val="both"/>
        <w:rPr>
          <w:rFonts w:hint="default"/>
        </w:rPr>
      </w:pPr>
      <w:r>
        <w:t>3.不同供应商的投标文件载明的项目管理成员或者联系人员为同一人；</w:t>
      </w:r>
    </w:p>
    <w:p>
      <w:pPr>
        <w:pStyle w:val="37"/>
        <w:spacing w:before="0" w:beforeAutospacing="0" w:after="0" w:afterAutospacing="0" w:line="360" w:lineRule="auto"/>
        <w:ind w:firstLine="480" w:firstLineChars="200"/>
        <w:jc w:val="both"/>
        <w:rPr>
          <w:rFonts w:hint="default"/>
        </w:rPr>
      </w:pPr>
      <w:r>
        <w:t>4.不同供应商的投标文件异常一致或者投标报价呈规律性差异；</w:t>
      </w:r>
    </w:p>
    <w:p>
      <w:pPr>
        <w:pStyle w:val="37"/>
        <w:spacing w:before="0" w:beforeAutospacing="0" w:after="0" w:afterAutospacing="0" w:line="360" w:lineRule="auto"/>
        <w:ind w:firstLine="480" w:firstLineChars="200"/>
        <w:jc w:val="both"/>
        <w:rPr>
          <w:rFonts w:hint="default"/>
        </w:rPr>
      </w:pPr>
      <w:r>
        <w:t>5.不同供应商的投标文件相互混装。</w:t>
      </w:r>
    </w:p>
    <w:p>
      <w:pPr>
        <w:pStyle w:val="30"/>
        <w:spacing w:line="360" w:lineRule="auto"/>
        <w:ind w:firstLine="480" w:firstLineChars="200"/>
        <w:rPr>
          <w:rFonts w:hint="eastAsia" w:ascii="宋体" w:hAnsi="宋体"/>
          <w:kern w:val="0"/>
          <w:sz w:val="24"/>
        </w:rPr>
      </w:pPr>
      <w:r>
        <w:rPr>
          <w:rFonts w:hint="eastAsia" w:ascii="宋体" w:hAnsi="宋体"/>
          <w:kern w:val="0"/>
          <w:sz w:val="24"/>
        </w:rPr>
        <w:t>（十）商务条款不响应的；</w:t>
      </w:r>
    </w:p>
    <w:p>
      <w:pPr>
        <w:pStyle w:val="30"/>
        <w:spacing w:line="360" w:lineRule="auto"/>
        <w:ind w:firstLine="480" w:firstLineChars="200"/>
        <w:rPr>
          <w:rFonts w:hint="eastAsia" w:ascii="宋体" w:hAnsi="宋体"/>
          <w:kern w:val="0"/>
          <w:sz w:val="24"/>
        </w:rPr>
      </w:pPr>
      <w:r>
        <w:rPr>
          <w:rFonts w:hint="eastAsia" w:ascii="宋体" w:hAnsi="宋体"/>
          <w:kern w:val="0"/>
          <w:sz w:val="24"/>
        </w:rPr>
        <w:t>（十</w:t>
      </w:r>
      <w:r>
        <w:rPr>
          <w:rFonts w:hint="eastAsia" w:ascii="宋体" w:hAnsi="宋体"/>
          <w:kern w:val="0"/>
          <w:sz w:val="24"/>
          <w:lang w:eastAsia="zh-CN"/>
        </w:rPr>
        <w:t>一</w:t>
      </w:r>
      <w:r>
        <w:rPr>
          <w:rFonts w:hint="eastAsia" w:ascii="宋体" w:hAnsi="宋体"/>
          <w:kern w:val="0"/>
          <w:sz w:val="24"/>
        </w:rPr>
        <w:t>）</w:t>
      </w:r>
      <w:r>
        <w:rPr>
          <w:rFonts w:hint="eastAsia" w:ascii="宋体" w:hAnsi="宋体"/>
          <w:kern w:val="0"/>
          <w:sz w:val="24"/>
          <w:lang w:val="zh-CN"/>
        </w:rPr>
        <w:t>带“</w:t>
      </w:r>
      <w:r>
        <w:rPr>
          <w:rFonts w:hint="eastAsia" w:ascii="宋体" w:hAnsi="宋体"/>
          <w:kern w:val="0"/>
          <w:sz w:val="24"/>
        </w:rPr>
        <w:t>★”的条款</w:t>
      </w:r>
      <w:r>
        <w:rPr>
          <w:rFonts w:hint="eastAsia" w:ascii="宋体" w:hAnsi="宋体"/>
          <w:kern w:val="0"/>
          <w:sz w:val="24"/>
          <w:lang w:eastAsia="zh-CN"/>
        </w:rPr>
        <w:t>未</w:t>
      </w:r>
      <w:r>
        <w:rPr>
          <w:rFonts w:hint="eastAsia" w:ascii="宋体" w:hAnsi="宋体"/>
          <w:kern w:val="0"/>
          <w:sz w:val="24"/>
        </w:rPr>
        <w:t>作出实质性响应</w:t>
      </w:r>
      <w:r>
        <w:rPr>
          <w:rFonts w:hint="eastAsia" w:ascii="宋体" w:hAnsi="宋体"/>
          <w:kern w:val="0"/>
          <w:sz w:val="24"/>
          <w:lang w:eastAsia="zh-CN"/>
        </w:rPr>
        <w:t>；</w:t>
      </w:r>
    </w:p>
    <w:p>
      <w:pPr>
        <w:pStyle w:val="30"/>
        <w:spacing w:line="360" w:lineRule="auto"/>
        <w:ind w:firstLine="480" w:firstLineChars="200"/>
        <w:rPr>
          <w:rFonts w:ascii="宋体" w:hAnsi="宋体"/>
          <w:kern w:val="0"/>
          <w:sz w:val="24"/>
        </w:rPr>
      </w:pPr>
      <w:r>
        <w:rPr>
          <w:rFonts w:hint="eastAsia" w:ascii="宋体" w:hAnsi="宋体"/>
          <w:kern w:val="0"/>
          <w:sz w:val="24"/>
        </w:rPr>
        <w:t>（十</w:t>
      </w:r>
      <w:r>
        <w:rPr>
          <w:rFonts w:hint="eastAsia" w:ascii="宋体" w:hAnsi="宋体"/>
          <w:kern w:val="0"/>
          <w:sz w:val="24"/>
          <w:lang w:eastAsia="zh-CN"/>
        </w:rPr>
        <w:t>二</w:t>
      </w:r>
      <w:r>
        <w:rPr>
          <w:rFonts w:hint="eastAsia" w:ascii="宋体" w:hAnsi="宋体"/>
          <w:kern w:val="0"/>
          <w:sz w:val="24"/>
        </w:rPr>
        <w:t>）投标文件有效期不足的；</w:t>
      </w:r>
    </w:p>
    <w:p>
      <w:pPr>
        <w:pStyle w:val="30"/>
        <w:spacing w:line="360" w:lineRule="auto"/>
        <w:ind w:firstLine="480" w:firstLineChars="200"/>
        <w:rPr>
          <w:rFonts w:ascii="宋体" w:hAnsi="宋体"/>
          <w:kern w:val="0"/>
          <w:sz w:val="24"/>
        </w:rPr>
      </w:pPr>
      <w:r>
        <w:rPr>
          <w:rFonts w:hint="eastAsia" w:ascii="宋体" w:hAnsi="宋体"/>
          <w:kern w:val="0"/>
          <w:sz w:val="24"/>
        </w:rPr>
        <w:t>（十</w:t>
      </w:r>
      <w:r>
        <w:rPr>
          <w:rFonts w:hint="eastAsia" w:ascii="宋体" w:hAnsi="宋体"/>
          <w:kern w:val="0"/>
          <w:sz w:val="24"/>
          <w:lang w:eastAsia="zh-CN"/>
        </w:rPr>
        <w:t>三</w:t>
      </w:r>
      <w:r>
        <w:rPr>
          <w:rFonts w:hint="eastAsia" w:ascii="宋体" w:hAnsi="宋体"/>
          <w:kern w:val="0"/>
          <w:sz w:val="24"/>
        </w:rPr>
        <w:t>）逾期或未按要求提交投标文件的；</w:t>
      </w:r>
    </w:p>
    <w:p>
      <w:pPr>
        <w:pStyle w:val="30"/>
        <w:spacing w:line="360" w:lineRule="auto"/>
        <w:ind w:firstLine="480" w:firstLineChars="200"/>
        <w:rPr>
          <w:rFonts w:ascii="宋体" w:hAnsi="宋体"/>
          <w:kern w:val="0"/>
          <w:sz w:val="24"/>
        </w:rPr>
      </w:pPr>
      <w:r>
        <w:rPr>
          <w:rFonts w:hint="eastAsia" w:ascii="宋体" w:hAnsi="宋体"/>
          <w:kern w:val="0"/>
          <w:sz w:val="24"/>
        </w:rPr>
        <w:t>（十</w:t>
      </w:r>
      <w:r>
        <w:rPr>
          <w:rFonts w:hint="eastAsia" w:ascii="宋体" w:hAnsi="宋体"/>
          <w:kern w:val="0"/>
          <w:sz w:val="24"/>
          <w:lang w:eastAsia="zh-CN"/>
        </w:rPr>
        <w:t>四</w:t>
      </w:r>
      <w:r>
        <w:rPr>
          <w:rFonts w:hint="eastAsia" w:ascii="宋体" w:hAnsi="宋体"/>
          <w:kern w:val="0"/>
          <w:sz w:val="24"/>
        </w:rPr>
        <w:t>）其他</w:t>
      </w:r>
      <w:r>
        <w:rPr>
          <w:rFonts w:ascii="宋体" w:hAnsi="宋体" w:cs="宋体"/>
          <w:sz w:val="24"/>
        </w:rPr>
        <w:t>不符合法律法规相关规定的</w:t>
      </w:r>
      <w:r>
        <w:rPr>
          <w:rFonts w:hint="eastAsia" w:ascii="宋体" w:hAnsi="宋体" w:cs="宋体"/>
          <w:sz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37"/>
        <w:spacing w:before="0" w:beforeAutospacing="0" w:after="0" w:afterAutospacing="0" w:line="360" w:lineRule="auto"/>
        <w:ind w:firstLine="480" w:firstLineChars="200"/>
        <w:jc w:val="both"/>
        <w:rPr>
          <w:rFonts w:hint="default" w:cs="宋体"/>
        </w:rPr>
      </w:pPr>
      <w:r>
        <w:t>（一）</w:t>
      </w:r>
      <w:r>
        <w:rPr>
          <w:rFonts w:cs="宋体"/>
        </w:rPr>
        <w:t>出现影响采购公正的违法、违规行为的；</w:t>
      </w:r>
    </w:p>
    <w:p>
      <w:pPr>
        <w:pStyle w:val="37"/>
        <w:spacing w:before="0" w:beforeAutospacing="0" w:after="0" w:afterAutospacing="0" w:line="360" w:lineRule="auto"/>
        <w:ind w:firstLine="480" w:firstLineChars="200"/>
        <w:jc w:val="both"/>
        <w:rPr>
          <w:rFonts w:hint="default" w:cs="宋体"/>
          <w:b/>
          <w:bCs/>
        </w:rPr>
      </w:pPr>
      <w:r>
        <w:t>（二）</w:t>
      </w:r>
      <w:r>
        <w:rPr>
          <w:rFonts w:cs="宋体"/>
        </w:rPr>
        <w:t>评标委员会发现招标文件存在歧义、重大缺陷导致评标工作无法进行，或者招标文件内容违反国家有关强制性规定的；</w:t>
      </w:r>
    </w:p>
    <w:p>
      <w:pPr>
        <w:pStyle w:val="37"/>
        <w:spacing w:before="0" w:beforeAutospacing="0" w:after="0" w:afterAutospacing="0" w:line="360" w:lineRule="auto"/>
        <w:ind w:firstLine="480" w:firstLineChars="200"/>
        <w:jc w:val="both"/>
        <w:rPr>
          <w:rFonts w:hint="default" w:cs="宋体"/>
        </w:rPr>
      </w:pPr>
      <w:r>
        <w:t>（三）</w:t>
      </w:r>
      <w:r>
        <w:rPr>
          <w:rFonts w:cs="宋体"/>
        </w:rPr>
        <w:t>因重大变故，采购任务取消的；</w:t>
      </w:r>
    </w:p>
    <w:p>
      <w:pPr>
        <w:pStyle w:val="37"/>
        <w:spacing w:before="0" w:beforeAutospacing="0" w:after="0" w:afterAutospacing="0" w:line="360" w:lineRule="auto"/>
        <w:ind w:firstLine="480" w:firstLineChars="200"/>
        <w:jc w:val="both"/>
        <w:rPr>
          <w:rFonts w:hint="default" w:cs="宋体"/>
        </w:rPr>
      </w:pPr>
      <w:r>
        <w:t>（四）</w:t>
      </w:r>
      <w:r>
        <w:rPr>
          <w:rFonts w:cs="宋体"/>
        </w:rPr>
        <w:t>法律、法规和招标文件规定的其他导致评标结果无效的。</w:t>
      </w:r>
    </w:p>
    <w:p>
      <w:pPr>
        <w:pStyle w:val="32"/>
        <w:snapToGrid w:val="0"/>
        <w:spacing w:line="360" w:lineRule="auto"/>
        <w:ind w:firstLine="482" w:firstLineChars="200"/>
        <w:rPr>
          <w:rFonts w:hAnsi="宋体" w:cs="宋体"/>
          <w:b/>
          <w:sz w:val="24"/>
        </w:rPr>
      </w:pPr>
      <w:r>
        <w:rPr>
          <w:rFonts w:hint="eastAsia" w:hAnsi="宋体" w:cs="宋体"/>
          <w:b/>
          <w:sz w:val="24"/>
        </w:rPr>
        <w:t>六、评标过程的监控</w:t>
      </w:r>
    </w:p>
    <w:p>
      <w:pPr>
        <w:pStyle w:val="3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w:t>
      </w:r>
      <w:r>
        <w:t>供应商</w:t>
      </w:r>
      <w:r>
        <w:rPr>
          <w:rFonts w:cs="宋体"/>
        </w:rPr>
        <w:t>在评标过程中所进行的试图影响评标结果的不公正活动，可能导致其投标被拒绝。</w:t>
      </w:r>
    </w:p>
    <w:p>
      <w:pPr>
        <w:pStyle w:val="3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w:t>
      </w:r>
      <w:r>
        <w:rPr>
          <w:rFonts w:hint="eastAsia" w:ascii="宋体" w:hAnsi="宋体"/>
          <w:sz w:val="24"/>
        </w:rPr>
        <w:t>供应商</w:t>
      </w:r>
      <w:r>
        <w:rPr>
          <w:rFonts w:hint="eastAsia" w:ascii="宋体"/>
          <w:sz w:val="24"/>
          <w:lang w:val="zh-CN"/>
        </w:rPr>
        <w:t>，通过投标提供本企业制造的货物、承担的工程或者服务，或者提供其他小微企业制造的货物。本项所指货物不包括使用大、中型企业注册商标的货物。小微企业投标应提供、《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见附件11</w:t>
      </w:r>
      <w:r>
        <w:rPr>
          <w:rFonts w:hint="eastAsia" w:ascii="宋体"/>
          <w:sz w:val="24"/>
          <w:lang w:val="zh-CN"/>
        </w:rPr>
        <w:t>），</w:t>
      </w:r>
      <w:r>
        <w:rPr>
          <w:rFonts w:hint="eastAsia" w:ascii="宋体" w:hAnsi="宋体"/>
          <w:sz w:val="24"/>
        </w:rPr>
        <w:t>供应商</w:t>
      </w:r>
      <w:r>
        <w:rPr>
          <w:rFonts w:hint="eastAsia" w:ascii="宋体"/>
          <w:sz w:val="24"/>
        </w:rPr>
        <w:t>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11</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lang w:val="zh-CN"/>
        </w:rPr>
      </w:pPr>
      <w:r>
        <w:rPr>
          <w:rFonts w:hint="eastAsia" w:ascii="宋体"/>
          <w:sz w:val="24"/>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w:t>
      </w:r>
      <w:r>
        <w:rPr>
          <w:rFonts w:ascii="宋体"/>
          <w:sz w:val="24"/>
          <w:lang w:val="zh-CN"/>
        </w:rPr>
        <w:t>%</w:t>
      </w:r>
      <w:r>
        <w:rPr>
          <w:rFonts w:hint="eastAsia" w:ascii="宋体"/>
          <w:sz w:val="24"/>
          <w:lang w:val="zh-CN"/>
        </w:rPr>
        <w:t>、工程项目为</w:t>
      </w:r>
      <w:r>
        <w:rPr>
          <w:rFonts w:ascii="宋体"/>
          <w:sz w:val="24"/>
          <w:lang w:val="zh-CN"/>
        </w:rPr>
        <w:t xml:space="preserve">5%) </w:t>
      </w:r>
      <w:r>
        <w:rPr>
          <w:rFonts w:hint="eastAsia" w:ascii="宋体"/>
          <w:sz w:val="24"/>
          <w:lang w:val="zh-CN"/>
        </w:rPr>
        <w:t xml:space="preserve">给予扣除， 用扣除后的价格参加评审。对于联合协议或者分包意向协议约定小微企业的合同份额占到合同总金额 </w:t>
      </w:r>
      <w:r>
        <w:rPr>
          <w:rFonts w:ascii="宋体"/>
          <w:sz w:val="24"/>
          <w:lang w:val="zh-CN"/>
        </w:rPr>
        <w:t>30%</w:t>
      </w:r>
      <w:r>
        <w:rPr>
          <w:rFonts w:hint="eastAsia" w:ascii="宋体"/>
          <w:sz w:val="24"/>
          <w:lang w:val="zh-CN"/>
        </w:rPr>
        <w:t>以上的，采购单位、采购代理机构应当对联合体或者大中型企业的报价按最高优惠幅度（货物和服务项目为</w:t>
      </w:r>
      <w:r>
        <w:rPr>
          <w:rFonts w:hint="eastAsia" w:ascii="宋体"/>
          <w:sz w:val="24"/>
          <w:lang w:val="en-US" w:eastAsia="zh-CN"/>
        </w:rPr>
        <w:t>6</w:t>
      </w:r>
      <w:r>
        <w:rPr>
          <w:rFonts w:hint="eastAsia" w:ascii="宋体"/>
          <w:sz w:val="24"/>
          <w:lang w:val="zh-CN"/>
        </w:rPr>
        <w:t>%、工程项目为2%)</w:t>
      </w:r>
      <w:r>
        <w:rPr>
          <w:rFonts w:ascii="宋体"/>
          <w:sz w:val="24"/>
          <w:lang w:val="zh-CN"/>
        </w:rPr>
        <w:t xml:space="preserve"> </w:t>
      </w:r>
      <w:r>
        <w:rPr>
          <w:rFonts w:hint="eastAsia" w:ascii="宋体"/>
          <w:sz w:val="24"/>
          <w:lang w:val="zh-CN"/>
        </w:rPr>
        <w:t>给予扣除，用扣除后的价格参加评审。同一</w:t>
      </w:r>
      <w:r>
        <w:rPr>
          <w:rFonts w:hint="eastAsia" w:ascii="宋体" w:hAnsi="宋体"/>
          <w:sz w:val="24"/>
        </w:rPr>
        <w:t>供应商</w:t>
      </w:r>
      <w:r>
        <w:rPr>
          <w:rFonts w:hint="eastAsia" w:ascii="宋体"/>
          <w:sz w:val="24"/>
          <w:lang w:val="zh-CN"/>
        </w:rPr>
        <w:t>（包括联合体），小微企业、监狱企业、残疾人福利性单位价格扣除优惠只享受一次，不得重复享受。</w:t>
      </w:r>
    </w:p>
    <w:p>
      <w:pPr>
        <w:pStyle w:val="32"/>
        <w:snapToGrid w:val="0"/>
        <w:spacing w:line="360" w:lineRule="auto"/>
        <w:ind w:firstLine="482" w:firstLineChars="200"/>
        <w:rPr>
          <w:rFonts w:hAnsi="宋体"/>
          <w:b/>
          <w:sz w:val="24"/>
        </w:rPr>
      </w:pPr>
      <w:r>
        <w:rPr>
          <w:rFonts w:hint="eastAsia" w:hAnsi="宋体"/>
          <w:b/>
          <w:bCs/>
          <w:sz w:val="24"/>
        </w:rPr>
        <w:t>八、</w:t>
      </w:r>
      <w:r>
        <w:rPr>
          <w:rFonts w:hAnsi="宋体"/>
          <w:b/>
          <w:bCs/>
          <w:sz w:val="24"/>
        </w:rPr>
        <w:t>评标程序</w:t>
      </w:r>
    </w:p>
    <w:p>
      <w:pPr>
        <w:snapToGrid w:val="0"/>
        <w:spacing w:line="360" w:lineRule="auto"/>
        <w:ind w:firstLine="482" w:firstLineChars="200"/>
        <w:rPr>
          <w:rFonts w:ascii="宋体" w:hAnsi="宋体"/>
          <w:b/>
          <w:bCs/>
          <w:sz w:val="24"/>
        </w:rPr>
      </w:pPr>
      <w:r>
        <w:rPr>
          <w:rFonts w:hint="eastAsia" w:ascii="宋体" w:hAnsi="宋体"/>
          <w:b/>
          <w:bCs/>
          <w:sz w:val="24"/>
        </w:rPr>
        <w:t>（一）资格</w:t>
      </w:r>
      <w:r>
        <w:rPr>
          <w:rFonts w:ascii="宋体" w:hAnsi="宋体"/>
          <w:b/>
          <w:bCs/>
          <w:sz w:val="24"/>
        </w:rPr>
        <w:t>审查</w:t>
      </w:r>
    </w:p>
    <w:p>
      <w:pPr>
        <w:pStyle w:val="10"/>
        <w:spacing w:line="360" w:lineRule="auto"/>
        <w:ind w:firstLine="480" w:firstLineChars="200"/>
        <w:jc w:val="both"/>
        <w:rPr>
          <w:rFonts w:ascii="宋体" w:hAnsi="宋体"/>
          <w:sz w:val="24"/>
        </w:rPr>
      </w:pPr>
      <w:r>
        <w:rPr>
          <w:rFonts w:hint="eastAsia" w:ascii="宋体" w:hAnsi="宋体" w:cs="宋体"/>
          <w:sz w:val="24"/>
        </w:rPr>
        <w:t>投标文件解密后</w:t>
      </w:r>
      <w:r>
        <w:rPr>
          <w:rFonts w:ascii="宋体" w:hAnsi="宋体"/>
          <w:sz w:val="24"/>
        </w:rPr>
        <w:t>，采购人或采购组织机构依法对</w:t>
      </w:r>
      <w:r>
        <w:rPr>
          <w:rFonts w:hint="eastAsia" w:ascii="宋体" w:hAnsi="宋体"/>
          <w:sz w:val="24"/>
        </w:rPr>
        <w:t>供应商</w:t>
      </w:r>
      <w:r>
        <w:rPr>
          <w:rFonts w:ascii="宋体" w:hAnsi="宋体"/>
          <w:sz w:val="24"/>
        </w:rPr>
        <w:t>的资格进行审查，对审查发现无效的进行必要的</w:t>
      </w:r>
      <w:r>
        <w:rPr>
          <w:rFonts w:hint="eastAsia" w:ascii="宋体" w:hAnsi="宋体" w:cs="宋体"/>
          <w:sz w:val="24"/>
        </w:rPr>
        <w:t>询问</w:t>
      </w:r>
      <w:r>
        <w:rPr>
          <w:rFonts w:ascii="宋体" w:hAnsi="宋体"/>
          <w:sz w:val="24"/>
        </w:rPr>
        <w:t>，</w:t>
      </w:r>
      <w:r>
        <w:rPr>
          <w:rFonts w:hint="eastAsia"/>
          <w:sz w:val="24"/>
        </w:rPr>
        <w:t>在政采云平台公布</w:t>
      </w:r>
      <w:r>
        <w:rPr>
          <w:rFonts w:ascii="宋体" w:hAnsi="宋体"/>
          <w:sz w:val="24"/>
        </w:rPr>
        <w:t>无效投标的</w:t>
      </w:r>
      <w:r>
        <w:rPr>
          <w:rFonts w:hint="eastAsia" w:ascii="宋体" w:hAnsi="宋体"/>
          <w:sz w:val="24"/>
        </w:rPr>
        <w:t>供应商</w:t>
      </w:r>
      <w:r>
        <w:rPr>
          <w:rFonts w:ascii="宋体" w:hAnsi="宋体"/>
          <w:sz w:val="24"/>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7"/>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szCs w:val="21"/>
              </w:rPr>
            </w:pPr>
            <w:r>
              <w:rPr>
                <w:rFonts w:hint="eastAsia"/>
                <w:szCs w:val="21"/>
              </w:rPr>
              <w:t>有依法缴纳税收和社会保障资金的良好记录</w:t>
            </w:r>
          </w:p>
        </w:tc>
        <w:tc>
          <w:tcPr>
            <w:tcW w:w="7092" w:type="dxa"/>
            <w:tcMar>
              <w:top w:w="57" w:type="dxa"/>
              <w:left w:w="108" w:type="dxa"/>
              <w:bottom w:w="0" w:type="dxa"/>
              <w:right w:w="108" w:type="dxa"/>
            </w:tcMar>
            <w:vAlign w:val="center"/>
          </w:tcPr>
          <w:p>
            <w:pPr>
              <w:pStyle w:val="57"/>
              <w:spacing w:line="300" w:lineRule="auto"/>
              <w:ind w:left="15" w:leftChars="7" w:right="-17" w:rightChars="-8" w:firstLine="403" w:firstLineChars="192"/>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57"/>
              <w:spacing w:before="117" w:line="300" w:lineRule="auto"/>
              <w:ind w:left="15" w:leftChars="7" w:right="-17" w:rightChars="-8" w:firstLine="403" w:firstLineChars="192"/>
              <w:rPr>
                <w:szCs w:val="21"/>
              </w:rPr>
            </w:pPr>
            <w:r>
              <w:rPr>
                <w:rFonts w:hint="eastAsia"/>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szCs w:val="21"/>
              </w:rPr>
            </w:pPr>
            <w:r>
              <w:rPr>
                <w:rFonts w:hint="eastAsia"/>
                <w:szCs w:val="21"/>
              </w:rPr>
              <w:t>履行合同所必需的设备和专业技术能力</w:t>
            </w:r>
          </w:p>
        </w:tc>
        <w:tc>
          <w:tcPr>
            <w:tcW w:w="7092" w:type="dxa"/>
            <w:tcMar>
              <w:top w:w="57" w:type="dxa"/>
              <w:left w:w="108" w:type="dxa"/>
              <w:bottom w:w="0" w:type="dxa"/>
              <w:right w:w="108" w:type="dxa"/>
            </w:tcMar>
            <w:vAlign w:val="center"/>
          </w:tcPr>
          <w:p>
            <w:pPr>
              <w:pStyle w:val="57"/>
              <w:spacing w:before="1" w:line="300" w:lineRule="auto"/>
              <w:ind w:left="15" w:leftChars="7" w:right="-17" w:rightChars="-8" w:firstLine="403" w:firstLineChars="192"/>
              <w:rPr>
                <w:szCs w:val="21"/>
              </w:rPr>
            </w:pPr>
            <w:r>
              <w:rPr>
                <w:rFonts w:hint="eastAsia"/>
                <w:szCs w:val="21"/>
              </w:rPr>
              <w:t>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szCs w:val="21"/>
              </w:rPr>
            </w:pPr>
            <w:r>
              <w:rPr>
                <w:rFonts w:hint="eastAsia"/>
                <w:szCs w:val="21"/>
              </w:rPr>
              <w:t>参照投标声明书相关承诺内容。重大违法记录，是指供应商因违法经营责令停产停业、吊销许可证或者执照、较大数额罚款等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信用记录</w:t>
            </w:r>
          </w:p>
        </w:tc>
        <w:tc>
          <w:tcPr>
            <w:tcW w:w="7092" w:type="dxa"/>
            <w:tcMar>
              <w:top w:w="57" w:type="dxa"/>
              <w:left w:w="108" w:type="dxa"/>
              <w:bottom w:w="0" w:type="dxa"/>
              <w:right w:w="108" w:type="dxa"/>
            </w:tcMar>
            <w:vAlign w:val="center"/>
          </w:tcPr>
          <w:p>
            <w:pPr>
              <w:spacing w:line="300" w:lineRule="auto"/>
              <w:ind w:right="-17" w:rightChars="-8"/>
              <w:rPr>
                <w:rFonts w:ascii="宋体" w:hAnsi="宋体" w:cs="宋体"/>
                <w:szCs w:val="21"/>
              </w:rPr>
            </w:pPr>
            <w:r>
              <w:rPr>
                <w:rFonts w:hint="eastAsia"/>
              </w:rPr>
              <w:t>1.</w:t>
            </w:r>
            <w:r>
              <w:t>截止时点：</w:t>
            </w:r>
            <w:r>
              <w:rPr>
                <w:rFonts w:hint="eastAsia"/>
              </w:rPr>
              <w:t>开标后评标前</w:t>
            </w:r>
            <w:r>
              <w:t>。</w:t>
            </w:r>
          </w:p>
          <w:p>
            <w:pPr>
              <w:spacing w:line="300" w:lineRule="auto"/>
              <w:ind w:right="-17" w:rightChars="-8"/>
            </w:pPr>
            <w:r>
              <w:rPr>
                <w:rFonts w:hint="eastAsia"/>
              </w:rPr>
              <w:t>2.</w:t>
            </w:r>
            <w:r>
              <w:t>信用信息查询记录和证据留存的具体方式：由采购组织机构在规定查询时间内打印信用信息查询记录并归入项目档案。</w:t>
            </w:r>
          </w:p>
          <w:p>
            <w:pPr>
              <w:spacing w:line="300" w:lineRule="auto"/>
              <w:ind w:right="-17" w:rightChars="-8"/>
              <w:rPr>
                <w:rFonts w:ascii="宋体" w:hAnsi="宋体" w:cs="宋体"/>
                <w:szCs w:val="21"/>
              </w:rPr>
            </w:pPr>
            <w:r>
              <w:rPr>
                <w:rFonts w:hint="eastAsia"/>
              </w:rPr>
              <w:t xml:space="preserve"> 3.</w:t>
            </w:r>
            <w:r>
              <w:t>使用规则</w:t>
            </w:r>
            <w:r>
              <w:rPr>
                <w:rFonts w:hint="eastAsia"/>
              </w:rPr>
              <w:t>：供应商</w:t>
            </w:r>
            <w:r>
              <w:t>未被列入“信用中国”失信被执行人或重大税收违法案件当事人名单；</w:t>
            </w:r>
            <w:r>
              <w:rPr>
                <w:rFonts w:hint="eastAsia"/>
                <w:lang w:eastAsia="zh-CN"/>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57"/>
              <w:spacing w:before="48" w:line="300" w:lineRule="auto"/>
              <w:ind w:right="-17" w:rightChars="-8"/>
              <w:rPr>
                <w:szCs w:val="21"/>
              </w:rPr>
            </w:pPr>
            <w:r>
              <w:rPr>
                <w:rFonts w:hint="eastAsia"/>
                <w:szCs w:val="21"/>
              </w:rPr>
              <w:t>1.单位负责人为同一人或者存在直接控股、管理关系的不同供应商，不得同时参加本项目投标。</w:t>
            </w:r>
          </w:p>
          <w:p>
            <w:pPr>
              <w:pStyle w:val="57"/>
              <w:spacing w:before="48" w:line="300" w:lineRule="auto"/>
              <w:ind w:right="-17" w:rightChars="-8"/>
              <w:rPr>
                <w:szCs w:val="21"/>
              </w:rPr>
            </w:pPr>
            <w:r>
              <w:rPr>
                <w:rFonts w:hint="eastAsia"/>
                <w:szCs w:val="21"/>
              </w:rPr>
              <w:t>2.为本项目提供整体设计、规范编制或者项目管理、监理、检测等服务的供应商，不得再参与本项目投标。</w:t>
            </w:r>
          </w:p>
          <w:p>
            <w:pPr>
              <w:pStyle w:val="57"/>
              <w:spacing w:before="48" w:line="300" w:lineRule="auto"/>
              <w:ind w:right="-17" w:rightChars="-8"/>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tcMar>
              <w:top w:w="57" w:type="dxa"/>
              <w:left w:w="108" w:type="dxa"/>
              <w:bottom w:w="0" w:type="dxa"/>
              <w:right w:w="108" w:type="dxa"/>
            </w:tcMar>
            <w:vAlign w:val="center"/>
          </w:tcPr>
          <w:p>
            <w:pPr>
              <w:pStyle w:val="57"/>
              <w:spacing w:before="48" w:line="300" w:lineRule="auto"/>
              <w:ind w:right="3" w:hanging="10"/>
              <w:jc w:val="center"/>
              <w:rPr>
                <w:szCs w:val="21"/>
              </w:rPr>
            </w:pPr>
            <w:r>
              <w:rPr>
                <w:rFonts w:hint="eastAsia"/>
                <w:szCs w:val="21"/>
              </w:rPr>
              <w:t>联合体投标</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tcMar>
              <w:top w:w="57"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资质</w:t>
            </w:r>
          </w:p>
        </w:tc>
        <w:tc>
          <w:tcPr>
            <w:tcW w:w="7092" w:type="dxa"/>
            <w:tcMar>
              <w:top w:w="57" w:type="dxa"/>
              <w:left w:w="108" w:type="dxa"/>
              <w:bottom w:w="0" w:type="dxa"/>
              <w:right w:w="108" w:type="dxa"/>
            </w:tcMar>
            <w:vAlign w:val="center"/>
          </w:tcPr>
          <w:p>
            <w:pPr>
              <w:spacing w:line="360" w:lineRule="auto"/>
              <w:ind w:firstLine="420" w:firstLineChars="200"/>
              <w:rPr>
                <w:rFonts w:ascii="宋体" w:hAnsi="宋体" w:cs="宋体"/>
                <w:szCs w:val="21"/>
              </w:rPr>
            </w:pPr>
            <w:r>
              <w:rPr>
                <w:rFonts w:hint="eastAsia" w:ascii="宋体" w:hAnsi="宋体" w:cs="宋体"/>
                <w:szCs w:val="21"/>
              </w:rPr>
              <w:t>具有与本采购项目相适应的商品经营或服务能力的供应商；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落实政府采购政策需满足的资格要求</w:t>
            </w:r>
          </w:p>
        </w:tc>
        <w:tc>
          <w:tcPr>
            <w:tcW w:w="7092"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szCs w:val="21"/>
                <w:lang w:val="en-US" w:eastAsia="zh-CN"/>
              </w:rPr>
            </w:pPr>
            <w:r>
              <w:rPr>
                <w:rFonts w:hint="eastAsia"/>
                <w:lang w:val="en-US" w:eastAsia="zh-CN"/>
              </w:rPr>
              <w:t>根据实际情形设置</w:t>
            </w:r>
          </w:p>
        </w:tc>
      </w:tr>
    </w:tbl>
    <w:p>
      <w:pPr>
        <w:pStyle w:val="10"/>
        <w:spacing w:line="360" w:lineRule="auto"/>
        <w:ind w:firstLine="482" w:firstLineChars="200"/>
        <w:rPr>
          <w:rFonts w:ascii="宋体" w:hAnsi="宋体"/>
          <w:b/>
          <w:bCs/>
          <w:sz w:val="24"/>
        </w:rPr>
      </w:pPr>
      <w:r>
        <w:rPr>
          <w:rFonts w:hint="eastAsia" w:ascii="宋体" w:hAnsi="宋体"/>
          <w:b/>
          <w:bCs/>
          <w:sz w:val="24"/>
        </w:rPr>
        <w:t>（二）</w:t>
      </w:r>
      <w:r>
        <w:rPr>
          <w:rFonts w:ascii="宋体" w:hAnsi="宋体"/>
          <w:b/>
          <w:bCs/>
          <w:sz w:val="24"/>
        </w:rPr>
        <w:t>符合性审查</w:t>
      </w:r>
    </w:p>
    <w:p>
      <w:pPr>
        <w:pStyle w:val="10"/>
        <w:spacing w:line="360" w:lineRule="auto"/>
        <w:ind w:firstLine="480" w:firstLineChars="200"/>
        <w:rPr>
          <w:rFonts w:ascii="宋体" w:hAnsi="宋体"/>
          <w:sz w:val="24"/>
        </w:rPr>
      </w:pPr>
      <w:r>
        <w:rPr>
          <w:rFonts w:ascii="宋体" w:hAnsi="宋体"/>
          <w:sz w:val="24"/>
        </w:rPr>
        <w:t>评标委员会应当对符合资格的</w:t>
      </w:r>
      <w:r>
        <w:rPr>
          <w:rFonts w:hint="eastAsia" w:ascii="宋体" w:hAnsi="宋体"/>
          <w:sz w:val="24"/>
        </w:rPr>
        <w:t>供应商</w:t>
      </w:r>
      <w:r>
        <w:rPr>
          <w:rFonts w:ascii="宋体" w:hAnsi="宋体"/>
          <w:sz w:val="24"/>
        </w:rPr>
        <w:t>的投标文件进行符合性审查，以确定其是否满足招标文件的实质性要求，对审查发现无效的进行必要的</w:t>
      </w:r>
      <w:r>
        <w:rPr>
          <w:rFonts w:hint="eastAsia" w:ascii="宋体" w:hAnsi="宋体"/>
          <w:sz w:val="24"/>
        </w:rPr>
        <w:t>询问</w:t>
      </w:r>
      <w:r>
        <w:rPr>
          <w:rFonts w:ascii="宋体" w:hAnsi="宋体"/>
          <w:sz w:val="24"/>
        </w:rPr>
        <w:t>，</w:t>
      </w:r>
      <w:r>
        <w:rPr>
          <w:rFonts w:hint="eastAsia" w:ascii="宋体" w:hAnsi="宋体" w:cs="宋体"/>
          <w:sz w:val="24"/>
        </w:rPr>
        <w:t>在政采云平台公布无效投标的</w:t>
      </w:r>
      <w:r>
        <w:rPr>
          <w:rFonts w:hint="eastAsia" w:ascii="宋体" w:hAnsi="宋体"/>
          <w:sz w:val="24"/>
        </w:rPr>
        <w:t>供应商</w:t>
      </w:r>
      <w:r>
        <w:rPr>
          <w:rFonts w:hint="eastAsia" w:ascii="宋体" w:hAnsi="宋体" w:cs="宋体"/>
          <w:sz w:val="24"/>
        </w:rPr>
        <w:t>名单、投标无效的原因</w:t>
      </w:r>
      <w:r>
        <w:rPr>
          <w:rFonts w:hint="eastAsia" w:ascii="宋体" w:hAnsi="宋体"/>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lang w:val="en-US" w:eastAsia="zh-CN"/>
              </w:rPr>
            </w:pPr>
            <w:r>
              <w:rPr>
                <w:rFonts w:hint="eastAsia"/>
                <w:lang w:val="en-US" w:eastAsia="zh-CN"/>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法定代表人/负责人授权委托书</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lang w:val="en-US" w:eastAsia="zh-CN"/>
              </w:rPr>
            </w:pPr>
            <w:r>
              <w:rPr>
                <w:rFonts w:hint="eastAsia"/>
                <w:lang w:val="en-US" w:eastAsia="zh-CN"/>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w:t>
            </w:r>
            <w:r>
              <w:rPr>
                <w:rFonts w:hint="eastAsia" w:ascii="宋体" w:hAnsi="宋体" w:eastAsia="宋体" w:cs="宋体"/>
              </w:rPr>
              <w:t>★</w:t>
            </w:r>
            <w:r>
              <w:rPr>
                <w:rFonts w:hint="eastAsia"/>
                <w:szCs w:val="21"/>
              </w:rPr>
              <w:t>”实质性条款</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lang w:val="en-US" w:eastAsia="zh-CN"/>
              </w:rPr>
            </w:pPr>
            <w:r>
              <w:rPr>
                <w:rFonts w:hint="eastAsia"/>
                <w:lang w:val="en-US" w:eastAsia="zh-CN"/>
              </w:rPr>
              <w:t>“</w:t>
            </w:r>
            <w:r>
              <w:rPr>
                <w:rFonts w:hint="eastAsia" w:ascii="宋体" w:hAnsi="宋体" w:eastAsia="宋体" w:cs="宋体"/>
              </w:rPr>
              <w:t>★</w:t>
            </w:r>
            <w:r>
              <w:rPr>
                <w:rFonts w:hint="eastAsia"/>
                <w:lang w:val="en-US" w:eastAsia="zh-CN"/>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串通投标</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lang w:val="en-US" w:eastAsia="zh-CN"/>
              </w:rPr>
            </w:pPr>
            <w:r>
              <w:rPr>
                <w:rFonts w:hint="eastAsia"/>
                <w:lang w:val="en-US" w:eastAsia="zh-CN"/>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lang w:val="en-US" w:eastAsia="zh-CN"/>
              </w:rPr>
            </w:pPr>
            <w:r>
              <w:rPr>
                <w:rFonts w:hint="eastAsia"/>
                <w:lang w:val="en-US" w:eastAsia="zh-CN"/>
              </w:rPr>
              <w:t>投标文件未含有采购人不可接受的附加条件。</w:t>
            </w:r>
          </w:p>
        </w:tc>
      </w:tr>
    </w:tbl>
    <w:p>
      <w:pPr>
        <w:pStyle w:val="37"/>
        <w:spacing w:before="0" w:beforeAutospacing="0" w:after="0" w:afterAutospacing="0" w:line="360" w:lineRule="auto"/>
        <w:ind w:firstLine="482" w:firstLineChars="200"/>
        <w:jc w:val="both"/>
        <w:rPr>
          <w:rFonts w:hint="default"/>
        </w:rPr>
      </w:pPr>
      <w:r>
        <w:rPr>
          <w:b/>
          <w:bCs/>
        </w:rPr>
        <w:t>（三）</w:t>
      </w:r>
      <w:r>
        <w:rPr>
          <w:rFonts w:ascii="Arial" w:hAnsi="Arial" w:cs="Arial"/>
          <w:b/>
          <w:bCs/>
        </w:rPr>
        <w:t>商务技术及价格评审</w:t>
      </w:r>
    </w:p>
    <w:p>
      <w:pPr>
        <w:pStyle w:val="32"/>
        <w:snapToGrid w:val="0"/>
        <w:spacing w:line="360" w:lineRule="auto"/>
        <w:ind w:firstLine="480" w:firstLineChars="200"/>
        <w:rPr>
          <w:rFonts w:hAnsi="宋体"/>
          <w:b/>
          <w:sz w:val="24"/>
        </w:rPr>
      </w:pPr>
      <w:r>
        <w:rPr>
          <w:rFonts w:hint="eastAsia" w:hAnsi="宋体" w:cs="宋体"/>
          <w:sz w:val="24"/>
          <w:lang w:eastAsia="zh-CN"/>
        </w:rPr>
        <w:t>三门县地表水水质自动监测系统建设项目</w:t>
      </w:r>
      <w:r>
        <w:rPr>
          <w:rFonts w:hint="eastAsia" w:hAnsi="宋体"/>
          <w:kern w:val="0"/>
          <w:sz w:val="24"/>
        </w:rPr>
        <w:t>评标方法为综合评分法，总计100分，评标按以下标准及要求进行：</w:t>
      </w:r>
    </w:p>
    <w:p>
      <w:pPr>
        <w:pStyle w:val="32"/>
        <w:numPr>
          <w:ilvl w:val="0"/>
          <w:numId w:val="23"/>
        </w:numPr>
        <w:snapToGrid w:val="0"/>
        <w:spacing w:line="360" w:lineRule="auto"/>
        <w:ind w:firstLine="482" w:firstLineChars="200"/>
        <w:rPr>
          <w:rFonts w:hint="eastAsia" w:hAnsi="宋体"/>
          <w:b/>
          <w:sz w:val="24"/>
        </w:rPr>
      </w:pPr>
      <w:r>
        <w:rPr>
          <w:rFonts w:hint="eastAsia" w:hAnsi="宋体"/>
          <w:b/>
          <w:sz w:val="24"/>
        </w:rPr>
        <w:t>详细的</w:t>
      </w:r>
      <w:r>
        <w:rPr>
          <w:rFonts w:hint="eastAsia" w:hAnsi="宋体"/>
          <w:b/>
          <w:sz w:val="24"/>
          <w:lang w:val="zh-CN"/>
        </w:rPr>
        <w:t>评审内容及分值</w:t>
      </w:r>
      <w:r>
        <w:rPr>
          <w:rFonts w:hint="eastAsia" w:hAnsi="宋体"/>
          <w:b/>
          <w:sz w:val="24"/>
        </w:rPr>
        <w:t>：</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73"/>
        <w:gridCol w:w="1165"/>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center"/>
          </w:tcPr>
          <w:p>
            <w:pPr>
              <w:spacing w:before="100" w:beforeAutospacing="1" w:after="100" w:afterAutospacing="1"/>
              <w:jc w:val="center"/>
              <w:rPr>
                <w:rFonts w:ascii="宋体" w:hAnsi="宋体" w:cs="宋体"/>
                <w:b/>
                <w:color w:val="auto"/>
                <w:szCs w:val="21"/>
                <w:lang w:val="zh-CN"/>
              </w:rPr>
            </w:pPr>
            <w:r>
              <w:rPr>
                <w:rFonts w:hint="eastAsia" w:ascii="宋体" w:hAnsi="宋体" w:cs="宋体"/>
                <w:b/>
                <w:color w:val="auto"/>
                <w:szCs w:val="21"/>
                <w:lang w:val="zh-CN"/>
              </w:rPr>
              <w:t>序号</w:t>
            </w:r>
          </w:p>
        </w:tc>
        <w:tc>
          <w:tcPr>
            <w:tcW w:w="1173" w:type="dxa"/>
            <w:tcBorders>
              <w:right w:val="single" w:color="auto" w:sz="4" w:space="0"/>
            </w:tcBorders>
            <w:vAlign w:val="center"/>
          </w:tcPr>
          <w:p>
            <w:pPr>
              <w:spacing w:before="100" w:beforeAutospacing="1" w:after="100" w:afterAutospacing="1"/>
              <w:jc w:val="center"/>
              <w:rPr>
                <w:rFonts w:ascii="宋体" w:hAnsi="宋体" w:cs="宋体"/>
                <w:b/>
                <w:color w:val="auto"/>
                <w:szCs w:val="21"/>
                <w:lang w:val="zh-CN"/>
              </w:rPr>
            </w:pPr>
            <w:r>
              <w:rPr>
                <w:rFonts w:hint="eastAsia" w:ascii="宋体" w:hAnsi="宋体" w:cs="宋体"/>
                <w:b/>
                <w:color w:val="auto"/>
                <w:szCs w:val="21"/>
                <w:lang w:val="zh-CN"/>
              </w:rPr>
              <w:t>评审项目</w:t>
            </w:r>
          </w:p>
        </w:tc>
        <w:tc>
          <w:tcPr>
            <w:tcW w:w="1165" w:type="dxa"/>
            <w:tcBorders>
              <w:right w:val="single" w:color="auto" w:sz="4" w:space="0"/>
            </w:tcBorders>
            <w:vAlign w:val="center"/>
          </w:tcPr>
          <w:p>
            <w:pPr>
              <w:spacing w:before="100" w:beforeAutospacing="1" w:after="100" w:afterAutospacing="1"/>
              <w:jc w:val="center"/>
              <w:rPr>
                <w:rFonts w:ascii="宋体" w:hAnsi="宋体" w:cs="宋体"/>
                <w:b/>
                <w:color w:val="auto"/>
                <w:szCs w:val="21"/>
                <w:lang w:val="zh-CN"/>
              </w:rPr>
            </w:pPr>
            <w:r>
              <w:rPr>
                <w:rFonts w:hint="eastAsia" w:ascii="宋体" w:hAnsi="宋体" w:cs="宋体"/>
                <w:b/>
                <w:color w:val="auto"/>
                <w:szCs w:val="21"/>
                <w:lang w:val="zh-CN"/>
              </w:rPr>
              <w:t>分值</w:t>
            </w:r>
          </w:p>
        </w:tc>
        <w:tc>
          <w:tcPr>
            <w:tcW w:w="6866" w:type="dxa"/>
            <w:tcBorders>
              <w:left w:val="single" w:color="auto" w:sz="4" w:space="0"/>
            </w:tcBorders>
            <w:vAlign w:val="center"/>
          </w:tcPr>
          <w:p>
            <w:pPr>
              <w:spacing w:before="100" w:beforeAutospacing="1" w:after="100" w:afterAutospacing="1"/>
              <w:ind w:left="65" w:leftChars="-207" w:hanging="500" w:hangingChars="237"/>
              <w:jc w:val="center"/>
              <w:rPr>
                <w:rFonts w:ascii="宋体" w:hAnsi="宋体" w:cs="宋体"/>
                <w:b/>
                <w:color w:val="auto"/>
                <w:szCs w:val="21"/>
                <w:lang w:val="zh-CN"/>
              </w:rPr>
            </w:pPr>
            <w:r>
              <w:rPr>
                <w:rFonts w:hint="eastAsia" w:ascii="宋体" w:hAnsi="宋体" w:cs="宋体"/>
                <w:b/>
                <w:color w:val="auto"/>
                <w:szCs w:val="21"/>
                <w:lang w:val="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62" w:type="dxa"/>
            <w:vAlign w:val="center"/>
          </w:tcPr>
          <w:p>
            <w:pPr>
              <w:pStyle w:val="34"/>
              <w:ind w:left="0" w:leftChars="0" w:firstLine="0"/>
              <w:jc w:val="center"/>
              <w:rPr>
                <w:rFonts w:hint="eastAsia"/>
                <w:color w:val="auto"/>
                <w:szCs w:val="21"/>
              </w:rPr>
            </w:pPr>
            <w:r>
              <w:rPr>
                <w:rFonts w:hint="eastAsia" w:ascii="宋体" w:hAnsi="宋体" w:cs="宋体"/>
                <w:color w:val="auto"/>
                <w:szCs w:val="21"/>
              </w:rPr>
              <w:t>1</w:t>
            </w:r>
          </w:p>
        </w:tc>
        <w:tc>
          <w:tcPr>
            <w:tcW w:w="1173" w:type="dxa"/>
            <w:tcBorders>
              <w:right w:val="single" w:color="auto" w:sz="4" w:space="0"/>
            </w:tcBorders>
            <w:vAlign w:val="center"/>
          </w:tcPr>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技术响应  （</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1165" w:type="dxa"/>
            <w:tcBorders>
              <w:right w:val="single" w:color="auto" w:sz="4" w:space="0"/>
            </w:tcBorders>
            <w:vAlign w:val="center"/>
          </w:tcPr>
          <w:p>
            <w:pPr>
              <w:jc w:val="center"/>
              <w:rPr>
                <w:color w:val="auto"/>
                <w:szCs w:val="21"/>
              </w:rPr>
            </w:pPr>
            <w:r>
              <w:rPr>
                <w:rFonts w:hint="eastAsia" w:ascii="宋体" w:hAnsi="宋体" w:cs="宋体"/>
                <w:color w:val="auto"/>
                <w:szCs w:val="21"/>
              </w:rPr>
              <w:t>设备配置（</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6866" w:type="dxa"/>
            <w:tcBorders>
              <w:left w:val="single" w:color="auto" w:sz="4" w:space="0"/>
            </w:tcBorders>
            <w:vAlign w:val="top"/>
          </w:tcPr>
          <w:p>
            <w:pPr>
              <w:rPr>
                <w:color w:val="auto"/>
                <w:szCs w:val="21"/>
              </w:rPr>
            </w:pPr>
            <w:r>
              <w:rPr>
                <w:rFonts w:hint="eastAsia"/>
                <w:color w:val="auto"/>
                <w:szCs w:val="21"/>
              </w:rPr>
              <w:t>投标人或设备原厂商提供的主要产品（常规五参数、高锰酸盐指数、氨氮、总磷、总氮分析仪器）具有国家生态环境部（原国家环境保护部）环境检测仪器质量监督检验中心出具的检测报告的每项计</w:t>
            </w:r>
            <w:r>
              <w:rPr>
                <w:rFonts w:hint="eastAsia"/>
                <w:color w:val="auto"/>
                <w:szCs w:val="21"/>
                <w:lang w:val="en-US" w:eastAsia="zh-CN"/>
              </w:rPr>
              <w:t>0.5</w:t>
            </w:r>
            <w:r>
              <w:rPr>
                <w:rFonts w:hint="eastAsia"/>
                <w:color w:val="auto"/>
                <w:szCs w:val="21"/>
              </w:rPr>
              <w:t>分，最高计</w:t>
            </w:r>
            <w:r>
              <w:rPr>
                <w:rFonts w:hint="eastAsia"/>
                <w:color w:val="auto"/>
                <w:szCs w:val="21"/>
                <w:lang w:val="en-US" w:eastAsia="zh-CN"/>
              </w:rPr>
              <w:t>2.5</w:t>
            </w:r>
            <w:r>
              <w:rPr>
                <w:rFonts w:hint="eastAsia"/>
                <w:color w:val="auto"/>
                <w:szCs w:val="21"/>
              </w:rPr>
              <w:t>分。</w:t>
            </w:r>
          </w:p>
          <w:p>
            <w:pPr>
              <w:rPr>
                <w:rFonts w:hint="eastAsia"/>
                <w:color w:val="auto"/>
                <w:szCs w:val="21"/>
              </w:rPr>
            </w:pPr>
            <w:r>
              <w:rPr>
                <w:rFonts w:hint="eastAsia"/>
                <w:color w:val="auto"/>
                <w:szCs w:val="21"/>
              </w:rPr>
              <w:t>根据投标产品技术参数及主要配置响应是否符合招标文件要求及符合程度进行评分。技术分</w:t>
            </w:r>
            <w:r>
              <w:rPr>
                <w:rFonts w:hint="eastAsia"/>
                <w:color w:val="auto"/>
                <w:szCs w:val="21"/>
                <w:lang w:val="en-US" w:eastAsia="zh-CN"/>
              </w:rPr>
              <w:t>总分</w:t>
            </w:r>
            <w:r>
              <w:rPr>
                <w:rFonts w:hint="eastAsia"/>
                <w:color w:val="auto"/>
                <w:szCs w:val="21"/>
              </w:rPr>
              <w:t>为</w:t>
            </w:r>
            <w:r>
              <w:rPr>
                <w:rFonts w:hint="eastAsia"/>
                <w:color w:val="auto"/>
                <w:szCs w:val="21"/>
                <w:lang w:val="en-US" w:eastAsia="zh-CN"/>
              </w:rPr>
              <w:t>27.5</w:t>
            </w:r>
            <w:r>
              <w:rPr>
                <w:rFonts w:hint="eastAsia"/>
                <w:color w:val="auto"/>
                <w:szCs w:val="21"/>
              </w:rPr>
              <w:t>分</w:t>
            </w:r>
            <w:r>
              <w:rPr>
                <w:rFonts w:hint="eastAsia"/>
                <w:color w:val="auto"/>
                <w:szCs w:val="21"/>
                <w:lang w:eastAsia="zh-CN"/>
              </w:rPr>
              <w:t>，</w:t>
            </w:r>
            <w:bookmarkStart w:id="97" w:name="_GoBack"/>
            <w:bookmarkEnd w:id="97"/>
            <w:r>
              <w:rPr>
                <w:rFonts w:hint="eastAsia"/>
                <w:color w:val="auto"/>
                <w:szCs w:val="21"/>
              </w:rPr>
              <w:t>细分为“标注“</w:t>
            </w:r>
            <w:r>
              <w:rPr>
                <w:rFonts w:hint="default" w:ascii="Times New Roman" w:hAnsi="Times New Roman" w:eastAsia="宋体" w:cs="Times New Roman"/>
                <w:color w:val="auto"/>
                <w:sz w:val="24"/>
                <w:szCs w:val="24"/>
                <w:highlight w:val="none"/>
              </w:rPr>
              <w:t>▲</w:t>
            </w:r>
            <w:r>
              <w:rPr>
                <w:rFonts w:hint="eastAsia"/>
                <w:color w:val="auto"/>
                <w:szCs w:val="21"/>
              </w:rPr>
              <w:t>”的技术分</w:t>
            </w:r>
            <w:r>
              <w:rPr>
                <w:rFonts w:hint="eastAsia"/>
                <w:color w:val="auto"/>
                <w:szCs w:val="21"/>
                <w:lang w:val="en-US" w:eastAsia="zh-CN"/>
              </w:rPr>
              <w:t>20</w:t>
            </w:r>
            <w:r>
              <w:rPr>
                <w:rFonts w:hint="eastAsia"/>
                <w:color w:val="auto"/>
                <w:szCs w:val="21"/>
              </w:rPr>
              <w:t>分”和“未标注“</w:t>
            </w:r>
            <w:r>
              <w:rPr>
                <w:rFonts w:hint="default" w:ascii="Times New Roman" w:hAnsi="Times New Roman" w:eastAsia="宋体" w:cs="Times New Roman"/>
                <w:color w:val="auto"/>
                <w:sz w:val="24"/>
                <w:szCs w:val="24"/>
                <w:highlight w:val="none"/>
              </w:rPr>
              <w:t>▲</w:t>
            </w:r>
            <w:r>
              <w:rPr>
                <w:rFonts w:hint="eastAsia"/>
                <w:color w:val="auto"/>
                <w:szCs w:val="21"/>
              </w:rPr>
              <w:t>”的技术分</w:t>
            </w:r>
            <w:r>
              <w:rPr>
                <w:rFonts w:hint="eastAsia"/>
                <w:color w:val="auto"/>
                <w:szCs w:val="21"/>
                <w:lang w:val="en-US" w:eastAsia="zh-CN"/>
              </w:rPr>
              <w:t>7.5</w:t>
            </w:r>
            <w:r>
              <w:rPr>
                <w:rFonts w:hint="eastAsia"/>
                <w:color w:val="auto"/>
                <w:szCs w:val="21"/>
              </w:rPr>
              <w:t>分”。标注</w:t>
            </w:r>
            <w:r>
              <w:rPr>
                <w:rFonts w:hint="default" w:ascii="Times New Roman" w:hAnsi="Times New Roman" w:eastAsia="宋体" w:cs="Times New Roman"/>
                <w:color w:val="auto"/>
                <w:sz w:val="24"/>
                <w:szCs w:val="24"/>
                <w:highlight w:val="none"/>
              </w:rPr>
              <w:t>▲</w:t>
            </w:r>
            <w:r>
              <w:rPr>
                <w:rFonts w:hint="eastAsia"/>
                <w:color w:val="auto"/>
                <w:szCs w:val="21"/>
              </w:rPr>
              <w:t>的技术分：有一项不满足扣</w:t>
            </w:r>
            <w:r>
              <w:rPr>
                <w:rFonts w:hint="eastAsia"/>
                <w:color w:val="auto"/>
                <w:szCs w:val="21"/>
                <w:lang w:val="en-US" w:eastAsia="zh-CN"/>
              </w:rPr>
              <w:t>20</w:t>
            </w:r>
            <w:r>
              <w:rPr>
                <w:rFonts w:hint="eastAsia"/>
                <w:color w:val="auto"/>
                <w:szCs w:val="21"/>
              </w:rPr>
              <w:t>/N（分），扣完为止；未标注</w:t>
            </w:r>
            <w:r>
              <w:rPr>
                <w:rFonts w:hint="default" w:ascii="Times New Roman" w:hAnsi="Times New Roman" w:eastAsia="宋体" w:cs="Times New Roman"/>
                <w:color w:val="auto"/>
                <w:sz w:val="24"/>
                <w:szCs w:val="24"/>
                <w:highlight w:val="none"/>
              </w:rPr>
              <w:t>▲</w:t>
            </w:r>
            <w:r>
              <w:rPr>
                <w:rFonts w:hint="eastAsia"/>
                <w:color w:val="auto"/>
                <w:szCs w:val="21"/>
              </w:rPr>
              <w:t>的技术分：有一项不满足扣</w:t>
            </w:r>
            <w:r>
              <w:rPr>
                <w:rFonts w:hint="eastAsia"/>
                <w:color w:val="auto"/>
                <w:szCs w:val="21"/>
                <w:lang w:val="en-US" w:eastAsia="zh-CN"/>
              </w:rPr>
              <w:t>7.5</w:t>
            </w:r>
            <w:r>
              <w:rPr>
                <w:rFonts w:hint="eastAsia"/>
                <w:color w:val="auto"/>
                <w:szCs w:val="21"/>
              </w:rPr>
              <w:t>/M（分），扣完为止。（其中N代表标注</w:t>
            </w:r>
            <w:r>
              <w:rPr>
                <w:rFonts w:hint="default" w:ascii="Times New Roman" w:hAnsi="Times New Roman" w:eastAsia="宋体" w:cs="Times New Roman"/>
                <w:color w:val="auto"/>
                <w:sz w:val="24"/>
                <w:szCs w:val="24"/>
                <w:highlight w:val="none"/>
              </w:rPr>
              <w:t>▲</w:t>
            </w:r>
            <w:r>
              <w:rPr>
                <w:rFonts w:hint="eastAsia"/>
                <w:color w:val="auto"/>
                <w:szCs w:val="21"/>
              </w:rPr>
              <w:t>的技术参数的数量，M代表非标注</w:t>
            </w:r>
            <w:r>
              <w:rPr>
                <w:rFonts w:hint="default" w:ascii="Times New Roman" w:hAnsi="Times New Roman" w:eastAsia="宋体" w:cs="Times New Roman"/>
                <w:color w:val="auto"/>
                <w:sz w:val="24"/>
                <w:szCs w:val="24"/>
                <w:highlight w:val="none"/>
              </w:rPr>
              <w:t>▲</w:t>
            </w:r>
            <w:r>
              <w:rPr>
                <w:rFonts w:hint="eastAsia"/>
                <w:color w:val="auto"/>
                <w:szCs w:val="21"/>
              </w:rPr>
              <w:t>的技术参数的数量）</w:t>
            </w:r>
          </w:p>
          <w:p>
            <w:pPr>
              <w:rPr>
                <w:color w:val="auto"/>
                <w:szCs w:val="21"/>
              </w:rPr>
            </w:pPr>
            <w:r>
              <w:rPr>
                <w:rFonts w:hint="eastAsia"/>
                <w:color w:val="auto"/>
                <w:szCs w:val="21"/>
              </w:rPr>
              <w:t>若招标文件技术部分要求提供相对应佐证材料（五参数、高锰酸盐指数、氨氮、总磷、总氮</w:t>
            </w:r>
            <w:r>
              <w:rPr>
                <w:rFonts w:hint="eastAsia"/>
                <w:color w:val="auto"/>
                <w:szCs w:val="21"/>
                <w:lang w:val="en-US" w:eastAsia="zh-CN"/>
              </w:rPr>
              <w:t>分析仪参数证明须</w:t>
            </w:r>
            <w:r>
              <w:rPr>
                <w:rFonts w:hint="eastAsia"/>
                <w:color w:val="auto"/>
                <w:szCs w:val="21"/>
              </w:rPr>
              <w:t>生态环境部环境检测仪器质量监督检验中心出具的检测报告），投标文件必须按照要求提供，否则对应技术条款将视为不满足。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62" w:type="dxa"/>
            <w:vMerge w:val="restart"/>
            <w:vAlign w:val="center"/>
          </w:tcPr>
          <w:p>
            <w:pPr>
              <w:spacing w:before="100" w:beforeAutospacing="1" w:after="100" w:afterAutospacing="1" w:line="360" w:lineRule="auto"/>
              <w:jc w:val="center"/>
              <w:rPr>
                <w:rFonts w:ascii="宋体" w:hAnsi="宋体" w:cs="宋体"/>
                <w:color w:val="auto"/>
                <w:szCs w:val="21"/>
                <w:lang w:val="zh-CN"/>
              </w:rPr>
            </w:pPr>
            <w:r>
              <w:rPr>
                <w:rFonts w:hint="eastAsia" w:ascii="宋体" w:hAnsi="宋体" w:cs="宋体"/>
                <w:color w:val="auto"/>
                <w:szCs w:val="21"/>
                <w:lang w:val="zh-CN"/>
              </w:rPr>
              <w:t>2</w:t>
            </w:r>
          </w:p>
        </w:tc>
        <w:tc>
          <w:tcPr>
            <w:tcW w:w="1173" w:type="dxa"/>
            <w:vMerge w:val="restart"/>
            <w:tcBorders>
              <w:right w:val="single" w:color="auto" w:sz="4" w:space="0"/>
            </w:tcBorders>
            <w:vAlign w:val="center"/>
          </w:tcPr>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企业经营实力及业绩（</w:t>
            </w:r>
            <w:r>
              <w:rPr>
                <w:rFonts w:hint="eastAsia" w:ascii="宋体" w:hAnsi="宋体" w:cs="宋体"/>
                <w:color w:val="auto"/>
                <w:szCs w:val="21"/>
                <w:lang w:val="en-US" w:eastAsia="zh-CN"/>
              </w:rPr>
              <w:t>17</w:t>
            </w:r>
            <w:r>
              <w:rPr>
                <w:rFonts w:hint="eastAsia" w:ascii="宋体" w:hAnsi="宋体" w:cs="宋体"/>
                <w:color w:val="auto"/>
                <w:szCs w:val="21"/>
              </w:rPr>
              <w:t>分）</w:t>
            </w:r>
          </w:p>
        </w:tc>
        <w:tc>
          <w:tcPr>
            <w:tcW w:w="1165" w:type="dxa"/>
            <w:tcBorders>
              <w:right w:val="single" w:color="auto" w:sz="4" w:space="0"/>
            </w:tcBorders>
            <w:vAlign w:val="center"/>
          </w:tcPr>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类似业绩 （3分）</w:t>
            </w:r>
          </w:p>
        </w:tc>
        <w:tc>
          <w:tcPr>
            <w:tcW w:w="6866" w:type="dxa"/>
            <w:tcBorders>
              <w:left w:val="single" w:color="auto" w:sz="4" w:space="0"/>
            </w:tcBorders>
            <w:vAlign w:val="top"/>
          </w:tcPr>
          <w:p>
            <w:pPr>
              <w:rPr>
                <w:rFonts w:hint="eastAsia"/>
                <w:color w:val="auto"/>
                <w:szCs w:val="21"/>
                <w:lang w:val="en-US" w:eastAsia="zh-CN"/>
              </w:rPr>
            </w:pPr>
            <w:r>
              <w:rPr>
                <w:rFonts w:hint="eastAsia"/>
                <w:color w:val="auto"/>
                <w:szCs w:val="21"/>
              </w:rPr>
              <w:t>投标人2019年1月1日至投标截止时间止（以合同签订日期或中标通知书日期为准）</w:t>
            </w:r>
            <w:r>
              <w:rPr>
                <w:rFonts w:hint="eastAsia"/>
                <w:color w:val="auto"/>
                <w:szCs w:val="21"/>
                <w:lang w:val="en-US" w:eastAsia="zh-CN"/>
              </w:rPr>
              <w:t>具有同本项目类似业绩每个计1分，最高3分</w:t>
            </w:r>
          </w:p>
          <w:p>
            <w:pPr>
              <w:rPr>
                <w:color w:val="auto"/>
                <w:szCs w:val="21"/>
              </w:rPr>
            </w:pPr>
            <w:r>
              <w:rPr>
                <w:rFonts w:hint="eastAsia"/>
                <w:color w:val="auto"/>
                <w:szCs w:val="21"/>
              </w:rPr>
              <w:t>注：同一项目类似业绩不可重复得分，提供</w:t>
            </w:r>
            <w:r>
              <w:rPr>
                <w:rFonts w:hint="eastAsia"/>
                <w:color w:val="auto"/>
                <w:szCs w:val="21"/>
                <w:highlight w:val="none"/>
                <w:lang w:val="en-US" w:eastAsia="zh-CN"/>
              </w:rPr>
              <w:t>中标通知书和</w:t>
            </w:r>
            <w:r>
              <w:rPr>
                <w:rFonts w:hint="eastAsia"/>
                <w:color w:val="auto"/>
                <w:szCs w:val="21"/>
              </w:rPr>
              <w:t>合同</w:t>
            </w:r>
            <w:r>
              <w:rPr>
                <w:rFonts w:hint="eastAsia"/>
                <w:color w:val="auto"/>
                <w:szCs w:val="21"/>
                <w:lang w:eastAsia="zh-CN"/>
              </w:rPr>
              <w:t>扫描件</w:t>
            </w:r>
            <w:r>
              <w:rPr>
                <w:rFonts w:hint="eastAsia"/>
                <w:color w:val="auto"/>
                <w:szCs w:val="21"/>
              </w:rPr>
              <w:t>并加盖</w:t>
            </w:r>
            <w:r>
              <w:rPr>
                <w:rFonts w:hint="eastAsia"/>
                <w:color w:val="auto"/>
                <w:szCs w:val="21"/>
                <w:lang w:eastAsia="zh-CN"/>
              </w:rPr>
              <w:t>投标人</w:t>
            </w:r>
            <w:r>
              <w:rPr>
                <w:rFonts w:hint="eastAsia"/>
                <w:color w:val="auto"/>
                <w:szCs w:val="21"/>
              </w:rPr>
              <w:t>公章进行评审，不提供不得分。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62" w:type="dxa"/>
            <w:vMerge w:val="continue"/>
            <w:vAlign w:val="center"/>
          </w:tcPr>
          <w:p>
            <w:pPr>
              <w:spacing w:before="100" w:beforeAutospacing="1" w:after="100" w:afterAutospacing="1" w:line="360" w:lineRule="auto"/>
              <w:jc w:val="center"/>
              <w:rPr>
                <w:rFonts w:ascii="宋体" w:hAnsi="宋体" w:cs="宋体"/>
                <w:color w:val="auto"/>
                <w:szCs w:val="21"/>
                <w:lang w:val="zh-CN"/>
              </w:rPr>
            </w:pPr>
          </w:p>
        </w:tc>
        <w:tc>
          <w:tcPr>
            <w:tcW w:w="1173" w:type="dxa"/>
            <w:vMerge w:val="continue"/>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p>
        </w:tc>
        <w:tc>
          <w:tcPr>
            <w:tcW w:w="1165" w:type="dxa"/>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r>
              <w:rPr>
                <w:rFonts w:hint="eastAsia" w:ascii="宋体" w:hAnsi="宋体" w:cs="宋体"/>
                <w:color w:val="auto"/>
                <w:szCs w:val="21"/>
                <w:lang w:val="zh-CN"/>
              </w:rPr>
              <w:t>企业实力</w:t>
            </w:r>
            <w:r>
              <w:rPr>
                <w:rFonts w:hint="eastAsia" w:ascii="宋体" w:hAnsi="宋体" w:cs="宋体"/>
                <w:color w:val="auto"/>
                <w:szCs w:val="21"/>
              </w:rPr>
              <w:t xml:space="preserve"> </w:t>
            </w:r>
            <w:r>
              <w:rPr>
                <w:rFonts w:hint="eastAsia" w:ascii="宋体" w:hAnsi="宋体" w:cs="宋体"/>
                <w:color w:val="auto"/>
                <w:szCs w:val="21"/>
                <w:lang w:val="zh-CN"/>
              </w:rPr>
              <w:t>（</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zh-CN"/>
              </w:rPr>
              <w:t>）</w:t>
            </w:r>
          </w:p>
        </w:tc>
        <w:tc>
          <w:tcPr>
            <w:tcW w:w="6866" w:type="dxa"/>
            <w:tcBorders>
              <w:lef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rPr>
              <w:t>ISO10012测量管理体系认证</w:t>
            </w:r>
            <w:r>
              <w:rPr>
                <w:rFonts w:hint="eastAsia" w:ascii="宋体" w:hAnsi="宋体" w:eastAsia="宋体" w:cs="宋体"/>
                <w:bCs/>
                <w:lang w:eastAsia="zh-CN"/>
              </w:rPr>
              <w:t>证书</w:t>
            </w:r>
            <w:r>
              <w:rPr>
                <w:rFonts w:hint="eastAsia" w:ascii="宋体" w:hAnsi="宋体" w:eastAsia="宋体" w:cs="宋体"/>
                <w:color w:val="auto"/>
                <w:szCs w:val="21"/>
                <w:highlight w:val="none"/>
                <w:lang w:val="en-US" w:eastAsia="zh-CN"/>
              </w:rPr>
              <w:t>的得1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Style w:val="84"/>
                <w:rFonts w:hint="eastAsia" w:ascii="宋体" w:hAnsi="宋体" w:cs="宋体"/>
                <w:color w:val="auto"/>
                <w:sz w:val="21"/>
                <w:szCs w:val="21"/>
                <w:highlight w:val="none"/>
                <w:lang w:eastAsia="zh-CN"/>
              </w:rPr>
              <w:t>。</w:t>
            </w:r>
          </w:p>
          <w:p>
            <w:pPr>
              <w:rPr>
                <w:rFonts w:hint="eastAsia"/>
                <w:color w:val="auto"/>
                <w:szCs w:val="21"/>
                <w:highlight w:val="none"/>
              </w:rPr>
            </w:pPr>
            <w:r>
              <w:rPr>
                <w:rFonts w:hint="eastAsia"/>
                <w:color w:val="auto"/>
                <w:szCs w:val="21"/>
                <w:highlight w:val="none"/>
              </w:rPr>
              <w:t>2、投标人获得国家生态环境监测网第三方运维单位服务质量评价四星级及以上企业的计</w:t>
            </w:r>
            <w:r>
              <w:rPr>
                <w:rFonts w:hint="eastAsia"/>
                <w:color w:val="auto"/>
                <w:szCs w:val="21"/>
                <w:highlight w:val="none"/>
                <w:lang w:val="en-US" w:eastAsia="zh-CN"/>
              </w:rPr>
              <w:t>0.75</w:t>
            </w:r>
            <w:r>
              <w:rPr>
                <w:rFonts w:hint="eastAsia"/>
                <w:color w:val="auto"/>
                <w:szCs w:val="21"/>
                <w:highlight w:val="none"/>
              </w:rPr>
              <w:t>分；三星级企业的计0.5分</w:t>
            </w:r>
            <w:r>
              <w:rPr>
                <w:rFonts w:hint="eastAsia"/>
                <w:color w:val="auto"/>
                <w:szCs w:val="21"/>
                <w:highlight w:val="none"/>
                <w:lang w:eastAsia="zh-CN"/>
              </w:rPr>
              <w:t>。</w:t>
            </w:r>
          </w:p>
          <w:p>
            <w:pPr>
              <w:rPr>
                <w:rFonts w:hint="eastAsia"/>
                <w:color w:val="auto"/>
                <w:szCs w:val="21"/>
                <w:highlight w:val="none"/>
              </w:rPr>
            </w:pPr>
            <w:r>
              <w:rPr>
                <w:rFonts w:hint="eastAsia"/>
                <w:color w:val="auto"/>
                <w:szCs w:val="21"/>
                <w:highlight w:val="none"/>
              </w:rPr>
              <w:t>3、投标人具有地表水水质自动监测站运营服务一级认证证书的计</w:t>
            </w:r>
            <w:r>
              <w:rPr>
                <w:rFonts w:hint="eastAsia"/>
                <w:color w:val="auto"/>
                <w:szCs w:val="21"/>
                <w:highlight w:val="none"/>
                <w:lang w:val="en-US" w:eastAsia="zh-CN"/>
              </w:rPr>
              <w:t>0.75</w:t>
            </w:r>
            <w:r>
              <w:rPr>
                <w:rFonts w:hint="eastAsia"/>
                <w:color w:val="auto"/>
                <w:szCs w:val="21"/>
                <w:highlight w:val="none"/>
              </w:rPr>
              <w:t>分；二级认证证书的计0.5分。</w:t>
            </w:r>
          </w:p>
          <w:p>
            <w:pPr>
              <w:pStyle w:val="2"/>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4、投标人具备工业和信息部认定的产业技术基础公共服务平台、承担工业互联网试点示范项目的，得</w:t>
            </w:r>
            <w:r>
              <w:rPr>
                <w:rFonts w:hint="eastAsia"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分，缺一项不得分</w:t>
            </w:r>
            <w:r>
              <w:rPr>
                <w:rFonts w:hint="eastAsia" w:cs="Times New Roman"/>
                <w:color w:val="auto"/>
                <w:kern w:val="2"/>
                <w:sz w:val="21"/>
                <w:szCs w:val="21"/>
                <w:highlight w:val="none"/>
                <w:lang w:val="en-US" w:eastAsia="zh-CN" w:bidi="ar-SA"/>
              </w:rPr>
              <w:t>。</w:t>
            </w:r>
          </w:p>
          <w:p>
            <w:pPr>
              <w:rPr>
                <w:rFonts w:ascii="宋体" w:hAnsi="宋体" w:cs="宋体"/>
                <w:color w:val="auto"/>
                <w:szCs w:val="21"/>
              </w:rPr>
            </w:pPr>
            <w:r>
              <w:rPr>
                <w:rFonts w:hint="eastAsia"/>
                <w:color w:val="auto"/>
                <w:szCs w:val="21"/>
                <w:highlight w:val="none"/>
              </w:rPr>
              <w:t>注：以上各项须提供相关证书或证明材料</w:t>
            </w:r>
            <w:r>
              <w:rPr>
                <w:rFonts w:hint="eastAsia"/>
                <w:color w:val="auto"/>
                <w:szCs w:val="21"/>
                <w:highlight w:val="none"/>
                <w:lang w:eastAsia="zh-CN"/>
              </w:rPr>
              <w:t>扫描件</w:t>
            </w:r>
            <w:r>
              <w:rPr>
                <w:rFonts w:hint="eastAsia"/>
                <w:color w:val="auto"/>
                <w:szCs w:val="21"/>
                <w:highlight w:val="none"/>
              </w:rPr>
              <w:t>并加盖</w:t>
            </w:r>
            <w:r>
              <w:rPr>
                <w:rFonts w:hint="eastAsia"/>
                <w:color w:val="auto"/>
                <w:szCs w:val="21"/>
                <w:highlight w:val="none"/>
                <w:lang w:eastAsia="zh-CN"/>
              </w:rPr>
              <w:t>投标人</w:t>
            </w:r>
            <w:r>
              <w:rPr>
                <w:rFonts w:hint="eastAsia"/>
                <w:color w:val="auto"/>
                <w:szCs w:val="21"/>
                <w:highlight w:val="none"/>
              </w:rPr>
              <w:t>公章进行评审，不提供不得分。投标人近三年内，在参加政府采购活动中没有重大违法记录，未提供相关承诺按无效标处理。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562" w:type="dxa"/>
            <w:vMerge w:val="continue"/>
            <w:vAlign w:val="center"/>
          </w:tcPr>
          <w:p>
            <w:pPr>
              <w:spacing w:before="100" w:beforeAutospacing="1" w:after="100" w:afterAutospacing="1" w:line="360" w:lineRule="auto"/>
              <w:jc w:val="center"/>
              <w:rPr>
                <w:rFonts w:ascii="宋体" w:hAnsi="宋体" w:cs="宋体"/>
                <w:color w:val="auto"/>
                <w:szCs w:val="21"/>
                <w:lang w:val="zh-CN"/>
              </w:rPr>
            </w:pPr>
          </w:p>
        </w:tc>
        <w:tc>
          <w:tcPr>
            <w:tcW w:w="1173" w:type="dxa"/>
            <w:vMerge w:val="continue"/>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p>
        </w:tc>
        <w:tc>
          <w:tcPr>
            <w:tcW w:w="1165" w:type="dxa"/>
            <w:tcBorders>
              <w:right w:val="single" w:color="auto" w:sz="4" w:space="0"/>
            </w:tcBorders>
            <w:vAlign w:val="center"/>
          </w:tcPr>
          <w:p>
            <w:pPr>
              <w:spacing w:before="100" w:beforeAutospacing="1" w:after="100" w:afterAutospacing="1"/>
              <w:jc w:val="center"/>
              <w:rPr>
                <w:rFonts w:hint="eastAsia" w:ascii="宋体" w:hAnsi="宋体" w:cs="宋体"/>
                <w:color w:val="auto"/>
                <w:szCs w:val="21"/>
                <w:lang w:val="zh-CN"/>
              </w:rPr>
            </w:pPr>
            <w:r>
              <w:rPr>
                <w:rFonts w:hint="eastAsia" w:ascii="宋体" w:hAnsi="宋体" w:cs="宋体"/>
                <w:color w:val="auto"/>
                <w:szCs w:val="21"/>
                <w:lang w:val="zh-CN"/>
              </w:rPr>
              <w:t>专业技术能力（</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zh-CN"/>
              </w:rPr>
              <w:t>）</w:t>
            </w:r>
          </w:p>
        </w:tc>
        <w:tc>
          <w:tcPr>
            <w:tcW w:w="6866" w:type="dxa"/>
            <w:tcBorders>
              <w:left w:val="single" w:color="auto" w:sz="4" w:space="0"/>
            </w:tcBorders>
            <w:vAlign w:val="center"/>
          </w:tcPr>
          <w:p>
            <w:pPr>
              <w:rPr>
                <w:rStyle w:val="84"/>
                <w:rFonts w:hint="eastAsia" w:ascii="宋体" w:hAnsi="宋体" w:eastAsia="宋体" w:cs="宋体"/>
                <w:b w:val="0"/>
                <w:bCs w:val="0"/>
                <w:color w:val="auto"/>
                <w:sz w:val="21"/>
                <w:szCs w:val="21"/>
                <w:highlight w:val="none"/>
                <w:lang w:val="en-US"/>
              </w:rPr>
            </w:pPr>
            <w:r>
              <w:rPr>
                <w:rStyle w:val="84"/>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lang w:eastAsia="zh-CN"/>
              </w:rPr>
              <w:t>投标人是</w:t>
            </w:r>
            <w:r>
              <w:rPr>
                <w:rFonts w:hint="eastAsia" w:ascii="宋体" w:hAnsi="宋体" w:cs="宋体"/>
                <w:b w:val="0"/>
                <w:bCs w:val="0"/>
                <w:color w:val="auto"/>
                <w:lang w:eastAsia="zh-CN"/>
              </w:rPr>
              <w:t>省级及以上</w:t>
            </w:r>
            <w:r>
              <w:rPr>
                <w:rFonts w:hint="eastAsia" w:ascii="宋体" w:hAnsi="宋体" w:eastAsia="宋体" w:cs="宋体"/>
                <w:bCs/>
                <w:color w:val="auto"/>
              </w:rPr>
              <w:t>认定</w:t>
            </w:r>
            <w:r>
              <w:rPr>
                <w:rFonts w:hint="eastAsia" w:ascii="宋体" w:hAnsi="宋体" w:eastAsia="宋体" w:cs="宋体"/>
                <w:bCs/>
                <w:color w:val="auto"/>
                <w:lang w:eastAsia="zh-CN"/>
              </w:rPr>
              <w:t>的工程</w:t>
            </w:r>
            <w:r>
              <w:rPr>
                <w:rFonts w:hint="eastAsia" w:ascii="宋体" w:hAnsi="宋体" w:eastAsia="宋体" w:cs="宋体"/>
                <w:bCs/>
                <w:color w:val="auto"/>
              </w:rPr>
              <w:t>技术中心的，得2分</w:t>
            </w:r>
            <w:r>
              <w:rPr>
                <w:rFonts w:hint="eastAsia" w:ascii="宋体" w:hAnsi="宋体" w:cs="宋体"/>
                <w:bCs/>
                <w:color w:val="auto"/>
                <w:lang w:eastAsia="zh-CN"/>
              </w:rPr>
              <w:t>。</w:t>
            </w:r>
          </w:p>
          <w:p>
            <w:pPr>
              <w:pStyle w:val="23"/>
              <w:spacing w:line="240" w:lineRule="auto"/>
              <w:jc w:val="left"/>
              <w:rPr>
                <w:rStyle w:val="84"/>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、投标人具有水文、水资源调查评价甲级资质证书的计</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rPr>
              <w:t>分</w:t>
            </w:r>
            <w:r>
              <w:rPr>
                <w:rStyle w:val="84"/>
                <w:rFonts w:hint="eastAsia" w:ascii="宋体" w:hAnsi="宋体" w:eastAsia="宋体" w:cs="宋体"/>
                <w:b w:val="0"/>
                <w:bCs w:val="0"/>
                <w:color w:val="auto"/>
                <w:kern w:val="2"/>
                <w:sz w:val="21"/>
                <w:szCs w:val="21"/>
                <w:highlight w:val="none"/>
                <w:lang w:val="en-US" w:eastAsia="zh-CN"/>
              </w:rPr>
              <w:t>。</w:t>
            </w:r>
          </w:p>
          <w:p>
            <w:pPr>
              <w:rPr>
                <w:rStyle w:val="84"/>
                <w:rFonts w:hint="eastAsia" w:ascii="宋体" w:hAnsi="宋体" w:eastAsia="宋体" w:cs="宋体"/>
                <w:b w:val="0"/>
                <w:bCs w:val="0"/>
                <w:color w:val="auto"/>
                <w:sz w:val="21"/>
                <w:szCs w:val="21"/>
                <w:highlight w:val="none"/>
              </w:rPr>
            </w:pPr>
            <w:r>
              <w:rPr>
                <w:rStyle w:val="84"/>
                <w:rFonts w:hint="eastAsia" w:ascii="宋体" w:hAnsi="宋体" w:eastAsia="宋体" w:cs="宋体"/>
                <w:b w:val="0"/>
                <w:bCs w:val="0"/>
                <w:color w:val="auto"/>
                <w:sz w:val="21"/>
                <w:szCs w:val="21"/>
                <w:highlight w:val="none"/>
                <w:lang w:val="en-US" w:eastAsia="zh-CN"/>
              </w:rPr>
              <w:t>3</w:t>
            </w:r>
            <w:r>
              <w:rPr>
                <w:rStyle w:val="84"/>
                <w:rFonts w:hint="eastAsia" w:ascii="宋体" w:hAnsi="宋体" w:eastAsia="宋体" w:cs="宋体"/>
                <w:b w:val="0"/>
                <w:bCs w:val="0"/>
                <w:color w:val="auto"/>
                <w:sz w:val="21"/>
                <w:szCs w:val="21"/>
                <w:highlight w:val="none"/>
              </w:rPr>
              <w:t>、投标人具有有效期内的检验检测机构资质认定证书（CMA）、中国合格评定国家认可委员会颁发的CNAS证书的计</w:t>
            </w:r>
            <w:r>
              <w:rPr>
                <w:rStyle w:val="84"/>
                <w:rFonts w:hint="eastAsia" w:ascii="宋体" w:hAnsi="宋体" w:eastAsia="宋体" w:cs="宋体"/>
                <w:b w:val="0"/>
                <w:bCs w:val="0"/>
                <w:color w:val="auto"/>
                <w:sz w:val="21"/>
                <w:szCs w:val="21"/>
                <w:highlight w:val="none"/>
                <w:lang w:val="en-US" w:eastAsia="zh-CN"/>
              </w:rPr>
              <w:t>1.5</w:t>
            </w:r>
            <w:r>
              <w:rPr>
                <w:rStyle w:val="84"/>
                <w:rFonts w:hint="eastAsia" w:ascii="宋体" w:hAnsi="宋体" w:eastAsia="宋体" w:cs="宋体"/>
                <w:b w:val="0"/>
                <w:bCs w:val="0"/>
                <w:color w:val="auto"/>
                <w:sz w:val="21"/>
                <w:szCs w:val="21"/>
                <w:highlight w:val="none"/>
              </w:rPr>
              <w:t>分，缺一项不计分</w:t>
            </w:r>
            <w:r>
              <w:rPr>
                <w:rStyle w:val="84"/>
                <w:rFonts w:hint="eastAsia" w:ascii="宋体" w:hAnsi="宋体" w:cs="宋体"/>
                <w:b w:val="0"/>
                <w:bCs w:val="0"/>
                <w:color w:val="auto"/>
                <w:sz w:val="21"/>
                <w:szCs w:val="21"/>
                <w:highlight w:val="none"/>
                <w:lang w:eastAsia="zh-CN"/>
              </w:rPr>
              <w:t>。</w:t>
            </w:r>
          </w:p>
          <w:p>
            <w:pPr>
              <w:rPr>
                <w:rFonts w:hint="eastAsia"/>
                <w:color w:val="auto"/>
                <w:szCs w:val="21"/>
              </w:rPr>
            </w:pPr>
            <w:r>
              <w:rPr>
                <w:rStyle w:val="84"/>
                <w:rFonts w:hint="eastAsia" w:ascii="宋体" w:hAnsi="宋体" w:eastAsia="宋体" w:cs="宋体"/>
                <w:b w:val="0"/>
                <w:bCs w:val="0"/>
                <w:color w:val="auto"/>
                <w:sz w:val="21"/>
                <w:szCs w:val="21"/>
                <w:highlight w:val="none"/>
              </w:rPr>
              <w:t>注：以上各项须提供相关证书或证明材料</w:t>
            </w:r>
            <w:r>
              <w:rPr>
                <w:rStyle w:val="84"/>
                <w:rFonts w:hint="eastAsia" w:ascii="宋体" w:hAnsi="宋体" w:cs="宋体"/>
                <w:b w:val="0"/>
                <w:bCs w:val="0"/>
                <w:color w:val="auto"/>
                <w:sz w:val="21"/>
                <w:szCs w:val="21"/>
                <w:highlight w:val="none"/>
                <w:lang w:eastAsia="zh-CN"/>
              </w:rPr>
              <w:t>扫描件</w:t>
            </w:r>
            <w:r>
              <w:rPr>
                <w:rStyle w:val="84"/>
                <w:rFonts w:hint="eastAsia" w:ascii="宋体" w:hAnsi="宋体" w:eastAsia="宋体" w:cs="宋体"/>
                <w:b w:val="0"/>
                <w:bCs w:val="0"/>
                <w:color w:val="auto"/>
                <w:sz w:val="21"/>
                <w:szCs w:val="21"/>
                <w:highlight w:val="none"/>
              </w:rPr>
              <w:t>并加盖</w:t>
            </w:r>
            <w:r>
              <w:rPr>
                <w:rStyle w:val="84"/>
                <w:rFonts w:hint="eastAsia" w:ascii="宋体" w:hAnsi="宋体" w:cs="宋体"/>
                <w:b w:val="0"/>
                <w:bCs w:val="0"/>
                <w:color w:val="auto"/>
                <w:sz w:val="21"/>
                <w:szCs w:val="21"/>
                <w:highlight w:val="none"/>
                <w:lang w:eastAsia="zh-CN"/>
              </w:rPr>
              <w:t>投标人</w:t>
            </w:r>
            <w:r>
              <w:rPr>
                <w:rStyle w:val="84"/>
                <w:rFonts w:hint="eastAsia" w:ascii="宋体" w:hAnsi="宋体" w:eastAsia="宋体" w:cs="宋体"/>
                <w:b w:val="0"/>
                <w:bCs w:val="0"/>
                <w:color w:val="auto"/>
                <w:sz w:val="21"/>
                <w:szCs w:val="21"/>
                <w:highlight w:val="none"/>
              </w:rPr>
              <w:t>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2" w:type="dxa"/>
            <w:vMerge w:val="continue"/>
            <w:vAlign w:val="center"/>
          </w:tcPr>
          <w:p>
            <w:pPr>
              <w:spacing w:before="100" w:beforeAutospacing="1" w:after="100" w:afterAutospacing="1" w:line="360" w:lineRule="auto"/>
              <w:jc w:val="center"/>
              <w:rPr>
                <w:rFonts w:ascii="宋体" w:hAnsi="宋体" w:cs="宋体"/>
                <w:color w:val="auto"/>
                <w:szCs w:val="21"/>
                <w:lang w:val="zh-CN"/>
              </w:rPr>
            </w:pPr>
          </w:p>
        </w:tc>
        <w:tc>
          <w:tcPr>
            <w:tcW w:w="1173" w:type="dxa"/>
            <w:vMerge w:val="continue"/>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p>
        </w:tc>
        <w:tc>
          <w:tcPr>
            <w:tcW w:w="1165" w:type="dxa"/>
            <w:tcBorders>
              <w:right w:val="single" w:color="auto" w:sz="4" w:space="0"/>
            </w:tcBorders>
            <w:vAlign w:val="top"/>
          </w:tcPr>
          <w:p>
            <w:pPr>
              <w:jc w:val="center"/>
              <w:rPr>
                <w:rFonts w:hint="eastAsia"/>
                <w:color w:val="auto"/>
                <w:szCs w:val="21"/>
              </w:rPr>
            </w:pPr>
          </w:p>
          <w:p>
            <w:pPr>
              <w:jc w:val="center"/>
              <w:rPr>
                <w:rFonts w:hint="eastAsia"/>
                <w:color w:val="auto"/>
                <w:szCs w:val="21"/>
              </w:rPr>
            </w:pPr>
          </w:p>
          <w:p>
            <w:pPr>
              <w:jc w:val="center"/>
              <w:rPr>
                <w:rFonts w:hint="eastAsia"/>
                <w:color w:val="auto"/>
                <w:szCs w:val="21"/>
              </w:rPr>
            </w:pPr>
          </w:p>
          <w:p>
            <w:pPr>
              <w:jc w:val="center"/>
              <w:rPr>
                <w:rFonts w:hint="eastAsia"/>
                <w:color w:val="auto"/>
                <w:szCs w:val="21"/>
                <w:lang w:val="zh-CN"/>
              </w:rPr>
            </w:pPr>
            <w:r>
              <w:rPr>
                <w:rFonts w:hint="eastAsia"/>
                <w:color w:val="auto"/>
                <w:szCs w:val="21"/>
              </w:rPr>
              <w:t>人员配备（</w:t>
            </w:r>
            <w:r>
              <w:rPr>
                <w:rFonts w:hint="eastAsia"/>
                <w:color w:val="auto"/>
                <w:szCs w:val="21"/>
                <w:lang w:val="en-US" w:eastAsia="zh-CN"/>
              </w:rPr>
              <w:t>5</w:t>
            </w:r>
            <w:r>
              <w:rPr>
                <w:rFonts w:hint="eastAsia"/>
                <w:color w:val="auto"/>
                <w:szCs w:val="21"/>
              </w:rPr>
              <w:t>分）</w:t>
            </w:r>
          </w:p>
        </w:tc>
        <w:tc>
          <w:tcPr>
            <w:tcW w:w="6866" w:type="dxa"/>
            <w:tcBorders>
              <w:left w:val="single" w:color="auto" w:sz="4" w:space="0"/>
            </w:tcBorders>
            <w:vAlign w:val="top"/>
          </w:tcPr>
          <w:p>
            <w:pPr>
              <w:widowControl/>
              <w:numPr>
                <w:ilvl w:val="0"/>
                <w:numId w:val="0"/>
              </w:numPr>
              <w:jc w:val="left"/>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项目负责人具有环境类专业高级工程师职称并入选国家部委人才计划的</w:t>
            </w:r>
            <w:r>
              <w:rPr>
                <w:rFonts w:hint="eastAsia" w:ascii="宋体" w:hAnsi="宋体" w:cs="宋体"/>
                <w:color w:val="auto"/>
                <w:kern w:val="0"/>
                <w:szCs w:val="21"/>
                <w:lang w:eastAsia="zh-CN"/>
              </w:rPr>
              <w:t>得</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r>
              <w:rPr>
                <w:rFonts w:hint="eastAsia" w:ascii="宋体" w:hAnsi="宋体" w:cs="宋体"/>
                <w:color w:val="auto"/>
                <w:kern w:val="0"/>
                <w:szCs w:val="21"/>
                <w:lang w:val="en-US" w:eastAsia="zh-CN"/>
              </w:rPr>
              <w:t>。</w:t>
            </w:r>
          </w:p>
          <w:p>
            <w:pPr>
              <w:widowControl/>
              <w:numPr>
                <w:ilvl w:val="0"/>
                <w:numId w:val="0"/>
              </w:numPr>
              <w:jc w:val="left"/>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技术负责人具有</w:t>
            </w:r>
            <w:r>
              <w:rPr>
                <w:rFonts w:hint="eastAsia" w:ascii="宋体" w:hAnsi="宋体" w:cs="宋体"/>
                <w:color w:val="auto"/>
                <w:kern w:val="0"/>
                <w:szCs w:val="21"/>
              </w:rPr>
              <w:t>环境类专业高级工程师职称</w:t>
            </w:r>
            <w:r>
              <w:rPr>
                <w:rFonts w:hint="eastAsia" w:ascii="宋体" w:hAnsi="宋体" w:cs="宋体"/>
                <w:color w:val="auto"/>
                <w:kern w:val="0"/>
                <w:szCs w:val="21"/>
                <w:lang w:eastAsia="zh-CN"/>
              </w:rPr>
              <w:t>的得</w:t>
            </w:r>
            <w:r>
              <w:rPr>
                <w:rFonts w:hint="eastAsia" w:ascii="宋体" w:hAnsi="宋体" w:cs="宋体"/>
                <w:color w:val="auto"/>
                <w:kern w:val="0"/>
                <w:szCs w:val="21"/>
                <w:lang w:val="en-US" w:eastAsia="zh-CN"/>
              </w:rPr>
              <w:t>1.5分</w:t>
            </w:r>
            <w:r>
              <w:rPr>
                <w:rFonts w:hint="eastAsia" w:ascii="宋体" w:hAnsi="宋体" w:cs="宋体"/>
                <w:color w:val="auto"/>
                <w:kern w:val="0"/>
                <w:szCs w:val="21"/>
              </w:rPr>
              <w:t>。</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、项目组成员（项目负责人、技术负责人除外）中</w:t>
            </w:r>
            <w:r>
              <w:rPr>
                <w:rFonts w:hint="eastAsia" w:ascii="宋体" w:hAnsi="宋体" w:cs="宋体"/>
                <w:color w:val="auto"/>
                <w:kern w:val="0"/>
                <w:szCs w:val="21"/>
                <w:lang w:eastAsia="zh-CN"/>
              </w:rPr>
              <w:t>具有中国环境监测总站颁发的国家地表水自动监测运维技术人员考核合格证的每人</w:t>
            </w:r>
            <w:r>
              <w:rPr>
                <w:rFonts w:hint="eastAsia" w:ascii="宋体" w:hAnsi="宋体" w:cs="宋体"/>
                <w:color w:val="auto"/>
                <w:kern w:val="0"/>
                <w:szCs w:val="21"/>
                <w:lang w:val="en-US" w:eastAsia="zh-CN"/>
              </w:rPr>
              <w:t>0.5分，最高2分。</w:t>
            </w:r>
          </w:p>
          <w:p>
            <w:pPr>
              <w:jc w:val="left"/>
              <w:rPr>
                <w:rFonts w:hint="eastAsia"/>
                <w:color w:val="auto"/>
                <w:szCs w:val="21"/>
              </w:rPr>
            </w:pPr>
            <w:r>
              <w:rPr>
                <w:rFonts w:hint="eastAsia" w:ascii="宋体" w:hAnsi="宋体" w:cs="宋体"/>
                <w:color w:val="auto"/>
                <w:kern w:val="0"/>
                <w:szCs w:val="21"/>
              </w:rPr>
              <w:t>注：须提供职称证书、</w:t>
            </w:r>
            <w:r>
              <w:rPr>
                <w:rFonts w:hint="eastAsia" w:ascii="宋体" w:hAnsi="宋体" w:cs="宋体"/>
                <w:color w:val="auto"/>
                <w:kern w:val="0"/>
                <w:szCs w:val="21"/>
                <w:lang w:eastAsia="zh-CN"/>
              </w:rPr>
              <w:t>考核合格证</w:t>
            </w:r>
            <w:r>
              <w:rPr>
                <w:rFonts w:hint="eastAsia" w:ascii="宋体" w:hAnsi="宋体" w:cs="宋体"/>
                <w:color w:val="auto"/>
                <w:kern w:val="0"/>
                <w:szCs w:val="21"/>
              </w:rPr>
              <w:t>等相关证明材料</w:t>
            </w:r>
            <w:r>
              <w:rPr>
                <w:rFonts w:hint="eastAsia" w:ascii="宋体" w:hAnsi="宋体" w:cs="宋体"/>
                <w:color w:val="auto"/>
                <w:kern w:val="0"/>
                <w:szCs w:val="21"/>
                <w:lang w:eastAsia="zh-CN"/>
              </w:rPr>
              <w:t>扫描件</w:t>
            </w:r>
            <w:r>
              <w:rPr>
                <w:rFonts w:hint="eastAsia" w:ascii="宋体" w:hAnsi="宋体" w:cs="宋体"/>
                <w:color w:val="auto"/>
                <w:kern w:val="0"/>
                <w:szCs w:val="21"/>
              </w:rPr>
              <w:t>和最近6个月的社保缴纳证明的</w:t>
            </w:r>
            <w:r>
              <w:rPr>
                <w:rFonts w:hint="eastAsia" w:ascii="宋体" w:hAnsi="宋体" w:cs="宋体"/>
                <w:color w:val="auto"/>
                <w:kern w:val="0"/>
                <w:szCs w:val="21"/>
                <w:lang w:eastAsia="zh-CN"/>
              </w:rPr>
              <w:t>扫描件</w:t>
            </w:r>
            <w:r>
              <w:rPr>
                <w:rFonts w:hint="eastAsia" w:ascii="宋体" w:hAnsi="宋体" w:cs="宋体"/>
                <w:color w:val="auto"/>
                <w:kern w:val="0"/>
                <w:szCs w:val="21"/>
              </w:rPr>
              <w:t>，加盖投标人公章，不提供的或提供不全的不计分。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62" w:type="dxa"/>
            <w:vMerge w:val="restart"/>
            <w:vAlign w:val="center"/>
          </w:tcPr>
          <w:p>
            <w:pPr>
              <w:widowControl/>
              <w:spacing w:line="400" w:lineRule="exact"/>
              <w:jc w:val="center"/>
              <w:rPr>
                <w:rFonts w:hint="eastAsia" w:ascii="宋体" w:hAnsi="宋体" w:cs="宋体"/>
                <w:color w:val="auto"/>
                <w:kern w:val="0"/>
                <w:szCs w:val="21"/>
                <w:lang w:val="zh-CN"/>
              </w:rPr>
            </w:pPr>
          </w:p>
          <w:p>
            <w:pPr>
              <w:widowControl/>
              <w:spacing w:line="400" w:lineRule="exact"/>
              <w:jc w:val="center"/>
              <w:rPr>
                <w:rFonts w:hint="eastAsia" w:ascii="宋体" w:hAnsi="宋体" w:cs="宋体"/>
                <w:color w:val="auto"/>
                <w:kern w:val="0"/>
                <w:szCs w:val="21"/>
                <w:lang w:val="zh-CN"/>
              </w:rPr>
            </w:pPr>
          </w:p>
          <w:p>
            <w:pPr>
              <w:widowControl/>
              <w:spacing w:line="400" w:lineRule="exact"/>
              <w:jc w:val="center"/>
              <w:rPr>
                <w:rFonts w:hint="eastAsia" w:ascii="宋体" w:hAnsi="宋体" w:cs="宋体"/>
                <w:color w:val="auto"/>
                <w:kern w:val="0"/>
                <w:szCs w:val="21"/>
                <w:lang w:val="zh-CN"/>
              </w:rPr>
            </w:pPr>
          </w:p>
          <w:p>
            <w:pPr>
              <w:widowControl/>
              <w:spacing w:line="400" w:lineRule="exact"/>
              <w:jc w:val="center"/>
              <w:rPr>
                <w:rFonts w:hint="eastAsia" w:ascii="宋体" w:hAnsi="宋体" w:cs="宋体"/>
                <w:color w:val="auto"/>
                <w:kern w:val="0"/>
                <w:szCs w:val="21"/>
                <w:lang w:val="zh-CN"/>
              </w:rPr>
            </w:pPr>
            <w:r>
              <w:rPr>
                <w:rFonts w:hint="eastAsia" w:ascii="宋体" w:hAnsi="宋体" w:cs="宋体"/>
                <w:color w:val="auto"/>
                <w:kern w:val="0"/>
                <w:szCs w:val="21"/>
              </w:rPr>
              <w:t>3</w:t>
            </w:r>
          </w:p>
        </w:tc>
        <w:tc>
          <w:tcPr>
            <w:tcW w:w="1173" w:type="dxa"/>
            <w:vMerge w:val="restart"/>
            <w:tcBorders>
              <w:right w:val="single" w:color="auto" w:sz="4" w:space="0"/>
            </w:tcBorders>
            <w:vAlign w:val="center"/>
          </w:tcPr>
          <w:p>
            <w:pPr>
              <w:spacing w:before="100" w:beforeAutospacing="1" w:after="100" w:afterAutospacing="1"/>
              <w:jc w:val="center"/>
              <w:rPr>
                <w:rFonts w:hint="eastAsia" w:ascii="宋体" w:hAnsi="宋体" w:cs="宋体"/>
                <w:color w:val="auto"/>
                <w:szCs w:val="21"/>
                <w:lang w:val="zh-CN"/>
              </w:rPr>
            </w:pPr>
          </w:p>
          <w:p>
            <w:pPr>
              <w:spacing w:before="100" w:beforeAutospacing="1" w:after="100" w:afterAutospacing="1"/>
              <w:jc w:val="center"/>
              <w:rPr>
                <w:rFonts w:hint="eastAsia" w:ascii="宋体" w:hAnsi="宋体" w:cs="宋体"/>
                <w:color w:val="auto"/>
                <w:szCs w:val="21"/>
                <w:lang w:val="zh-CN"/>
              </w:rPr>
            </w:pPr>
          </w:p>
          <w:p>
            <w:pPr>
              <w:spacing w:before="100" w:beforeAutospacing="1" w:after="100" w:afterAutospacing="1"/>
              <w:jc w:val="center"/>
              <w:rPr>
                <w:rFonts w:ascii="宋体" w:hAnsi="宋体" w:cs="宋体"/>
                <w:color w:val="auto"/>
                <w:szCs w:val="21"/>
                <w:lang w:val="zh-CN"/>
              </w:rPr>
            </w:pPr>
            <w:r>
              <w:rPr>
                <w:rFonts w:hint="eastAsia" w:ascii="宋体" w:hAnsi="宋体" w:cs="宋体"/>
                <w:color w:val="auto"/>
                <w:szCs w:val="21"/>
                <w:lang w:val="zh-CN"/>
              </w:rPr>
              <w:t>项目实施方案（</w:t>
            </w:r>
            <w:r>
              <w:rPr>
                <w:rFonts w:hint="eastAsia" w:ascii="宋体" w:hAnsi="宋体" w:cs="宋体"/>
                <w:color w:val="auto"/>
                <w:szCs w:val="21"/>
              </w:rPr>
              <w:t>1</w:t>
            </w:r>
            <w:r>
              <w:rPr>
                <w:rFonts w:hint="eastAsia" w:ascii="宋体" w:hAnsi="宋体" w:cs="宋体"/>
                <w:color w:val="auto"/>
                <w:szCs w:val="21"/>
                <w:lang w:val="en-US" w:eastAsia="zh-CN"/>
              </w:rPr>
              <w:t>8</w:t>
            </w:r>
            <w:r>
              <w:rPr>
                <w:rFonts w:hint="eastAsia" w:ascii="宋体" w:hAnsi="宋体" w:cs="宋体"/>
                <w:color w:val="auto"/>
                <w:szCs w:val="21"/>
              </w:rPr>
              <w:t>分</w:t>
            </w:r>
            <w:r>
              <w:rPr>
                <w:rFonts w:hint="eastAsia" w:ascii="宋体" w:hAnsi="宋体" w:cs="宋体"/>
                <w:color w:val="auto"/>
                <w:szCs w:val="21"/>
                <w:lang w:val="zh-CN"/>
              </w:rPr>
              <w:t>）</w:t>
            </w:r>
          </w:p>
        </w:tc>
        <w:tc>
          <w:tcPr>
            <w:tcW w:w="1165" w:type="dxa"/>
            <w:tcBorders>
              <w:left w:val="single" w:color="auto" w:sz="4" w:space="0"/>
            </w:tcBorders>
            <w:vAlign w:val="center"/>
          </w:tcPr>
          <w:p>
            <w:pPr>
              <w:spacing w:before="100" w:beforeAutospacing="1" w:after="100" w:afterAutospacing="1"/>
              <w:jc w:val="center"/>
              <w:rPr>
                <w:rFonts w:ascii="宋体" w:hAnsi="宋体" w:cs="宋体"/>
                <w:color w:val="auto"/>
                <w:szCs w:val="21"/>
                <w:lang w:val="zh-CN"/>
              </w:rPr>
            </w:pPr>
            <w:r>
              <w:rPr>
                <w:rFonts w:hint="eastAsia" w:ascii="宋体" w:hAnsi="宋体" w:cs="宋体"/>
                <w:color w:val="auto"/>
                <w:szCs w:val="21"/>
                <w:lang w:val="zh-CN"/>
              </w:rPr>
              <w:t>项目理解</w:t>
            </w:r>
            <w:r>
              <w:rPr>
                <w:rFonts w:hint="eastAsia" w:ascii="宋体" w:hAnsi="宋体" w:cs="宋体"/>
                <w:color w:val="auto"/>
                <w:szCs w:val="21"/>
              </w:rPr>
              <w:t xml:space="preserve"> </w:t>
            </w:r>
            <w:r>
              <w:rPr>
                <w:rFonts w:hint="eastAsia" w:ascii="宋体" w:hAnsi="宋体" w:cs="宋体"/>
                <w:color w:val="auto"/>
                <w:szCs w:val="21"/>
                <w:lang w:val="zh-CN"/>
              </w:rPr>
              <w:t>（</w:t>
            </w:r>
            <w:r>
              <w:rPr>
                <w:rFonts w:hint="eastAsia" w:ascii="宋体" w:hAnsi="宋体" w:cs="宋体"/>
                <w:color w:val="auto"/>
                <w:szCs w:val="21"/>
              </w:rPr>
              <w:t>4分</w:t>
            </w:r>
            <w:r>
              <w:rPr>
                <w:rFonts w:hint="eastAsia" w:ascii="宋体" w:hAnsi="宋体" w:cs="宋体"/>
                <w:color w:val="auto"/>
                <w:szCs w:val="21"/>
                <w:lang w:val="zh-CN"/>
              </w:rPr>
              <w:t>）</w:t>
            </w:r>
          </w:p>
        </w:tc>
        <w:tc>
          <w:tcPr>
            <w:tcW w:w="6866" w:type="dxa"/>
            <w:vAlign w:val="center"/>
          </w:tcPr>
          <w:p>
            <w:pPr>
              <w:jc w:val="left"/>
              <w:rPr>
                <w:color w:val="auto"/>
                <w:szCs w:val="21"/>
              </w:rPr>
            </w:pPr>
            <w:r>
              <w:rPr>
                <w:rFonts w:hint="eastAsia"/>
                <w:color w:val="auto"/>
                <w:szCs w:val="21"/>
              </w:rPr>
              <w:t>根据投标人提供的对本项目背景、水站现场工况及实施条件的理解程度的全面性由评委进行综合打分，优秀得4分，良好得2-3分，一般得1</w:t>
            </w:r>
            <w:r>
              <w:rPr>
                <w:rFonts w:hint="eastAsia"/>
                <w:color w:val="auto"/>
                <w:szCs w:val="21"/>
                <w:lang w:eastAsia="zh-CN"/>
              </w:rPr>
              <w:t>分</w:t>
            </w:r>
            <w:r>
              <w:rPr>
                <w:rFonts w:hint="eastAsia"/>
                <w:color w:val="auto"/>
                <w:szCs w:val="21"/>
              </w:rPr>
              <w:t>，较差得不得分。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62" w:type="dxa"/>
            <w:vMerge w:val="continue"/>
            <w:vAlign w:val="center"/>
          </w:tcPr>
          <w:p>
            <w:pPr>
              <w:widowControl/>
              <w:spacing w:line="400" w:lineRule="exact"/>
              <w:jc w:val="center"/>
              <w:rPr>
                <w:rFonts w:ascii="宋体" w:hAnsi="宋体" w:cs="宋体"/>
                <w:color w:val="auto"/>
                <w:kern w:val="0"/>
                <w:szCs w:val="21"/>
                <w:lang w:val="zh-CN"/>
              </w:rPr>
            </w:pPr>
          </w:p>
        </w:tc>
        <w:tc>
          <w:tcPr>
            <w:tcW w:w="1173" w:type="dxa"/>
            <w:vMerge w:val="continue"/>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p>
        </w:tc>
        <w:tc>
          <w:tcPr>
            <w:tcW w:w="1165" w:type="dxa"/>
            <w:tcBorders>
              <w:left w:val="single" w:color="auto" w:sz="4" w:space="0"/>
            </w:tcBorders>
            <w:vAlign w:val="center"/>
          </w:tcPr>
          <w:p>
            <w:pPr>
              <w:jc w:val="center"/>
              <w:rPr>
                <w:rFonts w:hint="eastAsia"/>
                <w:color w:val="auto"/>
                <w:szCs w:val="21"/>
                <w:lang w:val="zh-CN"/>
              </w:rPr>
            </w:pPr>
            <w:r>
              <w:rPr>
                <w:rFonts w:hint="eastAsia"/>
                <w:color w:val="auto"/>
                <w:szCs w:val="21"/>
                <w:lang w:val="zh-CN"/>
              </w:rPr>
              <w:t>系统集成方案（</w:t>
            </w:r>
            <w:r>
              <w:rPr>
                <w:rFonts w:hint="eastAsia"/>
                <w:color w:val="auto"/>
                <w:szCs w:val="21"/>
                <w:lang w:val="en-US" w:eastAsia="zh-CN"/>
              </w:rPr>
              <w:t>5</w:t>
            </w:r>
            <w:r>
              <w:rPr>
                <w:rFonts w:hint="eastAsia"/>
                <w:color w:val="auto"/>
                <w:szCs w:val="21"/>
              </w:rPr>
              <w:t>分</w:t>
            </w:r>
            <w:r>
              <w:rPr>
                <w:rFonts w:hint="eastAsia"/>
                <w:color w:val="auto"/>
                <w:szCs w:val="21"/>
                <w:lang w:val="zh-CN"/>
              </w:rPr>
              <w:t>）</w:t>
            </w:r>
          </w:p>
        </w:tc>
        <w:tc>
          <w:tcPr>
            <w:tcW w:w="6866" w:type="dxa"/>
            <w:vAlign w:val="center"/>
          </w:tcPr>
          <w:p>
            <w:pPr>
              <w:jc w:val="left"/>
              <w:rPr>
                <w:rFonts w:hint="eastAsia"/>
                <w:color w:val="auto"/>
                <w:szCs w:val="21"/>
              </w:rPr>
            </w:pPr>
            <w:r>
              <w:rPr>
                <w:rFonts w:hint="eastAsia"/>
                <w:color w:val="auto"/>
                <w:szCs w:val="21"/>
                <w:highlight w:val="none"/>
              </w:rPr>
              <w:t>投标人提供完整的系统集成方案，包括水质自动监测系统中采水单元、配水及预处理单元、质控单元、控制单元、数据采集与传输和辅助单元等各单元完整、全面的集成方案。系统集成方案按照技术要求响应，科学合理并遵循先进、实用、专业、安全、经济等原则；对投标人进行综合比较，系统集成方案合理清晰</w:t>
            </w:r>
            <w:r>
              <w:rPr>
                <w:rFonts w:hint="eastAsia"/>
                <w:color w:val="auto"/>
                <w:szCs w:val="21"/>
                <w:highlight w:val="none"/>
                <w:lang w:eastAsia="zh-CN"/>
              </w:rPr>
              <w:t>程度优秀</w:t>
            </w:r>
            <w:r>
              <w:rPr>
                <w:rFonts w:hint="eastAsia"/>
                <w:color w:val="auto"/>
                <w:szCs w:val="21"/>
                <w:highlight w:val="none"/>
              </w:rPr>
              <w:t>，得</w:t>
            </w:r>
            <w:r>
              <w:rPr>
                <w:rFonts w:hint="eastAsia"/>
                <w:color w:val="auto"/>
                <w:szCs w:val="21"/>
                <w:highlight w:val="none"/>
                <w:lang w:val="en-US" w:eastAsia="zh-CN"/>
              </w:rPr>
              <w:t>5</w:t>
            </w:r>
            <w:r>
              <w:rPr>
                <w:rFonts w:hint="eastAsia"/>
                <w:color w:val="auto"/>
                <w:szCs w:val="21"/>
                <w:highlight w:val="none"/>
              </w:rPr>
              <w:t>分；系统集成合理清晰程度</w:t>
            </w:r>
            <w:r>
              <w:rPr>
                <w:rFonts w:hint="eastAsia"/>
                <w:color w:val="auto"/>
                <w:szCs w:val="21"/>
                <w:highlight w:val="none"/>
                <w:lang w:eastAsia="zh-CN"/>
              </w:rPr>
              <w:t>良好</w:t>
            </w:r>
            <w:r>
              <w:rPr>
                <w:rFonts w:hint="eastAsia"/>
                <w:color w:val="auto"/>
                <w:szCs w:val="21"/>
                <w:highlight w:val="none"/>
              </w:rPr>
              <w:t>，得</w:t>
            </w:r>
            <w:r>
              <w:rPr>
                <w:rFonts w:hint="eastAsia"/>
                <w:color w:val="auto"/>
                <w:szCs w:val="21"/>
                <w:highlight w:val="none"/>
                <w:lang w:val="en-US" w:eastAsia="zh-CN"/>
              </w:rPr>
              <w:t>3-4</w:t>
            </w:r>
            <w:r>
              <w:rPr>
                <w:rFonts w:hint="eastAsia"/>
                <w:color w:val="auto"/>
                <w:szCs w:val="21"/>
                <w:highlight w:val="none"/>
              </w:rPr>
              <w:t>分；系统集成方案合理清晰程度</w:t>
            </w:r>
            <w:r>
              <w:rPr>
                <w:rFonts w:hint="eastAsia"/>
                <w:color w:val="auto"/>
                <w:szCs w:val="21"/>
                <w:highlight w:val="none"/>
                <w:lang w:eastAsia="zh-CN"/>
              </w:rPr>
              <w:t>一般</w:t>
            </w:r>
            <w:r>
              <w:rPr>
                <w:rFonts w:hint="eastAsia"/>
                <w:color w:val="auto"/>
                <w:szCs w:val="21"/>
                <w:highlight w:val="none"/>
              </w:rPr>
              <w:t>，得</w:t>
            </w:r>
            <w:r>
              <w:rPr>
                <w:rFonts w:hint="eastAsia"/>
                <w:color w:val="auto"/>
                <w:szCs w:val="21"/>
                <w:highlight w:val="none"/>
                <w:lang w:val="en-US" w:eastAsia="zh-CN"/>
              </w:rPr>
              <w:t>1-2</w:t>
            </w:r>
            <w:r>
              <w:rPr>
                <w:rFonts w:hint="eastAsia"/>
                <w:color w:val="auto"/>
                <w:szCs w:val="21"/>
                <w:highlight w:val="none"/>
              </w:rPr>
              <w:t>分</w:t>
            </w:r>
            <w:r>
              <w:rPr>
                <w:rFonts w:hint="eastAsia"/>
                <w:color w:val="auto"/>
                <w:szCs w:val="21"/>
                <w:highlight w:val="none"/>
                <w:lang w:eastAsia="zh-CN"/>
              </w:rPr>
              <w:t>，</w:t>
            </w:r>
            <w:r>
              <w:rPr>
                <w:rFonts w:hint="eastAsia"/>
                <w:color w:val="auto"/>
                <w:szCs w:val="21"/>
                <w:highlight w:val="none"/>
              </w:rPr>
              <w:t>系统集成方案合理清晰程度</w:t>
            </w:r>
            <w:r>
              <w:rPr>
                <w:rFonts w:hint="eastAsia"/>
                <w:color w:val="auto"/>
                <w:szCs w:val="21"/>
                <w:highlight w:val="none"/>
                <w:lang w:eastAsia="zh-CN"/>
              </w:rPr>
              <w:t>较差得</w:t>
            </w:r>
            <w:r>
              <w:rPr>
                <w:rFonts w:hint="eastAsia"/>
                <w:color w:val="auto"/>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62" w:type="dxa"/>
            <w:vMerge w:val="continue"/>
            <w:vAlign w:val="center"/>
          </w:tcPr>
          <w:p>
            <w:pPr>
              <w:widowControl/>
              <w:spacing w:line="400" w:lineRule="exact"/>
              <w:jc w:val="center"/>
              <w:rPr>
                <w:rFonts w:ascii="宋体" w:hAnsi="宋体" w:cs="宋体"/>
                <w:color w:val="auto"/>
                <w:kern w:val="0"/>
                <w:szCs w:val="21"/>
                <w:lang w:val="zh-CN"/>
              </w:rPr>
            </w:pPr>
          </w:p>
        </w:tc>
        <w:tc>
          <w:tcPr>
            <w:tcW w:w="1173" w:type="dxa"/>
            <w:vMerge w:val="continue"/>
            <w:tcBorders>
              <w:right w:val="single" w:color="auto" w:sz="4" w:space="0"/>
            </w:tcBorders>
            <w:vAlign w:val="center"/>
          </w:tcPr>
          <w:p>
            <w:pPr>
              <w:spacing w:before="100" w:beforeAutospacing="1" w:after="100" w:afterAutospacing="1"/>
              <w:jc w:val="center"/>
              <w:rPr>
                <w:rFonts w:ascii="宋体" w:hAnsi="宋体" w:cs="宋体"/>
                <w:color w:val="auto"/>
                <w:szCs w:val="21"/>
                <w:lang w:val="zh-CN"/>
              </w:rPr>
            </w:pPr>
          </w:p>
        </w:tc>
        <w:tc>
          <w:tcPr>
            <w:tcW w:w="1165" w:type="dxa"/>
            <w:tcBorders>
              <w:left w:val="single" w:color="auto" w:sz="4" w:space="0"/>
            </w:tcBorders>
            <w:vAlign w:val="center"/>
          </w:tcPr>
          <w:p>
            <w:pPr>
              <w:spacing w:before="100" w:beforeAutospacing="1" w:after="100" w:afterAutospacing="1"/>
              <w:jc w:val="center"/>
              <w:rPr>
                <w:rFonts w:ascii="宋体" w:hAnsi="宋体" w:cs="宋体"/>
                <w:color w:val="auto"/>
                <w:szCs w:val="21"/>
                <w:lang w:val="zh-CN"/>
              </w:rPr>
            </w:pPr>
            <w:r>
              <w:rPr>
                <w:rFonts w:hint="eastAsia" w:ascii="宋体" w:hAnsi="宋体" w:cs="宋体"/>
                <w:color w:val="auto"/>
                <w:szCs w:val="21"/>
                <w:lang w:val="zh-CN"/>
              </w:rPr>
              <w:t>仪器设备安装调试和联网方案（</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zh-CN"/>
              </w:rPr>
              <w:t>）</w:t>
            </w:r>
          </w:p>
        </w:tc>
        <w:tc>
          <w:tcPr>
            <w:tcW w:w="6866" w:type="dxa"/>
            <w:vAlign w:val="center"/>
          </w:tcPr>
          <w:p>
            <w:pPr>
              <w:spacing w:line="323" w:lineRule="exact"/>
              <w:jc w:val="left"/>
              <w:rPr>
                <w:color w:val="auto"/>
                <w:szCs w:val="21"/>
              </w:rPr>
            </w:pPr>
            <w:r>
              <w:rPr>
                <w:rFonts w:hint="eastAsia"/>
                <w:color w:val="auto"/>
                <w:szCs w:val="21"/>
                <w:highlight w:val="none"/>
              </w:rPr>
              <w:t>投标人提供的仪器设备安装调试方案明确、细致、合理、技术路线清晰，时间进度安排明确；联网方案能实现数据顺利传输至采购人统一的数据管理平台，方案细致合理、完整、科学，得</w:t>
            </w:r>
            <w:r>
              <w:rPr>
                <w:rFonts w:hint="eastAsia"/>
                <w:color w:val="auto"/>
                <w:szCs w:val="21"/>
                <w:highlight w:val="none"/>
                <w:lang w:val="en-US" w:eastAsia="zh-CN"/>
              </w:rPr>
              <w:t>4</w:t>
            </w:r>
            <w:r>
              <w:rPr>
                <w:rFonts w:hint="eastAsia"/>
                <w:color w:val="auto"/>
                <w:szCs w:val="21"/>
                <w:highlight w:val="none"/>
              </w:rPr>
              <w:t>分；方案较合理、安排较科学、具有一定的可操作性，得</w:t>
            </w:r>
            <w:r>
              <w:rPr>
                <w:rFonts w:hint="eastAsia"/>
                <w:color w:val="auto"/>
                <w:szCs w:val="21"/>
                <w:highlight w:val="none"/>
                <w:lang w:val="en-US" w:eastAsia="zh-CN"/>
              </w:rPr>
              <w:t>2-3</w:t>
            </w:r>
            <w:r>
              <w:rPr>
                <w:rFonts w:hint="eastAsia"/>
                <w:color w:val="auto"/>
                <w:szCs w:val="21"/>
                <w:highlight w:val="none"/>
              </w:rPr>
              <w:t>分；方案不够合理、安排不够科学、可操作性差，得0-1分。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62" w:type="dxa"/>
            <w:vMerge w:val="continue"/>
            <w:vAlign w:val="center"/>
          </w:tcPr>
          <w:p>
            <w:pPr>
              <w:widowControl/>
              <w:spacing w:line="400" w:lineRule="exact"/>
              <w:jc w:val="center"/>
              <w:rPr>
                <w:rFonts w:ascii="宋体" w:hAnsi="宋体" w:cs="宋体"/>
                <w:color w:val="auto"/>
                <w:kern w:val="0"/>
                <w:szCs w:val="21"/>
                <w:lang w:val="zh-CN"/>
              </w:rPr>
            </w:pPr>
          </w:p>
        </w:tc>
        <w:tc>
          <w:tcPr>
            <w:tcW w:w="1173" w:type="dxa"/>
            <w:vMerge w:val="continue"/>
            <w:tcBorders>
              <w:right w:val="single" w:color="auto" w:sz="4" w:space="0"/>
            </w:tcBorders>
            <w:vAlign w:val="center"/>
          </w:tcPr>
          <w:p>
            <w:pPr>
              <w:spacing w:before="100" w:beforeAutospacing="1" w:after="100" w:afterAutospacing="1"/>
              <w:rPr>
                <w:rFonts w:ascii="宋体" w:hAnsi="宋体" w:cs="宋体"/>
                <w:color w:val="auto"/>
                <w:szCs w:val="21"/>
                <w:lang w:val="zh-CN"/>
              </w:rPr>
            </w:pPr>
          </w:p>
        </w:tc>
        <w:tc>
          <w:tcPr>
            <w:tcW w:w="1165" w:type="dxa"/>
            <w:tcBorders>
              <w:left w:val="single" w:color="auto" w:sz="4" w:space="0"/>
            </w:tcBorders>
            <w:vAlign w:val="center"/>
          </w:tcPr>
          <w:p>
            <w:pPr>
              <w:spacing w:before="100" w:beforeAutospacing="1" w:after="100" w:afterAutospacing="1"/>
              <w:jc w:val="center"/>
              <w:rPr>
                <w:rFonts w:hint="eastAsia" w:ascii="宋体" w:hAnsi="宋体" w:cs="宋体"/>
                <w:color w:val="auto"/>
                <w:szCs w:val="21"/>
                <w:lang w:val="zh-CN"/>
              </w:rPr>
            </w:pPr>
            <w:r>
              <w:rPr>
                <w:rFonts w:hint="eastAsia" w:ascii="宋体" w:hAnsi="宋体" w:cs="宋体"/>
                <w:color w:val="auto"/>
                <w:szCs w:val="21"/>
                <w:lang w:val="zh-CN"/>
              </w:rPr>
              <w:t>组织实施方案</w:t>
            </w:r>
            <w:r>
              <w:rPr>
                <w:rFonts w:hint="eastAsia" w:ascii="宋体" w:hAnsi="宋体" w:cs="宋体"/>
                <w:color w:val="auto"/>
                <w:szCs w:val="21"/>
                <w:lang w:val="en-US" w:eastAsia="zh-CN"/>
              </w:rPr>
              <w:t xml:space="preserve">    </w:t>
            </w:r>
            <w:r>
              <w:rPr>
                <w:rFonts w:hint="eastAsia" w:ascii="宋体" w:hAnsi="宋体" w:cs="宋体"/>
                <w:color w:val="auto"/>
                <w:szCs w:val="21"/>
                <w:lang w:val="zh-CN"/>
              </w:rPr>
              <w:t>（</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zh-CN"/>
              </w:rPr>
              <w:t>）</w:t>
            </w:r>
          </w:p>
        </w:tc>
        <w:tc>
          <w:tcPr>
            <w:tcW w:w="6866" w:type="dxa"/>
            <w:vAlign w:val="center"/>
          </w:tcPr>
          <w:p>
            <w:pPr>
              <w:spacing w:line="323" w:lineRule="exact"/>
              <w:jc w:val="left"/>
              <w:rPr>
                <w:color w:val="auto"/>
                <w:szCs w:val="21"/>
              </w:rPr>
            </w:pPr>
            <w:r>
              <w:rPr>
                <w:rFonts w:hint="eastAsia"/>
                <w:color w:val="auto"/>
                <w:szCs w:val="21"/>
                <w:highlight w:val="none"/>
              </w:rPr>
              <w:t>投标人针对水站现场工况应提供项目实施方案，须包括为本项目配备的技术力量和资源、工程质量目标、工程质量保证措施等，根据投标人提供的方案的进行综合评分，优秀得</w:t>
            </w:r>
            <w:r>
              <w:rPr>
                <w:rFonts w:hint="eastAsia"/>
                <w:color w:val="auto"/>
                <w:szCs w:val="21"/>
                <w:highlight w:val="none"/>
                <w:lang w:val="en-US" w:eastAsia="zh-CN"/>
              </w:rPr>
              <w:t>5</w:t>
            </w:r>
            <w:r>
              <w:rPr>
                <w:rFonts w:hint="eastAsia"/>
                <w:color w:val="auto"/>
                <w:szCs w:val="21"/>
                <w:highlight w:val="none"/>
              </w:rPr>
              <w:t>分，良好得</w:t>
            </w:r>
            <w:r>
              <w:rPr>
                <w:rFonts w:hint="eastAsia"/>
                <w:color w:val="auto"/>
                <w:szCs w:val="21"/>
                <w:highlight w:val="none"/>
                <w:lang w:val="en-US" w:eastAsia="zh-CN"/>
              </w:rPr>
              <w:t>3-4</w:t>
            </w:r>
            <w:r>
              <w:rPr>
                <w:rFonts w:hint="eastAsia"/>
                <w:color w:val="auto"/>
                <w:szCs w:val="21"/>
                <w:highlight w:val="none"/>
              </w:rPr>
              <w:t>分，一般得1</w:t>
            </w:r>
            <w:r>
              <w:rPr>
                <w:rFonts w:hint="eastAsia"/>
                <w:color w:val="auto"/>
                <w:szCs w:val="21"/>
                <w:highlight w:val="none"/>
                <w:lang w:val="en-US" w:eastAsia="zh-CN"/>
              </w:rPr>
              <w:t>-2</w:t>
            </w:r>
            <w:r>
              <w:rPr>
                <w:rFonts w:hint="eastAsia"/>
                <w:color w:val="auto"/>
                <w:szCs w:val="21"/>
                <w:highlight w:val="none"/>
              </w:rPr>
              <w:t>分，较差得0分。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62" w:type="dxa"/>
            <w:tcBorders>
              <w:top w:val="single" w:color="auto" w:sz="4" w:space="0"/>
            </w:tcBorders>
            <w:vAlign w:val="center"/>
          </w:tcPr>
          <w:p>
            <w:pPr>
              <w:spacing w:before="100" w:beforeAutospacing="1" w:after="100" w:afterAutospacing="1" w:line="360" w:lineRule="auto"/>
              <w:jc w:val="center"/>
              <w:rPr>
                <w:rFonts w:hint="eastAsia" w:ascii="宋体" w:hAnsi="宋体" w:cs="宋体"/>
                <w:color w:val="auto"/>
                <w:szCs w:val="21"/>
                <w:lang w:val="zh-CN"/>
              </w:rPr>
            </w:pPr>
            <w:r>
              <w:rPr>
                <w:rFonts w:hint="eastAsia" w:ascii="宋体" w:hAnsi="宋体" w:cs="宋体"/>
                <w:color w:val="auto"/>
                <w:szCs w:val="21"/>
              </w:rPr>
              <w:t>4</w:t>
            </w:r>
          </w:p>
        </w:tc>
        <w:tc>
          <w:tcPr>
            <w:tcW w:w="1173" w:type="dxa"/>
            <w:tcBorders>
              <w:top w:val="single" w:color="auto" w:sz="4" w:space="0"/>
            </w:tcBorders>
            <w:vAlign w:val="center"/>
          </w:tcPr>
          <w:p>
            <w:pPr>
              <w:spacing w:line="380" w:lineRule="exact"/>
              <w:ind w:right="10" w:rightChars="5" w:firstLine="420" w:firstLineChars="200"/>
              <w:jc w:val="center"/>
              <w:rPr>
                <w:rFonts w:hint="eastAsia" w:ascii="宋体" w:hAnsi="宋体" w:cs="宋体"/>
                <w:color w:val="auto"/>
                <w:szCs w:val="21"/>
              </w:rPr>
            </w:pPr>
          </w:p>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售后服务  （</w:t>
            </w:r>
            <w:r>
              <w:rPr>
                <w:rFonts w:hint="eastAsia" w:ascii="宋体" w:hAnsi="宋体" w:cs="宋体"/>
                <w:color w:val="auto"/>
                <w:szCs w:val="21"/>
                <w:lang w:val="en-US" w:eastAsia="zh-CN"/>
              </w:rPr>
              <w:t>5</w:t>
            </w:r>
            <w:r>
              <w:rPr>
                <w:rFonts w:hint="eastAsia" w:ascii="宋体" w:hAnsi="宋体" w:cs="宋体"/>
                <w:color w:val="auto"/>
                <w:szCs w:val="21"/>
              </w:rPr>
              <w:t>分）</w:t>
            </w:r>
          </w:p>
          <w:p>
            <w:pPr>
              <w:spacing w:before="100" w:beforeAutospacing="1" w:after="100" w:afterAutospacing="1"/>
              <w:jc w:val="center"/>
              <w:rPr>
                <w:rFonts w:ascii="宋体" w:hAnsi="宋体" w:cs="宋体"/>
                <w:color w:val="auto"/>
                <w:szCs w:val="21"/>
              </w:rPr>
            </w:pPr>
          </w:p>
        </w:tc>
        <w:tc>
          <w:tcPr>
            <w:tcW w:w="1165" w:type="dxa"/>
            <w:tcBorders>
              <w:top w:val="single" w:color="auto" w:sz="4" w:space="0"/>
            </w:tcBorders>
            <w:vAlign w:val="center"/>
          </w:tcPr>
          <w:p>
            <w:pPr>
              <w:spacing w:line="360" w:lineRule="auto"/>
              <w:jc w:val="center"/>
              <w:rPr>
                <w:rFonts w:hint="eastAsia"/>
                <w:color w:val="auto"/>
                <w:szCs w:val="21"/>
                <w:highlight w:val="none"/>
                <w:lang w:val="zh-CN"/>
              </w:rPr>
            </w:pPr>
            <w:r>
              <w:rPr>
                <w:rFonts w:hint="eastAsia"/>
                <w:color w:val="auto"/>
                <w:szCs w:val="21"/>
                <w:highlight w:val="none"/>
                <w:lang w:val="zh-CN"/>
              </w:rPr>
              <w:t>售后服务方案</w:t>
            </w:r>
            <w:r>
              <w:rPr>
                <w:rFonts w:hint="eastAsia"/>
                <w:color w:val="auto"/>
                <w:szCs w:val="21"/>
                <w:highlight w:val="none"/>
              </w:rPr>
              <w:t xml:space="preserve">     （</w:t>
            </w:r>
            <w:r>
              <w:rPr>
                <w:rFonts w:hint="eastAsia"/>
                <w:color w:val="auto"/>
                <w:szCs w:val="21"/>
                <w:highlight w:val="none"/>
                <w:lang w:val="en-US" w:eastAsia="zh-CN"/>
              </w:rPr>
              <w:t>5</w:t>
            </w:r>
            <w:r>
              <w:rPr>
                <w:rFonts w:hint="eastAsia"/>
                <w:color w:val="auto"/>
                <w:szCs w:val="21"/>
                <w:highlight w:val="none"/>
              </w:rPr>
              <w:t>分</w:t>
            </w:r>
            <w:r>
              <w:rPr>
                <w:rFonts w:hint="eastAsia"/>
                <w:color w:val="auto"/>
                <w:szCs w:val="21"/>
                <w:highlight w:val="none"/>
                <w:lang w:val="zh-CN"/>
              </w:rPr>
              <w:t>）</w:t>
            </w:r>
          </w:p>
        </w:tc>
        <w:tc>
          <w:tcPr>
            <w:tcW w:w="6866" w:type="dxa"/>
            <w:vAlign w:val="center"/>
          </w:tcPr>
          <w:p>
            <w:pPr>
              <w:spacing w:line="360" w:lineRule="auto"/>
              <w:jc w:val="left"/>
              <w:rPr>
                <w:color w:val="auto"/>
                <w:szCs w:val="21"/>
                <w:highlight w:val="none"/>
              </w:rPr>
            </w:pPr>
            <w:r>
              <w:rPr>
                <w:rFonts w:hint="eastAsia"/>
                <w:color w:val="auto"/>
                <w:szCs w:val="21"/>
                <w:highlight w:val="none"/>
              </w:rPr>
              <w:t>投标人针对技术要求应提供售后服务方案，须包括售后服务承诺函、售后服务内容、培训人员配备、培训内容等，根据投标人提供的方案进行综合评分，优秀的得</w:t>
            </w:r>
            <w:r>
              <w:rPr>
                <w:rFonts w:hint="eastAsia"/>
                <w:color w:val="auto"/>
                <w:szCs w:val="21"/>
                <w:highlight w:val="none"/>
                <w:lang w:val="en-US" w:eastAsia="zh-CN"/>
              </w:rPr>
              <w:t>5</w:t>
            </w:r>
            <w:r>
              <w:rPr>
                <w:rFonts w:hint="eastAsia"/>
                <w:color w:val="auto"/>
                <w:szCs w:val="21"/>
                <w:highlight w:val="none"/>
              </w:rPr>
              <w:t>分，</w:t>
            </w:r>
            <w:r>
              <w:rPr>
                <w:rFonts w:hint="eastAsia"/>
                <w:color w:val="auto"/>
                <w:szCs w:val="21"/>
                <w:highlight w:val="none"/>
                <w:lang w:eastAsia="zh-CN"/>
              </w:rPr>
              <w:t>良好的得</w:t>
            </w:r>
            <w:r>
              <w:rPr>
                <w:rFonts w:hint="eastAsia"/>
                <w:color w:val="auto"/>
                <w:szCs w:val="21"/>
                <w:highlight w:val="none"/>
                <w:lang w:val="en-US" w:eastAsia="zh-CN"/>
              </w:rPr>
              <w:t>3-4分，</w:t>
            </w:r>
            <w:r>
              <w:rPr>
                <w:rFonts w:hint="eastAsia"/>
                <w:color w:val="auto"/>
                <w:szCs w:val="21"/>
                <w:highlight w:val="none"/>
              </w:rPr>
              <w:t>一般的得1-</w:t>
            </w:r>
            <w:r>
              <w:rPr>
                <w:rFonts w:hint="eastAsia"/>
                <w:color w:val="auto"/>
                <w:szCs w:val="21"/>
                <w:highlight w:val="none"/>
                <w:lang w:val="en-US" w:eastAsia="zh-CN"/>
              </w:rPr>
              <w:t>2</w:t>
            </w:r>
            <w:r>
              <w:rPr>
                <w:rFonts w:hint="eastAsia"/>
                <w:color w:val="auto"/>
                <w:szCs w:val="21"/>
                <w:highlight w:val="none"/>
              </w:rPr>
              <w:t>分，较差的得</w:t>
            </w:r>
            <w:r>
              <w:rPr>
                <w:rFonts w:hint="eastAsia"/>
                <w:color w:val="auto"/>
                <w:szCs w:val="21"/>
                <w:highlight w:val="none"/>
                <w:lang w:val="en-US" w:eastAsia="zh-CN"/>
              </w:rPr>
              <w:t>0</w:t>
            </w:r>
            <w:r>
              <w:rPr>
                <w:rFonts w:hint="eastAsia"/>
                <w:color w:val="auto"/>
                <w:szCs w:val="21"/>
                <w:highlight w:val="none"/>
              </w:rPr>
              <w:t>分</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62" w:type="dxa"/>
            <w:vAlign w:val="center"/>
          </w:tcPr>
          <w:p>
            <w:pPr>
              <w:spacing w:before="100" w:beforeAutospacing="1" w:after="100" w:afterAutospacing="1" w:line="360" w:lineRule="auto"/>
              <w:jc w:val="center"/>
              <w:rPr>
                <w:color w:val="auto"/>
                <w:szCs w:val="21"/>
              </w:rPr>
            </w:pPr>
            <w:r>
              <w:rPr>
                <w:rFonts w:hint="eastAsia" w:ascii="宋体" w:hAnsi="宋体" w:cs="宋体"/>
                <w:color w:val="auto"/>
                <w:szCs w:val="21"/>
              </w:rPr>
              <w:t>5</w:t>
            </w:r>
          </w:p>
        </w:tc>
        <w:tc>
          <w:tcPr>
            <w:tcW w:w="1173" w:type="dxa"/>
            <w:vAlign w:val="center"/>
          </w:tcPr>
          <w:p>
            <w:pPr>
              <w:spacing w:line="380" w:lineRule="exact"/>
              <w:ind w:right="10" w:rightChars="5"/>
              <w:jc w:val="center"/>
              <w:rPr>
                <w:rFonts w:ascii="宋体" w:hAnsi="宋体" w:cs="宋体"/>
                <w:color w:val="auto"/>
                <w:szCs w:val="21"/>
              </w:rPr>
            </w:pPr>
            <w:r>
              <w:rPr>
                <w:rFonts w:hint="eastAsia" w:ascii="宋体" w:hAnsi="宋体" w:cs="宋体"/>
                <w:color w:val="auto"/>
                <w:szCs w:val="21"/>
                <w:lang w:val="zh-CN"/>
              </w:rPr>
              <w:t>价格得分</w:t>
            </w:r>
            <w:r>
              <w:rPr>
                <w:rFonts w:hint="eastAsia" w:ascii="宋体" w:hAnsi="宋体" w:cs="宋体"/>
                <w:color w:val="auto"/>
                <w:szCs w:val="21"/>
              </w:rPr>
              <w:t xml:space="preserve">  （30分）</w:t>
            </w:r>
          </w:p>
        </w:tc>
        <w:tc>
          <w:tcPr>
            <w:tcW w:w="1165" w:type="dxa"/>
            <w:vAlign w:val="center"/>
          </w:tcPr>
          <w:p>
            <w:pPr>
              <w:spacing w:line="380" w:lineRule="exact"/>
              <w:ind w:right="10" w:rightChars="5"/>
              <w:jc w:val="center"/>
              <w:rPr>
                <w:rFonts w:ascii="宋体" w:hAnsi="宋体" w:cs="宋体"/>
                <w:color w:val="auto"/>
                <w:szCs w:val="21"/>
                <w:lang w:val="zh-CN"/>
              </w:rPr>
            </w:pPr>
            <w:r>
              <w:rPr>
                <w:rFonts w:hint="eastAsia" w:ascii="宋体" w:hAnsi="宋体" w:cs="宋体"/>
                <w:color w:val="auto"/>
                <w:szCs w:val="21"/>
              </w:rPr>
              <w:t>30</w:t>
            </w:r>
            <w:r>
              <w:rPr>
                <w:rFonts w:hint="eastAsia" w:ascii="宋体" w:hAnsi="宋体" w:cs="宋体"/>
                <w:color w:val="auto"/>
                <w:szCs w:val="21"/>
                <w:lang w:val="zh-CN"/>
              </w:rPr>
              <w:t>分</w:t>
            </w:r>
          </w:p>
        </w:tc>
        <w:tc>
          <w:tcPr>
            <w:tcW w:w="6866" w:type="dxa"/>
            <w:vAlign w:val="center"/>
          </w:tcPr>
          <w:p>
            <w:pPr>
              <w:spacing w:line="360" w:lineRule="auto"/>
              <w:jc w:val="left"/>
              <w:rPr>
                <w:color w:val="auto"/>
                <w:szCs w:val="21"/>
              </w:rPr>
            </w:pPr>
            <w:r>
              <w:rPr>
                <w:rFonts w:hint="eastAsia"/>
                <w:color w:val="auto"/>
                <w:szCs w:val="21"/>
              </w:rPr>
              <w:t>以投标合格供应商有效报价中的最低价为基准价，基准价为30分。投标报价得分＝（评标基准价</w:t>
            </w:r>
            <w:r>
              <w:rPr>
                <w:color w:val="auto"/>
                <w:szCs w:val="21"/>
              </w:rPr>
              <w:t>/</w:t>
            </w:r>
            <w:r>
              <w:rPr>
                <w:rFonts w:hint="eastAsia"/>
                <w:color w:val="auto"/>
                <w:szCs w:val="21"/>
              </w:rPr>
              <w:t>最终投标报价）</w:t>
            </w:r>
            <w:r>
              <w:rPr>
                <w:color w:val="auto"/>
                <w:szCs w:val="21"/>
              </w:rPr>
              <w:t>×</w:t>
            </w:r>
            <w:r>
              <w:rPr>
                <w:rFonts w:hint="eastAsia"/>
                <w:color w:val="auto"/>
                <w:szCs w:val="21"/>
              </w:rPr>
              <w:t>30</w:t>
            </w:r>
            <w:r>
              <w:rPr>
                <w:color w:val="auto"/>
                <w:szCs w:val="21"/>
              </w:rPr>
              <w:t>%×100</w:t>
            </w:r>
            <w:r>
              <w:rPr>
                <w:rFonts w:hint="eastAsia"/>
                <w:color w:val="auto"/>
                <w:szCs w:val="21"/>
              </w:rPr>
              <w:t>（小数点后保留</w:t>
            </w:r>
            <w:r>
              <w:rPr>
                <w:color w:val="auto"/>
                <w:szCs w:val="21"/>
              </w:rPr>
              <w:t>2</w:t>
            </w:r>
            <w:r>
              <w:rPr>
                <w:rFonts w:hint="eastAsia"/>
                <w:color w:val="auto"/>
                <w:szCs w:val="21"/>
              </w:rPr>
              <w:t>位小数）。需提供《中小企业声明函》相关材料，否则不予认可。</w:t>
            </w:r>
          </w:p>
          <w:p>
            <w:pPr>
              <w:spacing w:line="360" w:lineRule="auto"/>
              <w:jc w:val="left"/>
              <w:rPr>
                <w:color w:val="auto"/>
                <w:szCs w:val="21"/>
              </w:rPr>
            </w:pPr>
            <w:r>
              <w:rPr>
                <w:rFonts w:hint="eastAsia"/>
                <w:color w:val="auto"/>
                <w:szCs w:val="21"/>
              </w:rPr>
              <w:t>注：符合本章第七条政府采购政策的，对报价给予20%的价格扣除，用扣除后的价格参与评审。</w:t>
            </w:r>
          </w:p>
        </w:tc>
      </w:tr>
    </w:tbl>
    <w:p>
      <w:pPr>
        <w:spacing w:line="360" w:lineRule="auto"/>
        <w:rPr>
          <w:rFonts w:ascii="宋体" w:hAnsi="宋体" w:cs="宋体"/>
          <w:kern w:val="0"/>
          <w:szCs w:val="21"/>
        </w:rPr>
      </w:pPr>
      <w:r>
        <w:rPr>
          <w:rFonts w:hint="eastAsia"/>
          <w:b/>
          <w:bCs/>
          <w:szCs w:val="21"/>
        </w:rPr>
        <w:t>注</w:t>
      </w:r>
      <w:r>
        <w:rPr>
          <w:rFonts w:hint="eastAsia"/>
          <w:szCs w:val="21"/>
        </w:rPr>
        <w:t>：</w:t>
      </w:r>
      <w:r>
        <w:rPr>
          <w:rFonts w:ascii="宋体" w:hAnsi="宋体" w:cs="宋体"/>
          <w:kern w:val="0"/>
          <w:szCs w:val="21"/>
        </w:rPr>
        <w:t>1）上述证明材料中的单位名称与</w:t>
      </w:r>
      <w:r>
        <w:rPr>
          <w:rFonts w:hint="eastAsia" w:ascii="宋体" w:hAnsi="宋体" w:cs="宋体"/>
          <w:kern w:val="0"/>
          <w:szCs w:val="21"/>
        </w:rPr>
        <w:t>供应商</w:t>
      </w:r>
      <w:r>
        <w:rPr>
          <w:rFonts w:ascii="宋体" w:hAnsi="宋体" w:cs="宋体"/>
          <w:kern w:val="0"/>
          <w:szCs w:val="21"/>
        </w:rPr>
        <w:t>的名称必须一致。</w:t>
      </w:r>
    </w:p>
    <w:p>
      <w:pPr>
        <w:pStyle w:val="34"/>
        <w:ind w:left="0" w:leftChars="0" w:firstLineChars="200"/>
      </w:pPr>
      <w:r>
        <w:rPr>
          <w:rFonts w:ascii="宋体" w:hAnsi="宋体" w:cs="宋体"/>
          <w:kern w:val="0"/>
          <w:szCs w:val="21"/>
        </w:rPr>
        <w:t>2）</w:t>
      </w:r>
      <w:r>
        <w:rPr>
          <w:rFonts w:hint="eastAsia"/>
          <w:szCs w:val="21"/>
        </w:rPr>
        <w:t>请扫描上传合同、证书、报告及其他相关证明材料的原件至投标文件，并加盖公章</w:t>
      </w:r>
      <w:r>
        <w:rPr>
          <w:rFonts w:ascii="宋体" w:hAnsi="宋体" w:cs="宋体"/>
          <w:kern w:val="0"/>
          <w:szCs w:val="21"/>
        </w:rPr>
        <w:t>，</w:t>
      </w:r>
      <w:r>
        <w:rPr>
          <w:rFonts w:hint="eastAsia" w:ascii="宋体" w:hAnsi="宋体" w:cs="宋体"/>
          <w:kern w:val="0"/>
          <w:szCs w:val="21"/>
        </w:rPr>
        <w:t>否</w:t>
      </w:r>
      <w:r>
        <w:rPr>
          <w:rFonts w:ascii="宋体" w:hAnsi="宋体" w:cs="宋体"/>
          <w:kern w:val="0"/>
          <w:szCs w:val="21"/>
        </w:rPr>
        <w:t>则相应分值扣除。</w:t>
      </w:r>
    </w:p>
    <w:p>
      <w:pPr>
        <w:pStyle w:val="32"/>
        <w:snapToGrid w:val="0"/>
        <w:spacing w:line="360" w:lineRule="auto"/>
        <w:ind w:firstLine="482" w:firstLineChars="200"/>
        <w:rPr>
          <w:rFonts w:hAnsi="宋体"/>
          <w:b/>
          <w:sz w:val="24"/>
        </w:rPr>
      </w:pPr>
      <w:r>
        <w:rPr>
          <w:rFonts w:hint="eastAsia" w:hAnsi="宋体"/>
          <w:b/>
          <w:sz w:val="24"/>
        </w:rPr>
        <w:t>2.评审要求</w:t>
      </w:r>
    </w:p>
    <w:p>
      <w:pPr>
        <w:spacing w:line="360" w:lineRule="auto"/>
        <w:ind w:firstLine="480" w:firstLineChars="200"/>
        <w:rPr>
          <w:sz w:val="24"/>
        </w:rPr>
      </w:pPr>
      <w:r>
        <w:rPr>
          <w:rFonts w:hint="eastAsia"/>
          <w:sz w:val="24"/>
        </w:rPr>
        <w:t>(1)评标委员会应当按照招标文件中规定的评标方法和标准，对符合性审查合格的投标文件的商务部分和技术部分进行综合比较与评价，其中客观评分项的分值应当一致。</w:t>
      </w:r>
    </w:p>
    <w:p>
      <w:pPr>
        <w:spacing w:line="360" w:lineRule="auto"/>
        <w:ind w:firstLine="480" w:firstLineChars="200"/>
      </w:pPr>
      <w:r>
        <w:rPr>
          <w:rFonts w:hint="eastAsia"/>
          <w:sz w:val="24"/>
        </w:rPr>
        <w:t>(2)对于投标文件报价出现前后不一致的，除招标文件另有规定外，按照下列规定修正：</w:t>
      </w:r>
    </w:p>
    <w:p>
      <w:pPr>
        <w:spacing w:line="360" w:lineRule="auto"/>
        <w:ind w:firstLine="480" w:firstLineChars="200"/>
        <w:rPr>
          <w:rFonts w:hint="eastAsia"/>
          <w:sz w:val="24"/>
        </w:rPr>
      </w:pPr>
      <w:r>
        <w:rPr>
          <w:rFonts w:hint="eastAsia"/>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hint="eastAsia"/>
          <w:sz w:val="24"/>
        </w:rPr>
      </w:pPr>
      <w:r>
        <w:rPr>
          <w:rFonts w:hint="eastAsia"/>
          <w:sz w:val="24"/>
        </w:rPr>
        <w:t>②投标文件中开标一览表（报价表）内容与投标文件中相应内容不一致的，以开标一览表（报价表）为准；</w:t>
      </w:r>
    </w:p>
    <w:p>
      <w:pPr>
        <w:spacing w:line="360" w:lineRule="auto"/>
        <w:ind w:firstLine="480" w:firstLineChars="200"/>
        <w:rPr>
          <w:rFonts w:hint="eastAsia"/>
          <w:sz w:val="24"/>
        </w:rPr>
      </w:pPr>
      <w:r>
        <w:rPr>
          <w:rFonts w:hint="eastAsia"/>
          <w:sz w:val="24"/>
        </w:rPr>
        <w:t>③大写金额和小写金额不一致的，以大写金额为准；</w:t>
      </w:r>
    </w:p>
    <w:p>
      <w:pPr>
        <w:spacing w:line="360" w:lineRule="auto"/>
        <w:ind w:firstLine="480" w:firstLineChars="200"/>
        <w:rPr>
          <w:rFonts w:hint="eastAsia"/>
          <w:sz w:val="24"/>
        </w:rPr>
      </w:pPr>
      <w:r>
        <w:rPr>
          <w:rFonts w:hint="eastAsia"/>
          <w:sz w:val="24"/>
        </w:rPr>
        <w:t>④单价金额小数点或者百分比有明显错位的，以开标一览表的总价为准，并修改单价；</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r>
        <w:rPr>
          <w:rFonts w:hint="eastAsia"/>
          <w:sz w:val="24"/>
        </w:rPr>
        <w:t>总价金额与按单价汇总金额不一致的，以单价金额计算结果为准。</w:t>
      </w:r>
    </w:p>
    <w:p>
      <w:pPr>
        <w:spacing w:line="360" w:lineRule="auto"/>
        <w:ind w:firstLine="480" w:firstLineChars="200"/>
        <w:rPr>
          <w:rFonts w:hint="eastAsia"/>
          <w:sz w:val="24"/>
        </w:rPr>
      </w:pPr>
      <w:r>
        <w:rPr>
          <w:rFonts w:hint="eastAsia"/>
          <w:sz w:val="24"/>
        </w:rPr>
        <w:t>同时出现两种以上不一致的，按照前款规定的顺序修正。修正应当采用询标的形式，并加盖公章。</w:t>
      </w:r>
    </w:p>
    <w:p>
      <w:pPr>
        <w:spacing w:line="360" w:lineRule="auto"/>
        <w:ind w:firstLine="480" w:firstLineChars="200"/>
        <w:rPr>
          <w:sz w:val="24"/>
        </w:rPr>
      </w:pPr>
      <w:r>
        <w:rPr>
          <w:rFonts w:hint="eastAsia"/>
          <w:sz w:val="24"/>
        </w:rPr>
        <w:t>（3）对于投标文件中含义不明确、同类问题表述不一致或者有明显文字和计算错误的内容，评标委员会应当要求</w:t>
      </w:r>
      <w:r>
        <w:rPr>
          <w:rFonts w:hint="eastAsia" w:ascii="宋体" w:hAnsi="宋体"/>
          <w:sz w:val="24"/>
        </w:rPr>
        <w:t>供应商</w:t>
      </w:r>
      <w:r>
        <w:rPr>
          <w:rFonts w:hint="eastAsia"/>
          <w:sz w:val="24"/>
        </w:rPr>
        <w:t>作出必要的澄清、说明或者补正。</w:t>
      </w:r>
    </w:p>
    <w:p>
      <w:pPr>
        <w:spacing w:line="360" w:lineRule="auto"/>
        <w:ind w:firstLine="480" w:firstLineChars="200"/>
      </w:pPr>
      <w:r>
        <w:rPr>
          <w:rFonts w:hint="eastAsia"/>
          <w:sz w:val="24"/>
        </w:rPr>
        <w:t>（4）</w:t>
      </w:r>
      <w:r>
        <w:rPr>
          <w:rFonts w:hint="eastAsia" w:ascii="宋体" w:hAnsi="宋体"/>
          <w:sz w:val="24"/>
        </w:rPr>
        <w:t>供应商</w:t>
      </w:r>
      <w:r>
        <w:rPr>
          <w:rFonts w:hint="eastAsia"/>
          <w:sz w:val="24"/>
        </w:rPr>
        <w:t>的澄清、说明或者补正采用书面形式，并加盖公章或者由法定代表人或授权代表签字，且不得超出投标文件的范围或者改变投标文件的实质性内容。</w:t>
      </w:r>
    </w:p>
    <w:p>
      <w:pPr>
        <w:pStyle w:val="37"/>
        <w:spacing w:before="0" w:beforeAutospacing="0" w:after="0" w:afterAutospacing="0" w:line="360" w:lineRule="auto"/>
        <w:ind w:firstLine="482" w:firstLineChars="200"/>
        <w:jc w:val="both"/>
        <w:rPr>
          <w:rFonts w:hint="default" w:ascii="Times New Roman"/>
          <w:sz w:val="21"/>
        </w:rPr>
      </w:pPr>
      <w:r>
        <w:rPr>
          <w:b/>
          <w:bCs/>
        </w:rPr>
        <w:t>（四）结果汇总及排序</w:t>
      </w:r>
    </w:p>
    <w:p>
      <w:pPr>
        <w:spacing w:line="360" w:lineRule="auto"/>
        <w:ind w:firstLine="480" w:firstLineChars="200"/>
      </w:pPr>
      <w:r>
        <w:rPr>
          <w:rFonts w:hint="eastAsia"/>
          <w:sz w:val="24"/>
        </w:rPr>
        <w:t>评标结果按评审后综合得分由高到低顺序排列。得分相同的，按投标报价由低到高顺序排列。得分且投标报价相同的并列。投标文件满足招标文件全部实质性要求，且按照评审因素的量化指标评审得分最高的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sz w:val="24"/>
        </w:rPr>
        <w:t>供应商</w:t>
      </w:r>
      <w:r>
        <w:rPr>
          <w:rFonts w:hint="eastAsia"/>
          <w:sz w:val="24"/>
        </w:rPr>
        <w:t>为排名第一的中标候选人。</w:t>
      </w:r>
    </w:p>
    <w:p>
      <w:pPr>
        <w:pStyle w:val="37"/>
        <w:spacing w:before="0" w:beforeAutospacing="0" w:after="0" w:afterAutospacing="0" w:line="360" w:lineRule="auto"/>
        <w:ind w:firstLine="482" w:firstLineChars="200"/>
        <w:jc w:val="both"/>
        <w:rPr>
          <w:rFonts w:hint="default" w:ascii="Times New Roman" w:hAnsi="Times New Roman"/>
          <w:sz w:val="21"/>
        </w:rPr>
      </w:pPr>
      <w:r>
        <w:rPr>
          <w:b/>
          <w:bCs/>
        </w:rPr>
        <w:t>（五）评标报告撰写</w:t>
      </w:r>
    </w:p>
    <w:p>
      <w:pPr>
        <w:spacing w:line="360" w:lineRule="auto"/>
        <w:ind w:firstLine="480" w:firstLineChars="200"/>
        <w:rPr>
          <w:rFonts w:ascii="宋体" w:hAnsi="宋体" w:cs="宋体"/>
          <w:sz w:val="24"/>
        </w:rPr>
      </w:pPr>
      <w:r>
        <w:rPr>
          <w:rFonts w:hint="eastAsia"/>
          <w:sz w:val="24"/>
        </w:rPr>
        <w:t>评标委员会根据全体评标成员签字的原始评标记录和评标结果编写评标报告。</w:t>
      </w:r>
    </w:p>
    <w:p>
      <w:pPr>
        <w:spacing w:line="360" w:lineRule="auto"/>
        <w:jc w:val="center"/>
        <w:rPr>
          <w:rFonts w:hint="eastAsia" w:ascii="宋体" w:hAnsi="宋体"/>
          <w:b/>
          <w:sz w:val="36"/>
          <w:szCs w:val="36"/>
        </w:rPr>
      </w:pPr>
      <w:bookmarkStart w:id="40" w:name="_Toc27944_WPSOffice_Level1"/>
    </w:p>
    <w:p>
      <w:pPr>
        <w:pStyle w:val="2"/>
        <w:rPr>
          <w:rFonts w:hint="eastAsia" w:ascii="宋体" w:hAnsi="宋体"/>
          <w:b/>
          <w:sz w:val="36"/>
          <w:szCs w:val="36"/>
        </w:rPr>
      </w:pPr>
    </w:p>
    <w:p>
      <w:pPr>
        <w:spacing w:line="360" w:lineRule="auto"/>
        <w:jc w:val="center"/>
        <w:rPr>
          <w:rFonts w:ascii="宋体" w:hAnsi="宋体"/>
          <w:b/>
          <w:sz w:val="30"/>
          <w:szCs w:val="32"/>
        </w:rPr>
      </w:pPr>
      <w:r>
        <w:rPr>
          <w:rFonts w:hint="eastAsia" w:ascii="宋体" w:hAnsi="宋体"/>
          <w:b/>
          <w:sz w:val="36"/>
          <w:szCs w:val="36"/>
        </w:rPr>
        <w:t xml:space="preserve">第五章 </w:t>
      </w:r>
      <w:bookmarkEnd w:id="40"/>
      <w:r>
        <w:rPr>
          <w:rFonts w:hint="eastAsia" w:ascii="宋体" w:hAnsi="宋体"/>
          <w:b/>
          <w:sz w:val="36"/>
          <w:szCs w:val="36"/>
        </w:rPr>
        <w:t>拟签订的合同文本</w:t>
      </w:r>
    </w:p>
    <w:p>
      <w:pPr>
        <w:pStyle w:val="32"/>
        <w:adjustRightInd w:val="0"/>
        <w:snapToGrid w:val="0"/>
        <w:spacing w:line="460" w:lineRule="exact"/>
        <w:jc w:val="left"/>
        <w:rPr>
          <w:rFonts w:hAnsi="宋体" w:cs="宋体"/>
          <w:sz w:val="24"/>
        </w:rPr>
      </w:pPr>
      <w:r>
        <w:rPr>
          <w:rFonts w:hint="eastAsia" w:hAnsi="宋体" w:cs="宋体"/>
          <w:sz w:val="24"/>
        </w:rPr>
        <w:t>项目名称</w:t>
      </w:r>
      <w:r>
        <w:rPr>
          <w:rFonts w:hint="eastAsia" w:hAnsi="宋体" w:cs="宋体"/>
          <w:sz w:val="24"/>
          <w:lang w:eastAsia="zh-CN"/>
        </w:rPr>
        <w:t>：</w:t>
      </w:r>
      <w:r>
        <w:rPr>
          <w:rFonts w:hint="eastAsia" w:ascii="宋体" w:hAnsi="宋体" w:cs="Times New Roman"/>
          <w:sz w:val="24"/>
          <w:lang w:val="en-US" w:eastAsia="zh-CN"/>
        </w:rPr>
        <w:t>三门县地表水水质自动监测系统建设</w:t>
      </w:r>
      <w:r>
        <w:rPr>
          <w:rFonts w:ascii="宋体" w:hAnsi="宋体"/>
          <w:sz w:val="24"/>
        </w:rPr>
        <w:t>项目</w:t>
      </w:r>
      <w:r>
        <w:rPr>
          <w:rFonts w:hint="eastAsia" w:hAnsi="宋体"/>
          <w:sz w:val="24"/>
          <w:lang w:val="en-US" w:eastAsia="zh-CN"/>
        </w:rPr>
        <w:t xml:space="preserve">   </w:t>
      </w:r>
      <w:r>
        <w:rPr>
          <w:rFonts w:hint="eastAsia" w:hAnsi="宋体" w:cs="宋体"/>
          <w:sz w:val="24"/>
        </w:rPr>
        <w:t>项目编号：三招采-2022-GK066</w:t>
      </w:r>
    </w:p>
    <w:p>
      <w:pPr>
        <w:pStyle w:val="32"/>
        <w:adjustRightInd w:val="0"/>
        <w:snapToGrid w:val="0"/>
        <w:spacing w:line="460" w:lineRule="exact"/>
        <w:rPr>
          <w:rFonts w:hAnsi="宋体" w:cs="宋体"/>
          <w:sz w:val="24"/>
        </w:rPr>
      </w:pPr>
      <w:r>
        <w:rPr>
          <w:rFonts w:hint="eastAsia" w:hAnsi="宋体" w:cs="宋体"/>
          <w:sz w:val="24"/>
        </w:rPr>
        <w:t>甲方（采购人）：</w:t>
      </w:r>
    </w:p>
    <w:p>
      <w:pPr>
        <w:pStyle w:val="32"/>
        <w:adjustRightInd w:val="0"/>
        <w:snapToGrid w:val="0"/>
        <w:spacing w:line="460" w:lineRule="exact"/>
        <w:rPr>
          <w:rFonts w:hAnsi="宋体" w:cs="宋体"/>
          <w:sz w:val="24"/>
        </w:rPr>
      </w:pPr>
      <w:r>
        <w:rPr>
          <w:rFonts w:hint="eastAsia" w:hAnsi="宋体" w:cs="宋体"/>
          <w:sz w:val="24"/>
        </w:rPr>
        <w:t>乙方（供应商）：</w:t>
      </w:r>
    </w:p>
    <w:p>
      <w:pPr>
        <w:widowControl/>
        <w:shd w:val="clear" w:color="auto" w:fill="FFFFFF"/>
        <w:adjustRightInd w:val="0"/>
        <w:snapToGrid w:val="0"/>
        <w:spacing w:line="460" w:lineRule="exact"/>
        <w:ind w:firstLine="480" w:firstLineChars="200"/>
        <w:rPr>
          <w:rFonts w:ascii="宋体" w:hAnsi="宋体"/>
          <w:sz w:val="24"/>
        </w:rPr>
      </w:pPr>
      <w:r>
        <w:rPr>
          <w:rFonts w:hint="eastAsia" w:ascii="宋体" w:hAnsi="宋体" w:cs="宋体"/>
          <w:sz w:val="24"/>
        </w:rPr>
        <w:t xml:space="preserve">    </w:t>
      </w:r>
      <w:r>
        <w:rPr>
          <w:rFonts w:ascii="宋体" w:hAnsi="宋体"/>
          <w:sz w:val="24"/>
        </w:rPr>
        <w:t>甲、乙双方根据</w:t>
      </w:r>
      <w:r>
        <w:rPr>
          <w:rFonts w:hint="eastAsia" w:ascii="宋体" w:hAnsi="宋体" w:cs="Arial"/>
          <w:sz w:val="24"/>
          <w:lang w:val="en-US" w:eastAsia="zh-CN"/>
        </w:rPr>
        <w:t>台州市生态环境局三门分局</w:t>
      </w:r>
      <w:r>
        <w:rPr>
          <w:rFonts w:hint="eastAsia" w:ascii="宋体" w:hAnsi="宋体"/>
          <w:sz w:val="24"/>
        </w:rPr>
        <w:t>(采购组织机构名称）</w:t>
      </w:r>
      <w:r>
        <w:rPr>
          <w:rFonts w:ascii="宋体" w:hAnsi="宋体"/>
          <w:sz w:val="24"/>
        </w:rPr>
        <w:t>关于</w:t>
      </w:r>
      <w:r>
        <w:rPr>
          <w:rFonts w:hint="eastAsia" w:ascii="宋体" w:hAnsi="宋体" w:cs="Times New Roman"/>
          <w:sz w:val="24"/>
          <w:lang w:val="en-US" w:eastAsia="zh-CN"/>
        </w:rPr>
        <w:t>三门县地表水水质自动监测系统建设</w:t>
      </w:r>
      <w:r>
        <w:rPr>
          <w:rFonts w:ascii="宋体" w:hAnsi="宋体"/>
          <w:sz w:val="24"/>
        </w:rPr>
        <w:t>项目</w:t>
      </w:r>
      <w:r>
        <w:rPr>
          <w:rFonts w:hint="eastAsia" w:ascii="宋体" w:hAnsi="宋体"/>
          <w:sz w:val="24"/>
        </w:rPr>
        <w:t>公开招标</w:t>
      </w:r>
      <w:r>
        <w:rPr>
          <w:rFonts w:ascii="宋体" w:hAnsi="宋体"/>
          <w:sz w:val="24"/>
        </w:rPr>
        <w:t>的结果，签署本合同。</w:t>
      </w:r>
    </w:p>
    <w:p>
      <w:pPr>
        <w:adjustRightInd w:val="0"/>
        <w:snapToGrid w:val="0"/>
        <w:spacing w:line="460" w:lineRule="exact"/>
        <w:rPr>
          <w:rFonts w:ascii="宋体" w:hAnsi="宋体"/>
          <w:sz w:val="24"/>
          <w:lang w:val="zh-CN"/>
        </w:rPr>
      </w:pPr>
      <w:r>
        <w:rPr>
          <w:rFonts w:hint="eastAsia" w:ascii="宋体" w:hAnsi="宋体"/>
          <w:b/>
          <w:bCs/>
          <w:sz w:val="24"/>
          <w:lang w:val="zh-CN"/>
        </w:rPr>
        <w:t>一、合同文件：</w:t>
      </w:r>
      <w:r>
        <w:rPr>
          <w:rFonts w:hint="eastAsia" w:ascii="宋体" w:hAnsi="宋体"/>
          <w:sz w:val="24"/>
          <w:lang w:val="zh-CN"/>
        </w:rPr>
        <w:t xml:space="preserve"> </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一</w:t>
      </w:r>
      <w:r>
        <w:rPr>
          <w:rFonts w:hint="eastAsia" w:ascii="宋体" w:hAnsi="宋体"/>
          <w:sz w:val="24"/>
          <w:lang w:val="zh-CN"/>
        </w:rPr>
        <w:t>）</w:t>
      </w:r>
      <w:r>
        <w:rPr>
          <w:rFonts w:hint="eastAsia" w:ascii="宋体" w:hAnsi="宋体"/>
          <w:sz w:val="24"/>
          <w:lang w:val="en-US" w:eastAsia="zh-CN"/>
        </w:rPr>
        <w:t>本合同书</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二</w:t>
      </w:r>
      <w:r>
        <w:rPr>
          <w:rFonts w:hint="eastAsia" w:ascii="宋体" w:hAnsi="宋体"/>
          <w:sz w:val="24"/>
          <w:lang w:val="zh-CN"/>
        </w:rPr>
        <w:t>）中标通知书</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三</w:t>
      </w:r>
      <w:r>
        <w:rPr>
          <w:rFonts w:hint="eastAsia" w:ascii="宋体" w:hAnsi="宋体"/>
          <w:sz w:val="24"/>
          <w:lang w:val="zh-CN"/>
        </w:rPr>
        <w:t>）更正补充文件</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四</w:t>
      </w:r>
      <w:r>
        <w:rPr>
          <w:rFonts w:hint="eastAsia" w:ascii="宋体" w:hAnsi="宋体"/>
          <w:sz w:val="24"/>
          <w:lang w:val="zh-CN"/>
        </w:rPr>
        <w:t>）招标文件</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五</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投标文件</w:t>
      </w:r>
    </w:p>
    <w:p>
      <w:pPr>
        <w:adjustRightInd w:val="0"/>
        <w:snapToGrid w:val="0"/>
        <w:spacing w:line="460" w:lineRule="exact"/>
        <w:ind w:firstLine="480" w:firstLineChars="200"/>
        <w:rPr>
          <w:rFonts w:ascii="宋体" w:hAnsi="宋体"/>
          <w:sz w:val="24"/>
          <w:lang w:val="zh-CN"/>
        </w:rPr>
      </w:pPr>
      <w:r>
        <w:rPr>
          <w:rFonts w:hint="eastAsia" w:ascii="宋体" w:hAnsi="宋体"/>
          <w:sz w:val="24"/>
          <w:lang w:val="zh-CN"/>
        </w:rPr>
        <w:t>（</w:t>
      </w:r>
      <w:r>
        <w:rPr>
          <w:rFonts w:hint="eastAsia" w:ascii="宋体" w:hAnsi="宋体"/>
          <w:sz w:val="24"/>
        </w:rPr>
        <w:t>六</w:t>
      </w:r>
      <w:r>
        <w:rPr>
          <w:rFonts w:hint="eastAsia" w:ascii="宋体" w:hAnsi="宋体"/>
          <w:sz w:val="24"/>
          <w:lang w:val="zh-CN"/>
        </w:rPr>
        <w:t>）其他</w:t>
      </w:r>
    </w:p>
    <w:p>
      <w:pPr>
        <w:pStyle w:val="32"/>
        <w:adjustRightInd w:val="0"/>
        <w:snapToGrid w:val="0"/>
        <w:spacing w:line="460" w:lineRule="exact"/>
        <w:ind w:firstLine="480" w:firstLineChars="200"/>
        <w:rPr>
          <w:rFonts w:hAnsi="宋体"/>
          <w:sz w:val="24"/>
        </w:rPr>
      </w:pPr>
      <w:r>
        <w:rPr>
          <w:rFonts w:hint="eastAsia" w:hAnsi="宋体"/>
          <w:sz w:val="24"/>
          <w:lang w:val="zh-CN"/>
        </w:rPr>
        <w:t>上述所指合同文件应认为是互相补充和解释的，但是有模棱两可或互相矛盾之处，以其所列内容顺序为准。</w:t>
      </w:r>
    </w:p>
    <w:p>
      <w:pPr>
        <w:pStyle w:val="22"/>
        <w:numPr>
          <w:ilvl w:val="0"/>
          <w:numId w:val="10"/>
        </w:numPr>
        <w:spacing w:before="0" w:beforeAutospacing="0" w:after="0" w:afterAutospacing="0" w:line="360" w:lineRule="auto"/>
        <w:ind w:left="510" w:leftChars="0" w:hanging="510" w:firstLineChars="0"/>
        <w:rPr>
          <w:rFonts w:hint="eastAsia" w:ascii="宋体" w:hAnsi="宋体" w:cs="宋体"/>
          <w:sz w:val="24"/>
        </w:rPr>
      </w:pPr>
      <w:r>
        <w:rPr>
          <w:rFonts w:hint="eastAsia" w:hAnsi="宋体" w:cs="宋体"/>
          <w:b/>
          <w:sz w:val="24"/>
          <w:lang w:val="en-US" w:eastAsia="zh-CN"/>
        </w:rPr>
        <w:t>货物</w:t>
      </w:r>
      <w:r>
        <w:rPr>
          <w:rFonts w:hint="eastAsia" w:ascii="宋体" w:hAnsi="宋体" w:cs="宋体"/>
          <w:b/>
          <w:sz w:val="24"/>
        </w:rPr>
        <w:t>内容</w:t>
      </w:r>
      <w:r>
        <w:rPr>
          <w:rFonts w:hint="eastAsia" w:ascii="宋体" w:hAnsi="宋体" w:cs="宋体"/>
          <w:sz w:val="24"/>
        </w:rPr>
        <w:t>：</w:t>
      </w:r>
    </w:p>
    <w:p>
      <w:pPr>
        <w:pStyle w:val="32"/>
        <w:adjustRightInd w:val="0"/>
        <w:snapToGrid w:val="0"/>
        <w:spacing w:line="460" w:lineRule="exact"/>
        <w:ind w:firstLine="480" w:firstLineChars="200"/>
        <w:rPr>
          <w:rFonts w:hint="eastAsia" w:ascii="宋体" w:hAnsi="宋体" w:eastAsia="宋体" w:cs="Times New Roman"/>
          <w:sz w:val="24"/>
          <w:u w:val="single"/>
          <w:lang w:val="zh-CN"/>
        </w:rPr>
      </w:pPr>
      <w:r>
        <w:rPr>
          <w:rFonts w:hint="eastAsia" w:ascii="宋体" w:hAnsi="宋体" w:eastAsia="宋体" w:cs="Times New Roman"/>
          <w:sz w:val="24"/>
          <w:lang w:val="zh-CN"/>
        </w:rPr>
        <w:t>1.1卖方根据买方需求提供下列货物：</w:t>
      </w:r>
      <w:r>
        <w:rPr>
          <w:rFonts w:hint="eastAsia" w:ascii="宋体" w:hAnsi="宋体" w:eastAsia="宋体" w:cs="Times New Roman"/>
          <w:sz w:val="24"/>
          <w:u w:val="single"/>
          <w:lang w:val="zh-CN"/>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lang w:val="zh-CN"/>
        </w:rPr>
        <w:t xml:space="preserve">      </w:t>
      </w:r>
    </w:p>
    <w:p>
      <w:pPr>
        <w:pStyle w:val="32"/>
        <w:adjustRightInd w:val="0"/>
        <w:snapToGrid w:val="0"/>
        <w:spacing w:line="460" w:lineRule="exact"/>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1.2货物名称、规格及数量详见“货物一览表”；</w:t>
      </w:r>
    </w:p>
    <w:p>
      <w:pPr>
        <w:pStyle w:val="32"/>
        <w:adjustRightInd w:val="0"/>
        <w:snapToGrid w:val="0"/>
        <w:spacing w:line="460" w:lineRule="exact"/>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1.3货物一览表：</w:t>
      </w:r>
    </w:p>
    <w:tbl>
      <w:tblPr>
        <w:tblStyle w:val="2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序号</w:t>
            </w:r>
          </w:p>
        </w:tc>
        <w:tc>
          <w:tcPr>
            <w:tcW w:w="1730"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货物名称</w:t>
            </w:r>
          </w:p>
        </w:tc>
        <w:tc>
          <w:tcPr>
            <w:tcW w:w="1559"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规格型号</w:t>
            </w:r>
          </w:p>
        </w:tc>
        <w:tc>
          <w:tcPr>
            <w:tcW w:w="1067"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数量</w:t>
            </w:r>
          </w:p>
        </w:tc>
        <w:tc>
          <w:tcPr>
            <w:tcW w:w="1315"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单价</w:t>
            </w:r>
          </w:p>
        </w:tc>
        <w:tc>
          <w:tcPr>
            <w:tcW w:w="1700" w:type="dxa"/>
            <w:vAlign w:val="center"/>
          </w:tcPr>
          <w:p>
            <w:pPr>
              <w:pStyle w:val="32"/>
              <w:adjustRightInd w:val="0"/>
              <w:snapToGrid w:val="0"/>
              <w:spacing w:line="460" w:lineRule="exact"/>
              <w:jc w:val="center"/>
              <w:rPr>
                <w:rFonts w:hint="eastAsia" w:ascii="宋体" w:hAnsi="宋体" w:eastAsia="宋体" w:cs="Times New Roman"/>
                <w:sz w:val="24"/>
                <w:lang w:val="zh-CN"/>
              </w:rPr>
            </w:pPr>
            <w:r>
              <w:rPr>
                <w:rFonts w:hint="eastAsia" w:ascii="宋体" w:hAnsi="宋体" w:eastAsia="宋体" w:cs="Times New Roman"/>
                <w:sz w:val="24"/>
                <w:lang w:val="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22"/>
              <w:spacing w:before="0" w:beforeAutospacing="0" w:after="0" w:afterAutospacing="0"/>
              <w:jc w:val="center"/>
              <w:rPr>
                <w:rFonts w:hint="eastAsia" w:ascii="仿宋_GB2312" w:eastAsia="仿宋_GB2312"/>
              </w:rPr>
            </w:pPr>
          </w:p>
        </w:tc>
        <w:tc>
          <w:tcPr>
            <w:tcW w:w="1730" w:type="dxa"/>
            <w:vAlign w:val="center"/>
          </w:tcPr>
          <w:p>
            <w:pPr>
              <w:pStyle w:val="22"/>
              <w:spacing w:before="0" w:beforeAutospacing="0" w:after="0" w:afterAutospacing="0"/>
              <w:jc w:val="center"/>
              <w:rPr>
                <w:rFonts w:hint="eastAsia" w:ascii="仿宋_GB2312" w:eastAsia="仿宋_GB2312"/>
              </w:rPr>
            </w:pPr>
          </w:p>
        </w:tc>
        <w:tc>
          <w:tcPr>
            <w:tcW w:w="1559" w:type="dxa"/>
            <w:vAlign w:val="center"/>
          </w:tcPr>
          <w:p>
            <w:pPr>
              <w:pStyle w:val="22"/>
              <w:spacing w:before="0" w:beforeAutospacing="0" w:after="0" w:afterAutospacing="0"/>
              <w:jc w:val="center"/>
              <w:rPr>
                <w:rFonts w:hint="eastAsia" w:ascii="仿宋_GB2312" w:eastAsia="仿宋_GB2312"/>
              </w:rPr>
            </w:pPr>
          </w:p>
        </w:tc>
        <w:tc>
          <w:tcPr>
            <w:tcW w:w="1067" w:type="dxa"/>
            <w:vAlign w:val="center"/>
          </w:tcPr>
          <w:p>
            <w:pPr>
              <w:pStyle w:val="22"/>
              <w:spacing w:before="0" w:beforeAutospacing="0" w:after="0" w:afterAutospacing="0"/>
              <w:jc w:val="center"/>
              <w:rPr>
                <w:rFonts w:hint="eastAsia" w:ascii="仿宋_GB2312" w:eastAsia="仿宋_GB2312"/>
              </w:rPr>
            </w:pPr>
          </w:p>
        </w:tc>
        <w:tc>
          <w:tcPr>
            <w:tcW w:w="1315" w:type="dxa"/>
            <w:vAlign w:val="center"/>
          </w:tcPr>
          <w:p>
            <w:pPr>
              <w:pStyle w:val="22"/>
              <w:spacing w:before="0" w:beforeAutospacing="0" w:after="0" w:afterAutospacing="0"/>
              <w:jc w:val="center"/>
              <w:rPr>
                <w:rFonts w:hint="eastAsia" w:ascii="仿宋_GB2312" w:eastAsia="仿宋_GB2312"/>
              </w:rPr>
            </w:pPr>
          </w:p>
        </w:tc>
        <w:tc>
          <w:tcPr>
            <w:tcW w:w="1700" w:type="dxa"/>
            <w:vAlign w:val="center"/>
          </w:tcPr>
          <w:p>
            <w:pPr>
              <w:pStyle w:val="22"/>
              <w:spacing w:before="0" w:beforeAutospacing="0" w:after="0" w:afterAutospacing="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22"/>
              <w:spacing w:before="0" w:beforeAutospacing="0" w:after="0" w:afterAutospacing="0"/>
              <w:jc w:val="center"/>
              <w:rPr>
                <w:rFonts w:hint="eastAsia" w:ascii="仿宋_GB2312" w:eastAsia="仿宋_GB2312"/>
              </w:rPr>
            </w:pPr>
          </w:p>
        </w:tc>
        <w:tc>
          <w:tcPr>
            <w:tcW w:w="1730" w:type="dxa"/>
            <w:vAlign w:val="center"/>
          </w:tcPr>
          <w:p>
            <w:pPr>
              <w:pStyle w:val="22"/>
              <w:spacing w:before="0" w:beforeAutospacing="0" w:after="0" w:afterAutospacing="0"/>
              <w:jc w:val="center"/>
              <w:rPr>
                <w:rFonts w:hint="eastAsia" w:ascii="仿宋_GB2312" w:eastAsia="仿宋_GB2312"/>
              </w:rPr>
            </w:pPr>
          </w:p>
        </w:tc>
        <w:tc>
          <w:tcPr>
            <w:tcW w:w="1559" w:type="dxa"/>
            <w:vAlign w:val="center"/>
          </w:tcPr>
          <w:p>
            <w:pPr>
              <w:pStyle w:val="22"/>
              <w:spacing w:before="0" w:beforeAutospacing="0" w:after="0" w:afterAutospacing="0"/>
              <w:jc w:val="center"/>
              <w:rPr>
                <w:rFonts w:hint="eastAsia" w:ascii="仿宋_GB2312" w:eastAsia="仿宋_GB2312"/>
              </w:rPr>
            </w:pPr>
          </w:p>
        </w:tc>
        <w:tc>
          <w:tcPr>
            <w:tcW w:w="1067" w:type="dxa"/>
            <w:vAlign w:val="center"/>
          </w:tcPr>
          <w:p>
            <w:pPr>
              <w:pStyle w:val="22"/>
              <w:spacing w:before="0" w:beforeAutospacing="0" w:after="0" w:afterAutospacing="0"/>
              <w:jc w:val="center"/>
              <w:rPr>
                <w:rFonts w:hint="eastAsia" w:ascii="仿宋_GB2312" w:eastAsia="仿宋_GB2312"/>
              </w:rPr>
            </w:pPr>
          </w:p>
        </w:tc>
        <w:tc>
          <w:tcPr>
            <w:tcW w:w="1315" w:type="dxa"/>
            <w:vAlign w:val="center"/>
          </w:tcPr>
          <w:p>
            <w:pPr>
              <w:pStyle w:val="22"/>
              <w:spacing w:before="0" w:beforeAutospacing="0" w:after="0" w:afterAutospacing="0"/>
              <w:jc w:val="center"/>
              <w:rPr>
                <w:rFonts w:hint="eastAsia" w:ascii="仿宋_GB2312" w:eastAsia="仿宋_GB2312"/>
              </w:rPr>
            </w:pPr>
          </w:p>
        </w:tc>
        <w:tc>
          <w:tcPr>
            <w:tcW w:w="1700" w:type="dxa"/>
            <w:vAlign w:val="center"/>
          </w:tcPr>
          <w:p>
            <w:pPr>
              <w:pStyle w:val="22"/>
              <w:spacing w:before="0" w:beforeAutospacing="0" w:after="0" w:afterAutospacing="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22"/>
              <w:spacing w:before="0" w:beforeAutospacing="0" w:after="0" w:afterAutospacing="0"/>
              <w:jc w:val="center"/>
              <w:rPr>
                <w:rFonts w:hint="eastAsia" w:ascii="仿宋_GB2312" w:eastAsia="仿宋_GB2312"/>
              </w:rPr>
            </w:pPr>
          </w:p>
        </w:tc>
        <w:tc>
          <w:tcPr>
            <w:tcW w:w="1730" w:type="dxa"/>
            <w:vAlign w:val="center"/>
          </w:tcPr>
          <w:p>
            <w:pPr>
              <w:pStyle w:val="22"/>
              <w:spacing w:before="0" w:beforeAutospacing="0" w:after="0" w:afterAutospacing="0"/>
              <w:jc w:val="center"/>
              <w:rPr>
                <w:rFonts w:hint="eastAsia" w:ascii="仿宋_GB2312" w:eastAsia="仿宋_GB2312"/>
              </w:rPr>
            </w:pPr>
          </w:p>
        </w:tc>
        <w:tc>
          <w:tcPr>
            <w:tcW w:w="1559" w:type="dxa"/>
            <w:vAlign w:val="center"/>
          </w:tcPr>
          <w:p>
            <w:pPr>
              <w:pStyle w:val="22"/>
              <w:spacing w:before="0" w:beforeAutospacing="0" w:after="0" w:afterAutospacing="0"/>
              <w:jc w:val="center"/>
              <w:rPr>
                <w:rFonts w:hint="eastAsia" w:ascii="仿宋_GB2312" w:eastAsia="仿宋_GB2312"/>
              </w:rPr>
            </w:pPr>
          </w:p>
        </w:tc>
        <w:tc>
          <w:tcPr>
            <w:tcW w:w="1067" w:type="dxa"/>
            <w:vAlign w:val="center"/>
          </w:tcPr>
          <w:p>
            <w:pPr>
              <w:pStyle w:val="22"/>
              <w:spacing w:before="0" w:beforeAutospacing="0" w:after="0" w:afterAutospacing="0"/>
              <w:jc w:val="center"/>
              <w:rPr>
                <w:rFonts w:hint="eastAsia" w:ascii="仿宋_GB2312" w:eastAsia="仿宋_GB2312"/>
              </w:rPr>
            </w:pPr>
          </w:p>
        </w:tc>
        <w:tc>
          <w:tcPr>
            <w:tcW w:w="1315" w:type="dxa"/>
            <w:vAlign w:val="center"/>
          </w:tcPr>
          <w:p>
            <w:pPr>
              <w:pStyle w:val="22"/>
              <w:spacing w:before="0" w:beforeAutospacing="0" w:after="0" w:afterAutospacing="0"/>
              <w:jc w:val="center"/>
              <w:rPr>
                <w:rFonts w:hint="eastAsia" w:ascii="仿宋_GB2312" w:eastAsia="仿宋_GB2312"/>
              </w:rPr>
            </w:pPr>
          </w:p>
        </w:tc>
        <w:tc>
          <w:tcPr>
            <w:tcW w:w="1700" w:type="dxa"/>
            <w:vAlign w:val="center"/>
          </w:tcPr>
          <w:p>
            <w:pPr>
              <w:pStyle w:val="22"/>
              <w:spacing w:before="0" w:beforeAutospacing="0" w:after="0" w:afterAutospacing="0"/>
              <w:jc w:val="center"/>
              <w:rPr>
                <w:rFonts w:hint="eastAsia" w:ascii="仿宋_GB2312" w:eastAsia="仿宋_GB2312"/>
              </w:rPr>
            </w:pPr>
          </w:p>
        </w:tc>
      </w:tr>
    </w:tbl>
    <w:p>
      <w:pPr>
        <w:tabs>
          <w:tab w:val="left" w:pos="180"/>
          <w:tab w:val="left" w:pos="360"/>
          <w:tab w:val="left" w:pos="540"/>
          <w:tab w:val="left" w:pos="8280"/>
        </w:tabs>
        <w:autoSpaceDE w:val="0"/>
        <w:autoSpaceDN w:val="0"/>
        <w:adjustRightInd w:val="0"/>
        <w:snapToGrid w:val="0"/>
        <w:spacing w:line="460" w:lineRule="exact"/>
        <w:rPr>
          <w:rFonts w:hAnsi="宋体" w:cs="宋体"/>
          <w:b/>
          <w:sz w:val="24"/>
        </w:rPr>
      </w:pPr>
      <w:r>
        <w:rPr>
          <w:rFonts w:ascii="宋体" w:hAnsi="宋体" w:cs="宋体"/>
          <w:sz w:val="24"/>
        </w:rPr>
        <w:t xml:space="preserve"> </w:t>
      </w:r>
      <w:r>
        <w:rPr>
          <w:rFonts w:hint="eastAsia" w:hAnsi="宋体" w:cs="宋体"/>
          <w:b/>
          <w:sz w:val="24"/>
        </w:rPr>
        <w:t>三、合同金额</w:t>
      </w:r>
    </w:p>
    <w:p>
      <w:pPr>
        <w:pStyle w:val="32"/>
        <w:adjustRightInd w:val="0"/>
        <w:snapToGrid w:val="0"/>
        <w:spacing w:line="360" w:lineRule="auto"/>
        <w:rPr>
          <w:rFonts w:hint="eastAsia" w:hAnsi="宋体" w:cs="宋体"/>
          <w:sz w:val="24"/>
        </w:rPr>
      </w:pPr>
      <w:r>
        <w:rPr>
          <w:rFonts w:hint="eastAsia" w:hAnsi="宋体" w:cs="宋体"/>
          <w:sz w:val="24"/>
        </w:rPr>
        <w:t>（一）人民币（大写）：________________（￥_______________元）。</w:t>
      </w:r>
    </w:p>
    <w:p>
      <w:pPr>
        <w:pStyle w:val="33"/>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（二）本合同总价款是货物设计、制造、包装、仓储、运输、安装及验收合格之前及保修期内备品备件发生的所有含税费用； </w:t>
      </w:r>
    </w:p>
    <w:p>
      <w:pPr>
        <w:pStyle w:val="33"/>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（三）本合同总价款还包含卖方应当提供的伴随服务/售后服务费用；</w:t>
      </w:r>
    </w:p>
    <w:p>
      <w:pPr>
        <w:pStyle w:val="33"/>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（四）本合同执行期间合同总价款不变。</w:t>
      </w:r>
    </w:p>
    <w:p>
      <w:pPr>
        <w:pStyle w:val="32"/>
        <w:adjustRightInd w:val="0"/>
        <w:snapToGrid w:val="0"/>
        <w:spacing w:line="460" w:lineRule="exact"/>
        <w:rPr>
          <w:rFonts w:hAnsi="宋体" w:cs="宋体"/>
          <w:b/>
          <w:sz w:val="24"/>
        </w:rPr>
      </w:pPr>
      <w:r>
        <w:rPr>
          <w:rFonts w:hint="eastAsia" w:hAnsi="宋体" w:cs="宋体"/>
          <w:b/>
          <w:sz w:val="24"/>
        </w:rPr>
        <w:t>四、技术资料</w:t>
      </w:r>
    </w:p>
    <w:p>
      <w:pPr>
        <w:pStyle w:val="32"/>
        <w:adjustRightInd w:val="0"/>
        <w:snapToGrid w:val="0"/>
        <w:spacing w:line="460" w:lineRule="exact"/>
        <w:rPr>
          <w:rFonts w:hint="eastAsia" w:hAnsi="宋体"/>
          <w:sz w:val="24"/>
          <w:lang w:val="zh-CN"/>
        </w:rPr>
      </w:pPr>
      <w:r>
        <w:rPr>
          <w:rFonts w:hint="eastAsia" w:hAnsi="宋体"/>
          <w:sz w:val="24"/>
          <w:lang w:val="zh-CN"/>
        </w:rPr>
        <w:t>（一）乙方应按招标文件规定的时间向甲方提供</w:t>
      </w:r>
      <w:r>
        <w:rPr>
          <w:rFonts w:hint="eastAsia" w:hAnsi="宋体"/>
          <w:sz w:val="24"/>
          <w:lang w:val="en-US" w:eastAsia="zh-CN"/>
        </w:rPr>
        <w:t>使用货物</w:t>
      </w:r>
      <w:r>
        <w:rPr>
          <w:rFonts w:hint="eastAsia" w:hAnsi="宋体"/>
          <w:sz w:val="24"/>
          <w:lang w:val="zh-CN"/>
        </w:rPr>
        <w:t>有关技术资料。</w:t>
      </w:r>
    </w:p>
    <w:p>
      <w:pPr>
        <w:pStyle w:val="32"/>
        <w:adjustRightInd w:val="0"/>
        <w:snapToGrid w:val="0"/>
        <w:spacing w:line="460" w:lineRule="exact"/>
        <w:rPr>
          <w:rFonts w:hint="eastAsia" w:hAnsi="宋体" w:cs="宋体"/>
          <w:sz w:val="24"/>
        </w:rPr>
      </w:pPr>
      <w:r>
        <w:rPr>
          <w:rFonts w:hint="eastAsia" w:hAnsi="宋体"/>
          <w:sz w:val="24"/>
          <w:lang w:val="zh-CN"/>
        </w:rPr>
        <w:t>（</w:t>
      </w:r>
      <w:r>
        <w:rPr>
          <w:rFonts w:hint="eastAsia" w:hAnsi="宋体"/>
          <w:sz w:val="24"/>
          <w:lang w:val="zh-CN" w:eastAsia="zh-CN"/>
        </w:rPr>
        <w:t>二</w:t>
      </w:r>
      <w:r>
        <w:rPr>
          <w:rFonts w:hint="eastAsia" w:hAnsi="宋体"/>
          <w:sz w:val="24"/>
          <w:lang w:val="zh-CN"/>
        </w:rPr>
        <w:t>）没有甲方事先书面同意，乙方不得将由甲方提供的有关合同或任何合同条文、规格、计划、图纸、样品或资料提供给与履行本合同无关的任何其他人。即使向履行</w:t>
      </w:r>
      <w:r>
        <w:rPr>
          <w:rFonts w:hint="eastAsia" w:hAnsi="宋体"/>
          <w:sz w:val="24"/>
          <w:lang w:val="en-US" w:eastAsia="zh-CN"/>
        </w:rPr>
        <w:t>本合同有关的人员提供，也应注意保密并限于履行合同的必需范围。</w:t>
      </w:r>
    </w:p>
    <w:p>
      <w:pPr>
        <w:pStyle w:val="32"/>
        <w:adjustRightInd w:val="0"/>
        <w:snapToGrid w:val="0"/>
        <w:spacing w:line="460" w:lineRule="exact"/>
        <w:rPr>
          <w:rFonts w:hint="eastAsia" w:hAnsi="宋体" w:cs="宋体"/>
          <w:b/>
          <w:sz w:val="24"/>
        </w:rPr>
      </w:pPr>
      <w:r>
        <w:rPr>
          <w:rFonts w:hint="eastAsia" w:hAnsi="宋体" w:cs="宋体"/>
          <w:b/>
          <w:sz w:val="24"/>
        </w:rPr>
        <w:t>五、知识产权</w:t>
      </w:r>
    </w:p>
    <w:p>
      <w:pPr>
        <w:pStyle w:val="14"/>
        <w:snapToGrid w:val="0"/>
        <w:spacing w:line="360" w:lineRule="auto"/>
        <w:rPr>
          <w:rFonts w:ascii="宋体" w:hAnsi="宋体" w:eastAsia="宋体"/>
          <w:sz w:val="24"/>
        </w:rPr>
      </w:pPr>
      <w:r>
        <w:rPr>
          <w:rFonts w:hint="eastAsia" w:ascii="宋体" w:hAnsi="宋体" w:eastAsia="宋体"/>
          <w:sz w:val="24"/>
        </w:rPr>
        <w:t>（一）</w:t>
      </w:r>
      <w:r>
        <w:rPr>
          <w:rFonts w:ascii="宋体" w:hAnsi="宋体" w:eastAsia="宋体"/>
          <w:sz w:val="24"/>
        </w:rPr>
        <w:t>乙方应保证所提供的货物或其任何一部分均不会侵犯任何第三方的知识产权。</w:t>
      </w:r>
    </w:p>
    <w:p>
      <w:pPr>
        <w:pStyle w:val="32"/>
        <w:adjustRightInd w:val="0"/>
        <w:snapToGrid w:val="0"/>
        <w:spacing w:line="460" w:lineRule="exact"/>
        <w:ind w:left="412" w:hanging="410" w:hangingChars="171"/>
        <w:rPr>
          <w:rFonts w:hint="eastAsia" w:ascii="宋体" w:hAnsi="宋体" w:eastAsia="宋体"/>
          <w:sz w:val="24"/>
        </w:rPr>
      </w:pPr>
      <w:r>
        <w:rPr>
          <w:rFonts w:hint="eastAsia" w:ascii="宋体" w:hAnsi="宋体" w:eastAsia="宋体"/>
          <w:sz w:val="24"/>
        </w:rPr>
        <w:t>（二）若侵犯,由乙方赔偿甲方因此遭受的损失（包括但不限于应对及追偿过程中所支付的律师费、差旅费、诉讼费、保全费、鉴定费、评估费等）。</w:t>
      </w:r>
    </w:p>
    <w:p>
      <w:pPr>
        <w:pStyle w:val="32"/>
        <w:adjustRightInd w:val="0"/>
        <w:snapToGrid w:val="0"/>
        <w:spacing w:line="460" w:lineRule="exact"/>
        <w:ind w:left="412" w:hanging="412" w:hangingChars="171"/>
        <w:rPr>
          <w:rFonts w:hAnsi="宋体" w:cs="宋体"/>
          <w:b/>
          <w:sz w:val="24"/>
        </w:rPr>
      </w:pPr>
      <w:r>
        <w:rPr>
          <w:rFonts w:hint="eastAsia" w:hAnsi="宋体" w:cs="宋体"/>
          <w:b/>
          <w:sz w:val="24"/>
        </w:rPr>
        <w:t>六、履约保证金：无</w:t>
      </w:r>
    </w:p>
    <w:p>
      <w:pPr>
        <w:pStyle w:val="32"/>
        <w:adjustRightInd w:val="0"/>
        <w:snapToGrid w:val="0"/>
        <w:spacing w:line="460" w:lineRule="exact"/>
        <w:rPr>
          <w:rFonts w:hAnsi="宋体" w:cs="宋体"/>
          <w:b/>
          <w:sz w:val="24"/>
        </w:rPr>
      </w:pPr>
      <w:r>
        <w:rPr>
          <w:rFonts w:hint="eastAsia" w:hAnsi="宋体" w:cs="宋体"/>
          <w:b/>
          <w:sz w:val="24"/>
        </w:rPr>
        <w:t>七、转包或分包</w:t>
      </w:r>
    </w:p>
    <w:p>
      <w:pPr>
        <w:adjustRightInd w:val="0"/>
        <w:snapToGrid w:val="0"/>
        <w:spacing w:line="460" w:lineRule="exact"/>
        <w:rPr>
          <w:rFonts w:ascii="宋体" w:hAnsi="宋体"/>
          <w:sz w:val="24"/>
          <w:lang w:val="zh-CN"/>
        </w:rPr>
      </w:pPr>
      <w:r>
        <w:rPr>
          <w:rFonts w:hint="eastAsia" w:ascii="宋体" w:hAnsi="宋体"/>
          <w:sz w:val="24"/>
          <w:lang w:val="zh-CN"/>
        </w:rPr>
        <w:t>（一）本合同范围的服务，应由乙方直接供应，不得转让或部分转让他人供应；</w:t>
      </w:r>
    </w:p>
    <w:p>
      <w:pPr>
        <w:adjustRightInd w:val="0"/>
        <w:snapToGrid w:val="0"/>
        <w:spacing w:line="460" w:lineRule="exact"/>
        <w:rPr>
          <w:rFonts w:ascii="宋体" w:hAnsi="宋体"/>
          <w:sz w:val="24"/>
          <w:lang w:val="zh-CN"/>
        </w:rPr>
      </w:pPr>
      <w:r>
        <w:rPr>
          <w:rFonts w:hint="eastAsia" w:ascii="宋体" w:hAnsi="宋体"/>
          <w:sz w:val="24"/>
          <w:lang w:val="zh-CN"/>
        </w:rPr>
        <w:t>（二）除非得到甲方的书面同意，乙方不得将本合同范围的服务全部或部分分包给他人供应；</w:t>
      </w:r>
    </w:p>
    <w:p>
      <w:pPr>
        <w:pStyle w:val="32"/>
        <w:adjustRightInd w:val="0"/>
        <w:snapToGrid w:val="0"/>
        <w:spacing w:line="460" w:lineRule="exact"/>
        <w:rPr>
          <w:rFonts w:hAnsi="宋体" w:cs="宋体"/>
          <w:b/>
          <w:sz w:val="24"/>
        </w:rPr>
      </w:pPr>
      <w:r>
        <w:rPr>
          <w:rFonts w:hint="eastAsia" w:hAnsi="宋体"/>
          <w:sz w:val="24"/>
          <w:lang w:val="zh-CN"/>
        </w:rPr>
        <w:t>（三）如有转让或未经甲方同意的分包行为，甲方有权解除合同，并追究乙方的违约责任。由此对甲方造成损失的，乙方还应承担赔偿责任。</w:t>
      </w:r>
    </w:p>
    <w:p>
      <w:pPr>
        <w:pStyle w:val="32"/>
        <w:adjustRightInd w:val="0"/>
        <w:snapToGrid w:val="0"/>
        <w:spacing w:line="460" w:lineRule="exact"/>
        <w:rPr>
          <w:rFonts w:hAnsi="宋体" w:cs="宋体"/>
          <w:b/>
          <w:sz w:val="24"/>
        </w:rPr>
      </w:pPr>
      <w:r>
        <w:rPr>
          <w:rFonts w:hint="eastAsia" w:hAnsi="宋体" w:cs="宋体"/>
          <w:b/>
          <w:sz w:val="24"/>
        </w:rPr>
        <w:t>九、质量保证期</w:t>
      </w:r>
    </w:p>
    <w:p>
      <w:pPr>
        <w:pStyle w:val="33"/>
        <w:adjustRightInd w:val="0"/>
        <w:snapToGrid w:val="0"/>
        <w:spacing w:line="460" w:lineRule="exact"/>
        <w:ind w:left="0" w:leftChars="0"/>
        <w:jc w:val="left"/>
        <w:rPr>
          <w:rFonts w:ascii="宋体" w:hAnsi="宋体" w:eastAsia="宋体"/>
          <w:sz w:val="24"/>
          <w:szCs w:val="24"/>
          <w:lang w:val="zh-CN"/>
        </w:rPr>
      </w:pPr>
      <w:r>
        <w:rPr>
          <w:rFonts w:hint="eastAsia" w:ascii="宋体" w:hAnsi="宋体" w:eastAsia="宋体"/>
          <w:sz w:val="24"/>
          <w:szCs w:val="24"/>
          <w:lang w:val="zh-CN"/>
        </w:rPr>
        <w:t>（一）本项目质量保证期</w:t>
      </w:r>
      <w:r>
        <w:rPr>
          <w:rFonts w:hint="eastAsia" w:ascii="宋体" w:hAnsi="宋体" w:eastAsia="宋体"/>
          <w:sz w:val="24"/>
          <w:szCs w:val="24"/>
          <w:u w:val="single"/>
          <w:lang w:val="zh-CN"/>
        </w:rPr>
        <w:t xml:space="preserve"> </w:t>
      </w:r>
      <w:r>
        <w:rPr>
          <w:rFonts w:hint="eastAsia" w:ascii="宋体" w:hAnsi="宋体" w:eastAsia="宋体"/>
          <w:sz w:val="24"/>
          <w:szCs w:val="24"/>
          <w:u w:val="single"/>
          <w:lang w:val="en-US" w:eastAsia="zh-CN"/>
        </w:rPr>
        <w:t xml:space="preserve">  1 </w:t>
      </w:r>
      <w:r>
        <w:rPr>
          <w:rFonts w:hint="eastAsia" w:ascii="宋体" w:hAnsi="宋体" w:eastAsia="宋体"/>
          <w:sz w:val="24"/>
          <w:szCs w:val="24"/>
          <w:lang w:val="zh-CN"/>
        </w:rPr>
        <w:t>年。</w:t>
      </w:r>
      <w:r>
        <w:rPr>
          <w:rFonts w:ascii="宋体" w:hAnsi="宋体" w:eastAsia="宋体"/>
          <w:sz w:val="24"/>
          <w:szCs w:val="24"/>
          <w:lang w:val="zh-CN"/>
        </w:rPr>
        <w:t>（自验收合格之日起计）</w:t>
      </w:r>
    </w:p>
    <w:p>
      <w:pPr>
        <w:pStyle w:val="32"/>
        <w:adjustRightInd w:val="0"/>
        <w:snapToGrid w:val="0"/>
        <w:spacing w:line="460" w:lineRule="exact"/>
        <w:rPr>
          <w:rFonts w:hAnsi="宋体" w:cs="宋体"/>
          <w:b/>
          <w:sz w:val="24"/>
        </w:rPr>
      </w:pPr>
      <w:r>
        <w:rPr>
          <w:rFonts w:hint="eastAsia" w:hAnsi="宋体" w:cs="宋体"/>
          <w:b/>
          <w:sz w:val="24"/>
        </w:rPr>
        <w:t>十、</w:t>
      </w:r>
      <w:r>
        <w:rPr>
          <w:rFonts w:ascii="宋体" w:hAnsi="宋体" w:eastAsia="宋体"/>
          <w:b/>
          <w:sz w:val="24"/>
        </w:rPr>
        <w:t>交货期、交货方式及交货地点</w:t>
      </w:r>
    </w:p>
    <w:p>
      <w:pPr>
        <w:pStyle w:val="22"/>
        <w:spacing w:before="0" w:beforeAutospacing="0" w:after="0" w:afterAutospacing="0" w:line="360" w:lineRule="auto"/>
        <w:ind w:firstLine="480" w:firstLineChars="20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8.1 卖方应按照本合同或招标文件规定的时间和方式向买方交付货物；</w:t>
      </w:r>
    </w:p>
    <w:p>
      <w:pPr>
        <w:pStyle w:val="22"/>
        <w:spacing w:before="0" w:beforeAutospacing="0" w:after="0" w:afterAutospacing="0" w:line="360" w:lineRule="auto"/>
        <w:ind w:firstLine="480" w:firstLineChars="20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22"/>
        <w:spacing w:before="0" w:beforeAutospacing="0" w:after="0" w:afterAutospacing="0" w:line="360" w:lineRule="auto"/>
        <w:ind w:firstLine="480" w:firstLineChars="200"/>
        <w:rPr>
          <w:rFonts w:ascii="宋体" w:hAnsi="宋体" w:cs="宋体"/>
          <w:b/>
          <w:sz w:val="24"/>
        </w:rPr>
      </w:pPr>
      <w:r>
        <w:rPr>
          <w:rFonts w:hint="eastAsia" w:ascii="宋体" w:hAnsi="宋体" w:eastAsia="宋体" w:cs="Times New Roman"/>
          <w:kern w:val="2"/>
          <w:sz w:val="24"/>
          <w:szCs w:val="24"/>
          <w:lang w:val="zh-CN" w:eastAsia="zh-CN" w:bidi="ar-SA"/>
        </w:rPr>
        <w:t>8.3 其他</w:t>
      </w:r>
      <w:r>
        <w:rPr>
          <w:rFonts w:hint="eastAsia" w:hAnsi="宋体" w:cs="Times New Roman"/>
          <w:kern w:val="2"/>
          <w:sz w:val="24"/>
          <w:szCs w:val="24"/>
          <w:lang w:val="zh-CN" w:eastAsia="zh-CN" w:bidi="ar-SA"/>
        </w:rPr>
        <w:t>：</w:t>
      </w:r>
      <w:r>
        <w:rPr>
          <w:rFonts w:hint="eastAsia" w:ascii="宋体" w:hAnsi="宋体" w:eastAsia="宋体" w:cs="Times New Roman"/>
          <w:kern w:val="2"/>
          <w:sz w:val="24"/>
          <w:szCs w:val="24"/>
          <w:u w:val="single"/>
          <w:lang w:val="zh-CN" w:eastAsia="zh-CN" w:bidi="ar-SA"/>
        </w:rPr>
        <w:t xml:space="preserve"> </w:t>
      </w:r>
      <w:r>
        <w:rPr>
          <w:rFonts w:hint="eastAsia" w:hAnsi="宋体" w:cs="Times New Roman"/>
          <w:sz w:val="24"/>
          <w:u w:val="single"/>
          <w:lang w:eastAsia="zh-CN"/>
        </w:rPr>
        <w:t>按招标文件要求执行。</w:t>
      </w:r>
      <w:r>
        <w:rPr>
          <w:rFonts w:hint="eastAsia" w:ascii="宋体" w:hAnsi="宋体" w:eastAsia="宋体" w:cs="Times New Roman"/>
          <w:kern w:val="2"/>
          <w:sz w:val="24"/>
          <w:szCs w:val="24"/>
          <w:u w:val="single"/>
          <w:lang w:val="zh-CN" w:eastAsia="zh-CN" w:bidi="ar-SA"/>
        </w:rPr>
        <w:t xml:space="preserve">                        </w:t>
      </w:r>
      <w:r>
        <w:rPr>
          <w:rFonts w:hint="eastAsia"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single"/>
          <w:lang w:val="zh-CN" w:eastAsia="zh-CN" w:bidi="ar-SA"/>
        </w:rPr>
        <w:t xml:space="preserve">           </w:t>
      </w:r>
      <w:r>
        <w:rPr>
          <w:rFonts w:hint="eastAsia" w:ascii="宋体" w:hAnsi="宋体" w:cs="宋体"/>
          <w:b/>
          <w:sz w:val="24"/>
        </w:rPr>
        <w:t>十一、款项支付：</w:t>
      </w:r>
    </w:p>
    <w:p>
      <w:pPr>
        <w:spacing w:line="440" w:lineRule="exact"/>
        <w:ind w:firstLine="360" w:firstLineChars="150"/>
        <w:rPr>
          <w:rFonts w:hint="eastAsia" w:ascii="宋体" w:hAnsi="宋体" w:eastAsia="宋体" w:cs="宋体"/>
          <w:b/>
          <w:color w:val="FF0000"/>
          <w:kern w:val="0"/>
          <w:sz w:val="24"/>
          <w:szCs w:val="24"/>
          <w:lang w:val="en-US" w:eastAsia="zh-CN" w:bidi="ar-SA"/>
        </w:rPr>
      </w:pPr>
      <w:r>
        <w:rPr>
          <w:rFonts w:hint="eastAsia" w:ascii="宋体" w:hAnsi="宋体" w:eastAsia="宋体" w:cs="Times New Roman"/>
          <w:kern w:val="2"/>
          <w:sz w:val="24"/>
          <w:szCs w:val="24"/>
          <w:lang w:val="en-US" w:eastAsia="zh-CN" w:bidi="ar-SA"/>
        </w:rPr>
        <w:t>签订合同后一周内支付40%，安装调试完成支付至70%，完成验收后支付剩余30%。</w:t>
      </w:r>
    </w:p>
    <w:p>
      <w:pPr>
        <w:autoSpaceDE w:val="0"/>
        <w:autoSpaceDN w:val="0"/>
        <w:adjustRightInd w:val="0"/>
        <w:snapToGrid w:val="0"/>
        <w:spacing w:line="460" w:lineRule="exact"/>
        <w:rPr>
          <w:rFonts w:ascii="宋体" w:hAnsi="宋体" w:cs="宋体"/>
          <w:b/>
          <w:sz w:val="24"/>
        </w:rPr>
      </w:pPr>
      <w:r>
        <w:rPr>
          <w:rFonts w:hint="eastAsia" w:ascii="宋体" w:hAnsi="宋体" w:cs="宋体"/>
          <w:b/>
          <w:sz w:val="24"/>
        </w:rPr>
        <w:t>十二、税费</w:t>
      </w:r>
    </w:p>
    <w:p>
      <w:pPr>
        <w:pStyle w:val="64"/>
        <w:adjustRightInd w:val="0"/>
        <w:snapToGrid w:val="0"/>
        <w:spacing w:line="460" w:lineRule="exact"/>
        <w:ind w:firstLine="480" w:firstLineChars="200"/>
        <w:rPr>
          <w:rFonts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pPr>
        <w:pStyle w:val="64"/>
        <w:adjustRightInd w:val="0"/>
        <w:snapToGrid w:val="0"/>
        <w:spacing w:line="460" w:lineRule="exact"/>
        <w:rPr>
          <w:rFonts w:ascii="宋体" w:hAnsi="宋体" w:eastAsia="宋体"/>
          <w:b/>
          <w:sz w:val="24"/>
          <w:szCs w:val="24"/>
          <w:lang w:eastAsia="zh-CN"/>
        </w:rPr>
      </w:pPr>
      <w:r>
        <w:rPr>
          <w:rFonts w:hint="eastAsia" w:ascii="宋体" w:hAnsi="宋体" w:eastAsia="宋体"/>
          <w:b/>
          <w:sz w:val="24"/>
          <w:szCs w:val="24"/>
          <w:lang w:eastAsia="zh-CN"/>
        </w:rPr>
        <w:t>十三、质量保证及后续服务</w:t>
      </w:r>
    </w:p>
    <w:p>
      <w:pPr>
        <w:pStyle w:val="32"/>
        <w:adjustRightInd w:val="0"/>
        <w:snapToGrid w:val="0"/>
        <w:spacing w:line="460" w:lineRule="exact"/>
        <w:ind w:firstLine="240" w:firstLineChars="1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一</w:t>
      </w:r>
      <w:r>
        <w:rPr>
          <w:rFonts w:hint="eastAsia" w:ascii="宋体" w:hAnsi="宋体" w:eastAsia="宋体" w:cs="Times New Roman"/>
          <w:sz w:val="24"/>
          <w:lang w:eastAsia="zh-CN"/>
        </w:rPr>
        <w:t>）</w:t>
      </w:r>
      <w:r>
        <w:rPr>
          <w:rFonts w:hint="eastAsia" w:ascii="宋体" w:hAnsi="宋体" w:eastAsia="宋体" w:cs="Times New Roman"/>
          <w:sz w:val="24"/>
        </w:rPr>
        <w:t>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32"/>
        <w:adjustRightInd w:val="0"/>
        <w:snapToGrid w:val="0"/>
        <w:spacing w:line="460" w:lineRule="exact"/>
        <w:ind w:firstLine="240" w:firstLineChars="1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二</w:t>
      </w:r>
      <w:r>
        <w:rPr>
          <w:rFonts w:hint="eastAsia" w:ascii="宋体" w:hAnsi="宋体" w:eastAsia="宋体" w:cs="Times New Roman"/>
          <w:sz w:val="24"/>
          <w:lang w:eastAsia="zh-CN"/>
        </w:rPr>
        <w:t>）</w:t>
      </w:r>
      <w:r>
        <w:rPr>
          <w:rFonts w:hint="eastAsia" w:ascii="宋体" w:hAnsi="宋体" w:eastAsia="宋体" w:cs="Times New Roman"/>
          <w:sz w:val="24"/>
        </w:rPr>
        <w:t>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32"/>
        <w:adjustRightInd w:val="0"/>
        <w:snapToGrid w:val="0"/>
        <w:spacing w:line="460" w:lineRule="exact"/>
        <w:ind w:firstLine="240" w:firstLineChars="1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三</w:t>
      </w:r>
      <w:r>
        <w:rPr>
          <w:rFonts w:hint="eastAsia" w:ascii="宋体" w:hAnsi="宋体" w:eastAsia="宋体" w:cs="Times New Roman"/>
          <w:sz w:val="24"/>
          <w:lang w:eastAsia="zh-CN"/>
        </w:rPr>
        <w:t>）</w:t>
      </w:r>
      <w:r>
        <w:rPr>
          <w:rFonts w:hint="eastAsia" w:ascii="宋体" w:hAnsi="宋体" w:eastAsia="宋体" w:cs="Times New Roman"/>
          <w:sz w:val="24"/>
        </w:rPr>
        <w:t xml:space="preserve">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eastAsia="宋体" w:cs="Times New Roman"/>
          <w:color w:val="C00000"/>
          <w:sz w:val="24"/>
          <w:u w:val="single"/>
        </w:rPr>
        <w:t xml:space="preserve"> </w:t>
      </w:r>
      <w:r>
        <w:rPr>
          <w:rFonts w:hint="eastAsia" w:hAnsi="宋体" w:cs="Times New Roman"/>
          <w:color w:val="C00000"/>
          <w:sz w:val="24"/>
          <w:u w:val="single"/>
          <w:lang w:val="en-US" w:eastAsia="zh-CN"/>
        </w:rPr>
        <w:t>7</w:t>
      </w:r>
      <w:r>
        <w:rPr>
          <w:rFonts w:hint="eastAsia" w:ascii="宋体" w:hAnsi="宋体" w:eastAsia="宋体" w:cs="Times New Roman"/>
          <w:sz w:val="24"/>
          <w:u w:val="single"/>
        </w:rPr>
        <w:t xml:space="preserve"> </w:t>
      </w:r>
      <w:r>
        <w:rPr>
          <w:rFonts w:hint="eastAsia" w:ascii="宋体" w:hAnsi="宋体" w:eastAsia="宋体" w:cs="Times New Roman"/>
          <w:sz w:val="24"/>
        </w:rPr>
        <w:t>天内应维修或更换有缺陷的货物或部件；</w:t>
      </w:r>
    </w:p>
    <w:p>
      <w:pPr>
        <w:pStyle w:val="32"/>
        <w:adjustRightInd w:val="0"/>
        <w:snapToGrid w:val="0"/>
        <w:spacing w:line="460" w:lineRule="exact"/>
        <w:ind w:firstLine="240" w:firstLineChars="1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四</w:t>
      </w:r>
      <w:r>
        <w:rPr>
          <w:rFonts w:hint="eastAsia" w:ascii="宋体" w:hAnsi="宋体" w:eastAsia="宋体" w:cs="Times New Roman"/>
          <w:sz w:val="24"/>
          <w:lang w:eastAsia="zh-CN"/>
        </w:rPr>
        <w:t>）</w:t>
      </w:r>
      <w:r>
        <w:rPr>
          <w:rFonts w:hint="eastAsia" w:ascii="宋体" w:hAnsi="宋体" w:eastAsia="宋体" w:cs="Times New Roman"/>
          <w:sz w:val="24"/>
        </w:rPr>
        <w:t xml:space="preserve"> 如果卖方在收到通知后</w:t>
      </w:r>
      <w:r>
        <w:rPr>
          <w:rFonts w:hint="eastAsia" w:ascii="宋体" w:hAnsi="宋体" w:eastAsia="宋体" w:cs="Times New Roman"/>
          <w:sz w:val="24"/>
          <w:u w:val="single"/>
        </w:rPr>
        <w:t xml:space="preserve"> </w:t>
      </w:r>
      <w:r>
        <w:rPr>
          <w:rFonts w:hint="eastAsia" w:hAnsi="宋体" w:cs="Times New Roman"/>
          <w:color w:val="C00000"/>
          <w:sz w:val="24"/>
          <w:u w:val="single"/>
          <w:lang w:val="en-US" w:eastAsia="zh-CN"/>
        </w:rPr>
        <w:t>7</w:t>
      </w:r>
      <w:r>
        <w:rPr>
          <w:rFonts w:hint="eastAsia" w:ascii="宋体" w:hAnsi="宋体" w:eastAsia="宋体" w:cs="Times New Roman"/>
          <w:sz w:val="24"/>
          <w:u w:val="single"/>
        </w:rPr>
        <w:t xml:space="preserve"> </w:t>
      </w:r>
      <w:r>
        <w:rPr>
          <w:rFonts w:hint="eastAsia" w:ascii="宋体" w:hAnsi="宋体" w:eastAsia="宋体" w:cs="Times New Roman"/>
          <w:sz w:val="24"/>
        </w:rPr>
        <w:t>天内没有弥补缺陷，买方可采取必要的补救措施，但由此引发的风险和费用将由卖方承担；</w:t>
      </w:r>
    </w:p>
    <w:p>
      <w:pPr>
        <w:pStyle w:val="32"/>
        <w:adjustRightInd w:val="0"/>
        <w:snapToGrid w:val="0"/>
        <w:spacing w:line="460" w:lineRule="exact"/>
        <w:ind w:firstLine="240" w:firstLineChars="100"/>
        <w:rPr>
          <w:rFonts w:hint="eastAsia" w:ascii="宋体" w:hAnsi="宋体" w:eastAsia="宋体" w:cs="Times New Roman"/>
          <w:sz w:val="24"/>
          <w:u w:val="single"/>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五</w:t>
      </w:r>
      <w:r>
        <w:rPr>
          <w:rFonts w:hint="eastAsia" w:ascii="宋体" w:hAnsi="宋体" w:eastAsia="宋体" w:cs="Times New Roman"/>
          <w:sz w:val="24"/>
          <w:lang w:eastAsia="zh-CN"/>
        </w:rPr>
        <w:t>）</w:t>
      </w:r>
      <w:r>
        <w:rPr>
          <w:rFonts w:hint="eastAsia" w:ascii="宋体" w:hAnsi="宋体" w:eastAsia="宋体" w:cs="Times New Roman"/>
          <w:sz w:val="24"/>
        </w:rPr>
        <w:t>其他</w:t>
      </w:r>
      <w:r>
        <w:rPr>
          <w:rFonts w:hint="eastAsia" w:hAnsi="宋体" w:cs="Times New Roman"/>
          <w:sz w:val="24"/>
          <w:lang w:eastAsia="zh-CN"/>
        </w:rPr>
        <w:t>：</w:t>
      </w:r>
      <w:r>
        <w:rPr>
          <w:rFonts w:hint="eastAsia" w:hAnsi="宋体" w:cs="Times New Roman"/>
          <w:sz w:val="24"/>
          <w:u w:val="single"/>
          <w:lang w:eastAsia="zh-CN"/>
        </w:rPr>
        <w:t>按招标文件要求执行。</w:t>
      </w:r>
      <w:r>
        <w:rPr>
          <w:rFonts w:hint="eastAsia" w:ascii="宋体" w:hAnsi="宋体" w:eastAsia="宋体" w:cs="Times New Roman"/>
          <w:sz w:val="24"/>
          <w:u w:val="single"/>
        </w:rPr>
        <w:t xml:space="preserve">       </w:t>
      </w:r>
      <w:r>
        <w:rPr>
          <w:rFonts w:hint="eastAsia" w:hAnsi="宋体" w:cs="Times New Roman"/>
          <w:sz w:val="24"/>
          <w:u w:val="single"/>
          <w:lang w:val="en-US" w:eastAsia="zh-CN"/>
        </w:rPr>
        <w:t xml:space="preserve">          </w:t>
      </w:r>
      <w:r>
        <w:rPr>
          <w:rFonts w:hint="eastAsia" w:ascii="宋体" w:hAnsi="宋体" w:eastAsia="宋体" w:cs="Times New Roman"/>
          <w:sz w:val="24"/>
          <w:u w:val="single"/>
        </w:rPr>
        <w:t xml:space="preserve">                       </w:t>
      </w:r>
    </w:p>
    <w:p>
      <w:pPr>
        <w:pStyle w:val="14"/>
        <w:snapToGrid w:val="0"/>
        <w:spacing w:line="360" w:lineRule="auto"/>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十四、调试和验收</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甲方对乙方提交的货物依据招标文件上的技术规格要求和国家有关质量标准进行现场初步验收，外观、说明书符合招标文件技术要求的，给予签收，初步验收不合格的不予签收。</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乙方交货前应对产品作出全面检查和对验收文件进行整理，并列出清单，作为甲方收货验收和使用的技术条件依据，检验的结果应随货物交甲方。</w:t>
      </w:r>
    </w:p>
    <w:p>
      <w:pPr>
        <w:pStyle w:val="14"/>
        <w:snapToGrid w:val="0"/>
        <w:spacing w:line="360" w:lineRule="auto"/>
        <w:ind w:firstLine="480" w:firstLineChars="200"/>
        <w:rPr>
          <w:rFonts w:ascii="宋体" w:hAnsi="宋体" w:eastAsia="宋体"/>
          <w:sz w:val="24"/>
          <w:u w:val="single"/>
        </w:rPr>
      </w:pPr>
      <w:r>
        <w:rPr>
          <w:rFonts w:hint="eastAsia" w:ascii="宋体" w:hAnsi="宋体" w:eastAsia="宋体"/>
          <w:sz w:val="24"/>
        </w:rPr>
        <w:t>（三）</w:t>
      </w:r>
      <w:r>
        <w:rPr>
          <w:rFonts w:ascii="宋体" w:hAnsi="宋体" w:eastAsia="宋体"/>
          <w:sz w:val="24"/>
        </w:rPr>
        <w:t>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对技术复杂的货物，甲方应请国家认可的专业检测机构参与初步验收及最终验收，并由其出具质量检测报告。</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验收时乙方必须在现场，验收完毕后作出验收结果报告；验收费用由</w:t>
      </w:r>
      <w:r>
        <w:rPr>
          <w:rFonts w:hint="eastAsia" w:ascii="宋体" w:hAnsi="宋体" w:eastAsia="宋体"/>
          <w:sz w:val="24"/>
          <w:lang w:eastAsia="zh-CN"/>
        </w:rPr>
        <w:t>乙</w:t>
      </w:r>
      <w:r>
        <w:rPr>
          <w:rFonts w:ascii="宋体" w:hAnsi="宋体" w:eastAsia="宋体"/>
          <w:sz w:val="24"/>
        </w:rPr>
        <w:t>方负责。</w:t>
      </w:r>
    </w:p>
    <w:p>
      <w:pPr>
        <w:pStyle w:val="14"/>
        <w:snapToGrid w:val="0"/>
        <w:spacing w:line="360" w:lineRule="auto"/>
        <w:rPr>
          <w:rFonts w:ascii="宋体" w:hAnsi="宋体" w:eastAsia="宋体"/>
          <w:b/>
          <w:sz w:val="24"/>
        </w:rPr>
      </w:pPr>
      <w:r>
        <w:rPr>
          <w:rFonts w:ascii="宋体" w:hAnsi="宋体" w:eastAsia="宋体"/>
          <w:b/>
          <w:sz w:val="24"/>
        </w:rPr>
        <w:t>十</w:t>
      </w:r>
      <w:r>
        <w:rPr>
          <w:rFonts w:hint="eastAsia" w:ascii="宋体" w:hAnsi="宋体" w:eastAsia="宋体"/>
          <w:b/>
          <w:sz w:val="24"/>
        </w:rPr>
        <w:t>五</w:t>
      </w:r>
      <w:r>
        <w:rPr>
          <w:rFonts w:ascii="宋体" w:hAnsi="宋体" w:eastAsia="宋体"/>
          <w:b/>
          <w:sz w:val="24"/>
        </w:rPr>
        <w:t>、货物包装、发运及运输</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乙方应在货物发运前对其进行满足运输距离、防潮、防震、防锈和防破损装卸等要求包装，以保证货物安全运达甲方指定地点。</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使用说明书、质量检验证明书、随配附件和工具以及清单一并附于货物内。</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货物在交付甲方前发生的风险均由乙方负责。</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w:t>
      </w:r>
      <w:r>
        <w:rPr>
          <w:rFonts w:hint="eastAsia" w:ascii="宋体" w:hAnsi="宋体" w:eastAsia="宋体"/>
          <w:sz w:val="24"/>
          <w:lang w:eastAsia="zh-CN"/>
        </w:rPr>
        <w:t>四</w:t>
      </w:r>
      <w:r>
        <w:rPr>
          <w:rFonts w:hint="eastAsia" w:ascii="宋体" w:hAnsi="宋体" w:eastAsia="宋体"/>
          <w:sz w:val="24"/>
        </w:rPr>
        <w:t>）</w:t>
      </w:r>
      <w:r>
        <w:rPr>
          <w:rFonts w:ascii="宋体" w:hAnsi="宋体" w:eastAsia="宋体"/>
          <w:sz w:val="24"/>
        </w:rPr>
        <w:t>货物在规定的交付期限内由乙方送达甲方指定的地点视为交付，乙方同时需通知甲方货物已送达。</w:t>
      </w:r>
    </w:p>
    <w:p>
      <w:pPr>
        <w:pStyle w:val="14"/>
        <w:snapToGrid w:val="0"/>
        <w:spacing w:line="360" w:lineRule="auto"/>
        <w:ind w:firstLine="480" w:firstLineChars="200"/>
        <w:rPr>
          <w:rFonts w:ascii="宋体" w:hAnsi="宋体" w:eastAsia="宋体"/>
          <w:sz w:val="24"/>
        </w:rPr>
      </w:pPr>
      <w:r>
        <w:rPr>
          <w:rFonts w:hint="eastAsia" w:ascii="宋体" w:hAnsi="宋体" w:eastAsia="宋体"/>
          <w:sz w:val="24"/>
        </w:rPr>
        <w:t>（</w:t>
      </w:r>
      <w:r>
        <w:rPr>
          <w:rFonts w:hint="eastAsia" w:ascii="宋体" w:hAnsi="宋体" w:eastAsia="宋体"/>
          <w:sz w:val="24"/>
          <w:lang w:eastAsia="zh-CN"/>
        </w:rPr>
        <w:t>五</w:t>
      </w:r>
      <w:r>
        <w:rPr>
          <w:rFonts w:hint="eastAsia" w:ascii="宋体" w:hAnsi="宋体" w:eastAsia="宋体"/>
          <w:sz w:val="24"/>
        </w:rPr>
        <w:t>）乙方运送的货物涉及商品包装和快递包装的，参考《商品包装政府采购需求标准（试行）》、《快递包装政府采购需求标准（试行）》（财办库［2020］123号）。</w:t>
      </w:r>
    </w:p>
    <w:p>
      <w:pPr>
        <w:pStyle w:val="64"/>
        <w:adjustRightInd w:val="0"/>
        <w:snapToGrid w:val="0"/>
        <w:spacing w:line="460" w:lineRule="exact"/>
        <w:rPr>
          <w:rFonts w:ascii="宋体" w:hAnsi="宋体" w:eastAsia="宋体"/>
          <w:b/>
          <w:sz w:val="24"/>
          <w:szCs w:val="24"/>
          <w:lang w:eastAsia="zh-CN"/>
        </w:rPr>
      </w:pPr>
      <w:r>
        <w:rPr>
          <w:rFonts w:hint="eastAsia" w:ascii="宋体" w:hAnsi="宋体" w:eastAsia="宋体"/>
          <w:b/>
          <w:sz w:val="24"/>
          <w:szCs w:val="24"/>
          <w:lang w:eastAsia="zh-CN"/>
        </w:rPr>
        <w:t>十</w:t>
      </w:r>
      <w:r>
        <w:rPr>
          <w:rFonts w:hint="eastAsia" w:ascii="宋体" w:hAnsi="宋体" w:eastAsia="宋体"/>
          <w:b/>
          <w:sz w:val="24"/>
          <w:szCs w:val="24"/>
          <w:lang w:val="en-US" w:eastAsia="zh-CN"/>
        </w:rPr>
        <w:t>六</w:t>
      </w:r>
      <w:r>
        <w:rPr>
          <w:rFonts w:hint="eastAsia" w:ascii="宋体" w:hAnsi="宋体" w:eastAsia="宋体"/>
          <w:b/>
          <w:sz w:val="24"/>
          <w:szCs w:val="24"/>
          <w:lang w:eastAsia="zh-CN"/>
        </w:rPr>
        <w:t>、违约责任</w:t>
      </w:r>
    </w:p>
    <w:p>
      <w:pPr>
        <w:pStyle w:val="32"/>
        <w:adjustRightInd w:val="0"/>
        <w:snapToGrid w:val="0"/>
        <w:spacing w:line="460" w:lineRule="exact"/>
        <w:rPr>
          <w:rFonts w:hAnsi="宋体"/>
          <w:sz w:val="24"/>
        </w:rPr>
      </w:pPr>
      <w:r>
        <w:rPr>
          <w:rFonts w:hint="eastAsia" w:hAnsi="宋体"/>
          <w:sz w:val="24"/>
        </w:rPr>
        <w:t>（一）</w:t>
      </w:r>
      <w:r>
        <w:rPr>
          <w:rFonts w:hAnsi="宋体"/>
          <w:sz w:val="24"/>
        </w:rPr>
        <w:t>甲方无正当理由拒收接受</w:t>
      </w:r>
      <w:r>
        <w:rPr>
          <w:rFonts w:hint="eastAsia" w:hAnsi="宋体"/>
          <w:sz w:val="24"/>
          <w:lang w:val="en-US" w:eastAsia="zh-CN"/>
        </w:rPr>
        <w:t>货物</w:t>
      </w:r>
      <w:r>
        <w:rPr>
          <w:rFonts w:hAnsi="宋体"/>
          <w:sz w:val="24"/>
        </w:rPr>
        <w:t>的，甲方向乙方偿付合同款项</w:t>
      </w:r>
      <w:r>
        <w:rPr>
          <w:rFonts w:hint="eastAsia" w:hAnsi="宋体"/>
          <w:sz w:val="24"/>
          <w:u w:val="single"/>
          <w:lang w:val="en-US" w:eastAsia="zh-CN"/>
        </w:rPr>
        <w:t xml:space="preserve"> </w:t>
      </w:r>
      <w:r>
        <w:rPr>
          <w:rFonts w:ascii="宋体" w:hAnsi="宋体"/>
          <w:sz w:val="24"/>
          <w:u w:val="single"/>
        </w:rPr>
        <w:t>5%</w:t>
      </w:r>
      <w:r>
        <w:rPr>
          <w:rFonts w:hint="eastAsia" w:hAnsi="宋体"/>
          <w:sz w:val="24"/>
          <w:u w:val="single"/>
          <w:lang w:val="en-US" w:eastAsia="zh-CN"/>
        </w:rPr>
        <w:t xml:space="preserve"> </w:t>
      </w:r>
      <w:r>
        <w:rPr>
          <w:rFonts w:hAnsi="宋体"/>
          <w:sz w:val="24"/>
        </w:rPr>
        <w:t>作为违约金。</w:t>
      </w:r>
    </w:p>
    <w:p>
      <w:pPr>
        <w:pStyle w:val="32"/>
        <w:adjustRightInd w:val="0"/>
        <w:snapToGrid w:val="0"/>
        <w:spacing w:line="460" w:lineRule="exact"/>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w:t>
      </w:r>
      <w:r>
        <w:rPr>
          <w:rFonts w:hAnsi="宋体" w:cs="Times New Roman"/>
          <w:sz w:val="24"/>
          <w:u w:val="single"/>
        </w:rPr>
        <w:t>万分之五</w:t>
      </w:r>
      <w:r>
        <w:rPr>
          <w:rFonts w:hAnsi="宋体"/>
          <w:sz w:val="24"/>
        </w:rPr>
        <w:t>向乙方支付违约金。</w:t>
      </w:r>
    </w:p>
    <w:p>
      <w:pPr>
        <w:pStyle w:val="34"/>
        <w:adjustRightInd w:val="0"/>
        <w:snapToGrid w:val="0"/>
        <w:spacing w:after="0" w:line="460" w:lineRule="exact"/>
        <w:ind w:left="0" w:leftChars="0" w:firstLine="0"/>
        <w:jc w:val="left"/>
        <w:rPr>
          <w:rFonts w:ascii="宋体" w:hAnsi="宋体"/>
          <w:sz w:val="24"/>
        </w:rPr>
      </w:pPr>
      <w:r>
        <w:rPr>
          <w:rFonts w:hint="eastAsia" w:ascii="宋体" w:hAnsi="宋体"/>
          <w:sz w:val="24"/>
        </w:rPr>
        <w:t>（三）</w:t>
      </w:r>
      <w:r>
        <w:rPr>
          <w:rFonts w:ascii="宋体" w:hAnsi="宋体"/>
          <w:sz w:val="24"/>
        </w:rPr>
        <w:t>乙方</w:t>
      </w:r>
      <w:r>
        <w:rPr>
          <w:rFonts w:hint="eastAsia" w:ascii="宋体" w:hAnsi="宋体"/>
          <w:sz w:val="24"/>
        </w:rPr>
        <w:t>未能如</w:t>
      </w:r>
      <w:r>
        <w:rPr>
          <w:rFonts w:ascii="宋体" w:hAnsi="宋体"/>
          <w:sz w:val="24"/>
        </w:rPr>
        <w:t>期</w:t>
      </w:r>
      <w:r>
        <w:rPr>
          <w:rFonts w:hint="eastAsia" w:ascii="宋体" w:hAnsi="宋体"/>
          <w:sz w:val="24"/>
          <w:lang w:val="en-US" w:eastAsia="zh-CN"/>
        </w:rPr>
        <w:t>交付货物</w:t>
      </w:r>
      <w:r>
        <w:rPr>
          <w:rFonts w:ascii="宋体" w:hAnsi="宋体"/>
          <w:sz w:val="24"/>
        </w:rPr>
        <w:t>的，每日向甲方支付</w:t>
      </w:r>
      <w:r>
        <w:rPr>
          <w:rFonts w:hint="eastAsia" w:ascii="宋体" w:hAnsi="宋体"/>
          <w:sz w:val="24"/>
        </w:rPr>
        <w:t>合同款项的</w:t>
      </w:r>
      <w:r>
        <w:rPr>
          <w:rFonts w:ascii="宋体" w:hAnsi="宋体"/>
          <w:color w:val="C00000"/>
          <w:sz w:val="24"/>
          <w:u w:val="single"/>
        </w:rPr>
        <w:t>千分之</w:t>
      </w:r>
      <w:r>
        <w:rPr>
          <w:rFonts w:hint="eastAsia" w:ascii="宋体" w:hAnsi="宋体"/>
          <w:color w:val="C00000"/>
          <w:sz w:val="24"/>
          <w:u w:val="single"/>
          <w:lang w:eastAsia="zh-CN"/>
        </w:rPr>
        <w:t>五</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lang w:val="en-US" w:eastAsia="zh-CN"/>
        </w:rPr>
        <w:t>交付货物</w:t>
      </w:r>
      <w:r>
        <w:rPr>
          <w:rFonts w:ascii="宋体" w:hAnsi="宋体"/>
          <w:sz w:val="24"/>
        </w:rPr>
        <w:t>的，甲方可解除本合同。乙方因</w:t>
      </w:r>
      <w:r>
        <w:rPr>
          <w:rFonts w:hint="eastAsia" w:ascii="宋体" w:hAnsi="宋体"/>
          <w:sz w:val="24"/>
        </w:rPr>
        <w:t>未能如</w:t>
      </w:r>
      <w:r>
        <w:rPr>
          <w:rFonts w:ascii="宋体" w:hAnsi="宋体"/>
          <w:sz w:val="24"/>
        </w:rPr>
        <w:t>期</w:t>
      </w:r>
      <w:r>
        <w:rPr>
          <w:rFonts w:hint="eastAsia" w:ascii="宋体" w:hAnsi="宋体"/>
          <w:sz w:val="24"/>
          <w:lang w:val="en-US" w:eastAsia="zh-CN"/>
        </w:rPr>
        <w:t>交付货物</w:t>
      </w:r>
      <w:r>
        <w:rPr>
          <w:rFonts w:ascii="宋体" w:hAnsi="宋体"/>
          <w:sz w:val="24"/>
        </w:rPr>
        <w:t>或因其他违约行为导致甲方解除合同的，乙方应向甲方支付合同总值</w:t>
      </w:r>
      <w:r>
        <w:rPr>
          <w:rFonts w:ascii="宋体" w:hAnsi="宋体"/>
          <w:sz w:val="24"/>
          <w:u w:val="single"/>
        </w:rPr>
        <w:t>5%</w:t>
      </w:r>
      <w:r>
        <w:rPr>
          <w:rFonts w:hint="eastAsia" w:hAnsi="宋体"/>
          <w:sz w:val="24"/>
          <w:u w:val="single"/>
          <w:lang w:val="en-US" w:eastAsia="zh-CN"/>
        </w:rPr>
        <w:t xml:space="preserve"> </w:t>
      </w:r>
      <w:r>
        <w:rPr>
          <w:rFonts w:ascii="宋体" w:hAnsi="宋体"/>
          <w:sz w:val="24"/>
        </w:rPr>
        <w:t>的违约金，如造成甲方损失超过违约金的，超出部分由乙方继续承担赔偿责任。</w:t>
      </w:r>
    </w:p>
    <w:p>
      <w:pPr>
        <w:pStyle w:val="32"/>
        <w:adjustRightInd w:val="0"/>
        <w:snapToGrid w:val="0"/>
        <w:spacing w:line="460" w:lineRule="exact"/>
        <w:rPr>
          <w:rFonts w:hAnsi="宋体"/>
          <w:b/>
          <w:sz w:val="24"/>
        </w:rPr>
      </w:pPr>
      <w:r>
        <w:rPr>
          <w:rFonts w:hAnsi="宋体"/>
          <w:b/>
          <w:sz w:val="24"/>
        </w:rPr>
        <w:t>十</w:t>
      </w:r>
      <w:r>
        <w:rPr>
          <w:rFonts w:hint="eastAsia" w:hAnsi="宋体"/>
          <w:b/>
          <w:sz w:val="24"/>
          <w:lang w:val="en-US" w:eastAsia="zh-CN"/>
        </w:rPr>
        <w:t>七</w:t>
      </w:r>
      <w:r>
        <w:rPr>
          <w:rFonts w:hAnsi="宋体"/>
          <w:b/>
          <w:sz w:val="24"/>
        </w:rPr>
        <w:t>、不可抗力事件处理</w:t>
      </w:r>
    </w:p>
    <w:p>
      <w:pPr>
        <w:pStyle w:val="32"/>
        <w:adjustRightInd w:val="0"/>
        <w:snapToGrid w:val="0"/>
        <w:spacing w:line="460" w:lineRule="exact"/>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32"/>
        <w:adjustRightInd w:val="0"/>
        <w:snapToGrid w:val="0"/>
        <w:spacing w:line="460" w:lineRule="exact"/>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32"/>
        <w:adjustRightInd w:val="0"/>
        <w:snapToGrid w:val="0"/>
        <w:spacing w:line="460" w:lineRule="exact"/>
        <w:rPr>
          <w:rFonts w:hAnsi="宋体"/>
          <w:sz w:val="24"/>
        </w:rPr>
      </w:pPr>
      <w:r>
        <w:rPr>
          <w:rFonts w:hint="eastAsia" w:hAnsi="宋体"/>
          <w:sz w:val="24"/>
        </w:rPr>
        <w:t>（三）</w:t>
      </w:r>
      <w:r>
        <w:rPr>
          <w:rFonts w:hAnsi="宋体"/>
          <w:sz w:val="24"/>
        </w:rPr>
        <w:t>不可抗力事件延续</w:t>
      </w:r>
      <w:r>
        <w:rPr>
          <w:rFonts w:hint="eastAsia" w:hAnsi="宋体"/>
          <w:sz w:val="24"/>
          <w:lang w:val="en-US" w:eastAsia="zh-CN"/>
        </w:rPr>
        <w:t>30</w:t>
      </w:r>
      <w:r>
        <w:rPr>
          <w:rFonts w:hAnsi="宋体"/>
          <w:sz w:val="24"/>
        </w:rPr>
        <w:t>天以上，双方应通过友好协商，确定是否继续履行合同。</w:t>
      </w:r>
    </w:p>
    <w:p>
      <w:pPr>
        <w:pStyle w:val="32"/>
        <w:adjustRightInd w:val="0"/>
        <w:snapToGrid w:val="0"/>
        <w:spacing w:line="460" w:lineRule="exact"/>
        <w:rPr>
          <w:rFonts w:hAnsi="宋体"/>
          <w:b/>
          <w:sz w:val="24"/>
        </w:rPr>
      </w:pPr>
      <w:r>
        <w:rPr>
          <w:rFonts w:hAnsi="宋体"/>
          <w:b/>
          <w:sz w:val="24"/>
        </w:rPr>
        <w:t>十</w:t>
      </w:r>
      <w:r>
        <w:rPr>
          <w:rFonts w:hint="eastAsia" w:hAnsi="宋体"/>
          <w:b/>
          <w:sz w:val="24"/>
          <w:lang w:val="en-US" w:eastAsia="zh-CN"/>
        </w:rPr>
        <w:t>八</w:t>
      </w:r>
      <w:r>
        <w:rPr>
          <w:rFonts w:hAnsi="宋体"/>
          <w:b/>
          <w:sz w:val="24"/>
        </w:rPr>
        <w:t>、</w:t>
      </w:r>
      <w:r>
        <w:rPr>
          <w:rFonts w:hint="eastAsia" w:hAnsi="宋体"/>
          <w:b/>
          <w:sz w:val="24"/>
        </w:rPr>
        <w:t>解决争议的方法</w:t>
      </w:r>
    </w:p>
    <w:p>
      <w:pPr>
        <w:pStyle w:val="32"/>
        <w:adjustRightInd w:val="0"/>
        <w:snapToGrid w:val="0"/>
        <w:spacing w:line="460" w:lineRule="exact"/>
        <w:ind w:firstLine="480" w:firstLineChars="200"/>
        <w:rPr>
          <w:rFonts w:hAnsi="宋体" w:cs="宋体"/>
          <w:kern w:val="0"/>
          <w:sz w:val="24"/>
        </w:rPr>
      </w:pPr>
      <w:r>
        <w:rPr>
          <w:rFonts w:hint="eastAsia" w:hAnsi="宋体" w:cs="宋体"/>
          <w:kern w:val="0"/>
          <w:sz w:val="24"/>
        </w:rPr>
        <w:t xml:space="preserve"> </w:t>
      </w:r>
      <w:r>
        <w:rPr>
          <w:rFonts w:hAnsi="宋体" w:cs="宋体"/>
          <w:kern w:val="0"/>
          <w:sz w:val="24"/>
        </w:rPr>
        <w:t>如双方在履行合同时发生纠纷，应协商解决；协商不成时，可提请政府采购管理部门调解；调解不成的通过以下</w:t>
      </w:r>
      <w:r>
        <w:rPr>
          <w:rFonts w:hint="eastAsia" w:hAnsi="宋体" w:cs="宋体"/>
          <w:kern w:val="0"/>
          <w:sz w:val="24"/>
          <w:u w:val="single"/>
        </w:rPr>
        <w:t xml:space="preserve"> （二）</w:t>
      </w:r>
      <w:r>
        <w:rPr>
          <w:rFonts w:hAnsi="宋体" w:cs="宋体"/>
          <w:kern w:val="0"/>
          <w:sz w:val="24"/>
        </w:rPr>
        <w:t>方式解决：</w:t>
      </w:r>
    </w:p>
    <w:p>
      <w:pPr>
        <w:pStyle w:val="32"/>
        <w:adjustRightInd w:val="0"/>
        <w:snapToGrid w:val="0"/>
        <w:spacing w:line="460" w:lineRule="exact"/>
        <w:ind w:firstLine="360" w:firstLineChars="15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 提交</w:t>
      </w:r>
      <w:r>
        <w:rPr>
          <w:rFonts w:hAnsi="宋体"/>
          <w:sz w:val="24"/>
          <w:u w:val="single"/>
        </w:rPr>
        <w:t>台州</w:t>
      </w:r>
      <w:r>
        <w:rPr>
          <w:rFonts w:hAnsi="宋体" w:cs="宋体"/>
          <w:kern w:val="0"/>
          <w:sz w:val="24"/>
        </w:rPr>
        <w:t>仲裁委员会仲裁。</w:t>
      </w:r>
    </w:p>
    <w:p>
      <w:pPr>
        <w:pStyle w:val="32"/>
        <w:adjustRightInd w:val="0"/>
        <w:snapToGrid w:val="0"/>
        <w:spacing w:line="460" w:lineRule="exact"/>
        <w:ind w:firstLine="360" w:firstLineChars="150"/>
        <w:rPr>
          <w:rFonts w:hAnsi="宋体" w:cs="宋体"/>
          <w:b/>
          <w:sz w:val="24"/>
        </w:rPr>
      </w:pPr>
      <w:r>
        <w:rPr>
          <w:rFonts w:hAnsi="宋体" w:cs="宋体"/>
          <w:kern w:val="0"/>
          <w:sz w:val="24"/>
        </w:rPr>
        <w:t>（</w:t>
      </w:r>
      <w:r>
        <w:rPr>
          <w:rFonts w:hint="eastAsia" w:hAnsi="宋体" w:cs="宋体"/>
          <w:kern w:val="0"/>
          <w:sz w:val="24"/>
        </w:rPr>
        <w:t>二</w:t>
      </w:r>
      <w:r>
        <w:rPr>
          <w:rFonts w:hAnsi="宋体" w:cs="宋体"/>
          <w:kern w:val="0"/>
          <w:sz w:val="24"/>
        </w:rPr>
        <w:t>） 依法向人民法院提起诉讼。</w:t>
      </w:r>
    </w:p>
    <w:p>
      <w:pPr>
        <w:pStyle w:val="32"/>
        <w:adjustRightInd w:val="0"/>
        <w:snapToGrid w:val="0"/>
        <w:spacing w:line="460" w:lineRule="exact"/>
        <w:rPr>
          <w:rFonts w:hAnsi="宋体" w:cs="宋体"/>
          <w:b/>
          <w:sz w:val="24"/>
        </w:rPr>
      </w:pPr>
      <w:r>
        <w:rPr>
          <w:rFonts w:hint="eastAsia" w:hAnsi="宋体" w:cs="宋体"/>
          <w:b/>
          <w:sz w:val="24"/>
        </w:rPr>
        <w:t>十</w:t>
      </w:r>
      <w:r>
        <w:rPr>
          <w:rFonts w:hint="eastAsia" w:hAnsi="宋体" w:cs="宋体"/>
          <w:b/>
          <w:sz w:val="24"/>
          <w:lang w:val="en-US" w:eastAsia="zh-CN"/>
        </w:rPr>
        <w:t>九</w:t>
      </w:r>
      <w:r>
        <w:rPr>
          <w:rFonts w:hAnsi="宋体" w:cs="宋体"/>
          <w:b/>
          <w:sz w:val="24"/>
        </w:rPr>
        <w:t>、合同生效</w:t>
      </w:r>
    </w:p>
    <w:p>
      <w:pPr>
        <w:adjustRightInd w:val="0"/>
        <w:snapToGrid w:val="0"/>
        <w:spacing w:line="460" w:lineRule="exact"/>
        <w:rPr>
          <w:rFonts w:ascii="宋体" w:hAnsi="宋体"/>
          <w:sz w:val="24"/>
        </w:rPr>
      </w:pPr>
      <w:r>
        <w:rPr>
          <w:rFonts w:hint="eastAsia" w:ascii="宋体" w:hAnsi="宋体"/>
          <w:sz w:val="24"/>
        </w:rPr>
        <w:t>（一）</w:t>
      </w:r>
      <w:r>
        <w:rPr>
          <w:rFonts w:ascii="宋体" w:hAnsi="宋体"/>
          <w:sz w:val="24"/>
        </w:rPr>
        <w:t>合同经</w:t>
      </w:r>
      <w:r>
        <w:rPr>
          <w:rFonts w:hint="eastAsia" w:ascii="宋体" w:hAnsi="宋体"/>
          <w:sz w:val="24"/>
        </w:rPr>
        <w:t>甲、乙双方</w:t>
      </w:r>
      <w:r>
        <w:rPr>
          <w:rFonts w:ascii="宋体" w:hAnsi="宋体"/>
          <w:sz w:val="24"/>
        </w:rPr>
        <w:t>法定代表人或授权代表签字并加盖单位公章后生效。</w:t>
      </w:r>
    </w:p>
    <w:p>
      <w:pPr>
        <w:pStyle w:val="34"/>
        <w:adjustRightInd w:val="0"/>
        <w:snapToGrid w:val="0"/>
        <w:spacing w:after="0" w:line="460" w:lineRule="exact"/>
        <w:ind w:left="240" w:leftChars="0" w:hanging="240" w:hangingChars="100"/>
        <w:rPr>
          <w:rFonts w:ascii="宋体" w:hAnsi="宋体"/>
          <w:sz w:val="24"/>
        </w:rPr>
      </w:pPr>
      <w:r>
        <w:rPr>
          <w:rFonts w:hint="eastAsia" w:ascii="宋体" w:hAnsi="宋体"/>
          <w:sz w:val="24"/>
        </w:rPr>
        <w:t>（二）</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pPr>
        <w:widowControl/>
        <w:adjustRightInd w:val="0"/>
        <w:snapToGrid w:val="0"/>
        <w:spacing w:line="460" w:lineRule="exact"/>
        <w:rPr>
          <w:rFonts w:ascii="宋体" w:hAnsi="宋体" w:cs="宋体"/>
          <w:sz w:val="24"/>
        </w:rPr>
      </w:pPr>
      <w:r>
        <w:rPr>
          <w:rFonts w:hint="eastAsia" w:ascii="宋体" w:hAnsi="宋体"/>
          <w:sz w:val="24"/>
        </w:rPr>
        <w:t>（三）</w:t>
      </w:r>
      <w:r>
        <w:rPr>
          <w:rFonts w:hint="eastAsia" w:ascii="宋体" w:hAnsi="宋体" w:cs="宋体"/>
          <w:sz w:val="24"/>
        </w:rPr>
        <w:t xml:space="preserve"> 本合同一式陆份。甲、乙双方各执贰份，</w:t>
      </w:r>
      <w:r>
        <w:rPr>
          <w:rFonts w:ascii="宋体" w:hAnsi="宋体" w:cs="宋体"/>
          <w:sz w:val="24"/>
        </w:rPr>
        <w:t>代理公司</w:t>
      </w:r>
      <w:r>
        <w:rPr>
          <w:rFonts w:hint="eastAsia" w:ascii="宋体" w:hAnsi="宋体" w:cs="宋体"/>
          <w:sz w:val="24"/>
        </w:rPr>
        <w:t>壹</w:t>
      </w:r>
      <w:r>
        <w:rPr>
          <w:rFonts w:ascii="宋体" w:hAnsi="宋体" w:cs="宋体"/>
          <w:sz w:val="24"/>
        </w:rPr>
        <w:t>份，</w:t>
      </w:r>
      <w:r>
        <w:rPr>
          <w:rFonts w:hint="eastAsia" w:ascii="宋体" w:hAnsi="宋体" w:cs="宋体"/>
          <w:sz w:val="24"/>
        </w:rPr>
        <w:t>三门县</w:t>
      </w:r>
      <w:r>
        <w:rPr>
          <w:rFonts w:ascii="宋体" w:hAnsi="宋体" w:cs="宋体"/>
          <w:sz w:val="24"/>
        </w:rPr>
        <w:t>财政</w:t>
      </w:r>
      <w:r>
        <w:rPr>
          <w:rFonts w:hint="eastAsia" w:ascii="宋体" w:hAnsi="宋体" w:cs="宋体"/>
          <w:sz w:val="24"/>
        </w:rPr>
        <w:t>壹</w:t>
      </w:r>
      <w:r>
        <w:rPr>
          <w:rFonts w:ascii="宋体" w:hAnsi="宋体" w:cs="宋体"/>
          <w:sz w:val="24"/>
        </w:rPr>
        <w:t>份</w:t>
      </w:r>
      <w:r>
        <w:rPr>
          <w:rFonts w:hint="eastAsia" w:ascii="宋体" w:hAnsi="宋体" w:cs="宋体"/>
          <w:sz w:val="24"/>
        </w:rPr>
        <w:t>。本项目未尽事宜以投标文件、招标文件及澄清文件等为准。</w:t>
      </w:r>
    </w:p>
    <w:p>
      <w:pPr>
        <w:adjustRightInd w:val="0"/>
        <w:snapToGrid w:val="0"/>
        <w:spacing w:line="460" w:lineRule="exact"/>
        <w:rPr>
          <w:rFonts w:hint="eastAsia" w:ascii="宋体" w:hAnsi="宋体" w:cs="宋体"/>
          <w:sz w:val="24"/>
        </w:rPr>
      </w:pPr>
    </w:p>
    <w:p>
      <w:pPr>
        <w:adjustRightInd w:val="0"/>
        <w:snapToGrid w:val="0"/>
        <w:spacing w:line="460" w:lineRule="exact"/>
        <w:rPr>
          <w:rFonts w:hint="eastAsia" w:ascii="宋体" w:hAnsi="宋体" w:cs="宋体"/>
          <w:sz w:val="24"/>
        </w:rPr>
      </w:pPr>
    </w:p>
    <w:p>
      <w:pPr>
        <w:pStyle w:val="2"/>
        <w:rPr>
          <w:rFonts w:hint="eastAsia"/>
        </w:rPr>
      </w:pPr>
    </w:p>
    <w:p>
      <w:pPr>
        <w:adjustRightInd w:val="0"/>
        <w:snapToGrid w:val="0"/>
        <w:spacing w:line="460" w:lineRule="exact"/>
        <w:rPr>
          <w:rFonts w:ascii="宋体" w:hAnsi="宋体" w:cs="宋体"/>
          <w:sz w:val="24"/>
        </w:rPr>
      </w:pPr>
      <w:r>
        <w:rPr>
          <w:rFonts w:hint="eastAsia" w:ascii="宋体" w:hAnsi="宋体" w:cs="宋体"/>
          <w:sz w:val="24"/>
        </w:rPr>
        <w:t xml:space="preserve">甲方（公章）                                  乙方（公章）：            </w:t>
      </w:r>
    </w:p>
    <w:p>
      <w:pPr>
        <w:adjustRightInd w:val="0"/>
        <w:snapToGrid w:val="0"/>
        <w:spacing w:line="460" w:lineRule="exact"/>
        <w:rPr>
          <w:rFonts w:ascii="宋体" w:hAnsi="宋体" w:cs="宋体"/>
          <w:sz w:val="24"/>
        </w:rPr>
      </w:pPr>
      <w:r>
        <w:rPr>
          <w:rFonts w:hint="eastAsia" w:ascii="宋体" w:hAnsi="宋体" w:cs="宋体"/>
          <w:sz w:val="24"/>
        </w:rPr>
        <w:t xml:space="preserve">法定代表人：                                  法定代表人：            </w:t>
      </w:r>
    </w:p>
    <w:p>
      <w:pPr>
        <w:adjustRightInd w:val="0"/>
        <w:snapToGrid w:val="0"/>
        <w:spacing w:line="460" w:lineRule="exact"/>
        <w:rPr>
          <w:rFonts w:ascii="宋体" w:hAnsi="宋体" w:cs="宋体"/>
          <w:sz w:val="24"/>
        </w:rPr>
      </w:pPr>
      <w:r>
        <w:rPr>
          <w:rFonts w:hint="eastAsia" w:ascii="宋体" w:hAnsi="宋体" w:cs="宋体"/>
          <w:sz w:val="24"/>
        </w:rPr>
        <w:t xml:space="preserve">委托代理人：                                  委托代理人：            </w:t>
      </w:r>
    </w:p>
    <w:p>
      <w:pPr>
        <w:adjustRightInd w:val="0"/>
        <w:snapToGrid w:val="0"/>
        <w:spacing w:line="460" w:lineRule="exact"/>
        <w:rPr>
          <w:rFonts w:ascii="宋体" w:hAnsi="宋体" w:cs="宋体"/>
          <w:sz w:val="24"/>
        </w:rPr>
      </w:pPr>
      <w:r>
        <w:rPr>
          <w:rFonts w:hint="eastAsia" w:ascii="宋体" w:hAnsi="宋体" w:cs="宋体"/>
          <w:sz w:val="24"/>
        </w:rPr>
        <w:t xml:space="preserve">联系电话：                                    联系电话：              </w:t>
      </w:r>
    </w:p>
    <w:p>
      <w:pPr>
        <w:adjustRightInd w:val="0"/>
        <w:snapToGrid w:val="0"/>
        <w:spacing w:line="460" w:lineRule="exact"/>
        <w:rPr>
          <w:rFonts w:ascii="宋体" w:hAnsi="宋体" w:cs="宋体"/>
          <w:sz w:val="24"/>
        </w:rPr>
      </w:pPr>
      <w:r>
        <w:rPr>
          <w:rFonts w:hint="eastAsia" w:ascii="宋体" w:hAnsi="宋体" w:cs="宋体"/>
          <w:sz w:val="24"/>
        </w:rPr>
        <w:t xml:space="preserve">开户银行：                                    开户银行：              </w:t>
      </w:r>
    </w:p>
    <w:p>
      <w:pPr>
        <w:adjustRightInd w:val="0"/>
        <w:snapToGrid w:val="0"/>
        <w:spacing w:line="460" w:lineRule="exact"/>
        <w:rPr>
          <w:rFonts w:ascii="宋体" w:hAnsi="宋体" w:cs="宋体"/>
          <w:sz w:val="24"/>
        </w:rPr>
      </w:pPr>
      <w:r>
        <w:rPr>
          <w:rFonts w:hint="eastAsia" w:ascii="宋体" w:hAnsi="宋体" w:cs="宋体"/>
          <w:sz w:val="24"/>
        </w:rPr>
        <w:t xml:space="preserve">帐    号：                                    帐    号：                 </w:t>
      </w:r>
    </w:p>
    <w:p>
      <w:pPr>
        <w:adjustRightInd w:val="0"/>
        <w:snapToGrid w:val="0"/>
        <w:spacing w:line="460" w:lineRule="exact"/>
        <w:rPr>
          <w:rFonts w:ascii="宋体" w:hAnsi="宋体" w:cs="宋体"/>
          <w:sz w:val="24"/>
        </w:rPr>
      </w:pPr>
      <w:r>
        <w:rPr>
          <w:rFonts w:hint="eastAsia" w:ascii="宋体" w:hAnsi="宋体" w:cs="宋体"/>
          <w:sz w:val="24"/>
        </w:rPr>
        <w:t>地    址:                                     地   址:</w:t>
      </w:r>
    </w:p>
    <w:p>
      <w:pPr>
        <w:adjustRightInd w:val="0"/>
        <w:snapToGrid w:val="0"/>
        <w:spacing w:line="460" w:lineRule="exact"/>
        <w:rPr>
          <w:rFonts w:ascii="宋体" w:hAnsi="宋体" w:cs="宋体"/>
          <w:sz w:val="24"/>
        </w:rPr>
      </w:pPr>
      <w:r>
        <w:rPr>
          <w:rFonts w:hint="eastAsia" w:ascii="宋体" w:hAnsi="宋体" w:cs="宋体"/>
          <w:sz w:val="24"/>
        </w:rPr>
        <w:t xml:space="preserve">邮    编：                                    邮   编：         </w:t>
      </w:r>
    </w:p>
    <w:p>
      <w:pPr>
        <w:widowControl/>
        <w:adjustRightInd w:val="0"/>
        <w:snapToGrid w:val="0"/>
        <w:spacing w:line="460" w:lineRule="exact"/>
        <w:jc w:val="right"/>
        <w:rPr>
          <w:rFonts w:ascii="宋体" w:hAnsi="宋体"/>
          <w:b/>
          <w:sz w:val="36"/>
          <w:szCs w:val="36"/>
        </w:rPr>
      </w:pPr>
      <w:r>
        <w:rPr>
          <w:rFonts w:hint="eastAsia" w:ascii="宋体" w:hAnsi="宋体" w:cs="宋体"/>
          <w:sz w:val="24"/>
        </w:rPr>
        <w:t>签订时间：    年   月    日</w:t>
      </w:r>
      <w:bookmarkStart w:id="41" w:name="_Toc5481_WPSOffice_Level1"/>
    </w:p>
    <w:p>
      <w:pPr>
        <w:pStyle w:val="34"/>
      </w:pPr>
    </w:p>
    <w:p>
      <w:pPr>
        <w:pStyle w:val="34"/>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eastAsia="宋体"/>
          <w:b/>
          <w:color w:val="auto"/>
          <w:sz w:val="36"/>
          <w:highlight w:val="none"/>
        </w:rPr>
      </w:pPr>
    </w:p>
    <w:p>
      <w:pPr>
        <w:spacing w:line="360" w:lineRule="auto"/>
        <w:jc w:val="center"/>
        <w:rPr>
          <w:rFonts w:hint="eastAsia" w:ascii="宋体" w:hAnsi="宋体" w:eastAsia="宋体"/>
          <w:b/>
          <w:color w:val="auto"/>
          <w:sz w:val="36"/>
          <w:highlight w:val="none"/>
        </w:rPr>
      </w:pPr>
    </w:p>
    <w:p>
      <w:pPr>
        <w:spacing w:line="360" w:lineRule="auto"/>
        <w:jc w:val="center"/>
        <w:rPr>
          <w:rFonts w:hint="eastAsia" w:ascii="宋体" w:hAnsi="宋体" w:eastAsia="宋体"/>
          <w:b/>
          <w:color w:val="auto"/>
          <w:sz w:val="36"/>
          <w:highlight w:val="none"/>
        </w:rPr>
      </w:pPr>
    </w:p>
    <w:p>
      <w:pPr>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rPr>
        <w:t>专用条款</w:t>
      </w:r>
    </w:p>
    <w:p>
      <w:pPr>
        <w:spacing w:line="360" w:lineRule="auto"/>
        <w:jc w:val="left"/>
        <w:rPr>
          <w:rFonts w:ascii="宋体" w:hAnsi="宋体" w:eastAsia="宋体"/>
          <w:sz w:val="28"/>
          <w:szCs w:val="28"/>
          <w:highlight w:val="none"/>
        </w:rPr>
      </w:pPr>
      <w:r>
        <w:rPr>
          <w:rFonts w:hint="eastAsia" w:ascii="宋体" w:hAnsi="宋体" w:eastAsia="宋体"/>
          <w:color w:val="auto"/>
          <w:sz w:val="36"/>
          <w:highlight w:val="none"/>
        </w:rPr>
        <w:t>（</w:t>
      </w:r>
      <w:r>
        <w:rPr>
          <w:rFonts w:hint="eastAsia" w:ascii="宋体" w:hAnsi="宋体" w:eastAsia="宋体"/>
          <w:color w:val="auto"/>
          <w:sz w:val="28"/>
          <w:szCs w:val="28"/>
          <w:highlight w:val="none"/>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宋体" w:hAnsi="宋体"/>
          <w:b/>
          <w:sz w:val="36"/>
          <w:szCs w:val="36"/>
        </w:rPr>
      </w:pPr>
      <w:r>
        <w:rPr>
          <w:rFonts w:hint="eastAsia" w:ascii="宋体" w:hAnsi="宋体"/>
          <w:b/>
          <w:sz w:val="36"/>
          <w:szCs w:val="36"/>
        </w:rPr>
        <w:t>第六章 投标文件格式</w:t>
      </w:r>
      <w:bookmarkEnd w:id="41"/>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宋体" w:hAnsi="宋体"/>
          <w:b/>
          <w:sz w:val="30"/>
          <w:szCs w:val="30"/>
        </w:rPr>
      </w:pPr>
    </w:p>
    <w:p>
      <w:pPr>
        <w:jc w:val="center"/>
        <w:rPr>
          <w:sz w:val="52"/>
          <w:szCs w:val="52"/>
        </w:rPr>
      </w:pPr>
      <w:bookmarkStart w:id="42" w:name="_Toc32372_WPSOffice_Level1"/>
      <w:bookmarkStart w:id="43" w:name="_Toc4956_WPSOffice_Level1"/>
      <w:bookmarkStart w:id="44" w:name="_Toc19093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3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34"/>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30"/>
        <w:rPr>
          <w:rFonts w:ascii="仿宋_GB2312" w:hAnsi="宋体" w:eastAsia="仿宋_GB2312"/>
          <w:b/>
          <w:sz w:val="36"/>
          <w:szCs w:val="36"/>
        </w:rPr>
      </w:pPr>
    </w:p>
    <w:p>
      <w:pPr>
        <w:pStyle w:val="30"/>
        <w:rPr>
          <w:rFonts w:ascii="仿宋_GB2312" w:hAnsi="宋体" w:eastAsia="仿宋_GB2312"/>
          <w:b/>
          <w:sz w:val="36"/>
          <w:szCs w:val="36"/>
        </w:rPr>
      </w:pPr>
    </w:p>
    <w:p>
      <w:pPr>
        <w:spacing w:line="360" w:lineRule="auto"/>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24"/>
        </w:numPr>
        <w:spacing w:line="360" w:lineRule="auto"/>
        <w:ind w:hanging="5"/>
        <w:rPr>
          <w:sz w:val="28"/>
          <w:szCs w:val="36"/>
        </w:rPr>
      </w:pPr>
      <w:bookmarkStart w:id="45" w:name="_Toc12587_WPSOffice_Level1"/>
      <w:bookmarkStart w:id="46" w:name="_Toc27049_WPSOffice_Level1"/>
      <w:r>
        <w:rPr>
          <w:rFonts w:hint="eastAsia"/>
          <w:sz w:val="28"/>
          <w:szCs w:val="36"/>
        </w:rPr>
        <w:t>投标声明书（附件1）</w:t>
      </w:r>
      <w:bookmarkEnd w:id="45"/>
      <w:bookmarkEnd w:id="46"/>
    </w:p>
    <w:p>
      <w:pPr>
        <w:numPr>
          <w:ilvl w:val="0"/>
          <w:numId w:val="24"/>
        </w:numPr>
        <w:spacing w:line="360" w:lineRule="auto"/>
        <w:ind w:hanging="5"/>
        <w:rPr>
          <w:sz w:val="28"/>
          <w:szCs w:val="36"/>
        </w:rPr>
      </w:pPr>
      <w:bookmarkStart w:id="47" w:name="_Toc25574_WPSOffice_Level1"/>
      <w:bookmarkStart w:id="48" w:name="_Toc28306_WPSOffice_Level1"/>
      <w:r>
        <w:rPr>
          <w:rFonts w:hint="eastAsia"/>
          <w:sz w:val="28"/>
          <w:szCs w:val="36"/>
        </w:rPr>
        <w:t>授权委托书（法定代表人办理投标事宜的，则无需提交)（附件2）</w:t>
      </w:r>
      <w:bookmarkEnd w:id="47"/>
      <w:bookmarkEnd w:id="48"/>
    </w:p>
    <w:p>
      <w:pPr>
        <w:numPr>
          <w:ilvl w:val="0"/>
          <w:numId w:val="24"/>
        </w:numPr>
        <w:spacing w:line="360" w:lineRule="auto"/>
        <w:ind w:hanging="5"/>
        <w:rPr>
          <w:sz w:val="28"/>
          <w:szCs w:val="36"/>
        </w:rPr>
      </w:pPr>
      <w:r>
        <w:rPr>
          <w:rFonts w:hint="eastAsia"/>
          <w:sz w:val="28"/>
          <w:szCs w:val="36"/>
        </w:rPr>
        <w:t>法人或者其他组织的营业执照等证明文件</w:t>
      </w:r>
    </w:p>
    <w:p>
      <w:pPr>
        <w:numPr>
          <w:ilvl w:val="0"/>
          <w:numId w:val="24"/>
        </w:numPr>
        <w:spacing w:line="360" w:lineRule="auto"/>
        <w:ind w:hanging="5"/>
        <w:rPr>
          <w:rFonts w:hint="eastAsia" w:ascii="Times New Roman" w:hAnsi="Times New Roman" w:eastAsia="宋体" w:cs="Times New Roman"/>
          <w:sz w:val="28"/>
          <w:szCs w:val="36"/>
        </w:rPr>
      </w:pPr>
      <w:bookmarkStart w:id="49" w:name="_Toc2696_WPSOffice_Level1"/>
      <w:bookmarkStart w:id="50" w:name="_Toc30751_WPSOffice_Level1"/>
      <w:r>
        <w:rPr>
          <w:rFonts w:hint="eastAsia" w:ascii="Times New Roman" w:hAnsi="Times New Roman" w:eastAsia="宋体" w:cs="Times New Roman"/>
          <w:sz w:val="28"/>
          <w:szCs w:val="36"/>
        </w:rPr>
        <w:t>具有良好的财务会计制度、依法缴纳税收和社会保障资金的承诺函</w:t>
      </w:r>
      <w:r>
        <w:rPr>
          <w:rFonts w:hint="eastAsia" w:ascii="Times New Roman" w:hAnsi="Times New Roman" w:eastAsia="宋体" w:cs="Times New Roman"/>
          <w:sz w:val="28"/>
          <w:szCs w:val="36"/>
          <w:lang w:eastAsia="zh-CN"/>
        </w:rPr>
        <w:t>；</w:t>
      </w:r>
    </w:p>
    <w:p>
      <w:pPr>
        <w:numPr>
          <w:ilvl w:val="0"/>
          <w:numId w:val="24"/>
        </w:numPr>
        <w:spacing w:line="360" w:lineRule="auto"/>
        <w:ind w:hanging="5"/>
        <w:rPr>
          <w:sz w:val="28"/>
          <w:szCs w:val="36"/>
        </w:rPr>
      </w:pPr>
      <w:r>
        <w:rPr>
          <w:rFonts w:hint="eastAsia"/>
          <w:sz w:val="28"/>
          <w:szCs w:val="36"/>
        </w:rPr>
        <w:t>具备履行合同所必需的设备和专业技术能力的证明材料</w:t>
      </w:r>
      <w:bookmarkEnd w:id="49"/>
      <w:bookmarkEnd w:id="50"/>
      <w:bookmarkStart w:id="51" w:name="_Toc4587_WPSOffice_Level1"/>
      <w:bookmarkEnd w:id="51"/>
      <w:bookmarkStart w:id="52" w:name="_Toc14150_WPSOffice_Level1"/>
      <w:bookmarkEnd w:id="52"/>
    </w:p>
    <w:p>
      <w:pPr>
        <w:numPr>
          <w:ilvl w:val="0"/>
          <w:numId w:val="24"/>
        </w:numPr>
        <w:spacing w:line="360" w:lineRule="auto"/>
        <w:ind w:hanging="5"/>
        <w:rPr>
          <w:sz w:val="28"/>
          <w:szCs w:val="36"/>
        </w:rPr>
      </w:pPr>
      <w:r>
        <w:rPr>
          <w:rFonts w:hint="eastAsia"/>
          <w:sz w:val="28"/>
          <w:szCs w:val="36"/>
        </w:rPr>
        <w:t>提供采购公告中符合供应商特定条件的有效证明材料（供应商特定条件中有要求的必须提供），以及需要说明的其他资料。</w:t>
      </w:r>
    </w:p>
    <w:p>
      <w:pPr>
        <w:spacing w:line="360" w:lineRule="auto"/>
        <w:rPr>
          <w:sz w:val="28"/>
          <w:szCs w:val="36"/>
        </w:rPr>
      </w:pPr>
    </w:p>
    <w:p>
      <w:pPr>
        <w:spacing w:line="360" w:lineRule="auto"/>
        <w:ind w:left="420"/>
        <w:rPr>
          <w:rFonts w:ascii="宋体" w:hAnsi="宋体"/>
          <w:b/>
          <w:sz w:val="28"/>
        </w:rPr>
      </w:pPr>
    </w:p>
    <w:p>
      <w:pPr>
        <w:pStyle w:val="39"/>
        <w:rPr>
          <w:rFonts w:ascii="宋体" w:hAnsi="宋体"/>
          <w:b/>
          <w:sz w:val="28"/>
        </w:rPr>
      </w:pPr>
    </w:p>
    <w:p>
      <w:pPr>
        <w:pStyle w:val="39"/>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pStyle w:val="30"/>
        <w:ind w:firstLine="0"/>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snapToGrid w:val="0"/>
        <w:spacing w:beforeLines="50" w:after="50" w:line="312" w:lineRule="auto"/>
        <w:rPr>
          <w:rFonts w:ascii="宋体" w:hAnsi="宋体" w:cs="宋体"/>
          <w:kern w:val="0"/>
          <w:sz w:val="24"/>
        </w:rPr>
      </w:pPr>
      <w:r>
        <w:rPr>
          <w:rFonts w:hint="eastAsia" w:ascii="宋体" w:hAnsi="宋体" w:cs="黑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sz w:val="24"/>
        </w:rPr>
        <w:t>供应商</w:t>
      </w:r>
      <w:r>
        <w:rPr>
          <w:rFonts w:hint="eastAsia" w:ascii="宋体" w:hAnsi="宋体" w:cs="宋体"/>
          <w:kern w:val="0"/>
          <w:sz w:val="24"/>
        </w:rPr>
        <w:t>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sz w:val="24"/>
          <w:u w:val="single"/>
        </w:rPr>
        <w:t>供应商</w:t>
      </w:r>
      <w:r>
        <w:rPr>
          <w:rFonts w:hint="eastAsia" w:ascii="宋体" w:hAnsi="宋体" w:cs="宋体"/>
          <w:kern w:val="0"/>
          <w:sz w:val="24"/>
          <w:u w:val="single"/>
        </w:rPr>
        <w:t xml:space="preserve">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2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sz w:val="24"/>
        </w:rPr>
        <w:t>供应商</w:t>
      </w:r>
      <w:r>
        <w:rPr>
          <w:rFonts w:hint="eastAsia" w:ascii="宋体" w:hAnsi="宋体" w:cs="宋体"/>
          <w:kern w:val="0"/>
          <w:sz w:val="24"/>
        </w:rPr>
        <w:t>在截止投标时间近三年以来，如有上述所列情形，但限制期届满的，可按实陈述，并提供相应证明文件】。</w:t>
      </w:r>
    </w:p>
    <w:p>
      <w:pPr>
        <w:numPr>
          <w:ilvl w:val="0"/>
          <w:numId w:val="2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w:t>
      </w:r>
      <w:r>
        <w:rPr>
          <w:rFonts w:hint="eastAsia" w:ascii="宋体" w:hAnsi="宋体"/>
          <w:sz w:val="24"/>
        </w:rPr>
        <w:t>供应商</w:t>
      </w:r>
      <w:r>
        <w:rPr>
          <w:rFonts w:hint="eastAsia" w:ascii="宋体" w:hAnsi="宋体" w:cs="宋体"/>
          <w:kern w:val="0"/>
          <w:sz w:val="24"/>
        </w:rPr>
        <w:t>的内容，我方对招标文件的所有内容没有任何异议，不申请澄清和质疑。</w:t>
      </w:r>
    </w:p>
    <w:p>
      <w:pPr>
        <w:numPr>
          <w:ilvl w:val="0"/>
          <w:numId w:val="2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25"/>
        </w:numPr>
        <w:snapToGrid w:val="0"/>
        <w:spacing w:line="360" w:lineRule="auto"/>
        <w:ind w:left="5" w:firstLine="415"/>
        <w:rPr>
          <w:rFonts w:ascii="宋体" w:hAnsi="宋体"/>
          <w:kern w:val="0"/>
          <w:sz w:val="24"/>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rPr>
        <w:t>我方</w:t>
      </w:r>
      <w:r>
        <w:rPr>
          <w:rFonts w:hint="eastAsia" w:ascii="宋体" w:hAnsi="宋体"/>
          <w:kern w:val="0"/>
          <w:sz w:val="24"/>
        </w:rPr>
        <w:t>承担。</w:t>
      </w:r>
      <w:r>
        <w:rPr>
          <w:rFonts w:hint="eastAsia" w:ascii="宋体" w:hAnsi="宋体" w:cs="宋体"/>
          <w:kern w:val="0"/>
          <w:sz w:val="24"/>
        </w:rPr>
        <w:t>我方的</w:t>
      </w:r>
      <w:r>
        <w:rPr>
          <w:rFonts w:hint="eastAsia" w:ascii="宋体" w:hAnsi="宋体"/>
          <w:kern w:val="0"/>
          <w:sz w:val="24"/>
        </w:rPr>
        <w:t>投标报价</w:t>
      </w:r>
      <w:r>
        <w:rPr>
          <w:rFonts w:hint="eastAsia" w:ascii="宋体" w:hAnsi="宋体" w:cs="宋体"/>
          <w:kern w:val="0"/>
          <w:sz w:val="24"/>
        </w:rPr>
        <w:t>已</w:t>
      </w:r>
      <w:r>
        <w:rPr>
          <w:rFonts w:hint="eastAsia" w:ascii="宋体" w:hAnsi="宋体"/>
          <w:kern w:val="0"/>
          <w:sz w:val="24"/>
        </w:rPr>
        <w:t>包含所有应向所有权人支付的专利权、商标权或其它知识产权的一切相关费用。</w:t>
      </w:r>
    </w:p>
    <w:p>
      <w:pPr>
        <w:numPr>
          <w:ilvl w:val="0"/>
          <w:numId w:val="25"/>
        </w:numPr>
        <w:snapToGrid w:val="0"/>
        <w:spacing w:line="360" w:lineRule="auto"/>
        <w:ind w:left="5" w:firstLine="415"/>
        <w:rPr>
          <w:rFonts w:ascii="仿宋_GB2312" w:hAnsi="仿宋_GB2312" w:cs="仿宋_GB2312"/>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严格履行政府采购合同，不降低合同约定的产品质量和服务，不擅自变更、中止、终止合同，或拒绝履行合同义务。</w:t>
      </w:r>
    </w:p>
    <w:p>
      <w:pPr>
        <w:numPr>
          <w:ilvl w:val="0"/>
          <w:numId w:val="2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34"/>
        <w:ind w:left="0" w:leftChars="0" w:firstLine="0"/>
      </w:pPr>
    </w:p>
    <w:p>
      <w:pPr>
        <w:pStyle w:val="34"/>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供应商</w:t>
      </w:r>
      <w:r>
        <w:rPr>
          <w:rFonts w:hint="eastAsia" w:ascii="宋体" w:hAnsi="宋体" w:cs="仿宋_GB2312"/>
          <w:kern w:val="0"/>
          <w:sz w:val="24"/>
          <w:lang w:val="zh-CN"/>
        </w:rPr>
        <w:t>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黑体"/>
          <w:sz w:val="24"/>
        </w:rPr>
        <w:t>××</w:t>
      </w:r>
      <w:r>
        <w:rPr>
          <w:rFonts w:hint="eastAsia" w:ascii="宋体" w:hAnsi="宋体" w:cs="仿宋_GB2312"/>
          <w:kern w:val="0"/>
          <w:sz w:val="24"/>
          <w:lang w:val="zh-CN"/>
        </w:rPr>
        <w:t xml:space="preserve">年 </w:t>
      </w:r>
      <w:r>
        <w:rPr>
          <w:rFonts w:hint="eastAsia" w:ascii="宋体" w:hAnsi="宋体" w:cs="黑体"/>
          <w:sz w:val="24"/>
        </w:rPr>
        <w:t>××</w:t>
      </w:r>
      <w:r>
        <w:rPr>
          <w:rFonts w:hint="eastAsia" w:ascii="宋体" w:hAnsi="宋体" w:cs="仿宋_GB2312"/>
          <w:kern w:val="0"/>
          <w:sz w:val="24"/>
          <w:lang w:val="zh-CN"/>
        </w:rPr>
        <w:t xml:space="preserve"> 月 </w:t>
      </w:r>
      <w:r>
        <w:rPr>
          <w:rFonts w:hint="eastAsia" w:ascii="宋体" w:hAnsi="宋体" w:cs="黑体"/>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55" w:name="_Toc6870_WPSOffice_Level1"/>
      <w:bookmarkStart w:id="56" w:name="_Toc24373_WPSOffice_Level1"/>
      <w:r>
        <w:rPr>
          <w:b/>
          <w:sz w:val="32"/>
          <w:szCs w:val="32"/>
        </w:rPr>
        <w:t>授权</w:t>
      </w:r>
      <w:r>
        <w:rPr>
          <w:rFonts w:hint="eastAsia"/>
          <w:b/>
          <w:sz w:val="32"/>
          <w:szCs w:val="32"/>
        </w:rPr>
        <w:t>委托</w:t>
      </w:r>
      <w:r>
        <w:rPr>
          <w:b/>
          <w:sz w:val="32"/>
          <w:szCs w:val="32"/>
        </w:rPr>
        <w:t>书</w:t>
      </w:r>
      <w:bookmarkEnd w:id="55"/>
      <w:bookmarkEnd w:id="56"/>
    </w:p>
    <w:p>
      <w:pPr>
        <w:snapToGrid w:val="0"/>
        <w:spacing w:beforeLines="50" w:after="50" w:line="360" w:lineRule="auto"/>
        <w:rPr>
          <w:rFonts w:ascii="宋体" w:hAnsi="宋体" w:cs="宋体"/>
          <w:kern w:val="0"/>
          <w:sz w:val="24"/>
        </w:rPr>
      </w:pPr>
      <w:r>
        <w:rPr>
          <w:rFonts w:hint="eastAsia" w:ascii="宋体" w:hAnsi="宋体" w:cs="黑体"/>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32"/>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3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3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sz w:val="24"/>
        </w:rPr>
        <w:t>供应商</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ascii="宋体" w:hAnsi="宋体"/>
          <w:b/>
          <w:sz w:val="28"/>
        </w:rPr>
      </w:pPr>
      <w:r>
        <w:rPr>
          <w:rFonts w:hint="eastAsia" w:ascii="宋体" w:hAnsi="宋体"/>
          <w:b/>
          <w:sz w:val="28"/>
        </w:rPr>
        <w:br w:type="page"/>
      </w:r>
    </w:p>
    <w:p>
      <w:pPr>
        <w:pStyle w:val="9"/>
        <w:ind w:left="630" w:leftChars="300" w:right="630" w:rightChars="300" w:firstLine="0"/>
        <w:jc w:val="center"/>
        <w:rPr>
          <w:rFonts w:hint="eastAsia" w:ascii="仿宋_GB2312" w:eastAsia="仿宋_GB2312"/>
          <w:b/>
          <w:sz w:val="32"/>
          <w:szCs w:val="32"/>
        </w:rPr>
      </w:pPr>
      <w:r>
        <w:rPr>
          <w:rFonts w:hint="eastAsia" w:ascii="仿宋_GB2312" w:eastAsia="仿宋_GB2312"/>
          <w:b/>
          <w:sz w:val="32"/>
          <w:szCs w:val="32"/>
        </w:rPr>
        <w:t>具有良好的财务会计制度、依法缴纳税收和社会保障资金的承诺函</w:t>
      </w:r>
    </w:p>
    <w:p>
      <w:pPr>
        <w:pStyle w:val="47"/>
        <w:spacing w:line="360" w:lineRule="auto"/>
        <w:rPr>
          <w:rFonts w:hint="eastAsia" w:ascii="仿宋_GB2312" w:eastAsia="仿宋_GB2312"/>
          <w:sz w:val="24"/>
          <w:u w:val="single"/>
        </w:rPr>
      </w:pPr>
    </w:p>
    <w:p>
      <w:pPr>
        <w:pStyle w:val="47"/>
        <w:spacing w:line="360" w:lineRule="auto"/>
        <w:rPr>
          <w:rFonts w:hint="eastAsia" w:ascii="仿宋_GB2312" w:eastAsia="仿宋_GB2312"/>
          <w:spacing w:val="6"/>
          <w:sz w:val="24"/>
        </w:rPr>
      </w:pPr>
      <w:r>
        <w:rPr>
          <w:rFonts w:hint="eastAsia" w:ascii="宋体" w:hAnsi="宋体" w:eastAsia="宋体" w:cs="Times New Roman"/>
          <w:kern w:val="2"/>
          <w:sz w:val="24"/>
          <w:szCs w:val="24"/>
          <w:u w:val="single"/>
          <w:lang w:val="en-US" w:eastAsia="zh-CN" w:bidi="ar-SA"/>
        </w:rPr>
        <w:t>（采购人名称）</w:t>
      </w:r>
      <w:r>
        <w:rPr>
          <w:rFonts w:hint="eastAsia" w:ascii="仿宋_GB2312" w:eastAsia="仿宋_GB2312"/>
          <w:spacing w:val="6"/>
          <w:sz w:val="24"/>
        </w:rPr>
        <w:t>：</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我方参与的</w:t>
      </w:r>
      <w:r>
        <w:rPr>
          <w:rFonts w:hint="eastAsia" w:ascii="宋体" w:hAnsi="宋体" w:eastAsia="宋体" w:cs="Times New Roman"/>
          <w:sz w:val="24"/>
          <w:u w:val="single"/>
        </w:rPr>
        <w:t xml:space="preserve">     （项目名称）（项目编号）（标项）    </w:t>
      </w:r>
      <w:r>
        <w:rPr>
          <w:rFonts w:hint="eastAsia" w:ascii="宋体" w:hAnsi="宋体" w:eastAsia="宋体" w:cs="Times New Roman"/>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32"/>
        <w:spacing w:line="360" w:lineRule="auto"/>
        <w:ind w:firstLine="480" w:firstLineChars="200"/>
        <w:rPr>
          <w:rFonts w:hint="eastAsia" w:ascii="宋体" w:hAnsi="宋体" w:eastAsia="宋体" w:cs="Times New Roman"/>
          <w:sz w:val="24"/>
        </w:rPr>
      </w:pP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特此承诺！</w:t>
      </w:r>
    </w:p>
    <w:p>
      <w:pPr>
        <w:pStyle w:val="47"/>
        <w:spacing w:line="360" w:lineRule="auto"/>
        <w:ind w:firstLine="504" w:firstLineChars="200"/>
        <w:rPr>
          <w:rFonts w:hint="eastAsia" w:ascii="仿宋_GB2312" w:eastAsia="仿宋_GB2312"/>
          <w:spacing w:val="6"/>
          <w:sz w:val="24"/>
        </w:rPr>
      </w:pPr>
    </w:p>
    <w:p>
      <w:pPr>
        <w:pStyle w:val="65"/>
        <w:wordWrap w:val="0"/>
        <w:spacing w:line="360" w:lineRule="auto"/>
        <w:ind w:firstLine="480"/>
        <w:jc w:val="right"/>
        <w:rPr>
          <w:rFonts w:hint="eastAsia" w:ascii="仿宋_GB2312" w:eastAsia="仿宋_GB2312"/>
          <w:sz w:val="24"/>
          <w:szCs w:val="21"/>
          <w:u w:val="single"/>
        </w:rPr>
      </w:pPr>
      <w:r>
        <w:rPr>
          <w:rFonts w:hint="eastAsia" w:ascii="仿宋_GB2312" w:eastAsia="仿宋_GB2312"/>
          <w:sz w:val="24"/>
          <w:szCs w:val="21"/>
        </w:rPr>
        <w:t>投标人盖章：</w:t>
      </w:r>
      <w:r>
        <w:rPr>
          <w:rFonts w:hint="eastAsia" w:ascii="仿宋_GB2312" w:eastAsia="仿宋_GB2312"/>
          <w:sz w:val="24"/>
          <w:szCs w:val="21"/>
          <w:u w:val="single"/>
        </w:rPr>
        <w:t xml:space="preserve">                </w:t>
      </w:r>
    </w:p>
    <w:p>
      <w:pPr>
        <w:pStyle w:val="65"/>
        <w:wordWrap w:val="0"/>
        <w:spacing w:line="360" w:lineRule="auto"/>
        <w:ind w:firstLine="480"/>
        <w:jc w:val="right"/>
        <w:rPr>
          <w:rFonts w:hint="eastAsia" w:ascii="仿宋_GB2312" w:eastAsia="仿宋_GB2312"/>
          <w:sz w:val="24"/>
          <w:szCs w:val="21"/>
          <w:u w:val="single"/>
        </w:rPr>
      </w:pPr>
      <w:r>
        <w:rPr>
          <w:rFonts w:hint="eastAsia" w:ascii="仿宋_GB2312" w:eastAsia="仿宋_GB2312"/>
          <w:sz w:val="24"/>
          <w:szCs w:val="21"/>
        </w:rPr>
        <w:t>日      期：</w:t>
      </w:r>
      <w:r>
        <w:rPr>
          <w:rFonts w:hint="eastAsia" w:ascii="仿宋_GB2312" w:eastAsia="仿宋_GB2312"/>
          <w:sz w:val="24"/>
          <w:szCs w:val="21"/>
          <w:u w:val="single"/>
        </w:rPr>
        <w:t xml:space="preserve">                </w:t>
      </w:r>
    </w:p>
    <w:p>
      <w:pPr>
        <w:pStyle w:val="66"/>
        <w:spacing w:line="360" w:lineRule="auto"/>
        <w:ind w:firstLine="480" w:firstLineChars="200"/>
        <w:rPr>
          <w:rFonts w:hint="eastAsia" w:ascii="仿宋_GB2312" w:eastAsia="仿宋_GB2312"/>
          <w:bCs/>
          <w:sz w:val="24"/>
        </w:rPr>
      </w:pP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后附:</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1、投标人可提供以下任一种材料作为本单位财务报告：</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1.1、有资质的审计部门提供的近三年中，任一年度的财务报告电子文档；</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1.2、投标截止时间前三年中，任一年度银行出具的信用等级证书电子文档；</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1.3、投标截止时间前三个月中，任一个月内其基本账户开户银行出具的资信证明电子文档。</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2、提供投标人税务登记证（国税、地税）和参加本项目采购活动前近六个月内任一月相应税务机关出具的完税证明，包括缴纳增值税、企业所得税等凭据的扫描件；</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3、提供投标人社会保险登记证和参加政府采购活动前近六个月内任一月缴纳社会保险的凭据（专用收据或社会保险缴纳清单）扫描件；</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 注:</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1.依法免税或不需要缴纳社会保障资金的投标人，应提供相应文件证明其依法免税或不需要缴纳社会保障资金的材料扫描件；</w:t>
      </w:r>
    </w:p>
    <w:p>
      <w:pPr>
        <w:pStyle w:val="32"/>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2.营业执照属于三证合一的，则不需要提供税务登记证扫描件。营业执照属于五证合一的，则不需要提供税务登记证和社会保险登记证扫描件；</w:t>
      </w:r>
    </w:p>
    <w:p>
      <w:pPr>
        <w:pStyle w:val="32"/>
        <w:spacing w:line="360" w:lineRule="auto"/>
        <w:ind w:firstLine="480" w:firstLineChars="200"/>
        <w:rPr>
          <w:rFonts w:hint="eastAsia" w:ascii="宋体" w:hAnsi="宋体" w:eastAsia="宋体" w:cs="Times New Roman"/>
          <w:sz w:val="24"/>
        </w:rPr>
        <w:sectPr>
          <w:footerReference r:id="rId4" w:type="default"/>
          <w:pgSz w:w="11906" w:h="16838"/>
          <w:pgMar w:top="1440" w:right="1440" w:bottom="1440" w:left="1440" w:header="851" w:footer="851" w:gutter="0"/>
          <w:pgNumType w:start="1"/>
          <w:cols w:space="720" w:num="1"/>
          <w:docGrid w:linePitch="312" w:charSpace="0"/>
        </w:sectPr>
      </w:pPr>
      <w:r>
        <w:rPr>
          <w:rFonts w:hint="eastAsia" w:ascii="宋体" w:hAnsi="宋体" w:eastAsia="宋体" w:cs="Times New Roman"/>
          <w:sz w:val="24"/>
        </w:rPr>
        <w:t>3.扫描件需要投标人盖章确认。</w:t>
      </w:r>
    </w:p>
    <w:p>
      <w:pPr>
        <w:pStyle w:val="2"/>
      </w:pPr>
    </w:p>
    <w:p>
      <w:pPr>
        <w:jc w:val="center"/>
        <w:rPr>
          <w:sz w:val="52"/>
          <w:szCs w:val="52"/>
        </w:rPr>
      </w:pPr>
      <w:bookmarkStart w:id="57" w:name="_Toc16825_WPSOffice_Level1"/>
      <w:bookmarkStart w:id="58" w:name="_Toc12331_WPSOffice_Level1"/>
      <w:bookmarkStart w:id="59" w:name="_Toc26389_WPSOffice_Level1"/>
    </w:p>
    <w:p>
      <w:pPr>
        <w:rPr>
          <w:sz w:val="52"/>
          <w:szCs w:val="52"/>
        </w:rPr>
      </w:pPr>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34"/>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30"/>
        <w:rPr>
          <w:rFonts w:ascii="仿宋_GB2312" w:hAnsi="宋体" w:eastAsia="仿宋_GB2312"/>
          <w:b/>
          <w:sz w:val="36"/>
          <w:szCs w:val="36"/>
        </w:rPr>
      </w:pPr>
    </w:p>
    <w:p>
      <w:pPr>
        <w:pStyle w:val="30"/>
        <w:ind w:firstLine="0"/>
        <w:rPr>
          <w:rFonts w:ascii="仿宋_GB2312" w:hAnsi="宋体" w:eastAsia="仿宋_GB2312"/>
          <w:b/>
          <w:sz w:val="36"/>
          <w:szCs w:val="36"/>
        </w:rPr>
      </w:pPr>
    </w:p>
    <w:p>
      <w:pPr>
        <w:jc w:val="center"/>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adjustRightInd w:val="0"/>
        <w:snapToGrid w:val="0"/>
        <w:spacing w:line="460" w:lineRule="exact"/>
        <w:rPr>
          <w:rFonts w:hint="eastAsia" w:ascii="宋体" w:hAnsi="宋体"/>
          <w:kern w:val="0"/>
          <w:sz w:val="24"/>
        </w:rPr>
      </w:pPr>
    </w:p>
    <w:p>
      <w:pPr>
        <w:numPr>
          <w:ilvl w:val="0"/>
          <w:numId w:val="26"/>
        </w:numPr>
        <w:spacing w:line="360" w:lineRule="auto"/>
        <w:ind w:left="5" w:firstLine="415"/>
        <w:rPr>
          <w:rFonts w:hint="default" w:ascii="宋体" w:hAnsi="宋体" w:eastAsia="宋体"/>
          <w:kern w:val="0"/>
          <w:sz w:val="24"/>
          <w:lang w:val="en-US" w:eastAsia="zh-CN"/>
        </w:rPr>
      </w:pPr>
      <w:r>
        <w:rPr>
          <w:rFonts w:hint="eastAsia" w:ascii="Times New Roman" w:hAnsi="Times New Roman" w:cs="Times New Roman"/>
          <w:sz w:val="28"/>
          <w:szCs w:val="28"/>
          <w:lang w:val="en-US" w:eastAsia="zh-CN"/>
        </w:rPr>
        <w:t>评分索引目录（附件3）</w:t>
      </w:r>
    </w:p>
    <w:p>
      <w:pPr>
        <w:numPr>
          <w:ilvl w:val="0"/>
          <w:numId w:val="26"/>
        </w:numPr>
        <w:spacing w:line="360" w:lineRule="auto"/>
        <w:ind w:left="5" w:firstLine="415"/>
        <w:rPr>
          <w:sz w:val="28"/>
          <w:szCs w:val="28"/>
        </w:rPr>
      </w:pPr>
      <w:r>
        <w:rPr>
          <w:rFonts w:hint="eastAsia"/>
          <w:sz w:val="28"/>
          <w:szCs w:val="28"/>
        </w:rPr>
        <w:t>供应商情况介绍（附件</w:t>
      </w:r>
      <w:r>
        <w:rPr>
          <w:rFonts w:hint="eastAsia"/>
          <w:sz w:val="28"/>
          <w:szCs w:val="28"/>
          <w:lang w:val="en-US" w:eastAsia="zh-CN"/>
        </w:rPr>
        <w:t>4</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5</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6</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项目设备配置清单（附件</w:t>
      </w:r>
      <w:r>
        <w:rPr>
          <w:rFonts w:hint="eastAsia"/>
          <w:sz w:val="28"/>
          <w:szCs w:val="28"/>
          <w:lang w:val="en-US" w:eastAsia="zh-CN"/>
        </w:rPr>
        <w:t>7</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类似项目业绩一览表（附件</w:t>
      </w:r>
      <w:r>
        <w:rPr>
          <w:rFonts w:hint="eastAsia"/>
          <w:sz w:val="28"/>
          <w:szCs w:val="28"/>
          <w:lang w:val="en-US" w:eastAsia="zh-CN"/>
        </w:rPr>
        <w:t>8</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商务需求响应表（附件</w:t>
      </w:r>
      <w:r>
        <w:rPr>
          <w:rFonts w:hint="eastAsia"/>
          <w:sz w:val="28"/>
          <w:szCs w:val="28"/>
          <w:lang w:val="en-US" w:eastAsia="zh-CN"/>
        </w:rPr>
        <w:t>10</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对本项目的实施方案[包括</w:t>
      </w:r>
      <w:r>
        <w:rPr>
          <w:rFonts w:hint="eastAsia" w:ascii="Times New Roman" w:hAnsi="Times New Roman" w:cs="Times New Roman"/>
          <w:sz w:val="28"/>
          <w:szCs w:val="28"/>
          <w:lang w:val="zh-CN"/>
        </w:rPr>
        <w:t>项目理解</w:t>
      </w:r>
      <w:r>
        <w:rPr>
          <w:rFonts w:hint="eastAsia" w:ascii="Times New Roman" w:hAnsi="Times New Roman" w:cs="Times New Roman"/>
          <w:sz w:val="28"/>
          <w:szCs w:val="28"/>
          <w:lang w:val="en-US" w:eastAsia="zh-CN"/>
        </w:rPr>
        <w:t>、</w:t>
      </w:r>
      <w:r>
        <w:rPr>
          <w:rFonts w:hint="eastAsia" w:ascii="Times New Roman" w:hAnsi="Times New Roman" w:cs="Times New Roman"/>
          <w:sz w:val="28"/>
          <w:szCs w:val="28"/>
          <w:lang w:val="zh-CN" w:eastAsia="zh-CN"/>
        </w:rPr>
        <w:t>系统集成方案、</w:t>
      </w:r>
      <w:r>
        <w:rPr>
          <w:rFonts w:hint="eastAsia" w:ascii="Times New Roman" w:hAnsi="Times New Roman" w:cs="Times New Roman"/>
          <w:sz w:val="28"/>
          <w:szCs w:val="28"/>
          <w:lang w:val="zh-CN"/>
        </w:rPr>
        <w:t>仪器设备安装调试和联网方案、组织实施方案</w:t>
      </w:r>
      <w:r>
        <w:rPr>
          <w:rFonts w:hint="eastAsia"/>
          <w:sz w:val="28"/>
          <w:szCs w:val="28"/>
        </w:rPr>
        <w:t>等]（格式自拟）；</w:t>
      </w:r>
    </w:p>
    <w:p>
      <w:pPr>
        <w:numPr>
          <w:ilvl w:val="0"/>
          <w:numId w:val="26"/>
        </w:numPr>
        <w:spacing w:line="360" w:lineRule="auto"/>
        <w:ind w:left="5" w:firstLine="415"/>
        <w:rPr>
          <w:sz w:val="28"/>
          <w:szCs w:val="28"/>
        </w:rPr>
      </w:pPr>
      <w:r>
        <w:rPr>
          <w:rFonts w:hint="eastAsia"/>
          <w:sz w:val="28"/>
          <w:szCs w:val="28"/>
        </w:rPr>
        <w:t>售后服务的详细阐述，包括</w:t>
      </w:r>
      <w:r>
        <w:rPr>
          <w:rFonts w:hint="eastAsia"/>
          <w:sz w:val="28"/>
          <w:szCs w:val="28"/>
          <w:lang w:eastAsia="zh-CN"/>
        </w:rPr>
        <w:t>售后服务承诺函、售后服务内容、培训人员配备、培训内容</w:t>
      </w:r>
      <w:r>
        <w:rPr>
          <w:rFonts w:hint="eastAsia"/>
          <w:sz w:val="28"/>
          <w:szCs w:val="28"/>
        </w:rPr>
        <w:t>等（格式自拟）；</w:t>
      </w:r>
    </w:p>
    <w:p>
      <w:pPr>
        <w:numPr>
          <w:ilvl w:val="0"/>
          <w:numId w:val="26"/>
        </w:numPr>
        <w:spacing w:line="360" w:lineRule="auto"/>
        <w:ind w:left="5" w:firstLine="415"/>
        <w:rPr>
          <w:sz w:val="28"/>
          <w:szCs w:val="28"/>
        </w:rPr>
      </w:pPr>
      <w:r>
        <w:rPr>
          <w:rFonts w:hint="eastAsia"/>
          <w:sz w:val="28"/>
          <w:szCs w:val="28"/>
        </w:rPr>
        <w:t>供应商需要说明的其他内容（包括可能影响供应商技术性能评分项的各类证明材料）</w:t>
      </w: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30"/>
        <w:spacing w:line="360" w:lineRule="auto"/>
        <w:ind w:firstLine="480" w:firstLineChars="200"/>
        <w:rPr>
          <w:sz w:val="24"/>
        </w:rPr>
      </w:pPr>
    </w:p>
    <w:p>
      <w:pPr>
        <w:pStyle w:val="43"/>
        <w:spacing w:before="0" w:beforeAutospacing="0" w:after="0" w:afterAutospacing="0" w:line="360" w:lineRule="auto"/>
        <w:rPr>
          <w:rFonts w:hint="eastAsia"/>
          <w:b/>
          <w:sz w:val="28"/>
          <w:lang w:val="en-US" w:eastAsia="zh-CN"/>
        </w:rPr>
      </w:pPr>
      <w:r>
        <w:rPr>
          <w:rFonts w:hint="eastAsia"/>
          <w:b/>
          <w:sz w:val="28"/>
          <w:lang w:val="en-US" w:eastAsia="zh-CN"/>
        </w:rPr>
        <w:t>附件3</w:t>
      </w:r>
    </w:p>
    <w:p>
      <w:pPr>
        <w:pStyle w:val="43"/>
        <w:spacing w:before="0" w:beforeAutospacing="0" w:after="0" w:afterAutospacing="0" w:line="360" w:lineRule="auto"/>
        <w:jc w:val="center"/>
        <w:rPr>
          <w:rFonts w:hint="eastAsia"/>
          <w:b/>
          <w:sz w:val="28"/>
          <w:lang w:val="en-US" w:eastAsia="zh-CN"/>
        </w:rPr>
      </w:pPr>
      <w:r>
        <w:rPr>
          <w:rFonts w:hint="eastAsia"/>
          <w:b/>
          <w:sz w:val="28"/>
          <w:lang w:val="en-US" w:eastAsia="zh-CN"/>
        </w:rPr>
        <w:t>评分索引目录</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12"/>
        <w:gridCol w:w="3338"/>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8" w:type="dxa"/>
            <w:vAlign w:val="center"/>
          </w:tcPr>
          <w:p>
            <w:pPr>
              <w:pStyle w:val="43"/>
              <w:spacing w:before="0" w:beforeAutospacing="0" w:after="0" w:afterAutospacing="0" w:line="360" w:lineRule="auto"/>
              <w:jc w:val="center"/>
              <w:rPr>
                <w:rFonts w:hint="default"/>
                <w:b w:val="0"/>
                <w:bCs/>
                <w:sz w:val="21"/>
                <w:szCs w:val="21"/>
                <w:lang w:val="en-US" w:eastAsia="zh-CN"/>
              </w:rPr>
            </w:pPr>
            <w:r>
              <w:rPr>
                <w:rFonts w:hint="eastAsia"/>
                <w:b w:val="0"/>
                <w:bCs/>
                <w:sz w:val="21"/>
                <w:szCs w:val="21"/>
                <w:lang w:val="en-US" w:eastAsia="zh-CN"/>
              </w:rPr>
              <w:t>序号</w:t>
            </w:r>
          </w:p>
        </w:tc>
        <w:tc>
          <w:tcPr>
            <w:tcW w:w="2312" w:type="dxa"/>
            <w:vAlign w:val="center"/>
          </w:tcPr>
          <w:p>
            <w:pPr>
              <w:pStyle w:val="43"/>
              <w:spacing w:before="0" w:beforeAutospacing="0" w:after="0" w:afterAutospacing="0" w:line="360" w:lineRule="auto"/>
              <w:jc w:val="center"/>
              <w:rPr>
                <w:rFonts w:hint="default"/>
                <w:b w:val="0"/>
                <w:bCs/>
                <w:sz w:val="21"/>
                <w:szCs w:val="21"/>
                <w:lang w:val="en-US" w:eastAsia="zh-CN"/>
              </w:rPr>
            </w:pPr>
            <w:r>
              <w:rPr>
                <w:rFonts w:hint="eastAsia"/>
                <w:b w:val="0"/>
                <w:bCs/>
                <w:sz w:val="21"/>
                <w:szCs w:val="21"/>
                <w:lang w:val="en-US" w:eastAsia="zh-CN"/>
              </w:rPr>
              <w:t>评审项目</w:t>
            </w:r>
          </w:p>
        </w:tc>
        <w:tc>
          <w:tcPr>
            <w:tcW w:w="3338" w:type="dxa"/>
            <w:vAlign w:val="center"/>
          </w:tcPr>
          <w:p>
            <w:pPr>
              <w:pStyle w:val="43"/>
              <w:spacing w:before="0" w:beforeAutospacing="0" w:after="0" w:afterAutospacing="0" w:line="360" w:lineRule="auto"/>
              <w:jc w:val="center"/>
              <w:rPr>
                <w:rFonts w:hint="default"/>
                <w:b w:val="0"/>
                <w:bCs/>
                <w:sz w:val="21"/>
                <w:szCs w:val="21"/>
                <w:lang w:val="en-US" w:eastAsia="zh-CN"/>
              </w:rPr>
            </w:pPr>
            <w:r>
              <w:rPr>
                <w:rFonts w:hint="eastAsia"/>
                <w:b w:val="0"/>
                <w:bCs/>
                <w:sz w:val="21"/>
                <w:szCs w:val="21"/>
                <w:lang w:val="en-US" w:eastAsia="zh-CN"/>
              </w:rPr>
              <w:t>具体内容</w:t>
            </w:r>
          </w:p>
        </w:tc>
        <w:tc>
          <w:tcPr>
            <w:tcW w:w="2849" w:type="dxa"/>
            <w:vAlign w:val="center"/>
          </w:tcPr>
          <w:p>
            <w:pPr>
              <w:pStyle w:val="43"/>
              <w:spacing w:before="0" w:beforeAutospacing="0" w:after="0" w:afterAutospacing="0" w:line="360" w:lineRule="auto"/>
              <w:jc w:val="center"/>
              <w:rPr>
                <w:rFonts w:hint="default"/>
                <w:b w:val="0"/>
                <w:bCs/>
                <w:sz w:val="21"/>
                <w:szCs w:val="21"/>
                <w:lang w:val="en-US" w:eastAsia="zh-CN"/>
              </w:rPr>
            </w:pPr>
            <w:r>
              <w:rPr>
                <w:rFonts w:hint="eastAsia"/>
                <w:b w:val="0"/>
                <w:bCs/>
                <w:sz w:val="21"/>
                <w:szCs w:val="21"/>
                <w:lang w:val="en-US" w:eastAsia="zh-CN"/>
              </w:rPr>
              <w:t>对应佐证资料所在页码范围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88" w:type="dxa"/>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2312"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技术响应</w:t>
            </w:r>
          </w:p>
        </w:tc>
        <w:tc>
          <w:tcPr>
            <w:tcW w:w="3338" w:type="dxa"/>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ascii="宋体" w:hAnsi="宋体" w:eastAsia="宋体" w:cs="宋体"/>
                <w:sz w:val="21"/>
                <w:szCs w:val="21"/>
                <w:highlight w:val="none"/>
                <w:lang w:val="en-US" w:eastAsia="zh-CN"/>
              </w:rPr>
              <w:t>设备配置</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2312" w:type="dxa"/>
            <w:vMerge w:val="restart"/>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企业经营实力及业绩</w:t>
            </w: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类似业绩</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企业实力</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专业技术能力</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人员配备</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2312" w:type="dxa"/>
            <w:vMerge w:val="restart"/>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项目实施方案</w:t>
            </w: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项目理解</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zh-CN" w:eastAsia="zh-CN"/>
              </w:rPr>
              <w:t>系统集成方案</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仪器设备安装调试和联网方案</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p>
        </w:tc>
        <w:tc>
          <w:tcPr>
            <w:tcW w:w="2312" w:type="dxa"/>
            <w:vMerge w:val="continue"/>
            <w:vAlign w:val="center"/>
          </w:tcPr>
          <w:p>
            <w:pPr>
              <w:pStyle w:val="43"/>
              <w:spacing w:before="0" w:beforeAutospacing="0" w:after="0" w:afterAutospacing="0" w:line="360" w:lineRule="auto"/>
              <w:jc w:val="center"/>
              <w:rPr>
                <w:rFonts w:hint="default"/>
                <w:b/>
                <w:sz w:val="28"/>
                <w:highlight w:val="none"/>
                <w:lang w:val="en-US" w:eastAsia="zh-CN"/>
              </w:rPr>
            </w:pPr>
          </w:p>
        </w:tc>
        <w:tc>
          <w:tcPr>
            <w:tcW w:w="3338"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zh-CN"/>
              </w:rPr>
              <w:t>组织实施方案</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8" w:type="dxa"/>
            <w:vAlign w:val="center"/>
          </w:tcPr>
          <w:p>
            <w:pPr>
              <w:pStyle w:val="43"/>
              <w:spacing w:before="0" w:beforeAutospacing="0" w:after="0" w:afterAutospacing="0"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2312" w:type="dxa"/>
            <w:vAlign w:val="center"/>
          </w:tcPr>
          <w:p>
            <w:pPr>
              <w:spacing w:before="100" w:beforeAutospacing="1" w:after="100" w:afterAutospacing="1"/>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rPr>
              <w:t>售后服务</w:t>
            </w:r>
          </w:p>
        </w:tc>
        <w:tc>
          <w:tcPr>
            <w:tcW w:w="3338" w:type="dxa"/>
            <w:vAlign w:val="center"/>
          </w:tcPr>
          <w:p>
            <w:pPr>
              <w:spacing w:line="360" w:lineRule="auto"/>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zh-CN"/>
              </w:rPr>
              <w:t>售后服务方案</w:t>
            </w:r>
          </w:p>
        </w:tc>
        <w:tc>
          <w:tcPr>
            <w:tcW w:w="2849" w:type="dxa"/>
            <w:vAlign w:val="top"/>
          </w:tcPr>
          <w:p>
            <w:pPr>
              <w:pStyle w:val="43"/>
              <w:spacing w:before="0" w:beforeAutospacing="0" w:after="0" w:afterAutospacing="0" w:line="360" w:lineRule="auto"/>
              <w:jc w:val="center"/>
              <w:rPr>
                <w:rFonts w:hint="default"/>
                <w:b/>
                <w:sz w:val="28"/>
                <w:lang w:val="en-US" w:eastAsia="zh-CN"/>
              </w:rPr>
            </w:pPr>
          </w:p>
        </w:tc>
      </w:tr>
    </w:tbl>
    <w:p>
      <w:pPr>
        <w:pStyle w:val="43"/>
        <w:spacing w:before="0" w:beforeAutospacing="0" w:after="0" w:afterAutospacing="0" w:line="360" w:lineRule="auto"/>
        <w:jc w:val="center"/>
        <w:rPr>
          <w:rFonts w:hint="default"/>
          <w:b/>
          <w:sz w:val="28"/>
          <w:lang w:val="en-US" w:eastAsia="zh-CN"/>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b/>
          <w:sz w:val="28"/>
        </w:rPr>
      </w:pPr>
    </w:p>
    <w:p>
      <w:pPr>
        <w:pStyle w:val="43"/>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43"/>
        <w:spacing w:before="0" w:beforeAutospacing="0" w:after="0" w:afterAutospacing="0" w:line="360" w:lineRule="auto"/>
        <w:jc w:val="center"/>
        <w:rPr>
          <w:rFonts w:eastAsia="微软雅黑"/>
          <w:sz w:val="36"/>
          <w:szCs w:val="36"/>
        </w:rPr>
      </w:pPr>
      <w:bookmarkStart w:id="62" w:name="_Toc14261_WPSOffice_Level1"/>
      <w:bookmarkStart w:id="63" w:name="_Toc13307_WPSOffice_Level1"/>
      <w:r>
        <w:rPr>
          <w:rFonts w:hint="eastAsia"/>
          <w:b/>
          <w:bCs/>
          <w:sz w:val="32"/>
          <w:szCs w:val="32"/>
        </w:rPr>
        <w:t>供应商基本情况表</w:t>
      </w:r>
      <w:bookmarkEnd w:id="62"/>
      <w:bookmarkEnd w:id="63"/>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企业名称</w:t>
            </w:r>
          </w:p>
        </w:tc>
        <w:tc>
          <w:tcPr>
            <w:tcW w:w="3979" w:type="dxa"/>
            <w:gridSpan w:val="5"/>
            <w:tcMar>
              <w:top w:w="57" w:type="dxa"/>
              <w:left w:w="85" w:type="dxa"/>
              <w:bottom w:w="0" w:type="dxa"/>
              <w:right w:w="85" w:type="dxa"/>
            </w:tcMar>
            <w:vAlign w:val="center"/>
          </w:tcPr>
          <w:p>
            <w:pPr>
              <w:pStyle w:val="43"/>
              <w:spacing w:before="0" w:beforeAutospacing="0" w:after="0" w:afterAutospacing="0"/>
              <w:jc w:val="center"/>
              <w:rPr>
                <w:bCs/>
              </w:rPr>
            </w:pPr>
          </w:p>
        </w:tc>
        <w:tc>
          <w:tcPr>
            <w:tcW w:w="2094" w:type="dxa"/>
            <w:gridSpan w:val="3"/>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法人代表</w:t>
            </w:r>
          </w:p>
        </w:tc>
        <w:tc>
          <w:tcPr>
            <w:tcW w:w="2058" w:type="dxa"/>
            <w:gridSpan w:val="2"/>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地址</w:t>
            </w:r>
          </w:p>
        </w:tc>
        <w:tc>
          <w:tcPr>
            <w:tcW w:w="3979" w:type="dxa"/>
            <w:gridSpan w:val="5"/>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p>
        </w:tc>
        <w:tc>
          <w:tcPr>
            <w:tcW w:w="2094" w:type="dxa"/>
            <w:gridSpan w:val="3"/>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企业性质</w:t>
            </w:r>
          </w:p>
        </w:tc>
        <w:tc>
          <w:tcPr>
            <w:tcW w:w="2058" w:type="dxa"/>
            <w:gridSpan w:val="2"/>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p>
        </w:tc>
        <w:tc>
          <w:tcPr>
            <w:tcW w:w="932" w:type="dxa"/>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股权结构（%）</w:t>
            </w:r>
          </w:p>
        </w:tc>
        <w:tc>
          <w:tcPr>
            <w:tcW w:w="2346"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43"/>
              <w:spacing w:before="0" w:beforeAutospacing="0" w:after="0" w:afterAutospacing="0"/>
              <w:jc w:val="center"/>
              <w:rPr>
                <w:bCs/>
              </w:rPr>
            </w:pPr>
          </w:p>
        </w:tc>
        <w:tc>
          <w:tcPr>
            <w:tcW w:w="2094" w:type="dxa"/>
            <w:gridSpan w:val="3"/>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股东关系</w:t>
            </w:r>
          </w:p>
        </w:tc>
        <w:tc>
          <w:tcPr>
            <w:tcW w:w="2058" w:type="dxa"/>
            <w:gridSpan w:val="2"/>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43"/>
              <w:spacing w:before="0" w:beforeAutospacing="0" w:after="0" w:afterAutospacing="0"/>
              <w:jc w:val="center"/>
              <w:rPr>
                <w:bCs/>
              </w:rPr>
            </w:pPr>
          </w:p>
        </w:tc>
        <w:tc>
          <w:tcPr>
            <w:tcW w:w="932" w:type="dxa"/>
            <w:tcBorders>
              <w:top w:val="nil"/>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43"/>
              <w:spacing w:before="0" w:beforeAutospacing="0" w:after="0" w:afterAutospacing="0"/>
              <w:jc w:val="center"/>
              <w:rPr>
                <w:bCs/>
              </w:rPr>
            </w:pPr>
          </w:p>
        </w:tc>
        <w:tc>
          <w:tcPr>
            <w:tcW w:w="2094" w:type="dxa"/>
            <w:gridSpan w:val="3"/>
            <w:vMerge w:val="restart"/>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传真</w:t>
            </w:r>
          </w:p>
        </w:tc>
        <w:tc>
          <w:tcPr>
            <w:tcW w:w="2058" w:type="dxa"/>
            <w:gridSpan w:val="2"/>
            <w:vMerge w:val="restart"/>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p>
        </w:tc>
        <w:tc>
          <w:tcPr>
            <w:tcW w:w="932" w:type="dxa"/>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手机</w:t>
            </w:r>
          </w:p>
        </w:tc>
        <w:tc>
          <w:tcPr>
            <w:tcW w:w="2346" w:type="dxa"/>
            <w:gridSpan w:val="3"/>
            <w:tcBorders>
              <w:bottom w:val="single" w:color="auto" w:sz="4" w:space="0"/>
            </w:tcBorders>
            <w:tcMar>
              <w:top w:w="57" w:type="dxa"/>
              <w:left w:w="85" w:type="dxa"/>
              <w:bottom w:w="0" w:type="dxa"/>
              <w:right w:w="85" w:type="dxa"/>
            </w:tcMar>
            <w:vAlign w:val="center"/>
          </w:tcPr>
          <w:p>
            <w:pPr>
              <w:pStyle w:val="43"/>
              <w:spacing w:before="0" w:beforeAutospacing="0" w:after="0" w:afterAutospacing="0"/>
              <w:jc w:val="center"/>
              <w:rPr>
                <w:bCs/>
              </w:rPr>
            </w:pPr>
          </w:p>
        </w:tc>
        <w:tc>
          <w:tcPr>
            <w:tcW w:w="2094" w:type="dxa"/>
            <w:gridSpan w:val="3"/>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2058" w:type="dxa"/>
            <w:gridSpan w:val="2"/>
            <w:vMerge w:val="continue"/>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pPr>
              <w:pStyle w:val="43"/>
              <w:spacing w:before="0" w:beforeAutospacing="0" w:after="0" w:afterAutospacing="0"/>
              <w:jc w:val="center"/>
              <w:rPr>
                <w:bCs/>
              </w:rPr>
            </w:pPr>
            <w:r>
              <w:rPr>
                <w:bCs/>
              </w:rPr>
              <w:t>1</w:t>
            </w:r>
            <w:r>
              <w:rPr>
                <w:rFonts w:hint="eastAsia"/>
                <w:bCs/>
              </w:rPr>
              <w:t>.</w:t>
            </w:r>
          </w:p>
          <w:p>
            <w:pPr>
              <w:pStyle w:val="43"/>
              <w:spacing w:before="0" w:beforeAutospacing="0" w:after="0" w:afterAutospacing="0"/>
              <w:jc w:val="center"/>
              <w:rPr>
                <w:bCs/>
              </w:rPr>
            </w:pPr>
            <w:r>
              <w:rPr>
                <w:rFonts w:hint="eastAsia"/>
                <w:bCs/>
              </w:rPr>
              <w:t>企</w:t>
            </w:r>
          </w:p>
          <w:p>
            <w:pPr>
              <w:pStyle w:val="43"/>
              <w:spacing w:before="0" w:beforeAutospacing="0" w:after="0" w:afterAutospacing="0"/>
              <w:jc w:val="center"/>
              <w:rPr>
                <w:bCs/>
              </w:rPr>
            </w:pPr>
            <w:r>
              <w:rPr>
                <w:rFonts w:hint="eastAsia"/>
                <w:bCs/>
              </w:rPr>
              <w:t>业</w:t>
            </w:r>
          </w:p>
          <w:p>
            <w:pPr>
              <w:pStyle w:val="43"/>
              <w:spacing w:before="0" w:beforeAutospacing="0" w:after="0" w:afterAutospacing="0"/>
              <w:jc w:val="center"/>
              <w:rPr>
                <w:bCs/>
              </w:rPr>
            </w:pPr>
            <w:r>
              <w:rPr>
                <w:rFonts w:hint="eastAsia"/>
                <w:bCs/>
              </w:rPr>
              <w:t>概</w:t>
            </w:r>
          </w:p>
          <w:p>
            <w:pPr>
              <w:pStyle w:val="43"/>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职工人数</w:t>
            </w:r>
          </w:p>
        </w:tc>
        <w:tc>
          <w:tcPr>
            <w:tcW w:w="932" w:type="dxa"/>
            <w:tcBorders>
              <w:top w:val="nil"/>
            </w:tcBorders>
            <w:tcMar>
              <w:top w:w="57" w:type="dxa"/>
              <w:left w:w="85" w:type="dxa"/>
              <w:bottom w:w="0" w:type="dxa"/>
              <w:right w:w="85" w:type="dxa"/>
            </w:tcMar>
            <w:vAlign w:val="center"/>
          </w:tcPr>
          <w:p>
            <w:pPr>
              <w:pStyle w:val="43"/>
              <w:spacing w:before="0" w:beforeAutospacing="0" w:after="0" w:afterAutospacing="0"/>
              <w:jc w:val="center"/>
              <w:rPr>
                <w:bCs/>
              </w:rPr>
            </w:pPr>
          </w:p>
        </w:tc>
        <w:tc>
          <w:tcPr>
            <w:tcW w:w="1141" w:type="dxa"/>
            <w:tcBorders>
              <w:top w:val="nil"/>
            </w:tcBorders>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43"/>
              <w:spacing w:before="0" w:beforeAutospacing="0" w:after="0" w:afterAutospacing="0"/>
              <w:jc w:val="center"/>
              <w:rPr>
                <w:bCs/>
              </w:rPr>
            </w:pPr>
          </w:p>
        </w:tc>
        <w:tc>
          <w:tcPr>
            <w:tcW w:w="2094" w:type="dxa"/>
            <w:gridSpan w:val="3"/>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国家授予技术职称人数</w:t>
            </w:r>
          </w:p>
        </w:tc>
        <w:tc>
          <w:tcPr>
            <w:tcW w:w="2058"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701"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占地面积</w:t>
            </w:r>
          </w:p>
        </w:tc>
        <w:tc>
          <w:tcPr>
            <w:tcW w:w="932" w:type="dxa"/>
            <w:tcMar>
              <w:top w:w="57" w:type="dxa"/>
              <w:left w:w="85" w:type="dxa"/>
              <w:bottom w:w="0" w:type="dxa"/>
              <w:right w:w="85" w:type="dxa"/>
            </w:tcMar>
            <w:vAlign w:val="center"/>
          </w:tcPr>
          <w:p>
            <w:pPr>
              <w:pStyle w:val="43"/>
              <w:spacing w:before="0" w:beforeAutospacing="0" w:after="0" w:afterAutospacing="0"/>
              <w:jc w:val="center"/>
              <w:rPr>
                <w:bCs/>
              </w:rPr>
            </w:pPr>
          </w:p>
        </w:tc>
        <w:tc>
          <w:tcPr>
            <w:tcW w:w="1141"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平方米</w:t>
            </w:r>
          </w:p>
          <w:p>
            <w:pPr>
              <w:pStyle w:val="43"/>
              <w:spacing w:before="0" w:beforeAutospacing="0" w:after="0" w:afterAutospacing="0"/>
              <w:jc w:val="center"/>
              <w:rPr>
                <w:bCs/>
              </w:rPr>
            </w:pPr>
            <w:r>
              <w:rPr>
                <w:rFonts w:hint="eastAsia"/>
                <w:bCs/>
              </w:rPr>
              <w:t>□自有</w:t>
            </w:r>
          </w:p>
          <w:p>
            <w:pPr>
              <w:pStyle w:val="43"/>
              <w:spacing w:before="0" w:beforeAutospacing="0" w:after="0" w:afterAutospacing="0"/>
              <w:jc w:val="center"/>
              <w:rPr>
                <w:bCs/>
              </w:rPr>
            </w:pPr>
            <w:r>
              <w:rPr>
                <w:rFonts w:hint="eastAsia"/>
                <w:bCs/>
              </w:rPr>
              <w:t>□租赁</w:t>
            </w:r>
          </w:p>
        </w:tc>
        <w:tc>
          <w:tcPr>
            <w:tcW w:w="2094" w:type="dxa"/>
            <w:gridSpan w:val="3"/>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生产经营场所及场所的设施与设备</w:t>
            </w:r>
          </w:p>
        </w:tc>
        <w:tc>
          <w:tcPr>
            <w:tcW w:w="2058" w:type="dxa"/>
            <w:gridSpan w:val="2"/>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701"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注册资金</w:t>
            </w:r>
          </w:p>
        </w:tc>
        <w:tc>
          <w:tcPr>
            <w:tcW w:w="932" w:type="dxa"/>
            <w:tcMar>
              <w:top w:w="57" w:type="dxa"/>
              <w:left w:w="85" w:type="dxa"/>
              <w:bottom w:w="0" w:type="dxa"/>
              <w:right w:w="85" w:type="dxa"/>
            </w:tcMar>
            <w:vAlign w:val="center"/>
          </w:tcPr>
          <w:p>
            <w:pPr>
              <w:pStyle w:val="43"/>
              <w:spacing w:before="0" w:beforeAutospacing="0" w:after="0" w:afterAutospacing="0"/>
              <w:jc w:val="center"/>
              <w:rPr>
                <w:bCs/>
              </w:rPr>
            </w:pPr>
          </w:p>
        </w:tc>
        <w:tc>
          <w:tcPr>
            <w:tcW w:w="1141"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注册发证机关</w:t>
            </w:r>
          </w:p>
        </w:tc>
        <w:tc>
          <w:tcPr>
            <w:tcW w:w="3299"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43"/>
              <w:spacing w:before="0" w:beforeAutospacing="0" w:after="0" w:afterAutospacing="0"/>
              <w:jc w:val="center"/>
              <w:rPr>
                <w:bCs/>
              </w:rPr>
            </w:pPr>
          </w:p>
        </w:tc>
        <w:tc>
          <w:tcPr>
            <w:tcW w:w="1125"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701"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核准经营范围</w:t>
            </w:r>
          </w:p>
        </w:tc>
        <w:tc>
          <w:tcPr>
            <w:tcW w:w="7430" w:type="dxa"/>
            <w:gridSpan w:val="9"/>
            <w:tcMar>
              <w:top w:w="57" w:type="dxa"/>
              <w:left w:w="85" w:type="dxa"/>
              <w:bottom w:w="0" w:type="dxa"/>
              <w:right w:w="85" w:type="dxa"/>
            </w:tcMar>
            <w:vAlign w:val="center"/>
          </w:tcPr>
          <w:p>
            <w:pPr>
              <w:pStyle w:val="43"/>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8131" w:type="dxa"/>
            <w:gridSpan w:val="10"/>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pPr>
              <w:pStyle w:val="43"/>
              <w:spacing w:before="0" w:beforeAutospacing="0" w:after="0" w:afterAutospacing="0"/>
              <w:jc w:val="center"/>
              <w:rPr>
                <w:bCs/>
              </w:rPr>
            </w:pPr>
            <w:r>
              <w:rPr>
                <w:bCs/>
              </w:rPr>
              <w:t>2</w:t>
            </w:r>
            <w:r>
              <w:rPr>
                <w:rFonts w:hint="eastAsia"/>
                <w:bCs/>
              </w:rPr>
              <w:t>．</w:t>
            </w:r>
          </w:p>
          <w:p>
            <w:pPr>
              <w:pStyle w:val="43"/>
              <w:spacing w:before="0" w:beforeAutospacing="0" w:after="0" w:afterAutospacing="0"/>
              <w:jc w:val="center"/>
              <w:rPr>
                <w:bCs/>
              </w:rPr>
            </w:pPr>
            <w:r>
              <w:rPr>
                <w:rFonts w:hint="eastAsia"/>
                <w:bCs/>
              </w:rPr>
              <w:t>企业有关资质获证情况</w:t>
            </w:r>
          </w:p>
        </w:tc>
        <w:tc>
          <w:tcPr>
            <w:tcW w:w="1633" w:type="dxa"/>
            <w:gridSpan w:val="2"/>
            <w:vMerge w:val="restart"/>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253" w:type="dxa"/>
            <w:gridSpan w:val="2"/>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1633" w:type="dxa"/>
            <w:gridSpan w:val="2"/>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1253" w:type="dxa"/>
            <w:gridSpan w:val="2"/>
            <w:tcMar>
              <w:top w:w="57" w:type="dxa"/>
              <w:left w:w="85" w:type="dxa"/>
              <w:bottom w:w="0" w:type="dxa"/>
              <w:right w:w="85" w:type="dxa"/>
            </w:tcMar>
            <w:vAlign w:val="center"/>
          </w:tcPr>
          <w:p>
            <w:pPr>
              <w:pStyle w:val="4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43"/>
              <w:spacing w:before="0" w:beforeAutospacing="0" w:after="0" w:afterAutospacing="0"/>
              <w:jc w:val="center"/>
              <w:rPr>
                <w:bCs/>
              </w:rPr>
            </w:pPr>
          </w:p>
        </w:tc>
        <w:tc>
          <w:tcPr>
            <w:tcW w:w="1276" w:type="dxa"/>
            <w:tcMar>
              <w:top w:w="57" w:type="dxa"/>
              <w:left w:w="85" w:type="dxa"/>
              <w:bottom w:w="0" w:type="dxa"/>
              <w:right w:w="85" w:type="dxa"/>
            </w:tcMar>
            <w:vAlign w:val="center"/>
          </w:tcPr>
          <w:p>
            <w:pPr>
              <w:pStyle w:val="4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43"/>
              <w:spacing w:before="0" w:beforeAutospacing="0" w:after="0" w:afterAutospacing="0"/>
              <w:jc w:val="center"/>
              <w:rPr>
                <w:bCs/>
              </w:rPr>
            </w:pPr>
          </w:p>
        </w:tc>
        <w:tc>
          <w:tcPr>
            <w:tcW w:w="933" w:type="dxa"/>
            <w:tcMar>
              <w:top w:w="57" w:type="dxa"/>
              <w:left w:w="85" w:type="dxa"/>
              <w:bottom w:w="0" w:type="dxa"/>
              <w:right w:w="85" w:type="dxa"/>
            </w:tcMar>
            <w:vAlign w:val="center"/>
          </w:tcPr>
          <w:p>
            <w:pPr>
              <w:pStyle w:val="43"/>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pPr>
              <w:pStyle w:val="43"/>
              <w:spacing w:before="0" w:beforeAutospacing="0" w:after="0" w:afterAutospacing="0"/>
              <w:jc w:val="center"/>
              <w:rPr>
                <w:bCs/>
              </w:rPr>
            </w:pPr>
          </w:p>
        </w:tc>
        <w:tc>
          <w:tcPr>
            <w:tcW w:w="1633" w:type="dxa"/>
            <w:gridSpan w:val="2"/>
            <w:tcMar>
              <w:top w:w="57" w:type="dxa"/>
              <w:left w:w="85" w:type="dxa"/>
              <w:bottom w:w="0" w:type="dxa"/>
              <w:right w:w="85" w:type="dxa"/>
            </w:tcMar>
            <w:vAlign w:val="center"/>
          </w:tcPr>
          <w:p>
            <w:pPr>
              <w:pStyle w:val="43"/>
              <w:spacing w:before="0" w:beforeAutospacing="0" w:after="0" w:afterAutospacing="0"/>
              <w:jc w:val="center"/>
              <w:rPr>
                <w:bCs/>
              </w:rPr>
            </w:pPr>
            <w:r>
              <w:rPr>
                <w:rFonts w:hint="eastAsia"/>
                <w:bCs/>
              </w:rPr>
              <w:t>企业获得专利情况</w:t>
            </w:r>
          </w:p>
        </w:tc>
        <w:tc>
          <w:tcPr>
            <w:tcW w:w="6498" w:type="dxa"/>
            <w:gridSpan w:val="8"/>
            <w:tcMar>
              <w:top w:w="57" w:type="dxa"/>
              <w:left w:w="85" w:type="dxa"/>
              <w:bottom w:w="0" w:type="dxa"/>
              <w:right w:w="85" w:type="dxa"/>
            </w:tcMar>
            <w:vAlign w:val="center"/>
          </w:tcPr>
          <w:p>
            <w:pPr>
              <w:pStyle w:val="43"/>
              <w:spacing w:before="0" w:beforeAutospacing="0" w:after="0" w:afterAutospacing="0"/>
              <w:jc w:val="center"/>
              <w:rPr>
                <w:bCs/>
              </w:rPr>
            </w:pPr>
          </w:p>
        </w:tc>
      </w:tr>
    </w:tbl>
    <w:p>
      <w:pPr>
        <w:pStyle w:val="43"/>
        <w:spacing w:before="0" w:beforeAutospacing="0" w:after="0" w:afterAutospacing="0" w:line="360" w:lineRule="auto"/>
        <w:rPr>
          <w:b/>
          <w:sz w:val="21"/>
          <w:szCs w:val="21"/>
        </w:rPr>
      </w:pPr>
      <w:r>
        <w:rPr>
          <w:rFonts w:hint="eastAsia"/>
          <w:b/>
          <w:sz w:val="21"/>
          <w:szCs w:val="21"/>
        </w:rPr>
        <w:t>要求：</w:t>
      </w:r>
    </w:p>
    <w:p>
      <w:pPr>
        <w:pStyle w:val="43"/>
        <w:spacing w:before="0" w:beforeAutospacing="0" w:after="0" w:afterAutospacing="0" w:line="360" w:lineRule="auto"/>
        <w:ind w:firstLine="424" w:firstLineChars="202"/>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ind w:firstLine="424" w:firstLineChars="177"/>
        <w:rPr>
          <w:rFonts w:ascii="宋体" w:hAnsi="宋体"/>
          <w:sz w:val="24"/>
        </w:rPr>
      </w:pPr>
      <w:r>
        <w:rPr>
          <w:rFonts w:hint="eastAsia" w:ascii="宋体" w:hAnsi="宋体"/>
          <w:sz w:val="24"/>
        </w:rPr>
        <w:t>供应商名称（公章）：</w:t>
      </w:r>
    </w:p>
    <w:p>
      <w:pPr>
        <w:spacing w:line="360" w:lineRule="auto"/>
        <w:ind w:firstLine="424" w:firstLineChars="177"/>
        <w:rPr>
          <w:rFonts w:ascii="宋体" w:hAnsi="宋体"/>
          <w:sz w:val="24"/>
        </w:rPr>
      </w:pPr>
      <w:r>
        <w:rPr>
          <w:rFonts w:hint="eastAsia" w:ascii="宋体" w:hAnsi="宋体"/>
          <w:sz w:val="24"/>
        </w:rPr>
        <w:t>供应商代表签字：</w:t>
      </w:r>
    </w:p>
    <w:p>
      <w:pPr>
        <w:pStyle w:val="43"/>
        <w:spacing w:before="0" w:beforeAutospacing="0" w:after="0" w:afterAutospacing="0" w:line="360" w:lineRule="auto"/>
        <w:ind w:firstLine="424" w:firstLineChars="177"/>
      </w:pPr>
      <w:r>
        <w:rPr>
          <w:rFonts w:hint="eastAsia"/>
        </w:rPr>
        <w:t>日        期：</w:t>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snapToGrid w:val="0"/>
        <w:spacing w:line="360" w:lineRule="auto"/>
        <w:jc w:val="center"/>
        <w:rPr>
          <w:rFonts w:ascii="宋体" w:hAnsi="宋体"/>
          <w:b/>
          <w:sz w:val="32"/>
          <w:szCs w:val="32"/>
        </w:rPr>
      </w:pPr>
      <w:bookmarkStart w:id="64" w:name="_Toc23671_WPSOffice_Level1"/>
      <w:bookmarkStart w:id="65" w:name="_Toc20569_WPSOffice_Level1"/>
      <w:r>
        <w:rPr>
          <w:rFonts w:hint="eastAsia" w:ascii="宋体" w:hAnsi="宋体"/>
          <w:b/>
          <w:sz w:val="32"/>
          <w:szCs w:val="32"/>
        </w:rPr>
        <w:t>项目实施人员一览表</w:t>
      </w:r>
      <w:bookmarkEnd w:id="64"/>
      <w:bookmarkEnd w:id="65"/>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275"/>
        <w:gridCol w:w="720"/>
        <w:gridCol w:w="975"/>
        <w:gridCol w:w="1305"/>
        <w:gridCol w:w="1725"/>
        <w:gridCol w:w="2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序号</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姓名</w:t>
            </w: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性别</w:t>
            </w: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年龄</w:t>
            </w: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职务</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szCs w:val="21"/>
              </w:rPr>
            </w:pPr>
            <w:r>
              <w:rPr>
                <w:rFonts w:hint="eastAsia" w:ascii="宋体" w:hAnsi="宋体"/>
                <w:b/>
                <w:szCs w:val="21"/>
              </w:rPr>
              <w:t>职称</w:t>
            </w: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ascii="宋体" w:hAnsi="宋体"/>
                <w:b/>
                <w:bCs/>
                <w:szCs w:val="21"/>
              </w:rPr>
            </w:pPr>
            <w:r>
              <w:rPr>
                <w:rFonts w:hint="eastAsia" w:ascii="宋体" w:hAnsi="宋体"/>
                <w:b/>
                <w:bCs/>
                <w:szCs w:val="21"/>
              </w:rPr>
              <w:t>本项目拟担任的职务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33"/>
              <w:snapToGrid w:val="0"/>
              <w:spacing w:beforeLines="50" w:after="50" w:line="360" w:lineRule="auto"/>
              <w:ind w:left="5250"/>
              <w:rPr>
                <w:rFonts w:ascii="宋体" w:hAnsi="宋体" w:eastAsia="宋体"/>
                <w:b/>
                <w:kern w:val="44"/>
                <w:sz w:val="21"/>
                <w:szCs w:val="21"/>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33"/>
              <w:snapToGrid w:val="0"/>
              <w:spacing w:beforeLines="50" w:after="50" w:line="360" w:lineRule="auto"/>
              <w:ind w:left="5250"/>
              <w:rPr>
                <w:rFonts w:ascii="宋体" w:hAnsi="宋体" w:eastAsia="宋体"/>
                <w:b/>
                <w:kern w:val="44"/>
                <w:sz w:val="21"/>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pStyle w:val="33"/>
              <w:spacing w:line="360" w:lineRule="auto"/>
              <w:ind w:left="5250"/>
              <w:rPr>
                <w:rFonts w:ascii="宋体" w:hAnsi="宋体"/>
                <w:sz w:val="21"/>
                <w:szCs w:val="21"/>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pPr>
              <w:snapToGrid w:val="0"/>
              <w:spacing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44"/>
        <w:spacing w:line="360" w:lineRule="auto"/>
        <w:ind w:left="424" w:leftChars="202"/>
        <w:rPr>
          <w:rFonts w:ascii="宋体" w:hAnsi="宋体"/>
          <w:szCs w:val="21"/>
        </w:rPr>
      </w:pPr>
      <w:r>
        <w:rPr>
          <w:rFonts w:hint="eastAsia" w:ascii="宋体" w:hAnsi="宋体"/>
          <w:szCs w:val="21"/>
        </w:rPr>
        <w:t>2.附人员相关证书复印件。</w:t>
      </w:r>
    </w:p>
    <w:p>
      <w:pPr>
        <w:pStyle w:val="44"/>
        <w:spacing w:line="360" w:lineRule="auto"/>
        <w:rPr>
          <w:rFonts w:ascii="宋体" w:hAnsi="宋体"/>
          <w:szCs w:val="21"/>
        </w:rPr>
      </w:pPr>
      <w:r>
        <w:rPr>
          <w:rFonts w:hint="eastAsia" w:ascii="宋体" w:hAnsi="宋体"/>
          <w:szCs w:val="21"/>
        </w:rPr>
        <w:t>　　3.出具上述人员在本单位的社保证明。</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34"/>
      </w:pPr>
    </w:p>
    <w:p>
      <w:pPr>
        <w:pStyle w:val="34"/>
      </w:pPr>
    </w:p>
    <w:p>
      <w:pPr>
        <w:pStyle w:val="34"/>
      </w:pPr>
    </w:p>
    <w:p>
      <w:pPr>
        <w:spacing w:line="360" w:lineRule="auto"/>
        <w:rPr>
          <w:rFonts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spacing w:line="500" w:lineRule="exact"/>
        <w:jc w:val="center"/>
        <w:rPr>
          <w:rFonts w:ascii="宋体" w:hAnsi="宋体" w:cs="宋体"/>
          <w:b/>
          <w:bCs/>
          <w:sz w:val="28"/>
          <w:szCs w:val="28"/>
        </w:rPr>
      </w:pPr>
      <w:r>
        <w:rPr>
          <w:rFonts w:hint="eastAsia" w:ascii="宋体" w:hAnsi="宋体" w:cs="宋体"/>
          <w:b/>
          <w:bCs/>
          <w:sz w:val="28"/>
          <w:szCs w:val="28"/>
        </w:rPr>
        <w:t>项目负责人资格情况表</w:t>
      </w:r>
    </w:p>
    <w:p>
      <w:pPr>
        <w:spacing w:line="500" w:lineRule="exact"/>
        <w:ind w:firstLine="720" w:firstLineChars="300"/>
        <w:jc w:val="left"/>
        <w:rPr>
          <w:rFonts w:ascii="宋体" w:hAnsi="宋体" w:cs="宋体"/>
          <w:snapToGrid w:val="0"/>
          <w:kern w:val="0"/>
          <w:sz w:val="24"/>
          <w:u w:val="single"/>
        </w:rPr>
      </w:pPr>
      <w:r>
        <w:rPr>
          <w:rFonts w:hint="eastAsia" w:ascii="宋体" w:hAnsi="宋体" w:cs="宋体"/>
          <w:bCs/>
          <w:sz w:val="24"/>
        </w:rPr>
        <w:t xml:space="preserve">项目名称：                   项目编号：                </w:t>
      </w:r>
    </w:p>
    <w:tbl>
      <w:tblPr>
        <w:tblStyle w:val="2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
        <w:gridCol w:w="1065"/>
        <w:gridCol w:w="615"/>
        <w:gridCol w:w="330"/>
        <w:gridCol w:w="945"/>
        <w:gridCol w:w="94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rPr>
                <w:rFonts w:ascii="宋体" w:hAnsi="宋体" w:cs="宋体"/>
                <w:sz w:val="24"/>
              </w:rPr>
            </w:pPr>
            <w:r>
              <w:rPr>
                <w:rFonts w:hint="eastAsia" w:ascii="宋体" w:hAnsi="宋体" w:cs="宋体"/>
                <w:sz w:val="24"/>
              </w:rPr>
              <w:t>姓  名</w:t>
            </w:r>
          </w:p>
        </w:tc>
        <w:tc>
          <w:tcPr>
            <w:tcW w:w="1080" w:type="dxa"/>
            <w:gridSpan w:val="2"/>
            <w:vAlign w:val="center"/>
          </w:tcPr>
          <w:p>
            <w:pPr>
              <w:rPr>
                <w:rFonts w:ascii="宋体" w:hAnsi="宋体" w:cs="宋体"/>
                <w:sz w:val="24"/>
              </w:rPr>
            </w:pPr>
          </w:p>
        </w:tc>
        <w:tc>
          <w:tcPr>
            <w:tcW w:w="945" w:type="dxa"/>
            <w:gridSpan w:val="2"/>
            <w:vAlign w:val="center"/>
          </w:tcPr>
          <w:p>
            <w:pPr>
              <w:rPr>
                <w:rFonts w:ascii="宋体" w:hAnsi="宋体" w:cs="宋体"/>
                <w:sz w:val="24"/>
              </w:rPr>
            </w:pPr>
            <w:r>
              <w:rPr>
                <w:rFonts w:hint="eastAsia" w:ascii="宋体" w:hAnsi="宋体" w:cs="宋体"/>
                <w:sz w:val="24"/>
              </w:rPr>
              <w:t>性 别</w:t>
            </w:r>
          </w:p>
        </w:tc>
        <w:tc>
          <w:tcPr>
            <w:tcW w:w="945" w:type="dxa"/>
            <w:vAlign w:val="center"/>
          </w:tcPr>
          <w:p>
            <w:pPr>
              <w:rPr>
                <w:rFonts w:ascii="宋体" w:hAnsi="宋体" w:cs="宋体"/>
                <w:sz w:val="24"/>
              </w:rPr>
            </w:pPr>
          </w:p>
        </w:tc>
        <w:tc>
          <w:tcPr>
            <w:tcW w:w="945" w:type="dxa"/>
            <w:vAlign w:val="center"/>
          </w:tcPr>
          <w:p>
            <w:pPr>
              <w:rPr>
                <w:rFonts w:ascii="宋体" w:hAnsi="宋体" w:cs="宋体"/>
                <w:sz w:val="24"/>
              </w:rPr>
            </w:pPr>
            <w:r>
              <w:rPr>
                <w:rFonts w:hint="eastAsia" w:ascii="宋体" w:hAnsi="宋体" w:cs="宋体"/>
                <w:sz w:val="24"/>
              </w:rPr>
              <w:t>出生</w:t>
            </w:r>
          </w:p>
          <w:p>
            <w:pPr>
              <w:rPr>
                <w:rFonts w:ascii="宋体" w:hAnsi="宋体" w:cs="宋体"/>
                <w:sz w:val="24"/>
              </w:rPr>
            </w:pPr>
            <w:r>
              <w:rPr>
                <w:rFonts w:hint="eastAsia" w:ascii="宋体" w:hAnsi="宋体" w:cs="宋体"/>
                <w:sz w:val="24"/>
              </w:rPr>
              <w:t>日期</w:t>
            </w:r>
          </w:p>
        </w:tc>
        <w:tc>
          <w:tcPr>
            <w:tcW w:w="2610" w:type="dxa"/>
            <w:gridSpan w:val="2"/>
            <w:vAlign w:val="center"/>
          </w:tcPr>
          <w:p>
            <w:pP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rPr>
                <w:rFonts w:ascii="宋体" w:hAnsi="宋体" w:cs="宋体"/>
                <w:sz w:val="24"/>
              </w:rPr>
            </w:pPr>
            <w:r>
              <w:rPr>
                <w:rFonts w:hint="eastAsia" w:ascii="宋体" w:hAnsi="宋体" w:cs="宋体"/>
                <w:sz w:val="24"/>
              </w:rPr>
              <w:t>毕业院校及专业</w:t>
            </w:r>
          </w:p>
        </w:tc>
        <w:tc>
          <w:tcPr>
            <w:tcW w:w="2970" w:type="dxa"/>
            <w:gridSpan w:val="5"/>
            <w:vAlign w:val="center"/>
          </w:tcPr>
          <w:p>
            <w:pPr>
              <w:rPr>
                <w:rFonts w:ascii="宋体" w:hAnsi="宋体" w:cs="宋体"/>
                <w:sz w:val="24"/>
              </w:rPr>
            </w:pPr>
          </w:p>
        </w:tc>
        <w:tc>
          <w:tcPr>
            <w:tcW w:w="945" w:type="dxa"/>
            <w:vAlign w:val="center"/>
          </w:tcPr>
          <w:p>
            <w:pPr>
              <w:rPr>
                <w:rFonts w:ascii="宋体" w:hAnsi="宋体" w:cs="宋体"/>
                <w:sz w:val="24"/>
              </w:rPr>
            </w:pPr>
            <w:r>
              <w:rPr>
                <w:rFonts w:hint="eastAsia" w:ascii="宋体" w:hAnsi="宋体" w:cs="宋体"/>
                <w:sz w:val="24"/>
              </w:rPr>
              <w:t>毕业</w:t>
            </w:r>
          </w:p>
          <w:p>
            <w:pPr>
              <w:rPr>
                <w:rFonts w:ascii="宋体" w:hAnsi="宋体" w:cs="宋体"/>
                <w:sz w:val="24"/>
              </w:rPr>
            </w:pPr>
            <w:r>
              <w:rPr>
                <w:rFonts w:hint="eastAsia" w:ascii="宋体" w:hAnsi="宋体" w:cs="宋体"/>
                <w:sz w:val="24"/>
              </w:rPr>
              <w:t>时间</w:t>
            </w:r>
          </w:p>
        </w:tc>
        <w:tc>
          <w:tcPr>
            <w:tcW w:w="2610" w:type="dxa"/>
            <w:gridSpan w:val="2"/>
            <w:vAlign w:val="center"/>
          </w:tcPr>
          <w:p>
            <w:pP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rPr>
                <w:rFonts w:ascii="宋体" w:hAnsi="宋体" w:cs="宋体"/>
                <w:sz w:val="24"/>
              </w:rPr>
            </w:pPr>
            <w:r>
              <w:rPr>
                <w:rFonts w:hint="eastAsia" w:ascii="宋体" w:hAnsi="宋体" w:cs="宋体"/>
                <w:sz w:val="24"/>
              </w:rPr>
              <w:t>从事本专业时间</w:t>
            </w:r>
          </w:p>
        </w:tc>
        <w:tc>
          <w:tcPr>
            <w:tcW w:w="1695" w:type="dxa"/>
            <w:gridSpan w:val="3"/>
            <w:vAlign w:val="center"/>
          </w:tcPr>
          <w:p>
            <w:pPr>
              <w:rPr>
                <w:rFonts w:ascii="宋体" w:hAnsi="宋体" w:cs="宋体"/>
                <w:sz w:val="24"/>
              </w:rPr>
            </w:pPr>
          </w:p>
        </w:tc>
        <w:tc>
          <w:tcPr>
            <w:tcW w:w="2220" w:type="dxa"/>
            <w:gridSpan w:val="3"/>
            <w:vAlign w:val="center"/>
          </w:tcPr>
          <w:p>
            <w:pPr>
              <w:rPr>
                <w:rFonts w:ascii="宋体" w:hAnsi="宋体" w:cs="宋体"/>
                <w:sz w:val="24"/>
              </w:rPr>
            </w:pPr>
            <w:r>
              <w:rPr>
                <w:rFonts w:hint="eastAsia" w:ascii="宋体" w:hAnsi="宋体" w:cs="宋体"/>
                <w:sz w:val="24"/>
              </w:rPr>
              <w:t>为</w:t>
            </w:r>
            <w:r>
              <w:rPr>
                <w:rFonts w:hint="eastAsia" w:ascii="宋体" w:hAnsi="宋体"/>
                <w:sz w:val="24"/>
              </w:rPr>
              <w:t>供应商</w:t>
            </w:r>
            <w:r>
              <w:rPr>
                <w:rFonts w:hint="eastAsia" w:ascii="宋体" w:hAnsi="宋体" w:cs="宋体"/>
                <w:sz w:val="24"/>
              </w:rPr>
              <w:t>服务时间</w:t>
            </w:r>
          </w:p>
        </w:tc>
        <w:tc>
          <w:tcPr>
            <w:tcW w:w="2610"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rPr>
                <w:rFonts w:ascii="宋体" w:hAnsi="宋体" w:cs="宋体"/>
                <w:sz w:val="24"/>
              </w:rPr>
            </w:pPr>
            <w:r>
              <w:rPr>
                <w:rFonts w:hint="eastAsia" w:ascii="宋体" w:hAnsi="宋体" w:cs="宋体"/>
                <w:sz w:val="24"/>
              </w:rPr>
              <w:t>职务/职称</w:t>
            </w:r>
          </w:p>
        </w:tc>
        <w:tc>
          <w:tcPr>
            <w:tcW w:w="1695" w:type="dxa"/>
            <w:gridSpan w:val="3"/>
            <w:vAlign w:val="center"/>
          </w:tcPr>
          <w:p>
            <w:pPr>
              <w:rPr>
                <w:rFonts w:ascii="宋体" w:hAnsi="宋体" w:cs="宋体"/>
                <w:sz w:val="24"/>
              </w:rPr>
            </w:pPr>
          </w:p>
        </w:tc>
        <w:tc>
          <w:tcPr>
            <w:tcW w:w="2220" w:type="dxa"/>
            <w:gridSpan w:val="3"/>
            <w:vAlign w:val="center"/>
          </w:tcPr>
          <w:p>
            <w:pPr>
              <w:rPr>
                <w:rFonts w:ascii="宋体" w:hAnsi="宋体" w:cs="宋体"/>
                <w:sz w:val="24"/>
              </w:rPr>
            </w:pPr>
            <w:r>
              <w:rPr>
                <w:rFonts w:hint="eastAsia" w:ascii="宋体" w:hAnsi="宋体" w:cs="宋体"/>
                <w:sz w:val="24"/>
              </w:rPr>
              <w:t>联 系 方 式</w:t>
            </w:r>
          </w:p>
        </w:tc>
        <w:tc>
          <w:tcPr>
            <w:tcW w:w="2610"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5" w:type="dxa"/>
            <w:gridSpan w:val="9"/>
            <w:vAlign w:val="center"/>
          </w:tcPr>
          <w:p>
            <w:pPr>
              <w:rPr>
                <w:rFonts w:ascii="宋体" w:hAnsi="宋体" w:cs="宋体"/>
                <w:sz w:val="24"/>
              </w:rPr>
            </w:pPr>
            <w:r>
              <w:rPr>
                <w:rFonts w:hint="eastAsia" w:ascii="宋体" w:hAnsi="宋体" w:cs="宋体"/>
                <w:sz w:val="24"/>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pPr>
              <w:rPr>
                <w:rFonts w:ascii="宋体" w:hAnsi="宋体" w:cs="宋体"/>
                <w:sz w:val="24"/>
              </w:rPr>
            </w:pPr>
            <w:r>
              <w:rPr>
                <w:rFonts w:hint="eastAsia" w:ascii="宋体" w:hAnsi="宋体" w:cs="宋体"/>
                <w:sz w:val="24"/>
              </w:rPr>
              <w:t>时   间</w:t>
            </w:r>
          </w:p>
        </w:tc>
        <w:tc>
          <w:tcPr>
            <w:tcW w:w="3990" w:type="dxa"/>
            <w:gridSpan w:val="6"/>
            <w:vAlign w:val="center"/>
          </w:tcPr>
          <w:p>
            <w:pPr>
              <w:rPr>
                <w:rFonts w:ascii="宋体" w:hAnsi="宋体" w:cs="宋体"/>
                <w:sz w:val="24"/>
              </w:rPr>
            </w:pPr>
            <w:r>
              <w:rPr>
                <w:rFonts w:hint="eastAsia" w:ascii="宋体" w:hAnsi="宋体" w:cs="宋体"/>
                <w:sz w:val="24"/>
              </w:rPr>
              <w:t>参加过的项目名称及规模</w:t>
            </w:r>
          </w:p>
        </w:tc>
        <w:tc>
          <w:tcPr>
            <w:tcW w:w="2520" w:type="dxa"/>
            <w:vAlign w:val="center"/>
          </w:tcPr>
          <w:p>
            <w:pPr>
              <w:rPr>
                <w:rFonts w:ascii="宋体" w:hAnsi="宋体" w:cs="宋体"/>
                <w:sz w:val="24"/>
              </w:rPr>
            </w:pPr>
            <w:r>
              <w:rPr>
                <w:rFonts w:hint="eastAsia" w:ascii="宋体" w:hAnsi="宋体" w:cs="宋体"/>
                <w:sz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pPr>
              <w:rPr>
                <w:rFonts w:ascii="宋体" w:hAnsi="宋体" w:cs="宋体"/>
                <w:sz w:val="24"/>
              </w:rPr>
            </w:pPr>
          </w:p>
        </w:tc>
        <w:tc>
          <w:tcPr>
            <w:tcW w:w="3990" w:type="dxa"/>
            <w:gridSpan w:val="6"/>
            <w:vAlign w:val="center"/>
          </w:tcPr>
          <w:p>
            <w:pPr>
              <w:rPr>
                <w:rFonts w:ascii="宋体" w:hAnsi="宋体" w:cs="宋体"/>
                <w:sz w:val="24"/>
              </w:rPr>
            </w:pPr>
          </w:p>
        </w:tc>
        <w:tc>
          <w:tcPr>
            <w:tcW w:w="252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pPr>
              <w:rPr>
                <w:rFonts w:ascii="宋体" w:hAnsi="宋体" w:cs="宋体"/>
                <w:sz w:val="24"/>
              </w:rPr>
            </w:pPr>
          </w:p>
        </w:tc>
        <w:tc>
          <w:tcPr>
            <w:tcW w:w="3990" w:type="dxa"/>
            <w:gridSpan w:val="6"/>
            <w:vAlign w:val="center"/>
          </w:tcPr>
          <w:p>
            <w:pPr>
              <w:rPr>
                <w:rFonts w:ascii="宋体" w:hAnsi="宋体" w:cs="宋体"/>
                <w:sz w:val="24"/>
              </w:rPr>
            </w:pPr>
          </w:p>
        </w:tc>
        <w:tc>
          <w:tcPr>
            <w:tcW w:w="252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95" w:type="dxa"/>
            <w:gridSpan w:val="2"/>
            <w:vAlign w:val="center"/>
          </w:tcPr>
          <w:p>
            <w:pPr>
              <w:rPr>
                <w:rFonts w:ascii="宋体" w:hAnsi="宋体" w:cs="宋体"/>
                <w:sz w:val="24"/>
              </w:rPr>
            </w:pPr>
          </w:p>
        </w:tc>
        <w:tc>
          <w:tcPr>
            <w:tcW w:w="3990" w:type="dxa"/>
            <w:gridSpan w:val="6"/>
            <w:vAlign w:val="center"/>
          </w:tcPr>
          <w:p>
            <w:pPr>
              <w:rPr>
                <w:rFonts w:ascii="宋体" w:hAnsi="宋体" w:cs="宋体"/>
                <w:sz w:val="24"/>
              </w:rPr>
            </w:pPr>
          </w:p>
        </w:tc>
        <w:tc>
          <w:tcPr>
            <w:tcW w:w="252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pPr>
              <w:rPr>
                <w:rFonts w:ascii="宋体" w:hAnsi="宋体" w:cs="宋体"/>
                <w:sz w:val="24"/>
              </w:rPr>
            </w:pPr>
          </w:p>
        </w:tc>
        <w:tc>
          <w:tcPr>
            <w:tcW w:w="3990" w:type="dxa"/>
            <w:gridSpan w:val="6"/>
            <w:vAlign w:val="center"/>
          </w:tcPr>
          <w:p>
            <w:pPr>
              <w:rPr>
                <w:rFonts w:ascii="宋体" w:hAnsi="宋体" w:cs="宋体"/>
                <w:sz w:val="24"/>
              </w:rPr>
            </w:pPr>
          </w:p>
        </w:tc>
        <w:tc>
          <w:tcPr>
            <w:tcW w:w="252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pPr>
              <w:rPr>
                <w:rFonts w:ascii="宋体" w:hAnsi="宋体" w:cs="宋体"/>
                <w:sz w:val="24"/>
              </w:rPr>
            </w:pPr>
          </w:p>
        </w:tc>
        <w:tc>
          <w:tcPr>
            <w:tcW w:w="3990" w:type="dxa"/>
            <w:gridSpan w:val="6"/>
            <w:vAlign w:val="center"/>
          </w:tcPr>
          <w:p>
            <w:pPr>
              <w:rPr>
                <w:rFonts w:ascii="宋体" w:hAnsi="宋体" w:cs="宋体"/>
                <w:sz w:val="24"/>
              </w:rPr>
            </w:pPr>
          </w:p>
        </w:tc>
        <w:tc>
          <w:tcPr>
            <w:tcW w:w="2520" w:type="dxa"/>
            <w:vAlign w:val="center"/>
          </w:tcPr>
          <w:p>
            <w:pPr>
              <w:rPr>
                <w:rFonts w:ascii="宋体" w:hAnsi="宋体" w:cs="宋体"/>
                <w:sz w:val="24"/>
              </w:rPr>
            </w:pPr>
          </w:p>
        </w:tc>
      </w:tr>
    </w:tbl>
    <w:p>
      <w:pPr>
        <w:spacing w:line="500" w:lineRule="exact"/>
        <w:ind w:firstLine="360" w:firstLineChars="150"/>
        <w:rPr>
          <w:rFonts w:ascii="宋体" w:hAnsi="宋体" w:cs="宋体"/>
          <w:sz w:val="24"/>
        </w:rPr>
      </w:pPr>
      <w:r>
        <w:rPr>
          <w:rFonts w:hint="eastAsia" w:ascii="宋体" w:hAnsi="宋体" w:cs="宋体"/>
          <w:sz w:val="24"/>
        </w:rPr>
        <w:t>注：</w:t>
      </w:r>
    </w:p>
    <w:p>
      <w:pPr>
        <w:spacing w:line="500" w:lineRule="exact"/>
        <w:ind w:firstLine="360" w:firstLineChars="150"/>
        <w:rPr>
          <w:rFonts w:ascii="宋体" w:hAnsi="宋体" w:cs="宋体"/>
          <w:sz w:val="24"/>
        </w:rPr>
      </w:pPr>
      <w:r>
        <w:rPr>
          <w:rFonts w:hint="eastAsia" w:ascii="宋体" w:hAnsi="宋体" w:cs="宋体"/>
          <w:sz w:val="24"/>
        </w:rPr>
        <w:t>1.项目执行过程中，未经委托方允许，不得更换项目负责人。</w:t>
      </w:r>
    </w:p>
    <w:p>
      <w:pPr>
        <w:spacing w:line="500" w:lineRule="exact"/>
        <w:ind w:firstLine="360" w:firstLineChars="150"/>
        <w:rPr>
          <w:rFonts w:ascii="宋体" w:hAnsi="宋体" w:cs="宋体"/>
          <w:sz w:val="24"/>
        </w:rPr>
      </w:pPr>
      <w:r>
        <w:rPr>
          <w:rFonts w:hint="eastAsia" w:ascii="宋体" w:hAnsi="宋体" w:cs="宋体"/>
          <w:sz w:val="24"/>
        </w:rPr>
        <w:t>2.本表后应附学历证书或职称证书复印件。</w:t>
      </w:r>
    </w:p>
    <w:p>
      <w:pPr>
        <w:spacing w:line="500" w:lineRule="exact"/>
        <w:ind w:firstLine="360" w:firstLineChars="150"/>
        <w:rPr>
          <w:rFonts w:ascii="宋体" w:hAnsi="宋体" w:cs="宋体"/>
          <w:sz w:val="24"/>
        </w:rPr>
      </w:pPr>
    </w:p>
    <w:p>
      <w:pPr>
        <w:spacing w:line="360" w:lineRule="auto"/>
        <w:ind w:firstLine="424" w:firstLineChars="177"/>
        <w:rPr>
          <w:rFonts w:ascii="宋体" w:hAnsi="宋体"/>
          <w:sz w:val="24"/>
        </w:rPr>
      </w:pPr>
      <w:r>
        <w:rPr>
          <w:rFonts w:hint="eastAsia" w:ascii="宋体" w:hAnsi="宋体"/>
          <w:sz w:val="24"/>
        </w:rPr>
        <w:t>供应商名称（公章）：</w:t>
      </w:r>
    </w:p>
    <w:p>
      <w:pPr>
        <w:pStyle w:val="34"/>
      </w:pPr>
    </w:p>
    <w:p>
      <w:pPr>
        <w:spacing w:line="360" w:lineRule="auto"/>
        <w:ind w:firstLine="424" w:firstLineChars="177"/>
        <w:rPr>
          <w:rFonts w:ascii="宋体" w:hAnsi="宋体"/>
          <w:sz w:val="24"/>
        </w:rPr>
      </w:pPr>
      <w:r>
        <w:rPr>
          <w:rFonts w:hint="eastAsia" w:ascii="宋体" w:hAnsi="宋体"/>
          <w:sz w:val="24"/>
        </w:rPr>
        <w:t>供应商代表签字：</w:t>
      </w:r>
    </w:p>
    <w:p>
      <w:pPr>
        <w:pStyle w:val="34"/>
      </w:pPr>
    </w:p>
    <w:p>
      <w:pPr>
        <w:pStyle w:val="43"/>
        <w:spacing w:before="0" w:beforeAutospacing="0" w:after="0" w:afterAutospacing="0" w:line="360" w:lineRule="auto"/>
        <w:ind w:firstLine="424" w:firstLineChars="177"/>
      </w:pPr>
      <w:r>
        <w:rPr>
          <w:rFonts w:hint="eastAsia"/>
        </w:rPr>
        <w:t>日        期：</w:t>
      </w:r>
    </w:p>
    <w:p>
      <w:pPr>
        <w:snapToGrid w:val="0"/>
        <w:spacing w:before="50" w:after="50" w:line="360" w:lineRule="auto"/>
        <w:rPr>
          <w:rFonts w:ascii="宋体" w:hAnsi="宋体"/>
          <w:b/>
          <w:sz w:val="28"/>
        </w:rPr>
      </w:pPr>
    </w:p>
    <w:p>
      <w:pPr>
        <w:pStyle w:val="34"/>
        <w:rPr>
          <w:rFonts w:ascii="宋体" w:hAnsi="宋体"/>
          <w:b/>
          <w:sz w:val="28"/>
        </w:rPr>
      </w:pPr>
    </w:p>
    <w:p>
      <w:pPr>
        <w:pStyle w:val="34"/>
        <w:rPr>
          <w:rFonts w:ascii="宋体" w:hAnsi="宋体"/>
          <w:b/>
          <w:sz w:val="28"/>
        </w:rPr>
      </w:pPr>
    </w:p>
    <w:p>
      <w:pPr>
        <w:pStyle w:val="34"/>
        <w:ind w:left="0" w:leftChars="0" w:firstLine="0"/>
        <w:rPr>
          <w:rFonts w:ascii="宋体" w:hAnsi="宋体"/>
          <w:b/>
          <w:sz w:val="28"/>
        </w:rPr>
      </w:pPr>
    </w:p>
    <w:p>
      <w:pPr>
        <w:snapToGrid w:val="0"/>
        <w:spacing w:before="50" w:after="50" w:line="360" w:lineRule="auto"/>
        <w:rPr>
          <w:rFonts w:hint="eastAsia" w:hAnsi="宋体" w:eastAsia="宋体"/>
          <w:b/>
          <w:sz w:val="36"/>
          <w:szCs w:val="36"/>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480"/>
        <w:jc w:val="center"/>
        <w:rPr>
          <w:rFonts w:ascii="宋体" w:hAnsi="宋体"/>
          <w:kern w:val="0"/>
          <w:sz w:val="44"/>
          <w:szCs w:val="44"/>
        </w:rPr>
      </w:pPr>
      <w:r>
        <w:rPr>
          <w:rFonts w:hint="eastAsia" w:ascii="宋体" w:hAnsi="宋体"/>
          <w:kern w:val="0"/>
          <w:sz w:val="44"/>
          <w:szCs w:val="44"/>
        </w:rPr>
        <w:t>项目设备配置清单</w:t>
      </w:r>
    </w:p>
    <w:p>
      <w:pPr>
        <w:spacing w:line="360" w:lineRule="auto"/>
        <w:jc w:val="center"/>
        <w:rPr>
          <w:rFonts w:ascii="黑体" w:hAnsi="宋体" w:eastAsia="黑体"/>
          <w:b/>
          <w:sz w:val="44"/>
        </w:rPr>
      </w:pPr>
      <w:r>
        <w:rPr>
          <w:rFonts w:hint="eastAsia" w:ascii="仿宋_GB2312" w:eastAsia="仿宋_GB2312"/>
        </w:rPr>
        <w:t>（按此格式自制）</w:t>
      </w:r>
    </w:p>
    <w:tbl>
      <w:tblPr>
        <w:tblStyle w:val="25"/>
        <w:tblW w:w="8721"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2"/>
        <w:gridCol w:w="902"/>
        <w:gridCol w:w="1013"/>
        <w:gridCol w:w="1102"/>
        <w:gridCol w:w="982"/>
        <w:gridCol w:w="120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76" w:type="dxa"/>
            <w:vAlign w:val="center"/>
          </w:tcPr>
          <w:p>
            <w:pPr>
              <w:jc w:val="center"/>
              <w:rPr>
                <w:rFonts w:ascii="宋体" w:hAnsi="宋体"/>
                <w:sz w:val="24"/>
              </w:rPr>
            </w:pPr>
            <w:r>
              <w:rPr>
                <w:rFonts w:hint="eastAsia" w:ascii="宋体" w:hAnsi="宋体"/>
                <w:sz w:val="24"/>
              </w:rPr>
              <w:t>序号</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162" w:type="dxa"/>
            <w:vAlign w:val="center"/>
          </w:tcPr>
          <w:p>
            <w:pPr>
              <w:jc w:val="center"/>
              <w:rPr>
                <w:rFonts w:hint="eastAsia" w:ascii="宋体" w:hAnsi="宋体" w:eastAsia="宋体" w:cs="Times New Roman"/>
                <w:kern w:val="2"/>
                <w:sz w:val="24"/>
                <w:szCs w:val="24"/>
                <w:lang w:val="en-US" w:eastAsia="zh-CN" w:bidi="ar-SA"/>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6</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7</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8</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9</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10</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13</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ascii="宋体" w:hAnsi="宋体"/>
                <w:sz w:val="24"/>
              </w:rPr>
              <w:t>……</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bl>
    <w:p>
      <w:pPr>
        <w:adjustRightInd w:val="0"/>
        <w:snapToGrid w:val="0"/>
        <w:spacing w:line="240" w:lineRule="atLeast"/>
        <w:ind w:left="482" w:hanging="482"/>
        <w:jc w:val="left"/>
        <w:rPr>
          <w:rFonts w:ascii="宋体" w:hAnsi="宋体"/>
        </w:rPr>
      </w:pPr>
      <w:r>
        <w:rPr>
          <w:rFonts w:hint="eastAsia" w:ascii="宋体" w:hAnsi="宋体"/>
        </w:rPr>
        <w:t xml:space="preserve">  </w:t>
      </w:r>
    </w:p>
    <w:p>
      <w:pPr>
        <w:spacing w:line="360" w:lineRule="auto"/>
        <w:ind w:firstLine="424" w:firstLineChars="177"/>
        <w:rPr>
          <w:rFonts w:ascii="宋体" w:hAnsi="宋体"/>
          <w:sz w:val="24"/>
        </w:rPr>
      </w:pPr>
      <w:r>
        <w:rPr>
          <w:rFonts w:hint="eastAsia" w:ascii="宋体" w:hAnsi="宋体"/>
          <w:sz w:val="24"/>
        </w:rPr>
        <w:t>供应商名称（盖章）：</w:t>
      </w:r>
    </w:p>
    <w:p>
      <w:pPr>
        <w:pStyle w:val="34"/>
      </w:pPr>
    </w:p>
    <w:p>
      <w:pPr>
        <w:pStyle w:val="34"/>
      </w:pPr>
    </w:p>
    <w:p>
      <w:pPr>
        <w:spacing w:line="360" w:lineRule="auto"/>
        <w:ind w:firstLine="424" w:firstLineChars="177"/>
        <w:rPr>
          <w:rFonts w:ascii="宋体" w:hAnsi="宋体"/>
          <w:sz w:val="24"/>
        </w:rPr>
      </w:pPr>
      <w:r>
        <w:rPr>
          <w:rFonts w:hint="eastAsia" w:ascii="宋体" w:hAnsi="宋体"/>
          <w:sz w:val="24"/>
        </w:rPr>
        <w:t>供应商代表签字：</w:t>
      </w:r>
    </w:p>
    <w:p>
      <w:pPr>
        <w:pStyle w:val="32"/>
        <w:spacing w:line="360" w:lineRule="auto"/>
        <w:jc w:val="center"/>
        <w:rPr>
          <w:rFonts w:hAnsi="宋体"/>
          <w:b/>
          <w:sz w:val="36"/>
          <w:szCs w:val="36"/>
        </w:rPr>
      </w:pPr>
      <w:r>
        <w:rPr>
          <w:rFonts w:hint="eastAsia" w:hAnsi="宋体"/>
          <w:sz w:val="24"/>
        </w:rPr>
        <w:t>日        期：</w:t>
      </w:r>
    </w:p>
    <w:p>
      <w:pPr>
        <w:pStyle w:val="32"/>
        <w:spacing w:line="360" w:lineRule="auto"/>
        <w:jc w:val="center"/>
        <w:rPr>
          <w:rFonts w:hAnsi="宋体"/>
          <w:b/>
          <w:sz w:val="36"/>
          <w:szCs w:val="36"/>
        </w:rPr>
      </w:pPr>
    </w:p>
    <w:p>
      <w:pPr>
        <w:pStyle w:val="32"/>
        <w:spacing w:line="360" w:lineRule="auto"/>
        <w:jc w:val="center"/>
        <w:rPr>
          <w:rFonts w:hAnsi="宋体"/>
          <w:b/>
          <w:sz w:val="36"/>
          <w:szCs w:val="36"/>
        </w:rPr>
      </w:pPr>
    </w:p>
    <w:p>
      <w:pPr>
        <w:pStyle w:val="33"/>
        <w:ind w:left="5250"/>
      </w:pPr>
    </w:p>
    <w:p>
      <w:pPr>
        <w:pStyle w:val="32"/>
        <w:spacing w:line="360" w:lineRule="auto"/>
        <w:jc w:val="center"/>
        <w:rPr>
          <w:rFonts w:hAnsi="宋体"/>
          <w:b/>
          <w:sz w:val="36"/>
          <w:szCs w:val="36"/>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2"/>
        <w:spacing w:line="360" w:lineRule="auto"/>
        <w:jc w:val="center"/>
        <w:rPr>
          <w:rFonts w:hAnsi="宋体"/>
          <w:b/>
          <w:bCs/>
          <w:sz w:val="24"/>
          <w:lang w:val="zh-CN"/>
        </w:rPr>
      </w:pPr>
      <w:r>
        <w:rPr>
          <w:rFonts w:hint="eastAsia" w:hAnsi="宋体"/>
          <w:b/>
          <w:sz w:val="36"/>
          <w:szCs w:val="36"/>
        </w:rPr>
        <w:t>供应商类似项目业绩一览表</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jc w:val="center"/>
              <w:rPr>
                <w:rFonts w:hAnsi="宋体" w:cs="黑体"/>
                <w:sz w:val="24"/>
                <w:lang w:val="en-US" w:eastAsia="zh-CN"/>
              </w:rPr>
            </w:pPr>
            <w:r>
              <w:rPr>
                <w:rFonts w:hAnsi="宋体" w:cs="黑体"/>
                <w:sz w:val="24"/>
                <w:lang w:val="en-US" w:eastAsia="zh-CN"/>
              </w:rPr>
              <w:t>序号</w:t>
            </w:r>
          </w:p>
        </w:tc>
        <w:tc>
          <w:tcPr>
            <w:tcW w:w="1561" w:type="dxa"/>
            <w:vAlign w:val="center"/>
          </w:tcPr>
          <w:p>
            <w:pPr>
              <w:pStyle w:val="32"/>
              <w:jc w:val="center"/>
              <w:rPr>
                <w:rFonts w:hAnsi="宋体" w:cs="黑体"/>
                <w:sz w:val="24"/>
                <w:lang w:val="en-US" w:eastAsia="zh-CN"/>
              </w:rPr>
            </w:pPr>
            <w:r>
              <w:rPr>
                <w:rFonts w:hAnsi="宋体" w:cs="黑体"/>
                <w:sz w:val="24"/>
                <w:lang w:val="en-US" w:eastAsia="zh-CN"/>
              </w:rPr>
              <w:t>项目名称</w:t>
            </w:r>
          </w:p>
        </w:tc>
        <w:tc>
          <w:tcPr>
            <w:tcW w:w="1744" w:type="dxa"/>
            <w:vAlign w:val="center"/>
          </w:tcPr>
          <w:p>
            <w:pPr>
              <w:pStyle w:val="32"/>
              <w:jc w:val="center"/>
              <w:rPr>
                <w:rFonts w:hAnsi="宋体" w:cs="黑体"/>
                <w:sz w:val="24"/>
                <w:lang w:val="en-US" w:eastAsia="zh-CN"/>
              </w:rPr>
            </w:pPr>
            <w:r>
              <w:rPr>
                <w:rFonts w:hAnsi="宋体" w:cs="黑体"/>
                <w:sz w:val="24"/>
                <w:lang w:val="en-US" w:eastAsia="zh-CN"/>
              </w:rPr>
              <w:t>业主单位</w:t>
            </w:r>
          </w:p>
        </w:tc>
        <w:tc>
          <w:tcPr>
            <w:tcW w:w="1260" w:type="dxa"/>
            <w:vAlign w:val="center"/>
          </w:tcPr>
          <w:p>
            <w:pPr>
              <w:pStyle w:val="32"/>
              <w:jc w:val="center"/>
              <w:rPr>
                <w:rFonts w:hAnsi="宋体" w:cs="黑体"/>
                <w:sz w:val="24"/>
                <w:lang w:val="en-US" w:eastAsia="zh-CN"/>
              </w:rPr>
            </w:pPr>
            <w:r>
              <w:rPr>
                <w:rFonts w:hAnsi="宋体" w:cs="黑体"/>
                <w:sz w:val="24"/>
                <w:lang w:val="en-US" w:eastAsia="zh-CN"/>
              </w:rPr>
              <w:t>合同金额</w:t>
            </w:r>
          </w:p>
        </w:tc>
        <w:tc>
          <w:tcPr>
            <w:tcW w:w="1800" w:type="dxa"/>
            <w:vAlign w:val="center"/>
          </w:tcPr>
          <w:p>
            <w:pPr>
              <w:pStyle w:val="32"/>
              <w:jc w:val="center"/>
              <w:rPr>
                <w:rFonts w:hAnsi="宋体" w:cs="黑体"/>
                <w:sz w:val="24"/>
                <w:lang w:val="en-US" w:eastAsia="zh-CN"/>
              </w:rPr>
            </w:pPr>
            <w:r>
              <w:rPr>
                <w:rFonts w:hAnsi="宋体" w:cs="黑体"/>
                <w:sz w:val="24"/>
                <w:lang w:val="en-US" w:eastAsia="zh-CN"/>
              </w:rPr>
              <w:t>合同签订时间</w:t>
            </w:r>
          </w:p>
        </w:tc>
        <w:tc>
          <w:tcPr>
            <w:tcW w:w="2520" w:type="dxa"/>
            <w:vAlign w:val="center"/>
          </w:tcPr>
          <w:p>
            <w:pPr>
              <w:pStyle w:val="32"/>
              <w:jc w:val="center"/>
              <w:rPr>
                <w:rFonts w:hAnsi="宋体" w:cs="黑体"/>
                <w:sz w:val="24"/>
                <w:lang w:val="en-US" w:eastAsia="zh-CN"/>
              </w:rPr>
            </w:pPr>
            <w:r>
              <w:rPr>
                <w:rFonts w:hAnsi="宋体" w:cs="黑体"/>
                <w:sz w:val="24"/>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黑体"/>
                <w:sz w:val="24"/>
                <w:lang w:val="en-US" w:eastAsia="zh-CN"/>
              </w:rPr>
            </w:pPr>
            <w:r>
              <w:rPr>
                <w:rFonts w:hint="eastAsia" w:hAnsi="宋体" w:cs="黑体"/>
                <w:sz w:val="24"/>
                <w:lang w:val="en-US" w:eastAsia="zh-CN"/>
              </w:rPr>
              <w:t>……</w:t>
            </w:r>
          </w:p>
        </w:tc>
        <w:tc>
          <w:tcPr>
            <w:tcW w:w="1561" w:type="dxa"/>
            <w:vAlign w:val="center"/>
          </w:tcPr>
          <w:p>
            <w:pPr>
              <w:pStyle w:val="32"/>
              <w:rPr>
                <w:rFonts w:hAnsi="宋体" w:cs="黑体"/>
                <w:sz w:val="24"/>
                <w:lang w:val="en-US" w:eastAsia="zh-CN"/>
              </w:rPr>
            </w:pPr>
          </w:p>
        </w:tc>
        <w:tc>
          <w:tcPr>
            <w:tcW w:w="1744" w:type="dxa"/>
            <w:vAlign w:val="center"/>
          </w:tcPr>
          <w:p>
            <w:pPr>
              <w:pStyle w:val="32"/>
              <w:rPr>
                <w:rFonts w:hAnsi="宋体" w:cs="黑体"/>
                <w:sz w:val="24"/>
                <w:lang w:val="en-US" w:eastAsia="zh-CN"/>
              </w:rPr>
            </w:pPr>
          </w:p>
        </w:tc>
        <w:tc>
          <w:tcPr>
            <w:tcW w:w="1260" w:type="dxa"/>
            <w:vAlign w:val="center"/>
          </w:tcPr>
          <w:p>
            <w:pPr>
              <w:pStyle w:val="32"/>
              <w:rPr>
                <w:rFonts w:hAnsi="宋体" w:cs="黑体"/>
                <w:sz w:val="24"/>
                <w:lang w:val="en-US" w:eastAsia="zh-CN"/>
              </w:rPr>
            </w:pPr>
          </w:p>
        </w:tc>
        <w:tc>
          <w:tcPr>
            <w:tcW w:w="1800" w:type="dxa"/>
            <w:vAlign w:val="center"/>
          </w:tcPr>
          <w:p>
            <w:pPr>
              <w:pStyle w:val="32"/>
              <w:rPr>
                <w:rFonts w:hAnsi="宋体" w:cs="黑体"/>
                <w:sz w:val="24"/>
                <w:lang w:val="en-US" w:eastAsia="zh-CN"/>
              </w:rPr>
            </w:pPr>
          </w:p>
        </w:tc>
        <w:tc>
          <w:tcPr>
            <w:tcW w:w="2520" w:type="dxa"/>
            <w:vAlign w:val="center"/>
          </w:tcPr>
          <w:p>
            <w:pPr>
              <w:pStyle w:val="32"/>
              <w:rPr>
                <w:rFonts w:hAnsi="宋体" w:cs="黑体"/>
                <w:sz w:val="24"/>
                <w:lang w:val="en-US" w:eastAsia="zh-CN"/>
              </w:rPr>
            </w:pPr>
          </w:p>
        </w:tc>
      </w:tr>
    </w:tbl>
    <w:p>
      <w:pPr>
        <w:pStyle w:val="32"/>
        <w:spacing w:line="360" w:lineRule="auto"/>
        <w:rPr>
          <w:rFonts w:hAnsi="宋体"/>
          <w:sz w:val="24"/>
        </w:rPr>
      </w:pPr>
      <w:r>
        <w:rPr>
          <w:rFonts w:hAnsi="宋体"/>
          <w:sz w:val="24"/>
        </w:rPr>
        <w:t>注：</w:t>
      </w:r>
    </w:p>
    <w:p>
      <w:pPr>
        <w:pStyle w:val="32"/>
        <w:spacing w:line="360" w:lineRule="auto"/>
        <w:ind w:firstLine="468" w:firstLineChars="195"/>
        <w:rPr>
          <w:rFonts w:hAnsi="宋体"/>
          <w:sz w:val="24"/>
        </w:rPr>
      </w:pPr>
      <w:r>
        <w:rPr>
          <w:rFonts w:hint="eastAsia" w:hAnsi="宋体"/>
          <w:sz w:val="24"/>
        </w:rPr>
        <w:t>1.</w:t>
      </w:r>
      <w:r>
        <w:rPr>
          <w:rFonts w:hAnsi="宋体"/>
          <w:sz w:val="24"/>
        </w:rPr>
        <w:t>附上每个业绩合同</w:t>
      </w:r>
      <w:r>
        <w:rPr>
          <w:rFonts w:hint="eastAsia" w:hAnsi="宋体"/>
          <w:sz w:val="24"/>
        </w:rPr>
        <w:t>相关证明材料</w:t>
      </w:r>
      <w:r>
        <w:rPr>
          <w:rFonts w:hAnsi="宋体"/>
          <w:sz w:val="24"/>
        </w:rPr>
        <w:t>。</w:t>
      </w:r>
    </w:p>
    <w:p>
      <w:pPr>
        <w:autoSpaceDE w:val="0"/>
        <w:autoSpaceDN w:val="0"/>
        <w:adjustRightInd w:val="0"/>
        <w:spacing w:line="560" w:lineRule="exact"/>
        <w:ind w:firstLine="6000" w:firstLineChars="250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供应商名称（公章）：</w:t>
      </w:r>
    </w:p>
    <w:p>
      <w:pPr>
        <w:pStyle w:val="34"/>
      </w:pPr>
    </w:p>
    <w:p>
      <w:pPr>
        <w:spacing w:line="360" w:lineRule="auto"/>
        <w:ind w:firstLine="424" w:firstLineChars="177"/>
        <w:rPr>
          <w:rFonts w:ascii="宋体" w:hAnsi="宋体"/>
          <w:sz w:val="24"/>
        </w:rPr>
      </w:pPr>
      <w:r>
        <w:rPr>
          <w:rFonts w:hint="eastAsia" w:ascii="宋体" w:hAnsi="宋体"/>
          <w:sz w:val="24"/>
        </w:rPr>
        <w:t>供应商代表签字：</w:t>
      </w:r>
    </w:p>
    <w:p>
      <w:pPr>
        <w:pStyle w:val="34"/>
      </w:pPr>
    </w:p>
    <w:p>
      <w:pPr>
        <w:pStyle w:val="43"/>
        <w:spacing w:before="0" w:beforeAutospacing="0" w:after="0" w:afterAutospacing="0" w:line="360" w:lineRule="auto"/>
        <w:ind w:firstLine="424" w:firstLineChars="177"/>
      </w:pPr>
      <w:r>
        <w:rPr>
          <w:rFonts w:hint="eastAsia"/>
        </w:rPr>
        <w:t>日        期：</w:t>
      </w:r>
    </w:p>
    <w:p>
      <w:pPr>
        <w:pStyle w:val="34"/>
        <w:ind w:left="0" w:leftChars="0" w:firstLine="0"/>
        <w:rPr>
          <w:rFonts w:ascii="宋体" w:hAnsi="宋体"/>
          <w:b/>
          <w:sz w:val="28"/>
        </w:rPr>
      </w:pPr>
    </w:p>
    <w:p>
      <w:pPr>
        <w:pStyle w:val="34"/>
        <w:ind w:left="0" w:leftChars="0" w:firstLine="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jc w:val="center"/>
        <w:rPr>
          <w:rFonts w:ascii="宋体" w:hAnsi="宋体"/>
          <w:sz w:val="24"/>
        </w:rPr>
      </w:pPr>
      <w:bookmarkStart w:id="66" w:name="_Toc26601_WPSOffice_Level1"/>
      <w:bookmarkStart w:id="67"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25"/>
        <w:tblpPr w:leftFromText="181" w:rightFromText="181" w:bottomFromText="170" w:vertAnchor="text" w:tblpXSpec="left" w:tblpY="1"/>
        <w:tblOverlap w:val="never"/>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59"/>
        <w:gridCol w:w="1600"/>
        <w:gridCol w:w="1751"/>
        <w:gridCol w:w="1591"/>
        <w:gridCol w:w="129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宋体" w:hAnsi="宋体" w:cs="宋体"/>
                <w:b/>
                <w:szCs w:val="21"/>
              </w:rPr>
            </w:pPr>
            <w:r>
              <w:rPr>
                <w:rFonts w:hint="eastAsia" w:ascii="宋体" w:hAnsi="宋体" w:cs="宋体"/>
                <w:b/>
                <w:szCs w:val="21"/>
              </w:rPr>
              <w:t>序号</w:t>
            </w:r>
          </w:p>
        </w:tc>
        <w:tc>
          <w:tcPr>
            <w:tcW w:w="1859" w:type="dxa"/>
            <w:tcMar>
              <w:top w:w="57" w:type="dxa"/>
              <w:left w:w="108" w:type="dxa"/>
              <w:bottom w:w="0" w:type="dxa"/>
              <w:right w:w="108" w:type="dxa"/>
            </w:tcMar>
            <w:vAlign w:val="center"/>
          </w:tcPr>
          <w:p>
            <w:pPr>
              <w:jc w:val="center"/>
              <w:rPr>
                <w:rFonts w:ascii="宋体" w:hAnsi="宋体" w:cs="宋体"/>
                <w:b/>
                <w:szCs w:val="21"/>
              </w:rPr>
            </w:pPr>
            <w:r>
              <w:rPr>
                <w:rFonts w:hint="eastAsia" w:ascii="宋体" w:hAnsi="宋体" w:cs="宋体"/>
                <w:b/>
                <w:szCs w:val="21"/>
              </w:rPr>
              <w:t>名称</w:t>
            </w:r>
          </w:p>
        </w:tc>
        <w:tc>
          <w:tcPr>
            <w:tcW w:w="1600" w:type="dxa"/>
            <w:tcMar>
              <w:top w:w="57" w:type="dxa"/>
              <w:left w:w="108" w:type="dxa"/>
              <w:bottom w:w="0" w:type="dxa"/>
              <w:right w:w="108" w:type="dxa"/>
            </w:tcMar>
            <w:vAlign w:val="center"/>
          </w:tcPr>
          <w:p>
            <w:pPr>
              <w:ind w:left="152"/>
              <w:jc w:val="center"/>
              <w:rPr>
                <w:rFonts w:ascii="宋体" w:hAnsi="宋体" w:cs="宋体"/>
                <w:b/>
                <w:szCs w:val="21"/>
              </w:rPr>
            </w:pPr>
            <w:r>
              <w:rPr>
                <w:rFonts w:hint="eastAsia" w:ascii="宋体" w:hAnsi="宋体" w:cs="宋体"/>
                <w:b/>
                <w:szCs w:val="21"/>
              </w:rPr>
              <w:t>招标参数</w:t>
            </w:r>
          </w:p>
        </w:tc>
        <w:tc>
          <w:tcPr>
            <w:tcW w:w="1751" w:type="dxa"/>
            <w:tcMar>
              <w:top w:w="57" w:type="dxa"/>
              <w:left w:w="108" w:type="dxa"/>
              <w:bottom w:w="0" w:type="dxa"/>
              <w:right w:w="108" w:type="dxa"/>
            </w:tcMar>
            <w:vAlign w:val="center"/>
          </w:tcPr>
          <w:p>
            <w:pPr>
              <w:jc w:val="center"/>
              <w:rPr>
                <w:rFonts w:ascii="宋体" w:hAnsi="宋体" w:cs="宋体"/>
                <w:b/>
                <w:szCs w:val="21"/>
              </w:rPr>
            </w:pPr>
            <w:r>
              <w:rPr>
                <w:rFonts w:hint="eastAsia" w:ascii="宋体" w:hAnsi="宋体" w:cs="宋体"/>
                <w:b/>
                <w:szCs w:val="21"/>
              </w:rPr>
              <w:t>投标参数</w:t>
            </w:r>
          </w:p>
        </w:tc>
        <w:tc>
          <w:tcPr>
            <w:tcW w:w="1591" w:type="dxa"/>
            <w:tcMar>
              <w:top w:w="57" w:type="dxa"/>
              <w:left w:w="108" w:type="dxa"/>
              <w:bottom w:w="0" w:type="dxa"/>
              <w:right w:w="108" w:type="dxa"/>
            </w:tcMar>
            <w:vAlign w:val="center"/>
          </w:tcPr>
          <w:p>
            <w:pPr>
              <w:jc w:val="center"/>
              <w:rPr>
                <w:rFonts w:ascii="宋体" w:hAnsi="宋体" w:cs="宋体"/>
                <w:b/>
                <w:szCs w:val="21"/>
              </w:rPr>
            </w:pPr>
            <w:r>
              <w:rPr>
                <w:rFonts w:hint="eastAsia" w:ascii="宋体" w:hAnsi="宋体" w:cs="宋体"/>
                <w:b/>
                <w:szCs w:val="21"/>
              </w:rPr>
              <w:t>偏离说明</w:t>
            </w:r>
          </w:p>
        </w:tc>
        <w:tc>
          <w:tcPr>
            <w:tcW w:w="1298" w:type="dxa"/>
            <w:tcMar>
              <w:top w:w="57" w:type="dxa"/>
              <w:left w:w="108" w:type="dxa"/>
              <w:bottom w:w="0" w:type="dxa"/>
              <w:right w:w="108" w:type="dxa"/>
            </w:tcMar>
            <w:vAlign w:val="center"/>
          </w:tcPr>
          <w:p>
            <w:pPr>
              <w:jc w:val="center"/>
              <w:rPr>
                <w:rFonts w:hint="eastAsia" w:ascii="宋体" w:hAnsi="宋体" w:cs="宋体"/>
                <w:b/>
                <w:szCs w:val="21"/>
              </w:rPr>
            </w:pPr>
            <w:r>
              <w:rPr>
                <w:rFonts w:hint="eastAsia" w:ascii="宋体" w:hAnsi="宋体" w:cs="宋体"/>
                <w:b/>
                <w:szCs w:val="21"/>
              </w:rPr>
              <w:t>备注</w:t>
            </w:r>
          </w:p>
        </w:tc>
        <w:tc>
          <w:tcPr>
            <w:tcW w:w="1217" w:type="dxa"/>
            <w:tcMar>
              <w:top w:w="57" w:type="dxa"/>
              <w:left w:w="108" w:type="dxa"/>
              <w:bottom w:w="0" w:type="dxa"/>
              <w:right w:w="108" w:type="dxa"/>
            </w:tcMar>
            <w:vAlign w:val="center"/>
          </w:tcPr>
          <w:p>
            <w:pPr>
              <w:jc w:val="center"/>
              <w:rPr>
                <w:rFonts w:hint="eastAsia" w:ascii="宋体" w:hAnsi="宋体" w:eastAsia="宋体" w:cs="宋体"/>
                <w:b/>
                <w:szCs w:val="21"/>
                <w:lang w:eastAsia="zh-CN"/>
              </w:rPr>
            </w:pPr>
            <w:r>
              <w:rPr>
                <w:rFonts w:hint="eastAsia" w:ascii="宋体" w:hAnsi="宋体" w:cs="宋体"/>
                <w:b/>
                <w:szCs w:val="21"/>
                <w:lang w:eastAsia="zh-CN"/>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宋体" w:hAnsi="宋体" w:cs="宋体"/>
                <w:szCs w:val="21"/>
              </w:rPr>
            </w:pPr>
          </w:p>
        </w:tc>
        <w:tc>
          <w:tcPr>
            <w:tcW w:w="1859" w:type="dxa"/>
            <w:tcMar>
              <w:top w:w="57" w:type="dxa"/>
              <w:left w:w="108" w:type="dxa"/>
              <w:bottom w:w="0" w:type="dxa"/>
              <w:right w:w="108" w:type="dxa"/>
            </w:tcMar>
            <w:vAlign w:val="center"/>
          </w:tcPr>
          <w:p>
            <w:pPr>
              <w:jc w:val="center"/>
              <w:rPr>
                <w:rFonts w:ascii="宋体" w:hAnsi="宋体" w:cs="宋体"/>
                <w:szCs w:val="21"/>
              </w:rPr>
            </w:pPr>
          </w:p>
        </w:tc>
        <w:tc>
          <w:tcPr>
            <w:tcW w:w="1600" w:type="dxa"/>
            <w:tcMar>
              <w:top w:w="57" w:type="dxa"/>
              <w:left w:w="108" w:type="dxa"/>
              <w:bottom w:w="0" w:type="dxa"/>
              <w:right w:w="108" w:type="dxa"/>
            </w:tcMar>
            <w:vAlign w:val="center"/>
          </w:tcPr>
          <w:p>
            <w:pPr>
              <w:jc w:val="center"/>
              <w:rPr>
                <w:rFonts w:ascii="宋体" w:hAnsi="宋体" w:cs="宋体"/>
                <w:szCs w:val="21"/>
              </w:rPr>
            </w:pPr>
          </w:p>
        </w:tc>
        <w:tc>
          <w:tcPr>
            <w:tcW w:w="1751" w:type="dxa"/>
            <w:tcMar>
              <w:top w:w="57" w:type="dxa"/>
              <w:left w:w="108" w:type="dxa"/>
              <w:bottom w:w="0" w:type="dxa"/>
              <w:right w:w="108" w:type="dxa"/>
            </w:tcMar>
            <w:vAlign w:val="center"/>
          </w:tcPr>
          <w:p>
            <w:pPr>
              <w:jc w:val="center"/>
              <w:rPr>
                <w:rFonts w:ascii="宋体" w:hAnsi="宋体" w:cs="宋体"/>
                <w:szCs w:val="21"/>
              </w:rPr>
            </w:pPr>
          </w:p>
        </w:tc>
        <w:tc>
          <w:tcPr>
            <w:tcW w:w="1591" w:type="dxa"/>
            <w:tcMar>
              <w:top w:w="57" w:type="dxa"/>
              <w:left w:w="108" w:type="dxa"/>
              <w:bottom w:w="0" w:type="dxa"/>
              <w:right w:w="108" w:type="dxa"/>
            </w:tcMar>
            <w:vAlign w:val="center"/>
          </w:tcPr>
          <w:p>
            <w:pPr>
              <w:jc w:val="center"/>
              <w:rPr>
                <w:rFonts w:ascii="宋体" w:hAnsi="宋体" w:cs="宋体"/>
                <w:szCs w:val="21"/>
              </w:rPr>
            </w:pPr>
          </w:p>
        </w:tc>
        <w:tc>
          <w:tcPr>
            <w:tcW w:w="1298" w:type="dxa"/>
            <w:tcMar>
              <w:top w:w="57" w:type="dxa"/>
              <w:left w:w="108" w:type="dxa"/>
              <w:bottom w:w="0" w:type="dxa"/>
              <w:right w:w="108" w:type="dxa"/>
            </w:tcMar>
            <w:vAlign w:val="center"/>
          </w:tcPr>
          <w:p>
            <w:pPr>
              <w:jc w:val="center"/>
              <w:rPr>
                <w:rFonts w:ascii="宋体" w:hAnsi="宋体" w:cs="宋体"/>
                <w:szCs w:val="21"/>
              </w:rPr>
            </w:pPr>
          </w:p>
        </w:tc>
        <w:tc>
          <w:tcPr>
            <w:tcW w:w="1217" w:type="dxa"/>
            <w:tcMar>
              <w:top w:w="57" w:type="dxa"/>
              <w:left w:w="108" w:type="dxa"/>
              <w:bottom w:w="0" w:type="dxa"/>
              <w:right w:w="108" w:type="dxa"/>
            </w:tcMar>
            <w:vAlign w:val="center"/>
          </w:tcPr>
          <w:p>
            <w:pPr>
              <w:jc w:val="center"/>
              <w:rPr>
                <w:rFonts w:ascii="宋体" w:hAnsi="宋体" w:cs="宋体"/>
                <w:szCs w:val="21"/>
              </w:rPr>
            </w:pPr>
          </w:p>
        </w:tc>
      </w:tr>
    </w:tbl>
    <w:p>
      <w:pPr>
        <w:pStyle w:val="45"/>
        <w:tabs>
          <w:tab w:val="left" w:pos="360"/>
        </w:tabs>
        <w:spacing w:line="360" w:lineRule="auto"/>
        <w:ind w:right="84" w:rightChars="40"/>
        <w:rPr>
          <w:rFonts w:ascii="宋体"/>
          <w:b/>
          <w:szCs w:val="21"/>
        </w:rPr>
      </w:pPr>
      <w:r>
        <w:rPr>
          <w:rFonts w:hint="eastAsia" w:ascii="宋体"/>
          <w:b/>
          <w:szCs w:val="21"/>
        </w:rPr>
        <w:t>要求：</w:t>
      </w:r>
    </w:p>
    <w:p>
      <w:pPr>
        <w:pStyle w:val="45"/>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45"/>
        <w:spacing w:line="360" w:lineRule="auto"/>
        <w:ind w:right="84" w:rightChars="40" w:firstLine="420" w:firstLineChars="200"/>
        <w:rPr>
          <w:rFonts w:ascii="宋体"/>
          <w:szCs w:val="21"/>
        </w:rPr>
      </w:pPr>
      <w:r>
        <w:rPr>
          <w:rFonts w:hint="eastAsia" w:ascii="宋体"/>
          <w:szCs w:val="21"/>
        </w:rPr>
        <w:t>2.本表参照本招标文件第三章“招标需求”内第二条“具体技术需求”填制，供应商应根据投标设备的性能指标、服务指标，对照招标文件要求在“偏离情况”栏注明“正偏离”、“负偏离”或“无偏离”。</w:t>
      </w:r>
    </w:p>
    <w:p>
      <w:pPr>
        <w:pStyle w:val="45"/>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45"/>
        <w:spacing w:line="360" w:lineRule="auto"/>
        <w:ind w:right="84" w:rightChars="40" w:firstLine="420" w:firstLineChars="200"/>
        <w:rPr>
          <w:rFonts w:ascii="宋体" w:hAnsi="宋体" w:cs="宋体"/>
          <w:szCs w:val="21"/>
        </w:rPr>
      </w:pPr>
      <w:r>
        <w:rPr>
          <w:rFonts w:hint="eastAsia" w:ascii="宋体" w:hAnsi="宋体" w:cs="宋体"/>
          <w:szCs w:val="21"/>
        </w:rPr>
        <w:t>4.</w:t>
      </w:r>
      <w:r>
        <w:rPr>
          <w:rFonts w:hint="eastAsia" w:ascii="宋体" w:hAnsi="宋体"/>
          <w:sz w:val="24"/>
        </w:rPr>
        <w:t xml:space="preserve"> </w:t>
      </w:r>
      <w:r>
        <w:rPr>
          <w:rFonts w:hint="eastAsia" w:ascii="宋体" w:hAnsi="宋体" w:cs="宋体"/>
          <w:szCs w:val="21"/>
        </w:rPr>
        <w:t>供应商未填写，则视为全部响应。</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rPr>
          <w:rFonts w:ascii="宋体" w:hAnsi="宋体"/>
          <w:sz w:val="24"/>
        </w:rPr>
      </w:pPr>
    </w:p>
    <w:p>
      <w:pPr>
        <w:spacing w:line="360" w:lineRule="auto"/>
        <w:ind w:firstLine="435"/>
        <w:rPr>
          <w:rFonts w:ascii="宋体" w:hAnsi="宋体"/>
          <w:b/>
          <w:sz w:val="28"/>
        </w:rPr>
      </w:pPr>
      <w:r>
        <w:rPr>
          <w:rFonts w:hint="eastAsia" w:ascii="宋体" w:hAnsi="宋体"/>
          <w:sz w:val="24"/>
        </w:rPr>
        <w:t>日        期：</w:t>
      </w:r>
      <w:bookmarkEnd w:id="66"/>
      <w:bookmarkEnd w:id="67"/>
    </w:p>
    <w:p>
      <w:pPr>
        <w:pStyle w:val="46"/>
        <w:spacing w:line="360" w:lineRule="auto"/>
        <w:jc w:val="left"/>
        <w:rPr>
          <w:rFonts w:ascii="宋体" w:hAnsi="宋体"/>
          <w:b/>
          <w:sz w:val="28"/>
        </w:rPr>
      </w:pPr>
    </w:p>
    <w:p>
      <w:pPr>
        <w:pStyle w:val="46"/>
        <w:spacing w:line="360" w:lineRule="auto"/>
        <w:jc w:val="left"/>
        <w:rPr>
          <w:rFonts w:ascii="宋体" w:hAnsi="宋体"/>
          <w:b/>
          <w:sz w:val="28"/>
        </w:rPr>
      </w:pPr>
    </w:p>
    <w:p>
      <w:pPr>
        <w:pStyle w:val="4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549" w:hanging="549" w:hangingChars="171"/>
        <w:jc w:val="center"/>
        <w:rPr>
          <w:rFonts w:ascii="宋体" w:hAnsi="宋体"/>
          <w:b/>
          <w:sz w:val="32"/>
          <w:szCs w:val="32"/>
        </w:rPr>
      </w:pPr>
      <w:r>
        <w:rPr>
          <w:rFonts w:hint="eastAsia" w:ascii="宋体" w:hAnsi="宋体"/>
          <w:b/>
          <w:sz w:val="32"/>
          <w:szCs w:val="32"/>
        </w:rPr>
        <w:t>商务需求响应表</w:t>
      </w:r>
    </w:p>
    <w:p>
      <w:pPr>
        <w:spacing w:line="360" w:lineRule="auto"/>
        <w:ind w:left="481" w:leftChars="229" w:firstLine="813" w:firstLineChars="450"/>
        <w:rPr>
          <w:rFonts w:ascii="宋体" w:hAnsi="宋体"/>
          <w:b/>
          <w:sz w:val="18"/>
          <w:szCs w:val="18"/>
        </w:rPr>
      </w:pPr>
    </w:p>
    <w:tbl>
      <w:tblPr>
        <w:tblStyle w:val="2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序号</w:t>
            </w:r>
          </w:p>
        </w:tc>
        <w:tc>
          <w:tcPr>
            <w:tcW w:w="1927" w:type="dxa"/>
            <w:vAlign w:val="center"/>
          </w:tcPr>
          <w:p>
            <w:pPr>
              <w:jc w:val="center"/>
              <w:rPr>
                <w:rFonts w:ascii="宋体" w:hAnsi="宋体"/>
                <w:sz w:val="24"/>
              </w:rPr>
            </w:pPr>
            <w:r>
              <w:rPr>
                <w:rFonts w:hint="eastAsia" w:ascii="宋体" w:hAnsi="宋体"/>
                <w:sz w:val="24"/>
              </w:rPr>
              <w:t>类别</w:t>
            </w:r>
          </w:p>
        </w:tc>
        <w:tc>
          <w:tcPr>
            <w:tcW w:w="2546" w:type="dxa"/>
            <w:vAlign w:val="center"/>
          </w:tcPr>
          <w:p>
            <w:pPr>
              <w:jc w:val="center"/>
              <w:rPr>
                <w:rFonts w:ascii="宋体" w:hAnsi="宋体"/>
                <w:sz w:val="24"/>
              </w:rPr>
            </w:pPr>
            <w:r>
              <w:rPr>
                <w:rFonts w:hint="eastAsia" w:ascii="宋体" w:hAnsi="宋体"/>
                <w:sz w:val="24"/>
              </w:rPr>
              <w:t>招标文件要求</w:t>
            </w:r>
          </w:p>
        </w:tc>
        <w:tc>
          <w:tcPr>
            <w:tcW w:w="2562" w:type="dxa"/>
            <w:vAlign w:val="center"/>
          </w:tcPr>
          <w:p>
            <w:pPr>
              <w:jc w:val="center"/>
              <w:rPr>
                <w:rFonts w:ascii="宋体" w:hAnsi="宋体"/>
                <w:sz w:val="24"/>
              </w:rPr>
            </w:pPr>
            <w:r>
              <w:rPr>
                <w:rFonts w:hint="eastAsia" w:ascii="宋体" w:hAnsi="宋体"/>
                <w:sz w:val="24"/>
              </w:rPr>
              <w:t>供应商承诺</w:t>
            </w:r>
          </w:p>
        </w:tc>
        <w:tc>
          <w:tcPr>
            <w:tcW w:w="1260" w:type="dxa"/>
            <w:vAlign w:val="center"/>
          </w:tcPr>
          <w:p>
            <w:pPr>
              <w:jc w:val="center"/>
              <w:rPr>
                <w:rFonts w:ascii="宋体" w:hAns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1</w:t>
            </w:r>
          </w:p>
        </w:tc>
        <w:tc>
          <w:tcPr>
            <w:tcW w:w="1927" w:type="dxa"/>
            <w:vAlign w:val="center"/>
          </w:tcPr>
          <w:p>
            <w:pPr>
              <w:jc w:val="center"/>
              <w:rPr>
                <w:rFonts w:ascii="宋体" w:hAnsi="宋体"/>
                <w:sz w:val="24"/>
              </w:rPr>
            </w:pPr>
            <w:r>
              <w:rPr>
                <w:rFonts w:hint="eastAsia" w:ascii="宋体" w:hAnsi="宋体"/>
                <w:sz w:val="24"/>
              </w:rPr>
              <w:t>服务期</w:t>
            </w:r>
          </w:p>
        </w:tc>
        <w:tc>
          <w:tcPr>
            <w:tcW w:w="2546"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2</w:t>
            </w:r>
          </w:p>
        </w:tc>
        <w:tc>
          <w:tcPr>
            <w:tcW w:w="1927" w:type="dxa"/>
            <w:vAlign w:val="center"/>
          </w:tcPr>
          <w:p>
            <w:pPr>
              <w:jc w:val="center"/>
              <w:rPr>
                <w:rFonts w:ascii="宋体" w:hAnsi="宋体"/>
                <w:sz w:val="24"/>
              </w:rPr>
            </w:pPr>
            <w:r>
              <w:rPr>
                <w:rFonts w:hint="eastAsia" w:ascii="宋体" w:hAnsi="宋体"/>
                <w:sz w:val="24"/>
              </w:rPr>
              <w:t>项目报价要求</w:t>
            </w:r>
          </w:p>
        </w:tc>
        <w:tc>
          <w:tcPr>
            <w:tcW w:w="2546"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3</w:t>
            </w:r>
          </w:p>
        </w:tc>
        <w:tc>
          <w:tcPr>
            <w:tcW w:w="1927" w:type="dxa"/>
            <w:vAlign w:val="center"/>
          </w:tcPr>
          <w:p>
            <w:pPr>
              <w:jc w:val="center"/>
              <w:rPr>
                <w:rFonts w:ascii="宋体" w:hAnsi="宋体"/>
                <w:sz w:val="24"/>
              </w:rPr>
            </w:pPr>
            <w:r>
              <w:rPr>
                <w:rFonts w:hint="eastAsia" w:ascii="宋体" w:hAnsi="宋体"/>
                <w:sz w:val="24"/>
              </w:rPr>
              <w:t>付款方式</w:t>
            </w:r>
          </w:p>
        </w:tc>
        <w:tc>
          <w:tcPr>
            <w:tcW w:w="2546"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4</w:t>
            </w:r>
          </w:p>
        </w:tc>
        <w:tc>
          <w:tcPr>
            <w:tcW w:w="1927" w:type="dxa"/>
            <w:vAlign w:val="center"/>
          </w:tcPr>
          <w:p>
            <w:pPr>
              <w:jc w:val="center"/>
              <w:rPr>
                <w:rFonts w:ascii="宋体" w:hAnsi="宋体"/>
                <w:sz w:val="24"/>
              </w:rPr>
            </w:pPr>
            <w:r>
              <w:rPr>
                <w:rFonts w:hint="eastAsia" w:ascii="宋体" w:hAnsi="宋体"/>
                <w:sz w:val="24"/>
              </w:rPr>
              <w:t>履约保证金</w:t>
            </w:r>
          </w:p>
        </w:tc>
        <w:tc>
          <w:tcPr>
            <w:tcW w:w="2546"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p>
        </w:tc>
        <w:tc>
          <w:tcPr>
            <w:tcW w:w="1927" w:type="dxa"/>
            <w:vAlign w:val="center"/>
          </w:tcPr>
          <w:p>
            <w:pPr>
              <w:jc w:val="center"/>
              <w:rPr>
                <w:rFonts w:ascii="宋体" w:hAnsi="宋体"/>
                <w:sz w:val="24"/>
              </w:rPr>
            </w:pPr>
            <w:r>
              <w:rPr>
                <w:rFonts w:hint="eastAsia" w:ascii="宋体" w:hAnsi="宋体"/>
                <w:sz w:val="24"/>
              </w:rPr>
              <w:t>……</w:t>
            </w:r>
          </w:p>
        </w:tc>
        <w:tc>
          <w:tcPr>
            <w:tcW w:w="2546"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jc w:val="center"/>
        <w:rPr>
          <w:sz w:val="52"/>
          <w:szCs w:val="52"/>
        </w:rPr>
      </w:pPr>
      <w:bookmarkStart w:id="68" w:name="_Toc21322_WPSOffice_Level1"/>
      <w:bookmarkStart w:id="69" w:name="_Toc4615_WPSOffice_Level1"/>
      <w:bookmarkStart w:id="70" w:name="_Toc30468_WPSOffice_Level1"/>
    </w:p>
    <w:p>
      <w:pPr>
        <w:pStyle w:val="34"/>
      </w:pPr>
    </w:p>
    <w:p>
      <w:pPr>
        <w:jc w:val="center"/>
        <w:rPr>
          <w:sz w:val="52"/>
          <w:szCs w:val="52"/>
        </w:rPr>
      </w:pPr>
    </w:p>
    <w:p>
      <w:pPr>
        <w:pStyle w:val="34"/>
        <w:rPr>
          <w:sz w:val="52"/>
          <w:szCs w:val="52"/>
        </w:rPr>
      </w:pPr>
    </w:p>
    <w:p>
      <w:pPr>
        <w:pStyle w:val="34"/>
        <w:rPr>
          <w:sz w:val="52"/>
          <w:szCs w:val="52"/>
        </w:rPr>
      </w:pPr>
    </w:p>
    <w:p>
      <w:pPr>
        <w:pStyle w:val="34"/>
        <w:ind w:left="0" w:leftChars="0" w:firstLine="0"/>
      </w:pPr>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68"/>
      <w:bookmarkEnd w:id="69"/>
      <w:bookmarkEnd w:id="7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34"/>
      </w:pPr>
    </w:p>
    <w:p>
      <w:pPr>
        <w:jc w:val="center"/>
        <w:rPr>
          <w:sz w:val="84"/>
          <w:szCs w:val="84"/>
        </w:rPr>
      </w:pPr>
      <w:bookmarkStart w:id="71" w:name="_Toc8885_WPSOffice_Level1"/>
      <w:bookmarkStart w:id="72" w:name="_Toc9453_WPSOffice_Level1"/>
      <w:r>
        <w:rPr>
          <w:rFonts w:hint="eastAsia"/>
          <w:sz w:val="84"/>
          <w:szCs w:val="84"/>
        </w:rPr>
        <w:t>报</w:t>
      </w:r>
      <w:bookmarkEnd w:id="71"/>
      <w:bookmarkEnd w:id="72"/>
    </w:p>
    <w:p>
      <w:pPr>
        <w:jc w:val="center"/>
        <w:rPr>
          <w:sz w:val="84"/>
          <w:szCs w:val="84"/>
        </w:rPr>
      </w:pPr>
      <w:bookmarkStart w:id="73" w:name="_Toc10910_WPSOffice_Level1"/>
      <w:bookmarkStart w:id="74" w:name="_Toc7485_WPSOffice_Level1"/>
      <w:r>
        <w:rPr>
          <w:rFonts w:hint="eastAsia"/>
          <w:sz w:val="84"/>
          <w:szCs w:val="84"/>
        </w:rPr>
        <w:t>价</w:t>
      </w:r>
      <w:bookmarkEnd w:id="73"/>
      <w:bookmarkEnd w:id="74"/>
    </w:p>
    <w:p>
      <w:pPr>
        <w:jc w:val="center"/>
        <w:rPr>
          <w:sz w:val="84"/>
          <w:szCs w:val="84"/>
        </w:rPr>
      </w:pPr>
      <w:bookmarkStart w:id="75" w:name="_Toc14572_WPSOffice_Level1"/>
      <w:bookmarkStart w:id="76" w:name="_Toc3932_WPSOffice_Level1"/>
      <w:r>
        <w:rPr>
          <w:rFonts w:hint="eastAsia"/>
          <w:sz w:val="84"/>
          <w:szCs w:val="84"/>
        </w:rPr>
        <w:t>文</w:t>
      </w:r>
      <w:bookmarkEnd w:id="75"/>
      <w:bookmarkEnd w:id="76"/>
    </w:p>
    <w:p>
      <w:pPr>
        <w:jc w:val="center"/>
        <w:rPr>
          <w:sz w:val="84"/>
          <w:szCs w:val="84"/>
        </w:rPr>
      </w:pPr>
      <w:bookmarkStart w:id="77" w:name="_Toc16973_WPSOffice_Level1"/>
      <w:bookmarkStart w:id="78" w:name="_Toc7562_WPSOffice_Level1"/>
      <w:r>
        <w:rPr>
          <w:rFonts w:hint="eastAsia"/>
          <w:sz w:val="84"/>
          <w:szCs w:val="84"/>
        </w:rPr>
        <w:t>件</w:t>
      </w:r>
      <w:bookmarkEnd w:id="77"/>
      <w:bookmarkEnd w:id="78"/>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79" w:name="_Toc4603_WPSOffice_Level1"/>
      <w:bookmarkStart w:id="80" w:name="_Toc26700_WPSOffice_Level1"/>
      <w:r>
        <w:rPr>
          <w:rFonts w:hint="eastAsia" w:ascii="宋体" w:hAnsi="宋体"/>
          <w:sz w:val="36"/>
          <w:szCs w:val="36"/>
        </w:rPr>
        <w:t>供应商全称（公章）：</w:t>
      </w:r>
      <w:bookmarkEnd w:id="79"/>
      <w:bookmarkEnd w:id="80"/>
    </w:p>
    <w:p>
      <w:pPr>
        <w:spacing w:line="360" w:lineRule="auto"/>
        <w:ind w:right="-108" w:firstLine="720" w:firstLineChars="200"/>
        <w:rPr>
          <w:rFonts w:ascii="宋体" w:hAnsi="宋体"/>
          <w:sz w:val="36"/>
          <w:szCs w:val="36"/>
        </w:rPr>
      </w:pPr>
      <w:bookmarkStart w:id="81" w:name="_Toc32593_WPSOffice_Level1"/>
      <w:bookmarkStart w:id="82" w:name="_Toc1391_WPSOffice_Level1"/>
      <w:r>
        <w:rPr>
          <w:rFonts w:hint="eastAsia" w:ascii="宋体" w:hAnsi="宋体"/>
          <w:sz w:val="36"/>
          <w:szCs w:val="36"/>
        </w:rPr>
        <w:t>地    址：</w:t>
      </w:r>
      <w:bookmarkEnd w:id="81"/>
      <w:bookmarkEnd w:id="82"/>
    </w:p>
    <w:p>
      <w:pPr>
        <w:spacing w:line="360" w:lineRule="auto"/>
        <w:ind w:right="-108" w:firstLine="720" w:firstLineChars="200"/>
        <w:rPr>
          <w:rFonts w:ascii="宋体" w:hAnsi="宋体"/>
          <w:sz w:val="36"/>
          <w:szCs w:val="36"/>
        </w:rPr>
      </w:pPr>
      <w:bookmarkStart w:id="83" w:name="_Toc3791_WPSOffice_Level1"/>
      <w:bookmarkStart w:id="84" w:name="_Toc20938_WPSOffice_Level1"/>
      <w:r>
        <w:rPr>
          <w:rFonts w:hint="eastAsia" w:ascii="宋体" w:hAnsi="宋体"/>
          <w:sz w:val="36"/>
          <w:szCs w:val="36"/>
        </w:rPr>
        <w:t>时    间：</w:t>
      </w:r>
      <w:bookmarkEnd w:id="83"/>
      <w:bookmarkEnd w:id="84"/>
    </w:p>
    <w:p>
      <w:pPr>
        <w:spacing w:line="360" w:lineRule="auto"/>
        <w:ind w:right="-108"/>
        <w:jc w:val="center"/>
        <w:rPr>
          <w:rFonts w:ascii="仿宋_GB2312" w:hAnsi="宋体" w:eastAsia="仿宋_GB2312"/>
          <w:b/>
          <w:sz w:val="36"/>
          <w:szCs w:val="36"/>
        </w:rPr>
      </w:pPr>
    </w:p>
    <w:p>
      <w:pPr>
        <w:pStyle w:val="34"/>
      </w:pPr>
    </w:p>
    <w:p>
      <w:pPr>
        <w:pStyle w:val="34"/>
      </w:pPr>
    </w:p>
    <w:p>
      <w:pPr>
        <w:pStyle w:val="34"/>
      </w:pPr>
    </w:p>
    <w:p>
      <w:pPr>
        <w:pStyle w:val="34"/>
      </w:pPr>
    </w:p>
    <w:p>
      <w:pPr>
        <w:pStyle w:val="34"/>
      </w:pPr>
    </w:p>
    <w:p>
      <w:pPr>
        <w:spacing w:line="480" w:lineRule="auto"/>
        <w:jc w:val="center"/>
        <w:rPr>
          <w:rFonts w:ascii="宋体" w:hAnsi="宋体"/>
          <w:b/>
          <w:bCs/>
          <w:sz w:val="36"/>
          <w:szCs w:val="36"/>
        </w:rPr>
      </w:pPr>
      <w:bookmarkStart w:id="85" w:name="_Toc29537_WPSOffice_Level1"/>
      <w:bookmarkStart w:id="86" w:name="_Toc19972_WPSOffice_Level1"/>
      <w:r>
        <w:rPr>
          <w:rFonts w:hint="eastAsia" w:ascii="宋体" w:hAnsi="宋体"/>
          <w:b/>
          <w:bCs/>
          <w:sz w:val="36"/>
          <w:szCs w:val="36"/>
        </w:rPr>
        <w:t>报价文件目录</w:t>
      </w:r>
      <w:bookmarkEnd w:id="85"/>
      <w:bookmarkEnd w:id="86"/>
    </w:p>
    <w:p>
      <w:pPr>
        <w:pStyle w:val="34"/>
      </w:pPr>
    </w:p>
    <w:p>
      <w:pPr>
        <w:rPr>
          <w:rFonts w:ascii="宋体" w:hAnsi="宋体" w:cs="宋体"/>
          <w:sz w:val="28"/>
          <w:szCs w:val="28"/>
        </w:rPr>
      </w:pPr>
    </w:p>
    <w:p>
      <w:pPr>
        <w:spacing w:line="360" w:lineRule="auto"/>
        <w:rPr>
          <w:rFonts w:ascii="宋体" w:hAnsi="宋体" w:cs="宋体"/>
          <w:sz w:val="28"/>
          <w:szCs w:val="28"/>
        </w:rPr>
      </w:pPr>
      <w:bookmarkStart w:id="87" w:name="_Toc29988_WPSOffice_Level1"/>
      <w:bookmarkStart w:id="88" w:name="_Toc6778_WPSOffice_Level1"/>
      <w:r>
        <w:rPr>
          <w:rFonts w:hint="eastAsia" w:ascii="宋体" w:hAnsi="宋体" w:cs="宋体"/>
          <w:sz w:val="28"/>
          <w:szCs w:val="28"/>
        </w:rPr>
        <w:t>1.开标一览表（附件10）</w:t>
      </w:r>
      <w:bookmarkEnd w:id="87"/>
      <w:bookmarkEnd w:id="88"/>
    </w:p>
    <w:p>
      <w:pPr>
        <w:spacing w:line="360" w:lineRule="auto"/>
        <w:rPr>
          <w:rFonts w:ascii="宋体" w:hAnsi="宋体" w:cs="宋体"/>
          <w:sz w:val="28"/>
          <w:szCs w:val="28"/>
        </w:rPr>
      </w:pPr>
      <w:bookmarkStart w:id="89" w:name="_Toc11601_WPSOffice_Level1"/>
      <w:bookmarkStart w:id="90" w:name="_Toc15601_WPSOffice_Level1"/>
      <w:r>
        <w:rPr>
          <w:rFonts w:hint="eastAsia" w:ascii="宋体" w:hAnsi="宋体" w:cs="宋体"/>
          <w:sz w:val="28"/>
          <w:szCs w:val="28"/>
        </w:rPr>
        <w:t>2.报价明细表（附件11）</w:t>
      </w:r>
      <w:bookmarkEnd w:id="89"/>
      <w:bookmarkEnd w:id="90"/>
    </w:p>
    <w:p>
      <w:pPr>
        <w:pStyle w:val="32"/>
        <w:spacing w:line="360" w:lineRule="auto"/>
        <w:outlineLvl w:val="1"/>
        <w:rPr>
          <w:rFonts w:hAnsi="宋体" w:cs="宋体"/>
          <w:sz w:val="28"/>
          <w:szCs w:val="28"/>
        </w:rPr>
      </w:pPr>
      <w:bookmarkStart w:id="91" w:name="_Toc17543_WPSOffice_Level1"/>
      <w:bookmarkStart w:id="92" w:name="_Toc45_WPSOffice_Level1"/>
      <w:r>
        <w:rPr>
          <w:rFonts w:hint="eastAsia" w:hAnsi="宋体" w:cs="宋体"/>
          <w:sz w:val="28"/>
          <w:szCs w:val="28"/>
        </w:rPr>
        <w:t>3.中小企业声明函、残疾人福利性单位声明函（附件12）</w:t>
      </w:r>
      <w:bookmarkEnd w:id="91"/>
      <w:bookmarkEnd w:id="92"/>
    </w:p>
    <w:p>
      <w:pPr>
        <w:spacing w:line="360" w:lineRule="auto"/>
        <w:rPr>
          <w:rFonts w:ascii="宋体" w:hAnsi="宋体" w:cs="宋体"/>
          <w:sz w:val="28"/>
          <w:szCs w:val="28"/>
        </w:rPr>
      </w:pPr>
      <w:bookmarkStart w:id="93" w:name="_Toc14672_WPSOffice_Level1"/>
      <w:bookmarkStart w:id="94" w:name="_Toc3001_WPSOffice_Level1"/>
      <w:r>
        <w:rPr>
          <w:rFonts w:hint="eastAsia" w:ascii="宋体" w:hAnsi="宋体" w:cs="宋体"/>
          <w:sz w:val="28"/>
          <w:szCs w:val="28"/>
        </w:rPr>
        <w:t>4.针对报价供应商认为其他需要说明的</w:t>
      </w:r>
      <w:bookmarkEnd w:id="93"/>
      <w:bookmarkEnd w:id="94"/>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34"/>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32"/>
        <w:spacing w:line="320" w:lineRule="exact"/>
        <w:rPr>
          <w:rFonts w:hAnsi="宋体"/>
          <w:b/>
          <w:sz w:val="24"/>
        </w:rPr>
      </w:pPr>
      <w:r>
        <w:rPr>
          <w:rFonts w:hAnsi="宋体"/>
          <w:b/>
          <w:sz w:val="24"/>
        </w:rPr>
        <w:t>项目编号：</w:t>
      </w:r>
    </w:p>
    <w:p>
      <w:pPr>
        <w:pStyle w:val="52"/>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5"/>
        <w:tblW w:w="925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268"/>
        <w:gridCol w:w="1134"/>
        <w:gridCol w:w="992"/>
        <w:gridCol w:w="1276"/>
        <w:gridCol w:w="1418"/>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04" w:type="dxa"/>
            <w:vAlign w:val="center"/>
          </w:tcPr>
          <w:p>
            <w:pPr>
              <w:spacing w:line="360" w:lineRule="auto"/>
              <w:rPr>
                <w:rFonts w:ascii="宋体" w:hAnsi="宋体"/>
                <w:b/>
                <w:szCs w:val="21"/>
              </w:rPr>
            </w:pPr>
            <w:r>
              <w:rPr>
                <w:rFonts w:hint="eastAsia" w:ascii="宋体" w:hAnsi="宋体"/>
                <w:b/>
                <w:szCs w:val="21"/>
              </w:rPr>
              <w:t>序号</w:t>
            </w:r>
          </w:p>
        </w:tc>
        <w:tc>
          <w:tcPr>
            <w:tcW w:w="2268" w:type="dxa"/>
            <w:vAlign w:val="center"/>
          </w:tcPr>
          <w:p>
            <w:pPr>
              <w:tabs>
                <w:tab w:val="left" w:pos="8280"/>
              </w:tabs>
              <w:autoSpaceDE w:val="0"/>
              <w:autoSpaceDN w:val="0"/>
              <w:adjustRightInd w:val="0"/>
              <w:spacing w:line="360" w:lineRule="auto"/>
              <w:ind w:right="25" w:firstLine="105" w:firstLineChars="50"/>
              <w:rPr>
                <w:rFonts w:ascii="宋体" w:hAnsi="宋体"/>
                <w:b/>
                <w:szCs w:val="21"/>
              </w:rPr>
            </w:pPr>
            <w:r>
              <w:rPr>
                <w:rFonts w:hint="eastAsia" w:ascii="宋体" w:hAnsi="宋体"/>
                <w:b/>
                <w:szCs w:val="21"/>
              </w:rPr>
              <w:t>项目名称</w:t>
            </w:r>
          </w:p>
        </w:tc>
        <w:tc>
          <w:tcPr>
            <w:tcW w:w="1134" w:type="dxa"/>
            <w:vAlign w:val="center"/>
          </w:tcPr>
          <w:p>
            <w:pPr>
              <w:spacing w:line="360" w:lineRule="auto"/>
              <w:rPr>
                <w:rFonts w:ascii="宋体" w:hAnsi="宋体"/>
                <w:b/>
                <w:szCs w:val="21"/>
              </w:rPr>
            </w:pPr>
            <w:r>
              <w:rPr>
                <w:rFonts w:hint="eastAsia" w:ascii="宋体" w:hAnsi="宋体"/>
                <w:b/>
                <w:szCs w:val="21"/>
              </w:rPr>
              <w:t>单位</w:t>
            </w:r>
          </w:p>
        </w:tc>
        <w:tc>
          <w:tcPr>
            <w:tcW w:w="992" w:type="dxa"/>
            <w:vAlign w:val="center"/>
          </w:tcPr>
          <w:p>
            <w:pPr>
              <w:spacing w:line="360" w:lineRule="auto"/>
              <w:jc w:val="center"/>
              <w:rPr>
                <w:rFonts w:ascii="宋体" w:hAnsi="宋体"/>
                <w:b/>
                <w:szCs w:val="21"/>
              </w:rPr>
            </w:pPr>
            <w:r>
              <w:rPr>
                <w:rFonts w:hint="eastAsia" w:ascii="宋体" w:hAnsi="宋体"/>
                <w:b/>
                <w:szCs w:val="21"/>
              </w:rPr>
              <w:t>数量</w:t>
            </w:r>
          </w:p>
        </w:tc>
        <w:tc>
          <w:tcPr>
            <w:tcW w:w="1276" w:type="dxa"/>
            <w:vAlign w:val="center"/>
          </w:tcPr>
          <w:p>
            <w:pPr>
              <w:spacing w:line="360" w:lineRule="auto"/>
              <w:jc w:val="center"/>
              <w:rPr>
                <w:rFonts w:ascii="宋体" w:hAnsi="宋体"/>
                <w:b/>
                <w:szCs w:val="21"/>
              </w:rPr>
            </w:pPr>
            <w:r>
              <w:rPr>
                <w:rFonts w:hint="eastAsia" w:ascii="宋体" w:hAnsi="宋体"/>
                <w:b/>
                <w:szCs w:val="21"/>
              </w:rPr>
              <w:t>投标报价 （元）</w:t>
            </w:r>
          </w:p>
        </w:tc>
        <w:tc>
          <w:tcPr>
            <w:tcW w:w="1418" w:type="dxa"/>
            <w:vAlign w:val="center"/>
          </w:tcPr>
          <w:p>
            <w:pPr>
              <w:spacing w:line="360" w:lineRule="auto"/>
              <w:jc w:val="center"/>
              <w:rPr>
                <w:rFonts w:ascii="宋体" w:hAnsi="宋体"/>
                <w:b/>
                <w:szCs w:val="21"/>
              </w:rPr>
            </w:pPr>
            <w:r>
              <w:rPr>
                <w:rFonts w:hint="eastAsia" w:ascii="宋体" w:hAnsi="宋体"/>
                <w:b/>
                <w:szCs w:val="21"/>
              </w:rPr>
              <w:t>服务期</w:t>
            </w:r>
          </w:p>
        </w:tc>
        <w:tc>
          <w:tcPr>
            <w:tcW w:w="850" w:type="dxa"/>
            <w:vAlign w:val="center"/>
          </w:tcPr>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服务</w:t>
            </w:r>
          </w:p>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地点</w:t>
            </w:r>
          </w:p>
        </w:tc>
        <w:tc>
          <w:tcPr>
            <w:tcW w:w="709" w:type="dxa"/>
            <w:vAlign w:val="center"/>
          </w:tcPr>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ascii="宋体" w:hAnsi="宋体"/>
                <w:b/>
                <w:szCs w:val="21"/>
              </w:rPr>
            </w:pPr>
            <w:r>
              <w:rPr>
                <w:rFonts w:hint="eastAsia" w:ascii="宋体" w:hAnsi="宋体"/>
                <w:b/>
                <w:szCs w:val="21"/>
              </w:rPr>
              <w:t>1</w:t>
            </w:r>
          </w:p>
        </w:tc>
        <w:tc>
          <w:tcPr>
            <w:tcW w:w="2268" w:type="dxa"/>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cs="宋体"/>
                <w:sz w:val="24"/>
                <w:lang w:eastAsia="zh-CN"/>
              </w:rPr>
              <w:t>三门县地表水水质自动监测系统建设项目</w:t>
            </w:r>
          </w:p>
        </w:tc>
        <w:tc>
          <w:tcPr>
            <w:tcW w:w="1134"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项</w:t>
            </w:r>
          </w:p>
        </w:tc>
        <w:tc>
          <w:tcPr>
            <w:tcW w:w="992" w:type="dxa"/>
            <w:vAlign w:val="center"/>
          </w:tcPr>
          <w:p>
            <w:pPr>
              <w:tabs>
                <w:tab w:val="left" w:pos="8280"/>
              </w:tabs>
              <w:autoSpaceDE w:val="0"/>
              <w:autoSpaceDN w:val="0"/>
              <w:adjustRightInd w:val="0"/>
              <w:spacing w:line="360" w:lineRule="auto"/>
              <w:ind w:right="25" w:firstLine="240"/>
              <w:rPr>
                <w:rFonts w:ascii="宋体" w:hAnsi="宋体"/>
                <w:sz w:val="24"/>
              </w:rPr>
            </w:pPr>
            <w:r>
              <w:rPr>
                <w:rFonts w:hint="eastAsia" w:ascii="宋体" w:hAnsi="宋体"/>
                <w:sz w:val="24"/>
              </w:rPr>
              <w:t>1</w:t>
            </w:r>
          </w:p>
        </w:tc>
        <w:tc>
          <w:tcPr>
            <w:tcW w:w="1276" w:type="dxa"/>
            <w:vAlign w:val="center"/>
          </w:tcPr>
          <w:p>
            <w:pPr>
              <w:tabs>
                <w:tab w:val="left" w:pos="8280"/>
              </w:tabs>
              <w:autoSpaceDE w:val="0"/>
              <w:autoSpaceDN w:val="0"/>
              <w:adjustRightInd w:val="0"/>
              <w:spacing w:line="360" w:lineRule="auto"/>
              <w:ind w:right="25"/>
              <w:jc w:val="center"/>
              <w:rPr>
                <w:rFonts w:ascii="宋体" w:hAnsi="宋体"/>
                <w:sz w:val="24"/>
              </w:rPr>
            </w:pPr>
          </w:p>
        </w:tc>
        <w:tc>
          <w:tcPr>
            <w:tcW w:w="1418" w:type="dxa"/>
            <w:vAlign w:val="center"/>
          </w:tcPr>
          <w:p>
            <w:pPr>
              <w:tabs>
                <w:tab w:val="left" w:pos="8280"/>
              </w:tabs>
              <w:autoSpaceDE w:val="0"/>
              <w:autoSpaceDN w:val="0"/>
              <w:adjustRightInd w:val="0"/>
              <w:spacing w:line="360" w:lineRule="auto"/>
              <w:ind w:right="25"/>
              <w:jc w:val="center"/>
              <w:rPr>
                <w:rFonts w:ascii="宋体" w:hAnsi="宋体"/>
                <w:sz w:val="24"/>
              </w:rPr>
            </w:pPr>
          </w:p>
        </w:tc>
        <w:tc>
          <w:tcPr>
            <w:tcW w:w="85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709" w:type="dxa"/>
            <w:vAlign w:val="center"/>
          </w:tcPr>
          <w:p>
            <w:pPr>
              <w:tabs>
                <w:tab w:val="left" w:pos="8280"/>
              </w:tabs>
              <w:autoSpaceDE w:val="0"/>
              <w:autoSpaceDN w:val="0"/>
              <w:adjustRightInd w:val="0"/>
              <w:spacing w:line="360" w:lineRule="auto"/>
              <w:ind w:right="25"/>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251" w:type="dxa"/>
            <w:gridSpan w:val="8"/>
            <w:vAlign w:val="center"/>
          </w:tcPr>
          <w:p>
            <w:pPr>
              <w:tabs>
                <w:tab w:val="left" w:pos="8280"/>
              </w:tabs>
              <w:autoSpaceDE w:val="0"/>
              <w:autoSpaceDN w:val="0"/>
              <w:adjustRightInd w:val="0"/>
              <w:spacing w:line="360" w:lineRule="auto"/>
              <w:ind w:right="25"/>
              <w:jc w:val="left"/>
              <w:rPr>
                <w:rFonts w:ascii="宋体" w:hAnsi="宋体"/>
                <w:b/>
                <w:szCs w:val="21"/>
                <w:u w:val="single"/>
              </w:rPr>
            </w:pPr>
            <w:r>
              <w:rPr>
                <w:rFonts w:hint="eastAsia" w:ascii="宋体" w:hAnsi="宋体"/>
                <w:b/>
                <w:szCs w:val="21"/>
              </w:rPr>
              <w:t>大写:</w:t>
            </w:r>
            <w:r>
              <w:rPr>
                <w:rFonts w:hint="eastAsia" w:ascii="宋体" w:hAnsi="宋体"/>
                <w:b/>
                <w:szCs w:val="21"/>
                <w:u w:val="single"/>
              </w:rPr>
              <w:t xml:space="preserve">                           </w:t>
            </w: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sz w:val="24"/>
          <w:u w:val="single"/>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pacing w:line="360" w:lineRule="auto"/>
        <w:ind w:firstLine="360" w:firstLineChars="150"/>
        <w:rPr>
          <w:rFonts w:ascii="宋体" w:hAnsi="宋体"/>
          <w:b/>
          <w:i/>
          <w:szCs w:val="21"/>
          <w:u w:val="single"/>
        </w:rPr>
      </w:pPr>
      <w:r>
        <w:rPr>
          <w:rFonts w:hint="eastAsia" w:ascii="宋体" w:hAnsi="宋体"/>
          <w:sz w:val="24"/>
        </w:rPr>
        <w:t>2、</w:t>
      </w:r>
      <w:r>
        <w:rPr>
          <w:rFonts w:hint="eastAsia" w:ascii="宋体" w:hAnsi="宋体"/>
          <w:kern w:val="0"/>
          <w:sz w:val="24"/>
        </w:rPr>
        <w:t>投标报价应是招标文件所确定的采购范围内全部工作内容的价格表现。其应包含的设备材料的供货、包装、运输、装卸、管理、就位、安装、系统集成、</w:t>
      </w:r>
      <w:r>
        <w:rPr>
          <w:rFonts w:hint="eastAsia" w:ascii="宋体"/>
          <w:sz w:val="24"/>
          <w:lang w:val="zh-CN"/>
        </w:rPr>
        <w:t>招标代理服务费、</w:t>
      </w:r>
      <w:r>
        <w:rPr>
          <w:rFonts w:hint="eastAsia" w:ascii="宋体" w:hAnsi="宋体"/>
          <w:kern w:val="0"/>
          <w:sz w:val="24"/>
        </w:rPr>
        <w:t>设计费、产品保护、调试、试运行、备品备件、有关行业专管部门验收、培训及售后服务、维保、安全、保险、利润、关税、规费、税金、政策性文件规定、合同包含的所有风险责任等各项费用及不可预见费等项目实施所发生的全部费用。</w:t>
      </w: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snapToGrid w:val="0"/>
        <w:spacing w:beforeLines="50" w:after="50" w:line="360" w:lineRule="auto"/>
        <w:jc w:val="center"/>
        <w:rPr>
          <w:rFonts w:ascii="宋体" w:hAnsi="宋体"/>
          <w:b/>
          <w:sz w:val="44"/>
          <w:szCs w:val="44"/>
        </w:rPr>
      </w:pPr>
      <w:r>
        <w:rPr>
          <w:rFonts w:hint="eastAsia" w:ascii="宋体" w:hAnsi="宋体"/>
          <w:b/>
          <w:sz w:val="44"/>
          <w:szCs w:val="44"/>
        </w:rPr>
        <w:t>报价明细表</w:t>
      </w:r>
    </w:p>
    <w:p>
      <w:pPr>
        <w:snapToGrid w:val="0"/>
        <w:spacing w:beforeLines="50" w:after="50" w:line="360" w:lineRule="auto"/>
        <w:rPr>
          <w:rFonts w:ascii="宋体" w:hAnsi="宋体"/>
          <w:sz w:val="28"/>
        </w:rPr>
      </w:pPr>
      <w:r>
        <w:rPr>
          <w:rFonts w:hint="eastAsia" w:ascii="宋体" w:hAnsi="宋体"/>
          <w:sz w:val="28"/>
        </w:rPr>
        <w:t>项目编号：                             （货币单位：人民币元）</w:t>
      </w:r>
    </w:p>
    <w:tbl>
      <w:tblPr>
        <w:tblStyle w:val="25"/>
        <w:tblW w:w="88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512"/>
        <w:gridCol w:w="269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Align w:val="top"/>
          </w:tcPr>
          <w:p>
            <w:pPr>
              <w:snapToGrid w:val="0"/>
              <w:spacing w:beforeLines="50" w:after="50" w:line="360" w:lineRule="auto"/>
              <w:ind w:left="-28"/>
              <w:rPr>
                <w:rFonts w:ascii="宋体" w:hAnsi="宋体"/>
                <w:sz w:val="24"/>
              </w:rPr>
            </w:pPr>
            <w:r>
              <w:rPr>
                <w:rFonts w:hint="eastAsia" w:ascii="宋体" w:hAnsi="宋体"/>
                <w:sz w:val="24"/>
              </w:rPr>
              <w:t>序号</w:t>
            </w:r>
          </w:p>
        </w:tc>
        <w:tc>
          <w:tcPr>
            <w:tcW w:w="3512" w:type="dxa"/>
            <w:vAlign w:val="top"/>
          </w:tcPr>
          <w:p>
            <w:pPr>
              <w:snapToGrid w:val="0"/>
              <w:spacing w:beforeLines="50" w:after="50" w:line="360" w:lineRule="auto"/>
              <w:ind w:left="-28"/>
              <w:jc w:val="center"/>
              <w:rPr>
                <w:rFonts w:ascii="宋体" w:hAnsi="宋体"/>
                <w:sz w:val="24"/>
              </w:rPr>
            </w:pPr>
            <w:r>
              <w:rPr>
                <w:rFonts w:hint="eastAsia" w:ascii="宋体" w:hAnsi="宋体"/>
                <w:sz w:val="24"/>
              </w:rPr>
              <w:t>报价项目</w:t>
            </w:r>
          </w:p>
        </w:tc>
        <w:tc>
          <w:tcPr>
            <w:tcW w:w="2693" w:type="dxa"/>
            <w:vAlign w:val="top"/>
          </w:tcPr>
          <w:p>
            <w:pPr>
              <w:snapToGrid w:val="0"/>
              <w:spacing w:beforeLines="50" w:after="50" w:line="360" w:lineRule="auto"/>
              <w:ind w:left="-27" w:leftChars="-13" w:firstLine="360" w:firstLineChars="150"/>
              <w:rPr>
                <w:rFonts w:ascii="宋体" w:hAnsi="宋体"/>
                <w:sz w:val="24"/>
              </w:rPr>
            </w:pPr>
            <w:r>
              <w:rPr>
                <w:rFonts w:hint="eastAsia" w:ascii="宋体" w:hAnsi="宋体"/>
                <w:sz w:val="24"/>
              </w:rPr>
              <w:t>费    用（元）</w:t>
            </w:r>
          </w:p>
        </w:tc>
        <w:tc>
          <w:tcPr>
            <w:tcW w:w="1760" w:type="dxa"/>
            <w:vAlign w:val="top"/>
          </w:tcPr>
          <w:p>
            <w:pPr>
              <w:snapToGrid w:val="0"/>
              <w:spacing w:beforeLines="50" w:after="50" w:line="360" w:lineRule="auto"/>
              <w:ind w:left="-28"/>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Align w:val="top"/>
          </w:tcPr>
          <w:p>
            <w:pPr>
              <w:snapToGrid w:val="0"/>
              <w:spacing w:beforeLines="50" w:after="50" w:line="360" w:lineRule="auto"/>
              <w:ind w:left="-28"/>
              <w:rPr>
                <w:rFonts w:ascii="宋体" w:hAnsi="宋体"/>
                <w:sz w:val="24"/>
              </w:rPr>
            </w:pPr>
          </w:p>
        </w:tc>
        <w:tc>
          <w:tcPr>
            <w:tcW w:w="3512" w:type="dxa"/>
            <w:vAlign w:val="top"/>
          </w:tcPr>
          <w:p>
            <w:pPr>
              <w:snapToGrid w:val="0"/>
              <w:spacing w:beforeLines="50" w:after="50" w:line="360" w:lineRule="auto"/>
              <w:ind w:left="-28"/>
              <w:rPr>
                <w:rFonts w:ascii="宋体" w:hAnsi="宋体"/>
                <w:sz w:val="24"/>
              </w:rPr>
            </w:pP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vAlign w:val="top"/>
          </w:tcPr>
          <w:p>
            <w:pPr>
              <w:snapToGrid w:val="0"/>
              <w:spacing w:beforeLines="50" w:after="50" w:line="360" w:lineRule="auto"/>
              <w:ind w:left="-28"/>
              <w:rPr>
                <w:rFonts w:ascii="宋体" w:hAnsi="宋体"/>
                <w:sz w:val="24"/>
              </w:rPr>
            </w:pPr>
          </w:p>
        </w:tc>
        <w:tc>
          <w:tcPr>
            <w:tcW w:w="3512" w:type="dxa"/>
            <w:vAlign w:val="top"/>
          </w:tcPr>
          <w:p>
            <w:pPr>
              <w:snapToGrid w:val="0"/>
              <w:spacing w:beforeLines="50" w:after="50" w:line="360" w:lineRule="auto"/>
              <w:ind w:left="-28"/>
              <w:rPr>
                <w:rFonts w:ascii="宋体" w:hAnsi="宋体"/>
                <w:sz w:val="24"/>
              </w:rPr>
            </w:pP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vAlign w:val="top"/>
          </w:tcPr>
          <w:p>
            <w:pPr>
              <w:snapToGrid w:val="0"/>
              <w:spacing w:beforeLines="50" w:after="50" w:line="360" w:lineRule="auto"/>
              <w:ind w:left="-28"/>
              <w:rPr>
                <w:rFonts w:ascii="宋体" w:hAnsi="宋体"/>
                <w:sz w:val="24"/>
              </w:rPr>
            </w:pPr>
          </w:p>
        </w:tc>
        <w:tc>
          <w:tcPr>
            <w:tcW w:w="3512" w:type="dxa"/>
            <w:vAlign w:val="top"/>
          </w:tcPr>
          <w:p>
            <w:pPr>
              <w:snapToGrid w:val="0"/>
              <w:spacing w:beforeLines="50" w:after="50" w:line="360" w:lineRule="auto"/>
              <w:ind w:left="-28"/>
              <w:rPr>
                <w:rFonts w:ascii="宋体" w:hAnsi="宋体"/>
                <w:sz w:val="24"/>
              </w:rPr>
            </w:pP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vAlign w:val="top"/>
          </w:tcPr>
          <w:p>
            <w:pPr>
              <w:snapToGrid w:val="0"/>
              <w:spacing w:beforeLines="50" w:after="50" w:line="360" w:lineRule="auto"/>
              <w:ind w:left="-28"/>
              <w:rPr>
                <w:rFonts w:ascii="宋体" w:hAnsi="宋体"/>
                <w:sz w:val="24"/>
              </w:rPr>
            </w:pPr>
          </w:p>
        </w:tc>
        <w:tc>
          <w:tcPr>
            <w:tcW w:w="3512" w:type="dxa"/>
            <w:vAlign w:val="top"/>
          </w:tcPr>
          <w:p>
            <w:pPr>
              <w:snapToGrid w:val="0"/>
              <w:spacing w:beforeLines="50" w:after="50" w:line="360" w:lineRule="auto"/>
              <w:ind w:left="-28"/>
              <w:rPr>
                <w:rFonts w:ascii="宋体" w:hAnsi="宋体"/>
                <w:sz w:val="24"/>
              </w:rPr>
            </w:pP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vAlign w:val="top"/>
          </w:tcPr>
          <w:p>
            <w:pPr>
              <w:snapToGrid w:val="0"/>
              <w:spacing w:beforeLines="50" w:after="50" w:line="360" w:lineRule="auto"/>
              <w:ind w:left="-28"/>
              <w:rPr>
                <w:rFonts w:ascii="宋体" w:hAnsi="宋体"/>
                <w:sz w:val="24"/>
              </w:rPr>
            </w:pPr>
          </w:p>
        </w:tc>
        <w:tc>
          <w:tcPr>
            <w:tcW w:w="3512" w:type="dxa"/>
            <w:vAlign w:val="top"/>
          </w:tcPr>
          <w:p>
            <w:pPr>
              <w:snapToGrid w:val="0"/>
              <w:spacing w:beforeLines="50" w:after="50" w:line="360" w:lineRule="auto"/>
              <w:ind w:left="-28"/>
              <w:rPr>
                <w:rFonts w:ascii="宋体" w:hAnsi="宋体"/>
                <w:sz w:val="24"/>
              </w:rPr>
            </w:pP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vAlign w:val="top"/>
          </w:tcPr>
          <w:p>
            <w:pPr>
              <w:snapToGrid w:val="0"/>
              <w:spacing w:beforeLines="50" w:after="50" w:line="360" w:lineRule="auto"/>
              <w:ind w:left="-28"/>
              <w:rPr>
                <w:rFonts w:ascii="宋体" w:hAnsi="宋体"/>
                <w:sz w:val="24"/>
              </w:rPr>
            </w:pPr>
            <w:r>
              <w:rPr>
                <w:rFonts w:ascii="宋体" w:hAnsi="宋体"/>
                <w:sz w:val="24"/>
              </w:rPr>
              <w:t>…</w:t>
            </w:r>
          </w:p>
        </w:tc>
        <w:tc>
          <w:tcPr>
            <w:tcW w:w="3512" w:type="dxa"/>
            <w:vAlign w:val="top"/>
          </w:tcPr>
          <w:p>
            <w:pPr>
              <w:snapToGrid w:val="0"/>
              <w:spacing w:beforeLines="50" w:after="50" w:line="360" w:lineRule="auto"/>
              <w:ind w:left="-28"/>
              <w:rPr>
                <w:rFonts w:ascii="宋体" w:hAnsi="宋体"/>
                <w:sz w:val="24"/>
              </w:rPr>
            </w:pPr>
            <w:r>
              <w:rPr>
                <w:rFonts w:ascii="宋体" w:hAnsi="宋体"/>
                <w:sz w:val="24"/>
              </w:rPr>
              <w:t>…</w:t>
            </w: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67" w:type="dxa"/>
            <w:gridSpan w:val="2"/>
            <w:vAlign w:val="top"/>
          </w:tcPr>
          <w:p>
            <w:pPr>
              <w:snapToGrid w:val="0"/>
              <w:spacing w:beforeLines="50" w:after="50" w:line="360" w:lineRule="auto"/>
              <w:ind w:left="-28"/>
              <w:rPr>
                <w:rFonts w:ascii="宋体" w:hAnsi="宋体"/>
                <w:sz w:val="24"/>
              </w:rPr>
            </w:pPr>
            <w:r>
              <w:rPr>
                <w:rFonts w:hint="eastAsia" w:ascii="宋体" w:hAnsi="宋体"/>
                <w:sz w:val="24"/>
              </w:rPr>
              <w:t>合  计（结转至开标一览表）</w:t>
            </w:r>
          </w:p>
        </w:tc>
        <w:tc>
          <w:tcPr>
            <w:tcW w:w="2693" w:type="dxa"/>
            <w:vAlign w:val="top"/>
          </w:tcPr>
          <w:p>
            <w:pPr>
              <w:snapToGrid w:val="0"/>
              <w:spacing w:beforeLines="50" w:after="50" w:line="360" w:lineRule="auto"/>
              <w:ind w:left="-28"/>
              <w:rPr>
                <w:rFonts w:ascii="宋体" w:hAnsi="宋体"/>
                <w:sz w:val="24"/>
              </w:rPr>
            </w:pPr>
          </w:p>
        </w:tc>
        <w:tc>
          <w:tcPr>
            <w:tcW w:w="1760" w:type="dxa"/>
            <w:vAlign w:val="top"/>
          </w:tcPr>
          <w:p>
            <w:pPr>
              <w:snapToGrid w:val="0"/>
              <w:spacing w:beforeLines="50" w:after="50" w:line="360" w:lineRule="auto"/>
              <w:ind w:left="-28"/>
              <w:rPr>
                <w:rFonts w:ascii="宋体" w:hAnsi="宋体"/>
                <w:sz w:val="24"/>
              </w:rPr>
            </w:pPr>
          </w:p>
        </w:tc>
      </w:tr>
    </w:tbl>
    <w:p>
      <w:pPr>
        <w:snapToGrid w:val="0"/>
        <w:spacing w:beforeLines="50" w:after="50" w:line="360" w:lineRule="auto"/>
        <w:rPr>
          <w:rFonts w:ascii="宋体" w:hAnsi="宋体"/>
          <w:b/>
          <w:sz w:val="28"/>
        </w:rPr>
      </w:pPr>
      <w:r>
        <w:rPr>
          <w:rFonts w:hint="eastAsia" w:ascii="宋体" w:hAnsi="宋体"/>
          <w:b/>
          <w:sz w:val="28"/>
        </w:rPr>
        <w:t>注：</w:t>
      </w:r>
    </w:p>
    <w:p>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pPr>
        <w:pStyle w:val="34"/>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rPr>
          <w:rFonts w:ascii="宋体" w:hAnsi="宋体"/>
          <w:sz w:val="24"/>
        </w:rPr>
      </w:pPr>
    </w:p>
    <w:p>
      <w:pPr>
        <w:spacing w:line="360" w:lineRule="auto"/>
        <w:ind w:firstLine="435"/>
      </w:pPr>
      <w:r>
        <w:rPr>
          <w:rFonts w:hint="eastAsia" w:ascii="宋体" w:hAnsi="宋体"/>
          <w:sz w:val="24"/>
        </w:rPr>
        <w:t>日        期：</w:t>
      </w:r>
    </w:p>
    <w:p>
      <w:pPr>
        <w:snapToGrid w:val="0"/>
        <w:spacing w:beforeLines="50" w:after="50" w:line="360" w:lineRule="auto"/>
        <w:rPr>
          <w:rFonts w:ascii="宋体" w:hAnsi="宋体"/>
          <w:b/>
          <w:sz w:val="28"/>
        </w:rPr>
      </w:pP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3</w:t>
      </w:r>
    </w:p>
    <w:p>
      <w:pPr>
        <w:pStyle w:val="53"/>
        <w:spacing w:line="360" w:lineRule="auto"/>
        <w:jc w:val="center"/>
        <w:rPr>
          <w:rFonts w:ascii="宋体" w:hAnsi="宋体"/>
          <w:b/>
          <w:sz w:val="32"/>
          <w:szCs w:val="32"/>
        </w:rPr>
      </w:pPr>
      <w:r>
        <w:rPr>
          <w:rFonts w:hint="eastAsia" w:ascii="宋体" w:hAnsi="宋体"/>
          <w:b/>
          <w:sz w:val="32"/>
          <w:szCs w:val="32"/>
        </w:rPr>
        <w:t>中小企业声明函</w:t>
      </w:r>
    </w:p>
    <w:p>
      <w:pPr>
        <w:pStyle w:val="53"/>
        <w:spacing w:line="360" w:lineRule="auto"/>
        <w:jc w:val="center"/>
        <w:rPr>
          <w:rFonts w:ascii="宋体" w:hAnsi="宋体"/>
          <w:b/>
          <w:sz w:val="24"/>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rPr>
          <w:rFonts w:ascii="宋体" w:hAnsi="宋体"/>
          <w:spacing w:val="6"/>
          <w:sz w:val="24"/>
        </w:rPr>
      </w:pPr>
    </w:p>
    <w:p>
      <w:pPr>
        <w:pStyle w:val="53"/>
        <w:spacing w:line="360" w:lineRule="auto"/>
        <w:rPr>
          <w:rFonts w:ascii="宋体" w:hAnsi="宋体"/>
          <w:sz w:val="24"/>
        </w:rPr>
      </w:pPr>
    </w:p>
    <w:p>
      <w:pPr>
        <w:pStyle w:val="53"/>
        <w:spacing w:line="360" w:lineRule="auto"/>
        <w:ind w:firstLine="4800" w:firstLineChars="2000"/>
        <w:rPr>
          <w:rFonts w:ascii="宋体" w:hAnsi="宋体"/>
          <w:sz w:val="24"/>
        </w:rPr>
      </w:pPr>
      <w:r>
        <w:rPr>
          <w:rFonts w:hint="eastAsia" w:ascii="宋体" w:hAnsi="宋体"/>
          <w:sz w:val="24"/>
        </w:rPr>
        <w:t xml:space="preserve">企业名称（盖章）：              </w:t>
      </w:r>
    </w:p>
    <w:p>
      <w:pPr>
        <w:pStyle w:val="53"/>
        <w:spacing w:line="360" w:lineRule="auto"/>
        <w:ind w:firstLine="4800" w:firstLineChars="2000"/>
        <w:rPr>
          <w:rFonts w:ascii="宋体" w:hAnsi="宋体"/>
          <w:sz w:val="24"/>
        </w:rPr>
      </w:pPr>
      <w:r>
        <w:rPr>
          <w:rFonts w:hint="eastAsia" w:ascii="宋体" w:hAnsi="宋体"/>
          <w:sz w:val="24"/>
        </w:rPr>
        <w:t>日 期：</w:t>
      </w:r>
    </w:p>
    <w:p>
      <w:pPr>
        <w:pStyle w:val="30"/>
        <w:rPr>
          <w:rFonts w:ascii="宋体" w:hAnsi="宋体" w:cs="宋体"/>
          <w:sz w:val="24"/>
        </w:rPr>
      </w:pPr>
    </w:p>
    <w:p>
      <w:pPr>
        <w:pStyle w:val="30"/>
        <w:rPr>
          <w:rFonts w:ascii="宋体" w:hAnsi="宋体" w:cs="宋体"/>
          <w:sz w:val="24"/>
        </w:rPr>
      </w:pPr>
    </w:p>
    <w:p>
      <w:pPr>
        <w:pStyle w:val="30"/>
        <w:rPr>
          <w:rFonts w:ascii="宋体" w:hAnsi="宋体" w:cs="宋体"/>
          <w:sz w:val="24"/>
        </w:rPr>
      </w:pPr>
    </w:p>
    <w:p>
      <w:pPr>
        <w:pStyle w:val="30"/>
        <w:rPr>
          <w:rFonts w:ascii="宋体" w:hAnsi="宋体" w:cs="宋体"/>
          <w:sz w:val="24"/>
        </w:rPr>
      </w:pPr>
    </w:p>
    <w:p>
      <w:pPr>
        <w:pStyle w:val="30"/>
        <w:rPr>
          <w:rFonts w:ascii="宋体" w:hAnsi="宋体" w:cs="宋体"/>
          <w:sz w:val="24"/>
        </w:rPr>
      </w:pPr>
    </w:p>
    <w:p>
      <w:pPr>
        <w:spacing w:line="360" w:lineRule="auto"/>
        <w:rPr>
          <w:rFonts w:ascii="宋体" w:hAnsi="宋体" w:cs="宋体"/>
          <w:sz w:val="24"/>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5847715" cy="635"/>
                <wp:effectExtent l="0" t="0" r="0" b="0"/>
                <wp:wrapNone/>
                <wp:docPr id="1" name="直线 2"/>
                <wp:cNvGraphicFramePr/>
                <a:graphic xmlns:a="http://schemas.openxmlformats.org/drawingml/2006/main">
                  <a:graphicData uri="http://schemas.microsoft.com/office/word/2010/wordprocessingShape">
                    <wps:wsp>
                      <wps:cNvCnPr/>
                      <wps:spPr>
                        <a:xfrm>
                          <a:off x="0" y="0"/>
                          <a:ext cx="5847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4pt;margin-top:16.5pt;height:0.05pt;width:460.45pt;z-index:251659264;mso-width-relative:page;mso-height-relative:page;" filled="f" stroked="t" coordsize="21600,21600" o:gfxdata="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tqHUAAAA&#10;BgEAAA8AAAAAAAAAAQAgAAAAIgAAAGRycy9kb3ducmV2LnhtbFBLAQIUABQAAAAIAIdO4kDxthgQ&#10;6AEAAN0DAAAOAAAAAAAAAAEAIAAAACMBAABkcnMvZTJvRG9jLnhtbFBLBQYAAAAABgAGAFkBAAB9&#10;BQAAAAA=&#10;">
                <v:fill on="f" focussize="0,0"/>
                <v:stroke color="#000000" joinstyle="round"/>
                <v:imagedata o:title=""/>
                <o:lock v:ext="edit" aspectratio="f"/>
              </v:line>
            </w:pict>
          </mc:Fallback>
        </mc:AlternateConten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6" w:type="first"/>
          <w:headerReference r:id="rId5" w:type="default"/>
          <w:footerReference r:id="rId7" w:type="default"/>
          <w:pgSz w:w="11906" w:h="16838"/>
          <w:pgMar w:top="1531" w:right="1417"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32"/>
        <w:spacing w:line="360" w:lineRule="auto"/>
        <w:jc w:val="center"/>
        <w:outlineLvl w:val="1"/>
        <w:rPr>
          <w:rFonts w:hAnsi="宋体" w:cs="宋体"/>
          <w:b/>
          <w:sz w:val="32"/>
          <w:szCs w:val="32"/>
        </w:rPr>
      </w:pPr>
      <w:bookmarkStart w:id="95" w:name="_Toc27483_WPSOffice_Level1"/>
      <w:bookmarkStart w:id="96" w:name="_Toc17646_WPSOffice_Level1"/>
    </w:p>
    <w:p>
      <w:pPr>
        <w:pStyle w:val="32"/>
        <w:spacing w:line="360" w:lineRule="auto"/>
        <w:jc w:val="center"/>
        <w:outlineLvl w:val="1"/>
        <w:rPr>
          <w:rFonts w:hAnsi="宋体" w:cs="宋体"/>
          <w:b/>
          <w:sz w:val="32"/>
          <w:szCs w:val="32"/>
        </w:rPr>
      </w:pPr>
      <w:r>
        <w:rPr>
          <w:rFonts w:hint="eastAsia" w:hAnsi="宋体" w:cs="宋体"/>
          <w:b/>
          <w:sz w:val="32"/>
          <w:szCs w:val="32"/>
        </w:rPr>
        <w:t>残疾人福利性单位声明函</w:t>
      </w:r>
      <w:bookmarkEnd w:id="95"/>
      <w:bookmarkEnd w:id="9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34"/>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53"/>
        <w:spacing w:line="360" w:lineRule="auto"/>
        <w:ind w:left="4788" w:leftChars="2280"/>
        <w:rPr>
          <w:rFonts w:ascii="宋体" w:hAnsi="宋体" w:cs="宋体"/>
          <w:sz w:val="24"/>
        </w:rPr>
      </w:pPr>
      <w:r>
        <w:rPr>
          <w:rFonts w:hint="eastAsia" w:ascii="宋体" w:hAnsi="宋体" w:cs="宋体"/>
          <w:sz w:val="24"/>
        </w:rPr>
        <w:t xml:space="preserve">       </w:t>
      </w:r>
    </w:p>
    <w:p>
      <w:pPr>
        <w:pStyle w:val="53"/>
        <w:spacing w:line="360" w:lineRule="auto"/>
        <w:ind w:left="4788" w:leftChars="2280"/>
        <w:rPr>
          <w:rFonts w:ascii="宋体" w:hAnsi="宋体"/>
          <w:sz w:val="24"/>
        </w:rPr>
      </w:pPr>
      <w:r>
        <w:rPr>
          <w:rFonts w:hint="eastAsia" w:ascii="宋体" w:hAnsi="宋体"/>
          <w:sz w:val="24"/>
        </w:rPr>
        <w:t>单位名称（盖章）：</w:t>
      </w:r>
    </w:p>
    <w:p>
      <w:pPr>
        <w:pStyle w:val="53"/>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ind w:left="0" w:leftChars="0" w:firstLine="0"/>
      </w:pPr>
    </w:p>
    <w:sectPr>
      <w:headerReference r:id="rId8" w:type="default"/>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源淏窪极潠极2.">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xBBX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BxBBXEAQAAjwMAAA4AAAAAAAAAAQAgAAAAHwEAAGRycy9lMm9Eb2MueG1s&#10;UEsFBgAAAAAGAAYAWQEAAFU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rFonts w:ascii="宋体" w:hAnsi="宋体" w:eastAsia="宋体"/>
        <w:b/>
        <w:color w:val="000000"/>
        <w:sz w:val="10"/>
        <w:u w:val="single"/>
      </w:rPr>
    </w:pPr>
    <w:r>
      <w:rPr>
        <w:rFonts w:hint="eastAsia" w:ascii="宋体" w:hAnsi="宋体" w:eastAsia="宋体"/>
        <w:b/>
        <w:i/>
        <w:color w:val="000000"/>
        <w:kern w:val="0"/>
        <w:sz w:val="18"/>
        <w:u w:val="single"/>
        <w:lang w:val="en-US" w:eastAsia="zh-CN"/>
      </w:rPr>
      <w:t>三门县地表水水质自动</w:t>
    </w:r>
    <w:r>
      <w:rPr>
        <w:rFonts w:hint="eastAsia" w:ascii="宋体" w:hAnsi="宋体"/>
        <w:b/>
        <w:i/>
        <w:color w:val="000000"/>
        <w:kern w:val="0"/>
        <w:sz w:val="18"/>
        <w:u w:val="single"/>
        <w:lang w:val="en-US" w:eastAsia="zh-CN"/>
      </w:rPr>
      <w:t>监测</w:t>
    </w:r>
    <w:r>
      <w:rPr>
        <w:rFonts w:hint="eastAsia" w:ascii="宋体" w:hAnsi="宋体" w:eastAsia="宋体"/>
        <w:b/>
        <w:i/>
        <w:color w:val="000000"/>
        <w:kern w:val="0"/>
        <w:sz w:val="18"/>
        <w:u w:val="single"/>
        <w:lang w:val="en-US" w:eastAsia="zh-CN"/>
      </w:rPr>
      <w:t>系统建设项目</w:t>
    </w:r>
    <w:r>
      <w:rPr>
        <w:rFonts w:hint="eastAsia" w:ascii="宋体" w:hAnsi="宋体" w:eastAsia="宋体"/>
        <w:b/>
        <w:i/>
        <w:color w:val="000000"/>
        <w:kern w:val="0"/>
        <w:sz w:val="18"/>
        <w:u w:val="single"/>
      </w:rPr>
      <w:t xml:space="preserve">                                                </w:t>
    </w:r>
    <w:r>
      <w:rPr>
        <w:rFonts w:hint="eastAsia" w:ascii="宋体" w:hAnsi="宋体" w:eastAsia="宋体"/>
        <w:b/>
        <w:i/>
        <w:color w:val="000000"/>
        <w:spacing w:val="-20"/>
        <w:kern w:val="0"/>
        <w:sz w:val="18"/>
        <w:u w:val="single"/>
      </w:rPr>
      <w:t xml:space="preserve">第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PAGE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1</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页 共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NUMPAGES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48</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 页</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rFonts w:ascii="宋体" w:hAnsi="宋体" w:eastAsia="宋体"/>
        <w:b/>
        <w:color w:val="000000"/>
        <w:sz w:val="10"/>
        <w:u w:val="single"/>
      </w:rPr>
    </w:pPr>
    <w:r>
      <w:rPr>
        <w:rFonts w:hint="eastAsia" w:ascii="宋体" w:hAnsi="宋体" w:eastAsia="宋体"/>
        <w:b/>
        <w:i/>
        <w:color w:val="000000"/>
        <w:kern w:val="0"/>
        <w:sz w:val="18"/>
        <w:u w:val="single"/>
        <w:lang w:val="en-US" w:eastAsia="zh-CN"/>
      </w:rPr>
      <w:t>三门县地表水水质自动</w:t>
    </w:r>
    <w:r>
      <w:rPr>
        <w:rFonts w:hint="eastAsia" w:ascii="宋体" w:hAnsi="宋体"/>
        <w:b/>
        <w:i/>
        <w:color w:val="000000"/>
        <w:kern w:val="0"/>
        <w:sz w:val="18"/>
        <w:u w:val="single"/>
        <w:lang w:val="en-US" w:eastAsia="zh-CN"/>
      </w:rPr>
      <w:t>监测</w:t>
    </w:r>
    <w:r>
      <w:rPr>
        <w:rFonts w:hint="eastAsia" w:ascii="宋体" w:hAnsi="宋体" w:eastAsia="宋体"/>
        <w:b/>
        <w:i/>
        <w:color w:val="000000"/>
        <w:kern w:val="0"/>
        <w:sz w:val="18"/>
        <w:u w:val="single"/>
        <w:lang w:val="en-US" w:eastAsia="zh-CN"/>
      </w:rPr>
      <w:t>系统建设项目</w:t>
    </w:r>
    <w:r>
      <w:rPr>
        <w:rFonts w:hint="eastAsia" w:ascii="宋体" w:hAnsi="宋体" w:eastAsia="宋体"/>
        <w:b/>
        <w:i/>
        <w:color w:val="000000"/>
        <w:kern w:val="0"/>
        <w:sz w:val="18"/>
        <w:u w:val="single"/>
      </w:rPr>
      <w:t xml:space="preserve">                                                </w:t>
    </w:r>
    <w:r>
      <w:rPr>
        <w:rFonts w:hint="eastAsia" w:ascii="宋体" w:hAnsi="宋体" w:eastAsia="宋体"/>
        <w:b/>
        <w:i/>
        <w:color w:val="000000"/>
        <w:spacing w:val="-20"/>
        <w:kern w:val="0"/>
        <w:sz w:val="18"/>
        <w:u w:val="single"/>
      </w:rPr>
      <w:t xml:space="preserve">第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PAGE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65</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页 共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NUMPAGES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48</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 页</w:t>
    </w:r>
  </w:p>
  <w:p>
    <w:pPr>
      <w:spacing w:line="20" w:lineRule="atLeast"/>
      <w:rPr>
        <w:b/>
        <w:i w:val="0"/>
        <w:iCs/>
        <w:color w:val="000000"/>
        <w:sz w:val="10"/>
        <w:u w:val="single"/>
      </w:rPr>
    </w:pP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rFonts w:ascii="宋体" w:hAnsi="宋体" w:eastAsia="宋体"/>
        <w:b/>
        <w:color w:val="000000"/>
        <w:sz w:val="10"/>
        <w:u w:val="single"/>
      </w:rPr>
    </w:pPr>
    <w:r>
      <w:rPr>
        <w:rFonts w:hint="eastAsia" w:ascii="宋体" w:hAnsi="宋体" w:eastAsia="宋体"/>
        <w:b/>
        <w:i/>
        <w:color w:val="000000"/>
        <w:kern w:val="0"/>
        <w:sz w:val="18"/>
        <w:u w:val="single"/>
        <w:lang w:val="en-US" w:eastAsia="zh-CN"/>
      </w:rPr>
      <w:t>三门县地表水水质</w:t>
    </w:r>
    <w:r>
      <w:rPr>
        <w:rFonts w:hint="eastAsia" w:ascii="宋体" w:hAnsi="宋体"/>
        <w:b/>
        <w:i/>
        <w:color w:val="000000"/>
        <w:kern w:val="0"/>
        <w:sz w:val="18"/>
        <w:u w:val="single"/>
        <w:lang w:val="en-US" w:eastAsia="zh-CN"/>
      </w:rPr>
      <w:t>自动监测系统</w:t>
    </w:r>
    <w:r>
      <w:rPr>
        <w:rFonts w:hint="eastAsia" w:ascii="宋体" w:hAnsi="宋体" w:eastAsia="宋体"/>
        <w:b/>
        <w:i/>
        <w:color w:val="000000"/>
        <w:kern w:val="0"/>
        <w:sz w:val="18"/>
        <w:u w:val="single"/>
        <w:lang w:val="en-US" w:eastAsia="zh-CN"/>
      </w:rPr>
      <w:t>建设项目</w:t>
    </w:r>
    <w:r>
      <w:rPr>
        <w:rFonts w:hint="eastAsia" w:ascii="宋体" w:hAnsi="宋体" w:eastAsia="宋体"/>
        <w:b/>
        <w:i/>
        <w:color w:val="000000"/>
        <w:kern w:val="0"/>
        <w:sz w:val="18"/>
        <w:u w:val="single"/>
      </w:rPr>
      <w:t xml:space="preserve">                                  </w:t>
    </w:r>
    <w:r>
      <w:rPr>
        <w:rFonts w:hint="eastAsia" w:ascii="宋体" w:hAnsi="宋体" w:eastAsia="宋体"/>
        <w:b/>
        <w:i/>
        <w:color w:val="000000"/>
        <w:kern w:val="0"/>
        <w:sz w:val="18"/>
        <w:u w:val="single"/>
        <w:lang w:val="en-US" w:eastAsia="zh-CN"/>
      </w:rPr>
      <w:t xml:space="preserve"> </w:t>
    </w:r>
    <w:r>
      <w:rPr>
        <w:rFonts w:hint="eastAsia" w:ascii="宋体" w:hAnsi="宋体" w:eastAsia="宋体"/>
        <w:b/>
        <w:i/>
        <w:color w:val="000000"/>
        <w:kern w:val="0"/>
        <w:sz w:val="18"/>
        <w:u w:val="single"/>
      </w:rPr>
      <w:t xml:space="preserve">        </w:t>
    </w:r>
    <w:r>
      <w:rPr>
        <w:rFonts w:hint="eastAsia" w:ascii="宋体" w:hAnsi="宋体" w:eastAsia="宋体"/>
        <w:b/>
        <w:i/>
        <w:color w:val="000000"/>
        <w:spacing w:val="-20"/>
        <w:kern w:val="0"/>
        <w:sz w:val="18"/>
        <w:u w:val="single"/>
      </w:rPr>
      <w:t xml:space="preserve">第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PAGE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18</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页 共 </w:t>
    </w:r>
    <w:r>
      <w:rPr>
        <w:rFonts w:ascii="宋体" w:hAnsi="宋体" w:eastAsia="宋体"/>
        <w:b/>
        <w:i/>
        <w:color w:val="000000"/>
        <w:spacing w:val="-20"/>
        <w:kern w:val="0"/>
        <w:sz w:val="18"/>
        <w:u w:val="single"/>
      </w:rPr>
      <w:fldChar w:fldCharType="begin"/>
    </w:r>
    <w:r>
      <w:rPr>
        <w:rFonts w:ascii="宋体" w:hAnsi="宋体" w:eastAsia="宋体"/>
        <w:b/>
        <w:i/>
        <w:color w:val="000000"/>
        <w:spacing w:val="-20"/>
        <w:kern w:val="0"/>
        <w:sz w:val="18"/>
        <w:u w:val="single"/>
      </w:rPr>
      <w:instrText xml:space="preserve"> NUMPAGES </w:instrText>
    </w:r>
    <w:r>
      <w:rPr>
        <w:rFonts w:ascii="宋体" w:hAnsi="宋体" w:eastAsia="宋体"/>
        <w:b/>
        <w:i/>
        <w:color w:val="000000"/>
        <w:spacing w:val="-20"/>
        <w:kern w:val="0"/>
        <w:sz w:val="18"/>
        <w:u w:val="single"/>
      </w:rPr>
      <w:fldChar w:fldCharType="separate"/>
    </w:r>
    <w:r>
      <w:rPr>
        <w:rFonts w:ascii="宋体" w:hAnsi="宋体" w:eastAsia="宋体"/>
        <w:b/>
        <w:i/>
        <w:color w:val="000000"/>
        <w:spacing w:val="-20"/>
        <w:kern w:val="0"/>
        <w:sz w:val="18"/>
        <w:u w:val="single"/>
      </w:rPr>
      <w:t>48</w:t>
    </w:r>
    <w:r>
      <w:rPr>
        <w:rFonts w:ascii="宋体" w:hAnsi="宋体" w:eastAsia="宋体"/>
        <w:b/>
        <w:i/>
        <w:color w:val="000000"/>
        <w:spacing w:val="-20"/>
        <w:kern w:val="0"/>
        <w:sz w:val="18"/>
        <w:u w:val="single"/>
      </w:rPr>
      <w:fldChar w:fldCharType="end"/>
    </w:r>
    <w:r>
      <w:rPr>
        <w:rFonts w:hint="eastAsia" w:ascii="宋体" w:hAnsi="宋体" w:eastAsia="宋体"/>
        <w:b/>
        <w:i/>
        <w:color w:val="000000"/>
        <w:spacing w:val="-20"/>
        <w:kern w:val="0"/>
        <w:sz w:val="18"/>
        <w:u w:val="single"/>
      </w:rPr>
      <w:t xml:space="preserve"> 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75F94"/>
    <w:multiLevelType w:val="singleLevel"/>
    <w:tmpl w:val="9F675F94"/>
    <w:lvl w:ilvl="0" w:tentative="0">
      <w:start w:val="1"/>
      <w:numFmt w:val="chineseCounting"/>
      <w:suff w:val="nothing"/>
      <w:lvlText w:val="（%1）"/>
      <w:lvlJc w:val="left"/>
      <w:rPr>
        <w:rFonts w:hint="eastAsia"/>
      </w:rPr>
    </w:lvl>
  </w:abstractNum>
  <w:abstractNum w:abstractNumId="1">
    <w:nsid w:val="E1A7175D"/>
    <w:multiLevelType w:val="singleLevel"/>
    <w:tmpl w:val="E1A7175D"/>
    <w:lvl w:ilvl="0" w:tentative="0">
      <w:start w:val="1"/>
      <w:numFmt w:val="chineseCounting"/>
      <w:suff w:val="nothing"/>
      <w:lvlText w:val="（%1）"/>
      <w:lvlJc w:val="left"/>
      <w:pPr>
        <w:ind w:left="-420" w:firstLine="420"/>
      </w:pPr>
      <w:rPr>
        <w:rFonts w:hint="eastAsia"/>
      </w:rPr>
    </w:lvl>
  </w:abstractNum>
  <w:abstractNum w:abstractNumId="2">
    <w:nsid w:val="00000008"/>
    <w:multiLevelType w:val="singleLevel"/>
    <w:tmpl w:val="00000008"/>
    <w:lvl w:ilvl="0" w:tentative="0">
      <w:start w:val="1"/>
      <w:numFmt w:val="chineseCounting"/>
      <w:suff w:val="nothing"/>
      <w:lvlText w:val="（%1）"/>
      <w:lvlJc w:val="left"/>
      <w:rPr>
        <w:rFonts w:hint="eastAsia"/>
      </w:rPr>
    </w:lvl>
  </w:abstractNum>
  <w:abstractNum w:abstractNumId="3">
    <w:nsid w:val="00000009"/>
    <w:multiLevelType w:val="singleLevel"/>
    <w:tmpl w:val="00000009"/>
    <w:lvl w:ilvl="0" w:tentative="0">
      <w:start w:val="1"/>
      <w:numFmt w:val="decimal"/>
      <w:lvlText w:val="%1."/>
      <w:lvlJc w:val="left"/>
      <w:pPr>
        <w:ind w:left="425" w:hanging="425"/>
      </w:pPr>
      <w:rPr>
        <w:rFonts w:hint="default"/>
      </w:rPr>
    </w:lvl>
  </w:abstractNum>
  <w:abstractNum w:abstractNumId="4">
    <w:nsid w:val="0000000A"/>
    <w:multiLevelType w:val="singleLevel"/>
    <w:tmpl w:val="0000000A"/>
    <w:lvl w:ilvl="0" w:tentative="0">
      <w:start w:val="1"/>
      <w:numFmt w:val="decimal"/>
      <w:pStyle w:val="8"/>
      <w:lvlText w:val="%1."/>
      <w:lvlJc w:val="left"/>
      <w:pPr>
        <w:tabs>
          <w:tab w:val="left" w:pos="360"/>
        </w:tabs>
        <w:ind w:left="360" w:hanging="360"/>
      </w:pPr>
    </w:lvl>
  </w:abstractNum>
  <w:abstractNum w:abstractNumId="5">
    <w:nsid w:val="0000000B"/>
    <w:multiLevelType w:val="singleLevel"/>
    <w:tmpl w:val="0000000B"/>
    <w:lvl w:ilvl="0" w:tentative="0">
      <w:start w:val="2"/>
      <w:numFmt w:val="chineseCounting"/>
      <w:suff w:val="space"/>
      <w:lvlText w:val="第%1章"/>
      <w:lvlJc w:val="left"/>
      <w:rPr>
        <w:rFonts w:hint="eastAsia"/>
      </w:rPr>
    </w:lvl>
  </w:abstractNum>
  <w:abstractNum w:abstractNumId="6">
    <w:nsid w:val="0000000D"/>
    <w:multiLevelType w:val="singleLevel"/>
    <w:tmpl w:val="0000000D"/>
    <w:lvl w:ilvl="0" w:tentative="0">
      <w:start w:val="1"/>
      <w:numFmt w:val="decimal"/>
      <w:lvlText w:val="%1."/>
      <w:lvlJc w:val="left"/>
      <w:pPr>
        <w:ind w:left="425" w:hanging="425"/>
      </w:pPr>
      <w:rPr>
        <w:rFonts w:hint="default"/>
      </w:rPr>
    </w:lvl>
  </w:abstractNum>
  <w:abstractNum w:abstractNumId="7">
    <w:nsid w:val="0000000E"/>
    <w:multiLevelType w:val="multilevel"/>
    <w:tmpl w:val="0000000E"/>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1"/>
      <w:suff w:val="nothing"/>
      <w:lvlText w:val="图%1-%9  "/>
      <w:lvlJc w:val="left"/>
      <w:pPr>
        <w:ind w:left="5102" w:hanging="1700"/>
      </w:pPr>
      <w:rPr>
        <w:rFonts w:hint="eastAsia"/>
      </w:rPr>
    </w:lvl>
  </w:abstractNum>
  <w:abstractNum w:abstractNumId="8">
    <w:nsid w:val="0000000F"/>
    <w:multiLevelType w:val="singleLevel"/>
    <w:tmpl w:val="0000000F"/>
    <w:lvl w:ilvl="0" w:tentative="0">
      <w:start w:val="1"/>
      <w:numFmt w:val="chineseCounting"/>
      <w:suff w:val="space"/>
      <w:lvlText w:val="第%1章"/>
      <w:lvlJc w:val="left"/>
      <w:rPr>
        <w:rFonts w:hint="eastAsia"/>
      </w:rPr>
    </w:lvl>
  </w:abstractNum>
  <w:abstractNum w:abstractNumId="9">
    <w:nsid w:val="00000010"/>
    <w:multiLevelType w:val="singleLevel"/>
    <w:tmpl w:val="00000010"/>
    <w:lvl w:ilvl="0" w:tentative="0">
      <w:start w:val="1"/>
      <w:numFmt w:val="chineseCounting"/>
      <w:suff w:val="nothing"/>
      <w:lvlText w:val="%1、"/>
      <w:lvlJc w:val="left"/>
      <w:rPr>
        <w:rFonts w:hint="eastAsia"/>
      </w:rPr>
    </w:lvl>
  </w:abstractNum>
  <w:abstractNum w:abstractNumId="10">
    <w:nsid w:val="00000011"/>
    <w:multiLevelType w:val="singleLevel"/>
    <w:tmpl w:val="00000011"/>
    <w:lvl w:ilvl="0" w:tentative="0">
      <w:start w:val="1"/>
      <w:numFmt w:val="decimal"/>
      <w:lvlText w:val="%1."/>
      <w:lvlJc w:val="left"/>
      <w:pPr>
        <w:ind w:left="425" w:hanging="425"/>
      </w:pPr>
      <w:rPr>
        <w:rFonts w:hint="default"/>
      </w:rPr>
    </w:lvl>
  </w:abstractNum>
  <w:abstractNum w:abstractNumId="11">
    <w:nsid w:val="01720EED"/>
    <w:multiLevelType w:val="multilevel"/>
    <w:tmpl w:val="01720EED"/>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D156E18"/>
    <w:multiLevelType w:val="multilevel"/>
    <w:tmpl w:val="1D156E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9265D5"/>
    <w:multiLevelType w:val="multilevel"/>
    <w:tmpl w:val="1F9265D5"/>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617E32"/>
    <w:multiLevelType w:val="multilevel"/>
    <w:tmpl w:val="27617E32"/>
    <w:lvl w:ilvl="0" w:tentative="0">
      <w:start w:val="1"/>
      <w:numFmt w:val="decimal"/>
      <w:lvlText w:val="%1）"/>
      <w:lvlJc w:val="left"/>
      <w:pPr>
        <w:ind w:left="420" w:hanging="420"/>
      </w:pPr>
      <w:rPr>
        <w:rFonts w:hint="default" w:ascii="Times New Roman" w:hAnsi="Times New Roman" w:cs="Times New Roman"/>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BA4D63"/>
    <w:multiLevelType w:val="multilevel"/>
    <w:tmpl w:val="2EBA4D63"/>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881C7B"/>
    <w:multiLevelType w:val="multilevel"/>
    <w:tmpl w:val="3B881C7B"/>
    <w:lvl w:ilvl="0" w:tentative="0">
      <w:start w:val="1"/>
      <w:numFmt w:val="decimal"/>
      <w:lvlText w:val="%1）"/>
      <w:lvlJc w:val="left"/>
      <w:pPr>
        <w:ind w:left="562"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354274B"/>
    <w:multiLevelType w:val="multilevel"/>
    <w:tmpl w:val="4354274B"/>
    <w:lvl w:ilvl="0" w:tentative="0">
      <w:start w:val="1"/>
      <w:numFmt w:val="decimal"/>
      <w:lvlText w:val="%1）"/>
      <w:lvlJc w:val="left"/>
      <w:pPr>
        <w:ind w:left="562"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CE7821"/>
    <w:multiLevelType w:val="multilevel"/>
    <w:tmpl w:val="47CE7821"/>
    <w:lvl w:ilvl="0" w:tentative="0">
      <w:start w:val="1"/>
      <w:numFmt w:val="decimal"/>
      <w:lvlText w:val="%1）"/>
      <w:lvlJc w:val="left"/>
      <w:pPr>
        <w:ind w:left="562"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4B78AA"/>
    <w:multiLevelType w:val="multilevel"/>
    <w:tmpl w:val="494B78AA"/>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decimal"/>
      <w:lvlText w:val="%2、"/>
      <w:lvlJc w:val="left"/>
      <w:pPr>
        <w:ind w:left="8156"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2C1A04"/>
    <w:multiLevelType w:val="multilevel"/>
    <w:tmpl w:val="4F2C1A04"/>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FB10649"/>
    <w:multiLevelType w:val="multilevel"/>
    <w:tmpl w:val="4FB10649"/>
    <w:lvl w:ilvl="0" w:tentative="0">
      <w:start w:val="1"/>
      <w:numFmt w:val="decimal"/>
      <w:lvlText w:val="%1）"/>
      <w:lvlJc w:val="left"/>
      <w:pPr>
        <w:ind w:left="1838" w:hanging="420"/>
      </w:pPr>
      <w:rPr>
        <w:rFonts w:hint="default" w:ascii="Times New Roman" w:hAnsi="Times New Roman" w:cs="Times New Roman"/>
        <w:sz w:val="24"/>
        <w:szCs w:val="24"/>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2">
    <w:nsid w:val="5B953CA4"/>
    <w:multiLevelType w:val="multilevel"/>
    <w:tmpl w:val="5B953CA4"/>
    <w:lvl w:ilvl="0" w:tentative="0">
      <w:start w:val="1"/>
      <w:numFmt w:val="decimal"/>
      <w:lvlText w:val="%1）"/>
      <w:lvlJc w:val="left"/>
      <w:pPr>
        <w:ind w:left="420" w:hanging="420"/>
      </w:pPr>
      <w:rPr>
        <w:rFonts w:hint="default" w:ascii="Times New Roman" w:hAnsi="Times New Roman"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D796FD"/>
    <w:multiLevelType w:val="singleLevel"/>
    <w:tmpl w:val="62D796FD"/>
    <w:lvl w:ilvl="0" w:tentative="0">
      <w:start w:val="1"/>
      <w:numFmt w:val="decimal"/>
      <w:suff w:val="nothing"/>
      <w:lvlText w:val="%1."/>
      <w:lvlJc w:val="left"/>
    </w:lvl>
  </w:abstractNum>
  <w:abstractNum w:abstractNumId="24">
    <w:nsid w:val="656A4FA5"/>
    <w:multiLevelType w:val="multilevel"/>
    <w:tmpl w:val="656A4FA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F8A5542"/>
    <w:multiLevelType w:val="multilevel"/>
    <w:tmpl w:val="6F8A5542"/>
    <w:lvl w:ilvl="0" w:tentative="0">
      <w:start w:val="1"/>
      <w:numFmt w:val="decimal"/>
      <w:lvlText w:val="%1）"/>
      <w:lvlJc w:val="left"/>
      <w:pPr>
        <w:ind w:left="1696"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8"/>
  </w:num>
  <w:num w:numId="4">
    <w:abstractNumId w:val="5"/>
  </w:num>
  <w:num w:numId="5">
    <w:abstractNumId w:val="9"/>
  </w:num>
  <w:num w:numId="6">
    <w:abstractNumId w:val="2"/>
  </w:num>
  <w:num w:numId="7">
    <w:abstractNumId w:val="1"/>
  </w:num>
  <w:num w:numId="8">
    <w:abstractNumId w:val="0"/>
  </w:num>
  <w:num w:numId="9">
    <w:abstractNumId w:val="12"/>
  </w:num>
  <w:num w:numId="10">
    <w:abstractNumId w:val="24"/>
  </w:num>
  <w:num w:numId="11">
    <w:abstractNumId w:val="13"/>
  </w:num>
  <w:num w:numId="12">
    <w:abstractNumId w:val="15"/>
  </w:num>
  <w:num w:numId="13">
    <w:abstractNumId w:val="22"/>
  </w:num>
  <w:num w:numId="14">
    <w:abstractNumId w:val="19"/>
  </w:num>
  <w:num w:numId="15">
    <w:abstractNumId w:val="20"/>
  </w:num>
  <w:num w:numId="16">
    <w:abstractNumId w:val="14"/>
  </w:num>
  <w:num w:numId="17">
    <w:abstractNumId w:val="21"/>
  </w:num>
  <w:num w:numId="18">
    <w:abstractNumId w:val="16"/>
  </w:num>
  <w:num w:numId="19">
    <w:abstractNumId w:val="17"/>
  </w:num>
  <w:num w:numId="20">
    <w:abstractNumId w:val="25"/>
  </w:num>
  <w:num w:numId="21">
    <w:abstractNumId w:val="18"/>
  </w:num>
  <w:num w:numId="22">
    <w:abstractNumId w:val="11"/>
  </w:num>
  <w:num w:numId="23">
    <w:abstractNumId w:val="23"/>
  </w:num>
  <w:num w:numId="24">
    <w:abstractNumId w:val="3"/>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WIzZDY4ZjA4MjdhYTFhOTAyNzdhYzFmYmJiNTgifQ=="/>
  </w:docVars>
  <w:rsids>
    <w:rsidRoot w:val="007472C9"/>
    <w:rsid w:val="00082F0B"/>
    <w:rsid w:val="000877E6"/>
    <w:rsid w:val="000A0B85"/>
    <w:rsid w:val="002651A7"/>
    <w:rsid w:val="003056EE"/>
    <w:rsid w:val="00315D25"/>
    <w:rsid w:val="00364E65"/>
    <w:rsid w:val="003822FA"/>
    <w:rsid w:val="003F24C0"/>
    <w:rsid w:val="0059282E"/>
    <w:rsid w:val="005C5F7A"/>
    <w:rsid w:val="00636211"/>
    <w:rsid w:val="006B5AB3"/>
    <w:rsid w:val="006C5F31"/>
    <w:rsid w:val="00722CEC"/>
    <w:rsid w:val="007373FD"/>
    <w:rsid w:val="007472C9"/>
    <w:rsid w:val="007B5890"/>
    <w:rsid w:val="00821E98"/>
    <w:rsid w:val="008A430A"/>
    <w:rsid w:val="00945B93"/>
    <w:rsid w:val="00A0740F"/>
    <w:rsid w:val="00A86566"/>
    <w:rsid w:val="00AB0A19"/>
    <w:rsid w:val="00AE37FF"/>
    <w:rsid w:val="00B64FF8"/>
    <w:rsid w:val="00BA1E52"/>
    <w:rsid w:val="00C23A01"/>
    <w:rsid w:val="00C30B50"/>
    <w:rsid w:val="00C42E56"/>
    <w:rsid w:val="00C52CBF"/>
    <w:rsid w:val="00CB2B6C"/>
    <w:rsid w:val="00D062BA"/>
    <w:rsid w:val="00DB23F5"/>
    <w:rsid w:val="00E30E80"/>
    <w:rsid w:val="00E87A2F"/>
    <w:rsid w:val="00ED5380"/>
    <w:rsid w:val="00ED5671"/>
    <w:rsid w:val="00F77CB0"/>
    <w:rsid w:val="00FF1113"/>
    <w:rsid w:val="020829D3"/>
    <w:rsid w:val="04B90C24"/>
    <w:rsid w:val="056D353A"/>
    <w:rsid w:val="08C74A09"/>
    <w:rsid w:val="0A7207AD"/>
    <w:rsid w:val="0BEB4EC7"/>
    <w:rsid w:val="0DC87BD6"/>
    <w:rsid w:val="0F442E66"/>
    <w:rsid w:val="0F8D19AC"/>
    <w:rsid w:val="10581D59"/>
    <w:rsid w:val="12EF17C1"/>
    <w:rsid w:val="1C1A06B8"/>
    <w:rsid w:val="1C6A2A78"/>
    <w:rsid w:val="1C8B082C"/>
    <w:rsid w:val="1FCC20CE"/>
    <w:rsid w:val="20CC5445"/>
    <w:rsid w:val="20F22A8F"/>
    <w:rsid w:val="2650703D"/>
    <w:rsid w:val="29AD0EDB"/>
    <w:rsid w:val="29FB6446"/>
    <w:rsid w:val="2ADF61EF"/>
    <w:rsid w:val="2E10632D"/>
    <w:rsid w:val="376C4372"/>
    <w:rsid w:val="3A8A493A"/>
    <w:rsid w:val="3ADE4F71"/>
    <w:rsid w:val="3BC93B9E"/>
    <w:rsid w:val="404148A9"/>
    <w:rsid w:val="430114B8"/>
    <w:rsid w:val="43C32199"/>
    <w:rsid w:val="48910824"/>
    <w:rsid w:val="49DB6D62"/>
    <w:rsid w:val="4B513C92"/>
    <w:rsid w:val="4C7E092F"/>
    <w:rsid w:val="4EC107EB"/>
    <w:rsid w:val="506238BC"/>
    <w:rsid w:val="50851952"/>
    <w:rsid w:val="510E2990"/>
    <w:rsid w:val="54CE376B"/>
    <w:rsid w:val="560A6202"/>
    <w:rsid w:val="56164168"/>
    <w:rsid w:val="5859511D"/>
    <w:rsid w:val="59163B46"/>
    <w:rsid w:val="594901F1"/>
    <w:rsid w:val="5ADB64E9"/>
    <w:rsid w:val="61F124E4"/>
    <w:rsid w:val="64FD6323"/>
    <w:rsid w:val="65847ABF"/>
    <w:rsid w:val="6652749A"/>
    <w:rsid w:val="66C271DE"/>
    <w:rsid w:val="695759AE"/>
    <w:rsid w:val="6A63558F"/>
    <w:rsid w:val="6CDA4317"/>
    <w:rsid w:val="70EB149B"/>
    <w:rsid w:val="7A2A14D4"/>
    <w:rsid w:val="7AAB45D4"/>
    <w:rsid w:val="7BBE0E7E"/>
    <w:rsid w:val="7C2D7641"/>
    <w:rsid w:val="7DF23AC8"/>
    <w:rsid w:val="7ED921D6"/>
    <w:rsid w:val="7F3631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68"/>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1"/>
    <w:qFormat/>
    <w:uiPriority w:val="0"/>
    <w:pPr>
      <w:spacing w:after="156" w:afterLines="0"/>
      <w:ind w:firstLine="480"/>
    </w:pPr>
    <w:rPr>
      <w:sz w:val="24"/>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widowControl w:val="0"/>
      <w:spacing w:after="0"/>
      <w:ind w:firstLine="420"/>
      <w:jc w:val="both"/>
    </w:pPr>
    <w:rPr>
      <w:rFonts w:ascii="Times New Roman" w:hAnsi="Times New Roman" w:eastAsia="宋体" w:cs="Times New Roman"/>
      <w:kern w:val="2"/>
      <w:sz w:val="21"/>
      <w:szCs w:val="20"/>
      <w:lang w:val="en-US" w:eastAsia="zh-CN" w:bidi="ar-SA"/>
    </w:rPr>
  </w:style>
  <w:style w:type="paragraph" w:styleId="10">
    <w:name w:val="annotation text"/>
    <w:basedOn w:val="1"/>
    <w:link w:val="70"/>
    <w:qFormat/>
    <w:uiPriority w:val="0"/>
    <w:pPr>
      <w:jc w:val="left"/>
    </w:pPr>
  </w:style>
  <w:style w:type="paragraph" w:styleId="11">
    <w:name w:val="Body Text"/>
    <w:basedOn w:val="1"/>
    <w:next w:val="12"/>
    <w:qFormat/>
    <w:uiPriority w:val="0"/>
    <w:pPr>
      <w:spacing w:line="360" w:lineRule="exact"/>
    </w:pPr>
    <w:rPr>
      <w:sz w:val="24"/>
    </w:rPr>
  </w:style>
  <w:style w:type="paragraph" w:customStyle="1" w:styleId="12">
    <w:name w:val="Default"/>
    <w:next w:val="13"/>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1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Plain Text"/>
    <w:basedOn w:val="1"/>
    <w:qFormat/>
    <w:uiPriority w:val="0"/>
    <w:rPr>
      <w:rFonts w:ascii="宋体" w:hAnsi="Courier New"/>
    </w:rPr>
  </w:style>
  <w:style w:type="paragraph" w:styleId="15">
    <w:name w:val="Date"/>
    <w:basedOn w:val="1"/>
    <w:next w:val="1"/>
    <w:qFormat/>
    <w:uiPriority w:val="0"/>
    <w:pPr>
      <w:ind w:left="2500" w:leftChars="2500"/>
    </w:pPr>
    <w:rPr>
      <w:rFonts w:ascii="Calibri" w:hAnsi="Calibri" w:eastAsia="楷体_GB2312" w:cs="黑体"/>
      <w:sz w:val="32"/>
      <w:szCs w:val="22"/>
    </w:rPr>
  </w:style>
  <w:style w:type="paragraph" w:styleId="16">
    <w:name w:val="Body Text Indent 2"/>
    <w:basedOn w:val="1"/>
    <w:next w:val="1"/>
    <w:qFormat/>
    <w:uiPriority w:val="0"/>
    <w:pPr>
      <w:ind w:left="1436" w:leftChars="684"/>
    </w:pPr>
    <w:rPr>
      <w:sz w:val="24"/>
    </w:rPr>
  </w:style>
  <w:style w:type="paragraph" w:styleId="17">
    <w:name w:val="Balloon Text"/>
    <w:basedOn w:val="1"/>
    <w:link w:val="73"/>
    <w:qFormat/>
    <w:uiPriority w:val="0"/>
    <w:rPr>
      <w:sz w:val="18"/>
      <w:szCs w:val="18"/>
    </w:rPr>
  </w:style>
  <w:style w:type="paragraph" w:styleId="18">
    <w:name w:val="footer"/>
    <w:basedOn w:val="1"/>
    <w:next w:val="1"/>
    <w:link w:val="74"/>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spacing w:line="360" w:lineRule="auto"/>
      <w:ind w:left="420" w:leftChars="200" w:right="420" w:rightChars="200"/>
    </w:pPr>
    <w:rPr>
      <w:rFonts w:ascii="宋体" w:hAnsi="宋体"/>
      <w:sz w:val="24"/>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Normal (Web)"/>
    <w:basedOn w:val="1"/>
    <w:qFormat/>
    <w:uiPriority w:val="0"/>
    <w:pPr>
      <w:widowControl/>
      <w:spacing w:before="100" w:beforeAutospacing="1" w:after="100" w:afterAutospacing="1"/>
      <w:ind w:left="0" w:right="0"/>
      <w:jc w:val="left"/>
    </w:pPr>
    <w:rPr>
      <w:rFonts w:ascii="宋体" w:eastAsia="宋体" w:cs="Times New Roman"/>
      <w:kern w:val="0"/>
      <w:sz w:val="24"/>
      <w:szCs w:val="22"/>
      <w:lang w:val="en-US" w:eastAsia="zh-CN" w:bidi="ar-SA"/>
    </w:rPr>
  </w:style>
  <w:style w:type="paragraph" w:styleId="23">
    <w:name w:val="Title"/>
    <w:basedOn w:val="1"/>
    <w:next w:val="1"/>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zh-CN"/>
    </w:rPr>
  </w:style>
  <w:style w:type="paragraph" w:styleId="24">
    <w:name w:val="Body Text First Indent"/>
    <w:basedOn w:val="11"/>
    <w:next w:val="21"/>
    <w:qFormat/>
    <w:uiPriority w:val="0"/>
    <w:pPr>
      <w:ind w:firstLine="20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0">
    <w:name w:val="正文缩进1"/>
    <w:basedOn w:val="1"/>
    <w:link w:val="69"/>
    <w:qFormat/>
    <w:uiPriority w:val="0"/>
    <w:pPr>
      <w:ind w:firstLine="420"/>
    </w:pPr>
    <w:rPr>
      <w:szCs w:val="20"/>
    </w:rPr>
  </w:style>
  <w:style w:type="paragraph" w:customStyle="1" w:styleId="31">
    <w:name w:val="正文文本缩进1"/>
    <w:basedOn w:val="1"/>
    <w:next w:val="1"/>
    <w:link w:val="71"/>
    <w:qFormat/>
    <w:uiPriority w:val="0"/>
    <w:pPr>
      <w:spacing w:after="120"/>
      <w:ind w:left="420" w:leftChars="200"/>
    </w:pPr>
  </w:style>
  <w:style w:type="paragraph" w:customStyle="1" w:styleId="32">
    <w:name w:val="纯文本1"/>
    <w:basedOn w:val="1"/>
    <w:next w:val="33"/>
    <w:link w:val="72"/>
    <w:qFormat/>
    <w:uiPriority w:val="0"/>
    <w:rPr>
      <w:rFonts w:ascii="宋体" w:hAnsi="Courier New"/>
    </w:rPr>
  </w:style>
  <w:style w:type="paragraph" w:customStyle="1" w:styleId="33">
    <w:name w:val="日期1"/>
    <w:basedOn w:val="1"/>
    <w:next w:val="1"/>
    <w:qFormat/>
    <w:uiPriority w:val="0"/>
    <w:pPr>
      <w:ind w:left="2500" w:leftChars="2500"/>
    </w:pPr>
    <w:rPr>
      <w:rFonts w:ascii="Calibri" w:hAnsi="Calibri" w:eastAsia="楷体_GB2312" w:cs="黑体"/>
      <w:sz w:val="32"/>
      <w:szCs w:val="22"/>
    </w:rPr>
  </w:style>
  <w:style w:type="paragraph" w:customStyle="1" w:styleId="34">
    <w:name w:val="正文首行缩进 21"/>
    <w:basedOn w:val="31"/>
    <w:link w:val="75"/>
    <w:qFormat/>
    <w:uiPriority w:val="0"/>
    <w:pPr>
      <w:ind w:firstLine="420"/>
    </w:pPr>
  </w:style>
  <w:style w:type="paragraph" w:customStyle="1" w:styleId="35">
    <w:name w:val="正文文本缩进 31"/>
    <w:basedOn w:val="1"/>
    <w:link w:val="76"/>
    <w:qFormat/>
    <w:uiPriority w:val="0"/>
    <w:pPr>
      <w:spacing w:after="120"/>
      <w:ind w:left="420" w:leftChars="200"/>
    </w:pPr>
    <w:rPr>
      <w:sz w:val="16"/>
      <w:szCs w:val="16"/>
    </w:rPr>
  </w:style>
  <w:style w:type="paragraph" w:customStyle="1" w:styleId="36">
    <w:name w:val="HTML 预设格式1"/>
    <w:basedOn w:val="1"/>
    <w:link w:val="7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7">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
    <w:name w:val="正文首行缩进1"/>
    <w:basedOn w:val="1"/>
    <w:qFormat/>
    <w:uiPriority w:val="0"/>
    <w:pPr>
      <w:ind w:firstLine="200" w:firstLineChars="200"/>
    </w:pPr>
  </w:style>
  <w:style w:type="paragraph" w:customStyle="1" w:styleId="39">
    <w:name w:val="无间隔1"/>
    <w:qFormat/>
    <w:uiPriority w:val="0"/>
    <w:pPr>
      <w:adjustRightInd w:val="0"/>
      <w:snapToGrid w:val="0"/>
    </w:pPr>
    <w:rPr>
      <w:rFonts w:ascii="Tahoma" w:hAnsi="Tahoma" w:eastAsia="微软雅黑" w:cs="黑体"/>
      <w:sz w:val="22"/>
      <w:szCs w:val="22"/>
      <w:lang w:val="en-US" w:eastAsia="zh-CN" w:bidi="ar-SA"/>
    </w:rPr>
  </w:style>
  <w:style w:type="paragraph" w:customStyle="1" w:styleId="40">
    <w:name w:val="列出段落1"/>
    <w:basedOn w:val="1"/>
    <w:qFormat/>
    <w:uiPriority w:val="0"/>
    <w:pPr>
      <w:ind w:firstLine="420" w:firstLineChars="200"/>
    </w:pPr>
    <w:rPr>
      <w:rFonts w:ascii="Calibri" w:hAnsi="Calibri"/>
      <w:szCs w:val="22"/>
    </w:rPr>
  </w:style>
  <w:style w:type="paragraph" w:customStyle="1" w:styleId="41">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黑体"/>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cs="黑体"/>
      <w:szCs w:val="21"/>
    </w:rPr>
  </w:style>
  <w:style w:type="paragraph" w:customStyle="1" w:styleId="50">
    <w:name w:val="纯文本_0_1"/>
    <w:basedOn w:val="1"/>
    <w:qFormat/>
    <w:uiPriority w:val="0"/>
    <w:pPr>
      <w:widowControl/>
      <w:jc w:val="left"/>
    </w:pPr>
    <w:rPr>
      <w:rFonts w:ascii="宋体" w:hAnsi="Courier New" w:cs="黑体"/>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纯文本1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0"/>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英文"/>
    <w:basedOn w:val="1"/>
    <w:link w:val="81"/>
    <w:qFormat/>
    <w:uiPriority w:val="0"/>
    <w:pPr>
      <w:adjustRightInd w:val="0"/>
      <w:snapToGrid w:val="0"/>
      <w:spacing w:line="360" w:lineRule="auto"/>
      <w:ind w:firstLine="480" w:firstLineChars="200"/>
    </w:pPr>
    <w:rPr>
      <w:rFonts w:ascii="Arial" w:hAnsi="Arial"/>
      <w:kern w:val="0"/>
      <w:sz w:val="24"/>
      <w:szCs w:val="20"/>
    </w:rPr>
  </w:style>
  <w:style w:type="paragraph" w:customStyle="1" w:styleId="61">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6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3">
    <w:name w:val="列出段落11"/>
    <w:basedOn w:val="1"/>
    <w:qFormat/>
    <w:uiPriority w:val="0"/>
    <w:pPr>
      <w:ind w:firstLine="420" w:firstLineChars="200"/>
    </w:pPr>
    <w:rPr>
      <w:rFonts w:ascii="Calibri" w:hAnsi="Calibri"/>
      <w:kern w:val="0"/>
      <w:szCs w:val="20"/>
    </w:rPr>
  </w:style>
  <w:style w:type="paragraph" w:customStyle="1" w:styleId="64">
    <w:name w:val="无间隔2"/>
    <w:qFormat/>
    <w:uiPriority w:val="0"/>
    <w:rPr>
      <w:rFonts w:ascii="Times New Roman" w:hAnsi="Times New Roman" w:eastAsia="??" w:cs="宋体"/>
      <w:sz w:val="22"/>
      <w:szCs w:val="22"/>
      <w:lang w:val="en-US" w:eastAsia="en-US" w:bidi="ar-SA"/>
    </w:rPr>
  </w:style>
  <w:style w:type="paragraph" w:customStyle="1" w:styleId="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4 Char"/>
    <w:link w:val="7"/>
    <w:semiHidden/>
    <w:qFormat/>
    <w:uiPriority w:val="0"/>
    <w:rPr>
      <w:rFonts w:ascii="Cambria" w:hAnsi="Cambria"/>
      <w:b/>
      <w:bCs/>
      <w:kern w:val="2"/>
      <w:sz w:val="28"/>
      <w:szCs w:val="28"/>
    </w:rPr>
  </w:style>
  <w:style w:type="character" w:customStyle="1" w:styleId="69">
    <w:name w:val="正文缩进 Char"/>
    <w:link w:val="30"/>
    <w:semiHidden/>
    <w:qFormat/>
    <w:uiPriority w:val="0"/>
    <w:rPr>
      <w:kern w:val="2"/>
      <w:sz w:val="21"/>
    </w:rPr>
  </w:style>
  <w:style w:type="character" w:customStyle="1" w:styleId="70">
    <w:name w:val="批注文字 Char"/>
    <w:link w:val="10"/>
    <w:semiHidden/>
    <w:qFormat/>
    <w:uiPriority w:val="0"/>
    <w:rPr>
      <w:kern w:val="2"/>
      <w:sz w:val="21"/>
      <w:szCs w:val="24"/>
    </w:rPr>
  </w:style>
  <w:style w:type="character" w:customStyle="1" w:styleId="71">
    <w:name w:val="正文文本缩进 Char"/>
    <w:link w:val="31"/>
    <w:semiHidden/>
    <w:qFormat/>
    <w:uiPriority w:val="0"/>
    <w:rPr>
      <w:kern w:val="2"/>
      <w:sz w:val="21"/>
      <w:szCs w:val="24"/>
    </w:rPr>
  </w:style>
  <w:style w:type="character" w:customStyle="1" w:styleId="72">
    <w:name w:val="纯文本 Char"/>
    <w:link w:val="32"/>
    <w:semiHidden/>
    <w:qFormat/>
    <w:uiPriority w:val="0"/>
    <w:rPr>
      <w:rFonts w:ascii="宋体" w:hAnsi="Courier New" w:cs="黑体"/>
      <w:kern w:val="2"/>
      <w:sz w:val="21"/>
      <w:szCs w:val="24"/>
    </w:rPr>
  </w:style>
  <w:style w:type="character" w:customStyle="1" w:styleId="73">
    <w:name w:val="批注框文本 Char"/>
    <w:link w:val="17"/>
    <w:semiHidden/>
    <w:qFormat/>
    <w:uiPriority w:val="0"/>
    <w:rPr>
      <w:kern w:val="2"/>
      <w:sz w:val="18"/>
      <w:szCs w:val="18"/>
    </w:rPr>
  </w:style>
  <w:style w:type="character" w:customStyle="1" w:styleId="74">
    <w:name w:val="页脚 Char"/>
    <w:link w:val="18"/>
    <w:semiHidden/>
    <w:qFormat/>
    <w:uiPriority w:val="0"/>
    <w:rPr>
      <w:kern w:val="2"/>
      <w:sz w:val="18"/>
      <w:szCs w:val="24"/>
    </w:rPr>
  </w:style>
  <w:style w:type="character" w:customStyle="1" w:styleId="75">
    <w:name w:val="正文首行缩进 2 Char"/>
    <w:link w:val="34"/>
    <w:semiHidden/>
    <w:qFormat/>
    <w:uiPriority w:val="0"/>
    <w:rPr>
      <w:kern w:val="2"/>
      <w:sz w:val="21"/>
      <w:szCs w:val="24"/>
    </w:rPr>
  </w:style>
  <w:style w:type="character" w:customStyle="1" w:styleId="76">
    <w:name w:val="正文文本缩进 3 Char"/>
    <w:link w:val="35"/>
    <w:semiHidden/>
    <w:qFormat/>
    <w:uiPriority w:val="0"/>
    <w:rPr>
      <w:kern w:val="2"/>
      <w:sz w:val="16"/>
      <w:szCs w:val="16"/>
    </w:rPr>
  </w:style>
  <w:style w:type="character" w:customStyle="1" w:styleId="77">
    <w:name w:val="HTML 预设格式 Char"/>
    <w:link w:val="36"/>
    <w:semiHidden/>
    <w:qFormat/>
    <w:uiPriority w:val="0"/>
    <w:rPr>
      <w:rFonts w:ascii="宋体" w:hAnsi="宋体"/>
      <w:sz w:val="24"/>
      <w:szCs w:val="24"/>
    </w:rPr>
  </w:style>
  <w:style w:type="character" w:customStyle="1" w:styleId="78">
    <w:name w:val="批注引用1"/>
    <w:qFormat/>
    <w:uiPriority w:val="0"/>
    <w:rPr>
      <w:sz w:val="21"/>
      <w:szCs w:val="21"/>
    </w:rPr>
  </w:style>
  <w:style w:type="character" w:customStyle="1" w:styleId="79">
    <w:name w:val="font21"/>
    <w:qFormat/>
    <w:uiPriority w:val="0"/>
    <w:rPr>
      <w:rFonts w:hint="default" w:ascii="Arial" w:hAnsi="Arial" w:cs="Arial"/>
      <w:color w:val="000000"/>
      <w:sz w:val="20"/>
      <w:szCs w:val="20"/>
      <w:u w:val="none"/>
    </w:rPr>
  </w:style>
  <w:style w:type="character" w:customStyle="1" w:styleId="80">
    <w:name w:val="font01"/>
    <w:qFormat/>
    <w:uiPriority w:val="0"/>
    <w:rPr>
      <w:rFonts w:hint="eastAsia" w:ascii="宋体" w:hAnsi="宋体" w:eastAsia="宋体" w:cs="宋体"/>
      <w:color w:val="000000"/>
      <w:sz w:val="20"/>
      <w:szCs w:val="20"/>
      <w:u w:val="none"/>
    </w:rPr>
  </w:style>
  <w:style w:type="character" w:customStyle="1" w:styleId="81">
    <w:name w:val="英文 Char Char"/>
    <w:link w:val="60"/>
    <w:semiHidden/>
    <w:qFormat/>
    <w:uiPriority w:val="0"/>
    <w:rPr>
      <w:rFonts w:ascii="Arial" w:hAnsi="Arial" w:cs="Arial"/>
      <w:sz w:val="24"/>
    </w:rPr>
  </w:style>
  <w:style w:type="character" w:customStyle="1" w:styleId="82">
    <w:name w:val="正文文本缩进 3 Char2"/>
    <w:qFormat/>
    <w:uiPriority w:val="0"/>
    <w:rPr>
      <w:kern w:val="2"/>
      <w:sz w:val="16"/>
      <w:szCs w:val="16"/>
    </w:rPr>
  </w:style>
  <w:style w:type="character" w:customStyle="1" w:styleId="83">
    <w:name w:val="qowt-font4"/>
    <w:basedOn w:val="27"/>
    <w:qFormat/>
    <w:uiPriority w:val="0"/>
  </w:style>
  <w:style w:type="character" w:customStyle="1" w:styleId="84">
    <w:name w:val="font3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32202</Words>
  <Characters>34247</Characters>
  <Lines>228</Lines>
  <Paragraphs>64</Paragraphs>
  <TotalTime>14</TotalTime>
  <ScaleCrop>false</ScaleCrop>
  <LinksUpToDate>false</LinksUpToDate>
  <CharactersWithSpaces>35633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Administrator</cp:lastModifiedBy>
  <cp:lastPrinted>2022-07-29T00:25:00Z</cp:lastPrinted>
  <dcterms:modified xsi:type="dcterms:W3CDTF">2022-07-29T07:21:24Z</dcterms:modified>
  <dc:title>我的电脑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5651D0312C414FF6AA36A6538D3E675F</vt:lpwstr>
  </property>
</Properties>
</file>