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5121A">
      <w:pPr>
        <w:autoSpaceDE w:val="0"/>
        <w:autoSpaceDN w:val="0"/>
        <w:adjustRightInd w:val="0"/>
        <w:spacing w:line="240" w:lineRule="atLeast"/>
        <w:ind w:right="924"/>
        <w:rPr>
          <w:rFonts w:ascii="宋体" w:hAnsi="宋体"/>
          <w:b/>
          <w:bCs/>
          <w:color w:val="000000" w:themeColor="text1"/>
          <w:kern w:val="0"/>
          <w:sz w:val="52"/>
          <w:szCs w:val="52"/>
          <w:highlight w:val="none"/>
          <w14:textFill>
            <w14:solidFill>
              <w14:schemeClr w14:val="tx1"/>
            </w14:solidFill>
          </w14:textFill>
        </w:rPr>
      </w:pPr>
      <w:r>
        <w:rPr>
          <w:rFonts w:hint="eastAsia" w:ascii="宋体" w:hAnsi="宋体"/>
          <w:b/>
          <w:bCs/>
          <w:color w:val="000000" w:themeColor="text1"/>
          <w:kern w:val="0"/>
          <w:sz w:val="52"/>
          <w:szCs w:val="52"/>
          <w:highlight w:val="none"/>
          <w14:textFill>
            <w14:solidFill>
              <w14:schemeClr w14:val="tx1"/>
            </w14:solidFill>
          </w14:textFill>
        </w:rPr>
        <w:t xml:space="preserve"> </w:t>
      </w:r>
    </w:p>
    <w:p w14:paraId="03CCE0E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b/>
          <w:color w:val="000000" w:themeColor="text1"/>
          <w:kern w:val="0"/>
          <w:sz w:val="52"/>
          <w:highlight w:val="none"/>
          <w14:textFill>
            <w14:solidFill>
              <w14:schemeClr w14:val="tx1"/>
            </w14:solidFill>
          </w14:textFill>
        </w:rPr>
        <w:t>采购</w:t>
      </w:r>
    </w:p>
    <w:p w14:paraId="413F27E6">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　　竞争性谈判文件</w:t>
      </w:r>
    </w:p>
    <w:p w14:paraId="5328545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14:paraId="77C04703">
      <w:pPr>
        <w:pStyle w:val="11"/>
        <w:rPr>
          <w:color w:val="000000" w:themeColor="text1"/>
          <w:highlight w:val="none"/>
          <w14:textFill>
            <w14:solidFill>
              <w14:schemeClr w14:val="tx1"/>
            </w14:solidFill>
          </w14:textFill>
        </w:rPr>
      </w:pPr>
    </w:p>
    <w:p w14:paraId="5A93ABAC">
      <w:pPr>
        <w:pStyle w:val="12"/>
        <w:rPr>
          <w:color w:val="000000" w:themeColor="text1"/>
          <w:highlight w:val="none"/>
          <w14:textFill>
            <w14:solidFill>
              <w14:schemeClr w14:val="tx1"/>
            </w14:solidFill>
          </w14:textFill>
        </w:rPr>
      </w:pPr>
    </w:p>
    <w:p w14:paraId="547C756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bCs/>
          <w:color w:val="000000" w:themeColor="text1"/>
          <w:kern w:val="0"/>
          <w:sz w:val="32"/>
          <w:szCs w:val="32"/>
          <w:highlight w:val="none"/>
          <w:lang w:eastAsia="zh-CN"/>
          <w14:textFill>
            <w14:solidFill>
              <w14:schemeClr w14:val="tx1"/>
            </w14:solidFill>
          </w14:textFill>
        </w:rPr>
      </w:pPr>
      <w:r>
        <w:rPr>
          <w:rFonts w:hint="eastAsia" w:ascii="宋体" w:hAnsi="宋体"/>
          <w:b/>
          <w:bCs/>
          <w:color w:val="000000" w:themeColor="text1"/>
          <w:sz w:val="32"/>
          <w:szCs w:val="32"/>
          <w:highlight w:val="none"/>
          <w:lang w:val="en-US" w:eastAsia="zh-CN"/>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TZJY-YHZFCG-2025-0605</w:t>
      </w:r>
    </w:p>
    <w:p w14:paraId="2F90E01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szCs w:val="32"/>
          <w:highlight w:val="none"/>
          <w14:textFill>
            <w14:solidFill>
              <w14:schemeClr w14:val="tx1"/>
            </w14:solidFill>
          </w14:textFill>
        </w:rPr>
      </w:pPr>
    </w:p>
    <w:p w14:paraId="678C84F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14:paraId="67FFC65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14:paraId="7B549412">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240" w:lineRule="atLeast"/>
        <w:ind w:right="-420" w:rightChars="0"/>
        <w:jc w:val="center"/>
        <w:textAlignment w:val="auto"/>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玉环市玉城、坎门、大麦屿街道2025-2026年度市政道路和桥梁日常养护（一期）项目</w:t>
      </w:r>
    </w:p>
    <w:p w14:paraId="3CE2457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640" w:firstLine="480"/>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w:t>
      </w:r>
      <w:r>
        <w:rPr>
          <w:rFonts w:hint="eastAsia" w:ascii="宋体"/>
          <w:color w:val="000000" w:themeColor="text1"/>
          <w:kern w:val="0"/>
          <w:sz w:val="28"/>
          <w:highlight w:val="none"/>
          <w:lang w:eastAsia="zh-CN"/>
          <w14:textFill>
            <w14:solidFill>
              <w14:schemeClr w14:val="tx1"/>
            </w14:solidFill>
          </w14:textFill>
        </w:rPr>
        <w:t>玉环市市政公用事业服务中心</w:t>
      </w:r>
    </w:p>
    <w:p w14:paraId="3D4643E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14:paraId="08AEED7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14:paraId="3A5C5A0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14:paraId="4344950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14:paraId="0C0296B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14:paraId="48698F8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14:paraId="5B65277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lang w:eastAsia="zh-CN"/>
          <w14:textFill>
            <w14:solidFill>
              <w14:schemeClr w14:val="tx1"/>
            </w14:solidFill>
          </w14:textFill>
        </w:rPr>
        <w:t>台州嘉亿招标代理有限责任公司</w:t>
      </w:r>
    </w:p>
    <w:p w14:paraId="1E641A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202</w:t>
      </w: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lang w:eastAsia="zh-CN"/>
          <w14:textFill>
            <w14:solidFill>
              <w14:schemeClr w14:val="tx1"/>
            </w14:solidFill>
          </w14:textFill>
        </w:rPr>
        <w:t>年</w:t>
      </w:r>
      <w:r>
        <w:rPr>
          <w:rFonts w:hint="eastAsia" w:ascii="宋体" w:hAnsi="宋体"/>
          <w:color w:val="000000" w:themeColor="text1"/>
          <w:sz w:val="28"/>
          <w:szCs w:val="28"/>
          <w:highlight w:val="none"/>
          <w:lang w:val="en-US" w:eastAsia="zh-CN"/>
          <w14:textFill>
            <w14:solidFill>
              <w14:schemeClr w14:val="tx1"/>
            </w14:solidFill>
          </w14:textFill>
        </w:rPr>
        <w:t>06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23</w:t>
      </w:r>
      <w:r>
        <w:rPr>
          <w:rFonts w:hint="eastAsia" w:ascii="宋体" w:hAnsi="宋体" w:cs="宋体"/>
          <w:color w:val="000000" w:themeColor="text1"/>
          <w:kern w:val="0"/>
          <w:sz w:val="28"/>
          <w:szCs w:val="28"/>
          <w:highlight w:val="none"/>
          <w14:textFill>
            <w14:solidFill>
              <w14:schemeClr w14:val="tx1"/>
            </w14:solidFill>
          </w14:textFill>
        </w:rPr>
        <w:t>日</w:t>
      </w:r>
    </w:p>
    <w:p w14:paraId="2A251C8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14:paraId="6D3C6BD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14:paraId="4A5C1C0E">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14:paraId="69BE17D4">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14:paraId="798F60E5">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第一章  竞争性谈判采购邀请</w:t>
      </w:r>
    </w:p>
    <w:p w14:paraId="30A65C08">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第二章　供应商须知</w:t>
      </w:r>
    </w:p>
    <w:p w14:paraId="36FB8623">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第三章　评审办法及评审标准</w:t>
      </w:r>
    </w:p>
    <w:p w14:paraId="05CA4C52">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第四章　谈判内容   </w:t>
      </w:r>
    </w:p>
    <w:p w14:paraId="4A616016">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第五章  政府采购合同主要条款指引</w:t>
      </w:r>
    </w:p>
    <w:p w14:paraId="021EE1F3">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第六章  响应文件格式附件</w:t>
      </w:r>
    </w:p>
    <w:p w14:paraId="15EA16B4">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66B66FA3">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highlight w:val="none"/>
          <w14:textFill>
            <w14:solidFill>
              <w14:schemeClr w14:val="tx1"/>
            </w14:solidFill>
          </w14:textFill>
        </w:rPr>
      </w:pPr>
    </w:p>
    <w:p w14:paraId="42604DB0">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18A87242">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2D6C226C">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768629A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1CCE3EAD">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76838A1A">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01E19FDC">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0DE2CF0A">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2DA3EACB">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4798FD3D">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14:paraId="7A452841">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br w:type="page"/>
      </w:r>
    </w:p>
    <w:p w14:paraId="19A0618A">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kern w:val="0"/>
          <w:sz w:val="36"/>
          <w:szCs w:val="36"/>
          <w:highlight w:val="none"/>
          <w14:textFill>
            <w14:solidFill>
              <w14:schemeClr w14:val="tx1"/>
            </w14:solidFill>
          </w14:textFill>
        </w:rPr>
      </w:pPr>
      <w:r>
        <w:rPr>
          <w:rFonts w:hint="eastAsia" w:ascii="宋体" w:hAnsi="宋体"/>
          <w:b/>
          <w:color w:val="000000" w:themeColor="text1"/>
          <w:kern w:val="0"/>
          <w:sz w:val="36"/>
          <w:szCs w:val="36"/>
          <w:highlight w:val="none"/>
          <w14:textFill>
            <w14:solidFill>
              <w14:schemeClr w14:val="tx1"/>
            </w14:solidFill>
          </w14:textFill>
        </w:rPr>
        <w:t>第一章 竞争性谈判采购邀请</w:t>
      </w:r>
    </w:p>
    <w:p w14:paraId="55505F2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374D108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玉环市玉城、坎门、大麦屿街道2025-2026年度市政道路和桥梁日常养护（一期）项目</w:t>
      </w:r>
      <w:r>
        <w:rPr>
          <w:rFonts w:hint="eastAsia" w:ascii="宋体" w:hAnsi="宋体" w:cs="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u w:val="single"/>
          <w14:textFill>
            <w14:solidFill>
              <w14:schemeClr w14:val="tx1"/>
            </w14:solidFill>
          </w14:textFill>
        </w:rPr>
        <w:t>政府采购云平台（www.zcygov.cn）</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eastAsia="zh-CN"/>
          <w14:textFill>
            <w14:solidFill>
              <w14:schemeClr w14:val="tx1"/>
            </w14:solidFill>
          </w14:textFill>
        </w:rPr>
        <w:t>2025年0</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27</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14:paraId="7ECD2F50">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0" w:name="_Toc35393798"/>
      <w:bookmarkStart w:id="1" w:name="_Toc28359089"/>
      <w:bookmarkStart w:id="2" w:name="_Toc35393629"/>
      <w:bookmarkStart w:id="3" w:name="_Toc28359012"/>
      <w:r>
        <w:rPr>
          <w:rFonts w:hint="eastAsia" w:ascii="宋体" w:hAnsi="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14:paraId="4F57C47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TZJY-YHZFCG-2025-0605</w:t>
      </w:r>
    </w:p>
    <w:p w14:paraId="7CC5F7C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玉环市玉城、坎门、大麦屿街道2025-2026年度市政道路和桥梁日常养护（一期）项目</w:t>
      </w:r>
    </w:p>
    <w:p w14:paraId="3D6CA939">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采购方式：竞争性谈判</w:t>
      </w:r>
    </w:p>
    <w:p w14:paraId="0B9D2957">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3992761</w:t>
      </w:r>
      <w:r>
        <w:rPr>
          <w:rFonts w:hint="eastAsia" w:ascii="宋体" w:hAnsi="宋体" w:cs="宋体"/>
          <w:color w:val="000000" w:themeColor="text1"/>
          <w:sz w:val="24"/>
          <w:highlight w:val="none"/>
          <w14:textFill>
            <w14:solidFill>
              <w14:schemeClr w14:val="tx1"/>
            </w14:solidFill>
          </w14:textFill>
        </w:rPr>
        <w:t>元</w:t>
      </w:r>
    </w:p>
    <w:p w14:paraId="59551D4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折扣率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w:t>
      </w:r>
    </w:p>
    <w:p w14:paraId="1AE97B31">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5BE86711">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合同履行期限：详见采购文件</w:t>
      </w:r>
    </w:p>
    <w:p w14:paraId="12EDE219">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本项目不接受联合体。</w:t>
      </w:r>
    </w:p>
    <w:p w14:paraId="1EC3B243">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4" w:name="_Toc28359013"/>
      <w:bookmarkStart w:id="5" w:name="_Toc28359090"/>
      <w:bookmarkStart w:id="6" w:name="_Toc35393630"/>
      <w:bookmarkStart w:id="7" w:name="_Toc35393799"/>
      <w:r>
        <w:rPr>
          <w:rFonts w:hint="eastAsia" w:ascii="宋体" w:hAnsi="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14:paraId="2D9B25F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14:paraId="2A89EF5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2.落实政府采购政策需满足的资格要求：供应商为中小企业/小微企业；</w:t>
      </w:r>
    </w:p>
    <w:p w14:paraId="67A2E76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3.特定资格条件：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本次招标要求投标人为具备市政公用工程施工总承包三级及以上资质的施工企业</w:t>
      </w:r>
      <w:r>
        <w:rPr>
          <w:rFonts w:hint="eastAsia" w:ascii="宋体" w:hAnsi="宋体" w:cs="宋体"/>
          <w:color w:val="000000" w:themeColor="text1"/>
          <w:sz w:val="24"/>
          <w:highlight w:val="none"/>
          <w:lang w:eastAsia="zh-CN"/>
          <w14:textFill>
            <w14:solidFill>
              <w14:schemeClr w14:val="tx1"/>
            </w14:solidFill>
          </w14:textFill>
        </w:rPr>
        <w:t>；</w:t>
      </w:r>
    </w:p>
    <w:p w14:paraId="050A421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本工程招标要求项目负责人须具有市政公用工程专业注册建造师二级及以上</w:t>
      </w:r>
      <w:r>
        <w:rPr>
          <w:rFonts w:hint="eastAsia" w:ascii="宋体" w:hAnsi="宋体" w:cs="宋体"/>
          <w:color w:val="000000" w:themeColor="text1"/>
          <w:sz w:val="24"/>
          <w:highlight w:val="none"/>
          <w:lang w:eastAsia="zh-CN"/>
          <w14:textFill>
            <w14:solidFill>
              <w14:schemeClr w14:val="tx1"/>
            </w14:solidFill>
          </w14:textFill>
        </w:rPr>
        <w:t>，“三类人员”B类证书，在建项目不作要求；</w:t>
      </w:r>
    </w:p>
    <w:p w14:paraId="7DB37D2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供应商须具有近三年同类项目业绩合同。</w:t>
      </w:r>
    </w:p>
    <w:p w14:paraId="162F1297">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8" w:name="_Toc35393631"/>
      <w:bookmarkStart w:id="9" w:name="_Toc28359014"/>
      <w:bookmarkStart w:id="10" w:name="_Toc28359091"/>
      <w:bookmarkStart w:id="11" w:name="_Toc35393800"/>
      <w:r>
        <w:rPr>
          <w:rFonts w:hint="eastAsia" w:ascii="宋体" w:hAnsi="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14:paraId="59731134">
      <w:pPr>
        <w:pageBreakBefore w:val="0"/>
        <w:widowControl w:val="0"/>
        <w:kinsoku/>
        <w:wordWrap/>
        <w:overflowPunct/>
        <w:topLinePunct w:val="0"/>
        <w:autoSpaceDE/>
        <w:autoSpaceDN/>
        <w:bidi w:val="0"/>
        <w:adjustRightInd/>
        <w:snapToGrid/>
        <w:spacing w:line="400" w:lineRule="exact"/>
        <w:ind w:firstLine="54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时间：公告发布之日起至投标文件递交截止时间</w:t>
      </w:r>
    </w:p>
    <w:p w14:paraId="2AEC107D">
      <w:pPr>
        <w:pageBreakBefore w:val="0"/>
        <w:widowControl w:val="0"/>
        <w:kinsoku/>
        <w:wordWrap/>
        <w:overflowPunct/>
        <w:topLinePunct w:val="0"/>
        <w:autoSpaceDE/>
        <w:autoSpaceDN/>
        <w:bidi w:val="0"/>
        <w:adjustRightInd/>
        <w:snapToGrid/>
        <w:spacing w:line="400" w:lineRule="exact"/>
        <w:ind w:firstLine="54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地点：政府采购云平台（www.zcygov.cn）  </w:t>
      </w:r>
    </w:p>
    <w:p w14:paraId="50919356">
      <w:pPr>
        <w:pageBreakBefore w:val="0"/>
        <w:widowControl w:val="0"/>
        <w:kinsoku/>
        <w:wordWrap/>
        <w:overflowPunct/>
        <w:topLinePunct w:val="0"/>
        <w:autoSpaceDE/>
        <w:autoSpaceDN/>
        <w:bidi w:val="0"/>
        <w:adjustRightInd/>
        <w:snapToGrid/>
        <w:spacing w:line="400" w:lineRule="exact"/>
        <w:ind w:firstLine="54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方式：在线获取</w:t>
      </w:r>
    </w:p>
    <w:p w14:paraId="4EE164A7">
      <w:pPr>
        <w:pageBreakBefore w:val="0"/>
        <w:widowControl w:val="0"/>
        <w:kinsoku/>
        <w:wordWrap/>
        <w:overflowPunct/>
        <w:topLinePunct w:val="0"/>
        <w:autoSpaceDE/>
        <w:autoSpaceDN/>
        <w:bidi w:val="0"/>
        <w:adjustRightInd/>
        <w:snapToGrid/>
        <w:spacing w:line="400" w:lineRule="exact"/>
        <w:ind w:firstLine="54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售价：0元</w:t>
      </w:r>
    </w:p>
    <w:p w14:paraId="4AD6442E">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12" w:name="_Toc28359015"/>
      <w:bookmarkStart w:id="13" w:name="_Toc35393632"/>
      <w:bookmarkStart w:id="14" w:name="_Toc28359092"/>
      <w:bookmarkStart w:id="15" w:name="_Toc35393801"/>
      <w:r>
        <w:rPr>
          <w:rFonts w:hint="eastAsia" w:ascii="宋体" w:hAnsi="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14:paraId="55ACFE34">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lang w:eastAsia="zh-CN"/>
          <w14:textFill>
            <w14:solidFill>
              <w14:schemeClr w14:val="tx1"/>
            </w14:solidFill>
          </w14:textFill>
        </w:rPr>
        <w:t>2025年0</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27</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09点00分</w:t>
      </w:r>
      <w:r>
        <w:rPr>
          <w:rFonts w:hint="eastAsia" w:ascii="宋体" w:hAnsi="宋体" w:cs="宋体"/>
          <w:bCs/>
          <w:color w:val="000000" w:themeColor="text1"/>
          <w:sz w:val="24"/>
          <w:highlight w:val="none"/>
          <w14:textFill>
            <w14:solidFill>
              <w14:schemeClr w14:val="tx1"/>
            </w14:solidFill>
          </w14:textFill>
        </w:rPr>
        <w:t>（北京时间）</w:t>
      </w:r>
    </w:p>
    <w:p w14:paraId="36E8B626">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74FC1BE0">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16" w:name="_Toc28359016"/>
      <w:bookmarkStart w:id="17" w:name="_Toc35393633"/>
      <w:bookmarkStart w:id="18" w:name="_Toc28359093"/>
      <w:bookmarkStart w:id="19" w:name="_Toc35393802"/>
      <w:r>
        <w:rPr>
          <w:rFonts w:hint="eastAsia" w:ascii="宋体" w:hAnsi="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14:paraId="25CC6194">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eastAsia="zh-CN"/>
          <w14:textFill>
            <w14:solidFill>
              <w14:schemeClr w14:val="tx1"/>
            </w14:solidFill>
          </w14:textFill>
        </w:rPr>
        <w:t>2025年0</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27</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09点00分</w:t>
      </w:r>
      <w:r>
        <w:rPr>
          <w:rFonts w:hint="eastAsia" w:ascii="宋体" w:hAnsi="宋体" w:cs="宋体"/>
          <w:bCs/>
          <w:color w:val="000000" w:themeColor="text1"/>
          <w:sz w:val="24"/>
          <w:highlight w:val="none"/>
          <w14:textFill>
            <w14:solidFill>
              <w14:schemeClr w14:val="tx1"/>
            </w14:solidFill>
          </w14:textFill>
        </w:rPr>
        <w:t>（北京时间）</w:t>
      </w:r>
    </w:p>
    <w:p w14:paraId="77B96DEE">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5A2A2EC3">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20" w:name="_Toc35393634"/>
      <w:bookmarkStart w:id="21" w:name="_Toc28359017"/>
      <w:bookmarkStart w:id="22" w:name="_Toc35393803"/>
      <w:bookmarkStart w:id="23" w:name="_Toc28359094"/>
      <w:r>
        <w:rPr>
          <w:rFonts w:hint="eastAsia" w:ascii="宋体" w:hAnsi="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14:paraId="2610FB4E">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750EDA55">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24" w:name="_Toc35393635"/>
      <w:bookmarkStart w:id="25" w:name="_Toc35393804"/>
      <w:r>
        <w:rPr>
          <w:rFonts w:hint="eastAsia" w:ascii="宋体" w:hAnsi="宋体" w:cs="宋体"/>
          <w:b w:val="0"/>
          <w:color w:val="000000" w:themeColor="text1"/>
          <w:sz w:val="24"/>
          <w:szCs w:val="24"/>
          <w:highlight w:val="none"/>
          <w14:textFill>
            <w14:solidFill>
              <w14:schemeClr w14:val="tx1"/>
            </w14:solidFill>
          </w14:textFill>
        </w:rPr>
        <w:t>七、其他补充事宜</w:t>
      </w:r>
      <w:bookmarkEnd w:id="24"/>
      <w:bookmarkEnd w:id="25"/>
    </w:p>
    <w:p w14:paraId="434575DB">
      <w:pPr>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956A3B">
      <w:pPr>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DD137D">
      <w:pPr>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4.其他事项：/</w:t>
      </w:r>
    </w:p>
    <w:p w14:paraId="7C87DBBA">
      <w:pPr>
        <w:pStyle w:val="3"/>
        <w:pageBreakBefore w:val="0"/>
        <w:widowControl w:val="0"/>
        <w:kinsoku/>
        <w:wordWrap/>
        <w:overflowPunct/>
        <w:topLinePunct w:val="0"/>
        <w:autoSpaceDE/>
        <w:autoSpaceDN/>
        <w:bidi w:val="0"/>
        <w:adjustRightInd/>
        <w:snapToGrid/>
        <w:spacing w:before="0" w:after="0" w:line="400" w:lineRule="exact"/>
        <w:textAlignment w:val="auto"/>
        <w:rPr>
          <w:rFonts w:ascii="宋体" w:hAnsi="宋体" w:cs="宋体"/>
          <w:b w:val="0"/>
          <w:color w:val="000000" w:themeColor="text1"/>
          <w:sz w:val="24"/>
          <w:szCs w:val="24"/>
          <w:highlight w:val="none"/>
          <w14:textFill>
            <w14:solidFill>
              <w14:schemeClr w14:val="tx1"/>
            </w14:solidFill>
          </w14:textFill>
        </w:rPr>
      </w:pPr>
      <w:bookmarkStart w:id="26" w:name="_Toc28359018"/>
      <w:bookmarkStart w:id="27" w:name="_Toc35393805"/>
      <w:bookmarkStart w:id="28" w:name="_Toc35393636"/>
      <w:bookmarkStart w:id="29" w:name="_Toc28359095"/>
      <w:r>
        <w:rPr>
          <w:rFonts w:hint="eastAsia" w:ascii="宋体" w:hAnsi="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14:paraId="7EBB5808">
      <w:pPr>
        <w:pStyle w:val="3"/>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ascii="宋体" w:hAnsi="宋体" w:cs="宋体"/>
          <w:b w:val="0"/>
          <w:color w:val="000000" w:themeColor="text1"/>
          <w:sz w:val="24"/>
          <w:szCs w:val="24"/>
          <w:highlight w:val="none"/>
          <w:u w:val="none"/>
          <w14:textFill>
            <w14:solidFill>
              <w14:schemeClr w14:val="tx1"/>
            </w14:solidFill>
          </w14:textFill>
        </w:rPr>
      </w:pPr>
      <w:bookmarkStart w:id="30" w:name="_Toc28359019"/>
      <w:bookmarkStart w:id="31" w:name="_Toc35393637"/>
      <w:bookmarkStart w:id="32" w:name="_Toc28359096"/>
      <w:bookmarkStart w:id="33" w:name="_Toc35393806"/>
      <w:r>
        <w:rPr>
          <w:rFonts w:hint="eastAsia" w:ascii="宋体" w:hAnsi="宋体" w:cs="宋体"/>
          <w:b w:val="0"/>
          <w:color w:val="000000" w:themeColor="text1"/>
          <w:sz w:val="24"/>
          <w:szCs w:val="24"/>
          <w:highlight w:val="none"/>
          <w:u w:val="none"/>
          <w14:textFill>
            <w14:solidFill>
              <w14:schemeClr w14:val="tx1"/>
            </w14:solidFill>
          </w14:textFill>
        </w:rPr>
        <w:t>1.采购人信息</w:t>
      </w:r>
      <w:bookmarkEnd w:id="30"/>
      <w:bookmarkEnd w:id="31"/>
      <w:bookmarkEnd w:id="32"/>
      <w:bookmarkEnd w:id="33"/>
    </w:p>
    <w:p w14:paraId="3F22E398">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w:t>
      </w:r>
      <w:r>
        <w:rPr>
          <w:rFonts w:hint="eastAsia" w:ascii="宋体" w:hAnsi="宋体" w:cs="宋体"/>
          <w:color w:val="000000" w:themeColor="text1"/>
          <w:sz w:val="24"/>
          <w:highlight w:val="none"/>
          <w:u w:val="none"/>
          <w:lang w:eastAsia="zh-CN"/>
          <w14:textFill>
            <w14:solidFill>
              <w14:schemeClr w14:val="tx1"/>
            </w14:solidFill>
          </w14:textFill>
        </w:rPr>
        <w:t>玉环市市政公用事业服务中心</w:t>
      </w:r>
    </w:p>
    <w:p w14:paraId="0A7AE26B">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址：浙江省玉环市玉城街道珠城西路5号</w:t>
      </w:r>
    </w:p>
    <w:p w14:paraId="36F1E657">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color w:val="000000" w:themeColor="text1"/>
          <w:sz w:val="24"/>
          <w:highlight w:val="none"/>
          <w:u w:val="none"/>
          <w:lang w:val="en-US" w:eastAsia="zh-CN"/>
          <w14:textFill>
            <w14:solidFill>
              <w14:schemeClr w14:val="tx1"/>
            </w14:solidFill>
          </w14:textFill>
        </w:rPr>
        <w:t>徐</w:t>
      </w:r>
      <w:r>
        <w:rPr>
          <w:rFonts w:hint="eastAsia" w:ascii="宋体" w:hAnsi="宋体" w:cs="宋体"/>
          <w:color w:val="000000" w:themeColor="text1"/>
          <w:sz w:val="24"/>
          <w:highlight w:val="none"/>
          <w:u w:val="none"/>
          <w14:textFill>
            <w14:solidFill>
              <w14:schemeClr w14:val="tx1"/>
            </w14:solidFill>
          </w14:textFill>
        </w:rPr>
        <w:t>先生</w:t>
      </w:r>
    </w:p>
    <w:p w14:paraId="4DD87719">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联系方式：0576-89911591</w:t>
      </w:r>
    </w:p>
    <w:p w14:paraId="3E61F6B9">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质疑联系人：</w:t>
      </w:r>
      <w:r>
        <w:rPr>
          <w:rFonts w:hint="eastAsia" w:ascii="宋体" w:hAnsi="宋体" w:cs="宋体"/>
          <w:color w:val="000000" w:themeColor="text1"/>
          <w:sz w:val="24"/>
          <w:highlight w:val="none"/>
          <w:u w:val="none"/>
          <w:lang w:val="en-US" w:eastAsia="zh-CN"/>
          <w14:textFill>
            <w14:solidFill>
              <w14:schemeClr w14:val="tx1"/>
            </w14:solidFill>
          </w14:textFill>
        </w:rPr>
        <w:t>徐</w:t>
      </w:r>
      <w:r>
        <w:rPr>
          <w:rFonts w:hint="eastAsia" w:ascii="宋体" w:hAnsi="宋体" w:cs="宋体"/>
          <w:color w:val="000000" w:themeColor="text1"/>
          <w:sz w:val="24"/>
          <w:highlight w:val="none"/>
          <w:u w:val="none"/>
          <w14:textFill>
            <w14:solidFill>
              <w14:schemeClr w14:val="tx1"/>
            </w14:solidFill>
          </w14:textFill>
        </w:rPr>
        <w:t>先生</w:t>
      </w:r>
    </w:p>
    <w:p w14:paraId="7F61111F">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质疑联系方式：0576-89911591</w:t>
      </w:r>
    </w:p>
    <w:p w14:paraId="0D0453E4">
      <w:pPr>
        <w:pStyle w:val="3"/>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ascii="宋体" w:hAnsi="宋体" w:cs="宋体"/>
          <w:b w:val="0"/>
          <w:color w:val="000000" w:themeColor="text1"/>
          <w:sz w:val="24"/>
          <w:szCs w:val="24"/>
          <w:highlight w:val="none"/>
          <w:u w:val="none"/>
          <w14:textFill>
            <w14:solidFill>
              <w14:schemeClr w14:val="tx1"/>
            </w14:solidFill>
          </w14:textFill>
        </w:rPr>
      </w:pPr>
      <w:bookmarkStart w:id="34" w:name="_Toc28359097"/>
      <w:bookmarkStart w:id="35" w:name="_Toc35393807"/>
      <w:bookmarkStart w:id="36" w:name="_Toc28359020"/>
      <w:bookmarkStart w:id="37" w:name="_Toc35393638"/>
      <w:r>
        <w:rPr>
          <w:rFonts w:hint="eastAsia" w:ascii="宋体" w:hAnsi="宋体" w:cs="宋体"/>
          <w:b w:val="0"/>
          <w:color w:val="000000" w:themeColor="text1"/>
          <w:sz w:val="24"/>
          <w:szCs w:val="24"/>
          <w:highlight w:val="none"/>
          <w:u w:val="none"/>
          <w14:textFill>
            <w14:solidFill>
              <w14:schemeClr w14:val="tx1"/>
            </w14:solidFill>
          </w14:textFill>
        </w:rPr>
        <w:t>2.采购代理机构信息</w:t>
      </w:r>
      <w:bookmarkEnd w:id="34"/>
      <w:bookmarkEnd w:id="35"/>
      <w:bookmarkEnd w:id="36"/>
      <w:bookmarkEnd w:id="37"/>
    </w:p>
    <w:p w14:paraId="63969D96">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w:t>
      </w:r>
      <w:r>
        <w:rPr>
          <w:rFonts w:hint="eastAsia" w:ascii="宋体" w:hAnsi="宋体" w:cs="宋体"/>
          <w:color w:val="000000" w:themeColor="text1"/>
          <w:sz w:val="24"/>
          <w:highlight w:val="none"/>
          <w:u w:val="none"/>
          <w:lang w:eastAsia="zh-CN"/>
          <w14:textFill>
            <w14:solidFill>
              <w14:schemeClr w14:val="tx1"/>
            </w14:solidFill>
          </w14:textFill>
        </w:rPr>
        <w:t>台州嘉亿招标代理有限责任公司</w:t>
      </w:r>
    </w:p>
    <w:p w14:paraId="192E5D5F">
      <w:pPr>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址：台州市玉环市李家小区</w:t>
      </w:r>
    </w:p>
    <w:p w14:paraId="07824D2C">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color w:val="000000" w:themeColor="text1"/>
          <w:sz w:val="24"/>
          <w:highlight w:val="none"/>
          <w:u w:val="none"/>
          <w:lang w:val="en-US" w:eastAsia="zh-CN"/>
          <w14:textFill>
            <w14:solidFill>
              <w14:schemeClr w14:val="tx1"/>
            </w14:solidFill>
          </w14:textFill>
        </w:rPr>
        <w:t>陈先生 王先生</w:t>
      </w:r>
    </w:p>
    <w:p w14:paraId="4428015C">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联系方式：</w:t>
      </w:r>
      <w:r>
        <w:rPr>
          <w:rFonts w:hint="eastAsia" w:ascii="宋体" w:hAnsi="宋体" w:cs="宋体"/>
          <w:color w:val="000000" w:themeColor="text1"/>
          <w:sz w:val="24"/>
          <w:highlight w:val="none"/>
          <w:u w:val="none"/>
          <w:lang w:val="en-US" w:eastAsia="zh-CN"/>
          <w14:textFill>
            <w14:solidFill>
              <w14:schemeClr w14:val="tx1"/>
            </w14:solidFill>
          </w14:textFill>
        </w:rPr>
        <w:t xml:space="preserve">15606577897  13968855370       </w:t>
      </w:r>
    </w:p>
    <w:p w14:paraId="63849F29">
      <w:pPr>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3.同级政府采购监督管理部门</w:t>
      </w:r>
    </w:p>
    <w:p w14:paraId="22C8740D">
      <w:pPr>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称：玉环市财政局政府采购监督管理科　　　　　　　　</w:t>
      </w:r>
    </w:p>
    <w:p w14:paraId="699FA43B">
      <w:pPr>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址：玉环市广陵路130号财政大楼5楼　　　　　　　　　　　</w:t>
      </w:r>
    </w:p>
    <w:p w14:paraId="7CDE3B52">
      <w:pPr>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 ：</w:t>
      </w:r>
      <w:r>
        <w:rPr>
          <w:rFonts w:hint="eastAsia" w:ascii="宋体" w:hAnsi="宋体" w:cs="宋体"/>
          <w:color w:val="000000" w:themeColor="text1"/>
          <w:sz w:val="24"/>
          <w:highlight w:val="none"/>
          <w:u w:val="none"/>
          <w:lang w:val="en-US" w:eastAsia="zh-CN"/>
          <w14:textFill>
            <w14:solidFill>
              <w14:schemeClr w14:val="tx1"/>
            </w14:solidFill>
          </w14:textFill>
        </w:rPr>
        <w:t>李</w:t>
      </w:r>
      <w:r>
        <w:rPr>
          <w:rFonts w:hint="eastAsia" w:ascii="宋体" w:hAnsi="宋体" w:cs="宋体"/>
          <w:color w:val="000000" w:themeColor="text1"/>
          <w:sz w:val="24"/>
          <w:highlight w:val="none"/>
          <w:u w:val="none"/>
          <w14:textFill>
            <w14:solidFill>
              <w14:schemeClr w14:val="tx1"/>
            </w14:solidFill>
          </w14:textFill>
        </w:rPr>
        <w:t>主任  　　　　　　　　　　　</w:t>
      </w:r>
    </w:p>
    <w:p w14:paraId="4C64B872">
      <w:pPr>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监督投诉电话：0576-87250185　　</w:t>
      </w:r>
      <w:r>
        <w:rPr>
          <w:rFonts w:hint="eastAsia" w:ascii="宋体" w:hAnsi="宋体" w:cs="宋体"/>
          <w:color w:val="000000" w:themeColor="text1"/>
          <w:sz w:val="24"/>
          <w:highlight w:val="none"/>
          <w14:textFill>
            <w14:solidFill>
              <w14:schemeClr w14:val="tx1"/>
            </w14:solidFill>
          </w14:textFill>
        </w:rPr>
        <w:t>　　　　</w:t>
      </w:r>
    </w:p>
    <w:p w14:paraId="070DEF8D">
      <w:pPr>
        <w:pageBreakBefore w:val="0"/>
        <w:widowControl w:val="0"/>
        <w:kinsoku/>
        <w:wordWrap/>
        <w:overflowPunct/>
        <w:topLinePunct w:val="0"/>
        <w:autoSpaceDE/>
        <w:autoSpaceDN/>
        <w:bidi w:val="0"/>
        <w:adjustRightInd/>
        <w:snapToGrid/>
        <w:spacing w:line="400" w:lineRule="exact"/>
        <w:ind w:firstLine="564"/>
        <w:jc w:val="left"/>
        <w:textAlignment w:val="auto"/>
        <w:rPr>
          <w:rFonts w:ascii="宋体" w:hAnsi="宋体" w:cs="宋体"/>
          <w:color w:val="000000" w:themeColor="text1"/>
          <w:sz w:val="24"/>
          <w:highlight w:val="none"/>
          <w:shd w:val="clear" w:color="auto" w:fill="FFFFFF"/>
          <w14:textFill>
            <w14:solidFill>
              <w14:schemeClr w14:val="tx1"/>
            </w14:solidFill>
          </w14:textFill>
        </w:rPr>
      </w:pPr>
    </w:p>
    <w:p w14:paraId="773E33A3">
      <w:pPr>
        <w:pageBreakBefore w:val="0"/>
        <w:widowControl w:val="0"/>
        <w:kinsoku/>
        <w:wordWrap/>
        <w:overflowPunct/>
        <w:topLinePunct w:val="0"/>
        <w:autoSpaceDE/>
        <w:autoSpaceDN/>
        <w:bidi w:val="0"/>
        <w:adjustRightInd/>
        <w:snapToGrid/>
        <w:spacing w:line="400" w:lineRule="exact"/>
        <w:ind w:firstLine="564"/>
        <w:jc w:val="left"/>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00651F9A">
      <w:pPr>
        <w:pageBreakBefore w:val="0"/>
        <w:widowControl w:val="0"/>
        <w:kinsoku/>
        <w:wordWrap/>
        <w:overflowPunct/>
        <w:topLinePunct w:val="0"/>
        <w:autoSpaceDE/>
        <w:autoSpaceDN/>
        <w:bidi w:val="0"/>
        <w:adjustRightInd/>
        <w:snapToGrid/>
        <w:spacing w:line="400" w:lineRule="exact"/>
        <w:ind w:firstLine="564"/>
        <w:jc w:val="left"/>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CA问题联系电话（人工）：汇信CA 400-888-4636；天谷CA 400-087-8198。</w:t>
      </w:r>
    </w:p>
    <w:p w14:paraId="11F8ABAC">
      <w:pPr>
        <w:tabs>
          <w:tab w:val="left" w:pos="180"/>
          <w:tab w:val="left" w:pos="360"/>
          <w:tab w:val="left" w:pos="540"/>
          <w:tab w:val="left" w:pos="8280"/>
        </w:tabs>
        <w:autoSpaceDE w:val="0"/>
        <w:autoSpaceDN w:val="0"/>
        <w:adjustRightInd w:val="0"/>
        <w:spacing w:before="312" w:beforeLines="100" w:line="400" w:lineRule="exact"/>
        <w:ind w:right="23" w:firstLine="539"/>
        <w:jc w:val="left"/>
        <w:rPr>
          <w:rFonts w:ascii="宋体"/>
          <w:color w:val="000000" w:themeColor="text1"/>
          <w:kern w:val="0"/>
          <w:sz w:val="24"/>
          <w:highlight w:val="none"/>
          <w14:textFill>
            <w14:solidFill>
              <w14:schemeClr w14:val="tx1"/>
            </w14:solidFill>
          </w14:textFill>
        </w:rPr>
      </w:pPr>
    </w:p>
    <w:p w14:paraId="524341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highlight w:val="none"/>
          <w14:textFill>
            <w14:solidFill>
              <w14:schemeClr w14:val="tx1"/>
            </w14:solidFill>
          </w14:textFill>
        </w:rPr>
      </w:pPr>
    </w:p>
    <w:p w14:paraId="0E402F73">
      <w:pPr>
        <w:pStyle w:val="11"/>
        <w:rPr>
          <w:rFonts w:ascii="宋体"/>
          <w:color w:val="000000" w:themeColor="text1"/>
          <w:kern w:val="0"/>
          <w:highlight w:val="none"/>
          <w14:textFill>
            <w14:solidFill>
              <w14:schemeClr w14:val="tx1"/>
            </w14:solidFill>
          </w14:textFill>
        </w:rPr>
      </w:pPr>
    </w:p>
    <w:p w14:paraId="5254C390">
      <w:pPr>
        <w:pStyle w:val="27"/>
        <w:ind w:firstLine="240"/>
        <w:rPr>
          <w:rFonts w:ascii="宋体"/>
          <w:color w:val="000000" w:themeColor="text1"/>
          <w:kern w:val="0"/>
          <w:highlight w:val="none"/>
          <w14:textFill>
            <w14:solidFill>
              <w14:schemeClr w14:val="tx1"/>
            </w14:solidFill>
          </w14:textFill>
        </w:rPr>
      </w:pPr>
    </w:p>
    <w:p w14:paraId="0A564F9B">
      <w:pPr>
        <w:pStyle w:val="22"/>
        <w:rPr>
          <w:rFonts w:ascii="宋体"/>
          <w:color w:val="000000" w:themeColor="text1"/>
          <w:kern w:val="0"/>
          <w:highlight w:val="none"/>
          <w14:textFill>
            <w14:solidFill>
              <w14:schemeClr w14:val="tx1"/>
            </w14:solidFill>
          </w14:textFill>
        </w:rPr>
      </w:pPr>
    </w:p>
    <w:p w14:paraId="19C3B798">
      <w:pPr>
        <w:rPr>
          <w:rFonts w:ascii="宋体"/>
          <w:color w:val="000000" w:themeColor="text1"/>
          <w:kern w:val="0"/>
          <w:highlight w:val="none"/>
          <w14:textFill>
            <w14:solidFill>
              <w14:schemeClr w14:val="tx1"/>
            </w14:solidFill>
          </w14:textFill>
        </w:rPr>
      </w:pPr>
    </w:p>
    <w:p w14:paraId="7B1D79D4">
      <w:pPr>
        <w:pStyle w:val="27"/>
        <w:rPr>
          <w:rFonts w:ascii="宋体"/>
          <w:color w:val="000000" w:themeColor="text1"/>
          <w:kern w:val="0"/>
          <w:highlight w:val="none"/>
          <w14:textFill>
            <w14:solidFill>
              <w14:schemeClr w14:val="tx1"/>
            </w14:solidFill>
          </w14:textFill>
        </w:rPr>
      </w:pPr>
    </w:p>
    <w:p w14:paraId="42E32660">
      <w:pPr>
        <w:pStyle w:val="22"/>
        <w:rPr>
          <w:rFonts w:ascii="宋体"/>
          <w:color w:val="000000" w:themeColor="text1"/>
          <w:kern w:val="0"/>
          <w:highlight w:val="none"/>
          <w14:textFill>
            <w14:solidFill>
              <w14:schemeClr w14:val="tx1"/>
            </w14:solidFill>
          </w14:textFill>
        </w:rPr>
      </w:pPr>
    </w:p>
    <w:p w14:paraId="081B4F91">
      <w:pPr>
        <w:rPr>
          <w:rFonts w:ascii="宋体"/>
          <w:color w:val="000000" w:themeColor="text1"/>
          <w:kern w:val="0"/>
          <w:highlight w:val="none"/>
          <w14:textFill>
            <w14:solidFill>
              <w14:schemeClr w14:val="tx1"/>
            </w14:solidFill>
          </w14:textFill>
        </w:rPr>
      </w:pPr>
    </w:p>
    <w:p w14:paraId="7810A01F">
      <w:pPr>
        <w:pStyle w:val="27"/>
        <w:rPr>
          <w:rFonts w:ascii="宋体"/>
          <w:color w:val="000000" w:themeColor="text1"/>
          <w:kern w:val="0"/>
          <w:highlight w:val="none"/>
          <w14:textFill>
            <w14:solidFill>
              <w14:schemeClr w14:val="tx1"/>
            </w14:solidFill>
          </w14:textFill>
        </w:rPr>
      </w:pPr>
    </w:p>
    <w:p w14:paraId="79C479D6">
      <w:pPr>
        <w:pStyle w:val="22"/>
        <w:rPr>
          <w:rFonts w:ascii="宋体"/>
          <w:color w:val="000000" w:themeColor="text1"/>
          <w:kern w:val="0"/>
          <w:highlight w:val="none"/>
          <w14:textFill>
            <w14:solidFill>
              <w14:schemeClr w14:val="tx1"/>
            </w14:solidFill>
          </w14:textFill>
        </w:rPr>
      </w:pPr>
    </w:p>
    <w:p w14:paraId="57210389">
      <w:pPr>
        <w:rPr>
          <w:rFonts w:ascii="宋体"/>
          <w:color w:val="000000" w:themeColor="text1"/>
          <w:kern w:val="0"/>
          <w:highlight w:val="none"/>
          <w14:textFill>
            <w14:solidFill>
              <w14:schemeClr w14:val="tx1"/>
            </w14:solidFill>
          </w14:textFill>
        </w:rPr>
      </w:pPr>
    </w:p>
    <w:p w14:paraId="5C3C1BD9">
      <w:pPr>
        <w:pStyle w:val="27"/>
        <w:rPr>
          <w:rFonts w:ascii="宋体"/>
          <w:color w:val="000000" w:themeColor="text1"/>
          <w:kern w:val="0"/>
          <w:highlight w:val="none"/>
          <w14:textFill>
            <w14:solidFill>
              <w14:schemeClr w14:val="tx1"/>
            </w14:solidFill>
          </w14:textFill>
        </w:rPr>
      </w:pPr>
    </w:p>
    <w:p w14:paraId="5C950729">
      <w:pPr>
        <w:pStyle w:val="22"/>
        <w:rPr>
          <w:rFonts w:ascii="宋体"/>
          <w:color w:val="000000" w:themeColor="text1"/>
          <w:kern w:val="0"/>
          <w:highlight w:val="none"/>
          <w14:textFill>
            <w14:solidFill>
              <w14:schemeClr w14:val="tx1"/>
            </w14:solidFill>
          </w14:textFill>
        </w:rPr>
      </w:pPr>
    </w:p>
    <w:p w14:paraId="5CB8CF86">
      <w:pPr>
        <w:rPr>
          <w:rFonts w:ascii="宋体"/>
          <w:color w:val="000000" w:themeColor="text1"/>
          <w:kern w:val="0"/>
          <w:highlight w:val="none"/>
          <w14:textFill>
            <w14:solidFill>
              <w14:schemeClr w14:val="tx1"/>
            </w14:solidFill>
          </w14:textFill>
        </w:rPr>
      </w:pPr>
    </w:p>
    <w:p w14:paraId="62878A73">
      <w:pPr>
        <w:pStyle w:val="27"/>
        <w:rPr>
          <w:rFonts w:ascii="宋体"/>
          <w:color w:val="000000" w:themeColor="text1"/>
          <w:kern w:val="0"/>
          <w:highlight w:val="none"/>
          <w14:textFill>
            <w14:solidFill>
              <w14:schemeClr w14:val="tx1"/>
            </w14:solidFill>
          </w14:textFill>
        </w:rPr>
      </w:pPr>
    </w:p>
    <w:p w14:paraId="79FA37C0">
      <w:pPr>
        <w:pStyle w:val="22"/>
        <w:rPr>
          <w:rFonts w:ascii="宋体"/>
          <w:color w:val="000000" w:themeColor="text1"/>
          <w:kern w:val="0"/>
          <w:highlight w:val="none"/>
          <w14:textFill>
            <w14:solidFill>
              <w14:schemeClr w14:val="tx1"/>
            </w14:solidFill>
          </w14:textFill>
        </w:rPr>
      </w:pPr>
    </w:p>
    <w:p w14:paraId="761DCB91">
      <w:pPr>
        <w:rPr>
          <w:rFonts w:ascii="宋体"/>
          <w:color w:val="000000" w:themeColor="text1"/>
          <w:kern w:val="0"/>
          <w:highlight w:val="none"/>
          <w14:textFill>
            <w14:solidFill>
              <w14:schemeClr w14:val="tx1"/>
            </w14:solidFill>
          </w14:textFill>
        </w:rPr>
      </w:pPr>
    </w:p>
    <w:p w14:paraId="174CB24B">
      <w:pPr>
        <w:pStyle w:val="27"/>
        <w:rPr>
          <w:rFonts w:ascii="宋体"/>
          <w:color w:val="000000" w:themeColor="text1"/>
          <w:kern w:val="0"/>
          <w:highlight w:val="none"/>
          <w14:textFill>
            <w14:solidFill>
              <w14:schemeClr w14:val="tx1"/>
            </w14:solidFill>
          </w14:textFill>
        </w:rPr>
      </w:pPr>
    </w:p>
    <w:p w14:paraId="4EC1EEEF">
      <w:pPr>
        <w:pStyle w:val="22"/>
        <w:rPr>
          <w:rFonts w:ascii="宋体"/>
          <w:color w:val="000000" w:themeColor="text1"/>
          <w:kern w:val="0"/>
          <w:highlight w:val="none"/>
          <w14:textFill>
            <w14:solidFill>
              <w14:schemeClr w14:val="tx1"/>
            </w14:solidFill>
          </w14:textFill>
        </w:rPr>
      </w:pPr>
    </w:p>
    <w:p w14:paraId="1E75ED3C">
      <w:pPr>
        <w:rPr>
          <w:rFonts w:ascii="宋体"/>
          <w:color w:val="000000" w:themeColor="text1"/>
          <w:kern w:val="0"/>
          <w:highlight w:val="none"/>
          <w14:textFill>
            <w14:solidFill>
              <w14:schemeClr w14:val="tx1"/>
            </w14:solidFill>
          </w14:textFill>
        </w:rPr>
      </w:pPr>
    </w:p>
    <w:p w14:paraId="171888BB">
      <w:pPr>
        <w:pStyle w:val="27"/>
        <w:rPr>
          <w:rFonts w:ascii="宋体"/>
          <w:color w:val="000000" w:themeColor="text1"/>
          <w:kern w:val="0"/>
          <w:highlight w:val="none"/>
          <w14:textFill>
            <w14:solidFill>
              <w14:schemeClr w14:val="tx1"/>
            </w14:solidFill>
          </w14:textFill>
        </w:rPr>
      </w:pPr>
    </w:p>
    <w:p w14:paraId="47667786">
      <w:pPr>
        <w:pStyle w:val="22"/>
        <w:rPr>
          <w:rFonts w:ascii="宋体"/>
          <w:color w:val="000000" w:themeColor="text1"/>
          <w:kern w:val="0"/>
          <w:highlight w:val="none"/>
          <w14:textFill>
            <w14:solidFill>
              <w14:schemeClr w14:val="tx1"/>
            </w14:solidFill>
          </w14:textFill>
        </w:rPr>
      </w:pPr>
    </w:p>
    <w:p w14:paraId="148EC831">
      <w:pPr>
        <w:rPr>
          <w:rFonts w:ascii="宋体"/>
          <w:color w:val="000000" w:themeColor="text1"/>
          <w:kern w:val="0"/>
          <w:highlight w:val="none"/>
          <w14:textFill>
            <w14:solidFill>
              <w14:schemeClr w14:val="tx1"/>
            </w14:solidFill>
          </w14:textFill>
        </w:rPr>
      </w:pPr>
    </w:p>
    <w:p w14:paraId="3FAA855D">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第二章　供应商须知</w:t>
      </w:r>
    </w:p>
    <w:p w14:paraId="078B0DCD">
      <w:pPr>
        <w:pStyle w:val="3"/>
        <w:spacing w:before="0"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前附表</w:t>
      </w:r>
    </w:p>
    <w:tbl>
      <w:tblPr>
        <w:tblStyle w:val="28"/>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18"/>
        <w:gridCol w:w="1924"/>
        <w:gridCol w:w="6577"/>
      </w:tblGrid>
      <w:tr w14:paraId="096CE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tcBorders>
              <w:top w:val="single" w:color="auto" w:sz="12" w:space="0"/>
            </w:tcBorders>
            <w:vAlign w:val="center"/>
          </w:tcPr>
          <w:p w14:paraId="67C2C379">
            <w:pPr>
              <w:spacing w:line="400" w:lineRule="exact"/>
              <w:ind w:right="199" w:rightChars="95"/>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924" w:type="dxa"/>
            <w:tcBorders>
              <w:top w:val="single" w:color="auto" w:sz="12" w:space="0"/>
            </w:tcBorders>
            <w:vAlign w:val="center"/>
          </w:tcPr>
          <w:p w14:paraId="4CC3B3B1">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577" w:type="dxa"/>
            <w:tcBorders>
              <w:top w:val="single" w:color="auto" w:sz="12" w:space="0"/>
            </w:tcBorders>
            <w:vAlign w:val="center"/>
          </w:tcPr>
          <w:p w14:paraId="2FEC8448">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5F2D3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7C07F176">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1E61AE8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77" w:type="dxa"/>
            <w:vAlign w:val="center"/>
          </w:tcPr>
          <w:p w14:paraId="777D5743">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玉环市玉城、坎门、大麦屿街道2025-2026年度市政道路和桥梁日常养护（一期）项目</w:t>
            </w:r>
          </w:p>
        </w:tc>
      </w:tr>
      <w:tr w14:paraId="18846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2296DBFD">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924" w:type="dxa"/>
            <w:vAlign w:val="center"/>
          </w:tcPr>
          <w:p w14:paraId="05A0F9E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577" w:type="dxa"/>
            <w:vAlign w:val="center"/>
          </w:tcPr>
          <w:p w14:paraId="5048547D">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TZJY-YHZFCG-2025-0605</w:t>
            </w:r>
          </w:p>
        </w:tc>
      </w:tr>
      <w:tr w14:paraId="2B4D9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076E1C9C">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3D1D37C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577" w:type="dxa"/>
            <w:vAlign w:val="center"/>
          </w:tcPr>
          <w:p w14:paraId="5DE93E8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14:paraId="7C9DC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3E36F078">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4741B49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577" w:type="dxa"/>
            <w:vAlign w:val="center"/>
          </w:tcPr>
          <w:p w14:paraId="2422A92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竞争性谈判</w:t>
            </w:r>
          </w:p>
        </w:tc>
      </w:tr>
      <w:tr w14:paraId="376A7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6BBE1D62">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4AB087D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577" w:type="dxa"/>
            <w:vAlign w:val="center"/>
          </w:tcPr>
          <w:p w14:paraId="68B6A42E">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3992761</w:t>
            </w:r>
            <w:r>
              <w:rPr>
                <w:rFonts w:hint="eastAsia" w:ascii="宋体" w:hAnsi="宋体" w:cs="宋体"/>
                <w:color w:val="000000" w:themeColor="text1"/>
                <w:sz w:val="24"/>
                <w:highlight w:val="none"/>
                <w14:textFill>
                  <w14:solidFill>
                    <w14:schemeClr w14:val="tx1"/>
                  </w14:solidFill>
                </w14:textFill>
              </w:rPr>
              <w:t>元</w:t>
            </w:r>
          </w:p>
        </w:tc>
      </w:tr>
      <w:tr w14:paraId="74BE7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0B356D83">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3594B0F6">
            <w:pPr>
              <w:spacing w:line="400" w:lineRule="exact"/>
              <w:ind w:left="12" w:right="199" w:rightChars="95" w:hanging="12" w:hangingChars="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折扣率</w:t>
            </w:r>
            <w:r>
              <w:rPr>
                <w:rFonts w:hint="eastAsia" w:ascii="宋体" w:hAnsi="宋体" w:cs="宋体"/>
                <w:color w:val="000000" w:themeColor="text1"/>
                <w:sz w:val="24"/>
                <w:highlight w:val="none"/>
                <w:lang w:eastAsia="zh-CN"/>
                <w14:textFill>
                  <w14:solidFill>
                    <w14:schemeClr w14:val="tx1"/>
                  </w14:solidFill>
                </w14:textFill>
              </w:rPr>
              <w:t>）</w:t>
            </w:r>
          </w:p>
        </w:tc>
        <w:tc>
          <w:tcPr>
            <w:tcW w:w="6577" w:type="dxa"/>
            <w:vAlign w:val="center"/>
          </w:tcPr>
          <w:p w14:paraId="6E540DDC">
            <w:pPr>
              <w:spacing w:line="400" w:lineRule="exact"/>
              <w:ind w:right="199" w:rightChars="9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w:t>
            </w:r>
          </w:p>
        </w:tc>
      </w:tr>
      <w:tr w14:paraId="073D6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4217BD2D">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040B76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577" w:type="dxa"/>
            <w:vAlign w:val="center"/>
          </w:tcPr>
          <w:p w14:paraId="726D49A1">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玉环市市政公用事业服务中心</w:t>
            </w:r>
          </w:p>
        </w:tc>
      </w:tr>
      <w:tr w14:paraId="4C161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57AF993F">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924" w:type="dxa"/>
            <w:vAlign w:val="center"/>
          </w:tcPr>
          <w:p w14:paraId="32AFDE3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577" w:type="dxa"/>
            <w:vAlign w:val="center"/>
          </w:tcPr>
          <w:p w14:paraId="0FCF5A15">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台州嘉亿招标代理有限责任公司</w:t>
            </w:r>
          </w:p>
        </w:tc>
      </w:tr>
      <w:tr w14:paraId="7EE7F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18" w:type="dxa"/>
            <w:vAlign w:val="center"/>
          </w:tcPr>
          <w:p w14:paraId="3A89358A">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3B2949C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577" w:type="dxa"/>
            <w:vAlign w:val="center"/>
          </w:tcPr>
          <w:p w14:paraId="46481F0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最低评标价法</w:t>
            </w:r>
          </w:p>
        </w:tc>
      </w:tr>
      <w:tr w14:paraId="188CA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297EA535">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3FCFB8E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577" w:type="dxa"/>
            <w:vAlign w:val="center"/>
          </w:tcPr>
          <w:p w14:paraId="37B0659E">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473D9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18" w:type="dxa"/>
            <w:vAlign w:val="center"/>
          </w:tcPr>
          <w:p w14:paraId="03EC99F4">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52E82C7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w:t>
            </w:r>
          </w:p>
          <w:p w14:paraId="6B02830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资格要求</w:t>
            </w:r>
          </w:p>
        </w:tc>
        <w:tc>
          <w:tcPr>
            <w:tcW w:w="6577" w:type="dxa"/>
            <w:vAlign w:val="center"/>
          </w:tcPr>
          <w:p w14:paraId="27E09946">
            <w:pPr>
              <w:spacing w:line="400" w:lineRule="exact"/>
              <w:ind w:left="19" w:right="199" w:rightChars="95" w:hanging="19" w:hangingChars="8"/>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详见采购公告</w:t>
            </w:r>
          </w:p>
        </w:tc>
      </w:tr>
      <w:tr w14:paraId="4CA27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18" w:type="dxa"/>
            <w:vAlign w:val="center"/>
          </w:tcPr>
          <w:p w14:paraId="222EDDB0">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1467A60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577" w:type="dxa"/>
            <w:vAlign w:val="center"/>
          </w:tcPr>
          <w:p w14:paraId="14ECC6B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不接受</w:t>
            </w:r>
          </w:p>
          <w:p w14:paraId="0A6DB7CF">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08BB2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18" w:type="dxa"/>
            <w:vAlign w:val="center"/>
          </w:tcPr>
          <w:p w14:paraId="7D4D33E6">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2E2305CB">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577" w:type="dxa"/>
            <w:vAlign w:val="center"/>
          </w:tcPr>
          <w:p w14:paraId="656918FE">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不组织</w:t>
            </w:r>
          </w:p>
          <w:p w14:paraId="0678D50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586C0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18" w:type="dxa"/>
            <w:vAlign w:val="center"/>
          </w:tcPr>
          <w:p w14:paraId="739B727F">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1B0ED8A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577" w:type="dxa"/>
            <w:vAlign w:val="center"/>
          </w:tcPr>
          <w:p w14:paraId="1D6BB9F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不允许</w:t>
            </w:r>
          </w:p>
          <w:p w14:paraId="14353B0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22C34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18" w:type="dxa"/>
            <w:vAlign w:val="center"/>
          </w:tcPr>
          <w:p w14:paraId="78B7CBCA">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7944A73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577" w:type="dxa"/>
            <w:vAlign w:val="center"/>
          </w:tcPr>
          <w:p w14:paraId="6EE57A81">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3ACAD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3C660753">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2193316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577" w:type="dxa"/>
            <w:vAlign w:val="center"/>
          </w:tcPr>
          <w:p w14:paraId="137D73DC">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7FFA3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18" w:type="dxa"/>
            <w:vAlign w:val="center"/>
          </w:tcPr>
          <w:p w14:paraId="42467A5E">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52E8D5F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谈判文件说明</w:t>
            </w:r>
          </w:p>
        </w:tc>
        <w:tc>
          <w:tcPr>
            <w:tcW w:w="6577" w:type="dxa"/>
            <w:vAlign w:val="center"/>
          </w:tcPr>
          <w:p w14:paraId="122188B0">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谈判文件组成：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637243A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谈判文件编制：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供应商应先安装“政采云电子交易客户端”，并按照本采购文件和“政府采购云平台”的要求，通过“政采云电子交易客户端”编制并加密谈判文件。</w:t>
            </w:r>
          </w:p>
          <w:p w14:paraId="0AA8C23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谈判文件的签章：</w:t>
            </w:r>
            <w:r>
              <w:rPr>
                <w:rFonts w:hint="eastAsia" w:ascii="宋体" w:hAnsi="宋体" w:cs="宋体"/>
                <w:color w:val="000000" w:themeColor="text1"/>
                <w:sz w:val="24"/>
                <w:highlight w:val="none"/>
                <w14:textFill>
                  <w14:solidFill>
                    <w14:schemeClr w14:val="tx1"/>
                  </w14:solidFill>
                </w14:textFill>
              </w:rPr>
              <w:t>电子签章。</w:t>
            </w:r>
          </w:p>
          <w:p w14:paraId="4635205A">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谈判文件的形式：</w:t>
            </w:r>
            <w:r>
              <w:rPr>
                <w:rFonts w:hint="eastAsia" w:ascii="宋体" w:hAnsi="宋体" w:cs="宋体"/>
                <w:color w:val="000000" w:themeColor="text1"/>
                <w:sz w:val="24"/>
                <w:highlight w:val="none"/>
                <w14:textFill>
                  <w14:solidFill>
                    <w14:schemeClr w14:val="tx1"/>
                  </w14:solidFill>
                </w14:textFill>
              </w:rPr>
              <w:t>☑电子谈判文件（包括“</w:t>
            </w:r>
            <w:r>
              <w:rPr>
                <w:rFonts w:hint="eastAsia" w:ascii="宋体" w:hAnsi="宋体" w:cs="宋体"/>
                <w:color w:val="000000" w:themeColor="text1"/>
                <w:sz w:val="24"/>
                <w:highlight w:val="none"/>
                <w:lang w:bidi="ar"/>
                <w14:textFill>
                  <w14:solidFill>
                    <w14:schemeClr w14:val="tx1"/>
                  </w14:solidFill>
                </w14:textFill>
              </w:rPr>
              <w:t>电子加密谈判文件”和“备份谈判文件”，在谈判文件编制完成后同时生成）；</w:t>
            </w:r>
          </w:p>
          <w:p w14:paraId="5C08CBCE">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（1）“电子加密谈判文件”是指通过“政采云电子交易客户端”完成谈判文件编制后生成并加密的数据电文形式的谈判文件。</w:t>
            </w:r>
          </w:p>
          <w:p w14:paraId="27AD4E3F">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（2）“备份谈判文件”是指与“电子加密谈判文件”同时生成的数据电文形式的电子文件（备份标书），其他方式编制的备份谈判文件视为无效备份谈判文件。</w:t>
            </w:r>
          </w:p>
          <w:p w14:paraId="18C304EC">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5、谈判文件份数：</w:t>
            </w:r>
            <w:r>
              <w:rPr>
                <w:rFonts w:hint="eastAsia" w:ascii="宋体" w:hAnsi="宋体" w:cs="宋体"/>
                <w:color w:val="000000" w:themeColor="text1"/>
                <w:sz w:val="24"/>
                <w:highlight w:val="none"/>
                <w:lang w:bidi="ar"/>
                <w14:textFill>
                  <w14:solidFill>
                    <w14:schemeClr w14:val="tx1"/>
                  </w14:solidFill>
                </w14:textFill>
              </w:rPr>
              <w:t>（1）“电子加密谈判文件”：在线上传递交。按政采云平台供应商项目采购-电子招投标操作指南https://help.zcygov.cn/web/site_2/2018/12-28/2573.html及本谈判文件要求提交。</w:t>
            </w:r>
          </w:p>
          <w:p w14:paraId="1F7025F7">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（2）“备份谈判文件”：密封包装后投标截止时间前递交、一份</w:t>
            </w:r>
          </w:p>
          <w:p w14:paraId="271D58E5">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6、</w:t>
            </w:r>
            <w:r>
              <w:rPr>
                <w:rFonts w:hint="eastAsia" w:ascii="宋体" w:hAnsi="宋体" w:cs="宋体"/>
                <w:b/>
                <w:bCs/>
                <w:color w:val="000000" w:themeColor="text1"/>
                <w:sz w:val="24"/>
                <w:highlight w:val="none"/>
                <w:lang w:bidi="ar"/>
                <w14:textFill>
                  <w14:solidFill>
                    <w14:schemeClr w14:val="tx1"/>
                  </w14:solidFill>
                </w14:textFill>
              </w:rPr>
              <w:t>谈判文件的上传和递交：</w:t>
            </w:r>
          </w:p>
          <w:p w14:paraId="15B0FD0B">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（1）“电子加密谈判文件”的上传、递交：</w:t>
            </w:r>
          </w:p>
          <w:p w14:paraId="1DB0F267">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a.供应商应在投标截止时间前将“电子加密谈判文件”成功上传递交至“政府采购云平台”，否则投标无效。</w:t>
            </w:r>
          </w:p>
          <w:p w14:paraId="37D5DAB6">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b.“电子加密谈判文件”成功上传递交后，供应商可自行打印谈判文件接收回执。</w:t>
            </w:r>
          </w:p>
          <w:p w14:paraId="0D270DC0">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（2）“备份谈判文件”的密封包装、递交：</w:t>
            </w:r>
          </w:p>
          <w:p w14:paraId="0B259122">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a.供应商在“政府采购云平台”完成“电子加密谈判文件”的上传递交后， 投标供应商如需递交“备份谈判文件”的，应在投标截止时间前递交一份以介质（U盘）存储的“备份谈判文件”到</w:t>
            </w:r>
            <w:r>
              <w:rPr>
                <w:rFonts w:hint="eastAsia" w:ascii="宋体" w:hAnsi="宋体" w:cs="宋体"/>
                <w:color w:val="000000" w:themeColor="text1"/>
                <w:sz w:val="24"/>
                <w:highlight w:val="none"/>
                <w:lang w:eastAsia="zh-CN" w:bidi="ar"/>
                <w14:textFill>
                  <w14:solidFill>
                    <w14:schemeClr w14:val="tx1"/>
                  </w14:solidFill>
                </w14:textFill>
              </w:rPr>
              <w:t>台州嘉亿招标代理有限责任公司</w:t>
            </w:r>
            <w:r>
              <w:rPr>
                <w:rFonts w:hint="eastAsia" w:ascii="宋体" w:hAnsi="宋体" w:cs="宋体"/>
                <w:color w:val="000000" w:themeColor="text1"/>
                <w:sz w:val="24"/>
                <w:highlight w:val="none"/>
                <w:lang w:bidi="ar"/>
                <w14:textFill>
                  <w14:solidFill>
                    <w14:schemeClr w14:val="tx1"/>
                  </w14:solidFill>
                </w14:textFill>
              </w:rPr>
              <w:t>（地址玉环市李家小区，</w:t>
            </w:r>
            <w:r>
              <w:rPr>
                <w:rFonts w:hint="eastAsia" w:ascii="宋体" w:hAnsi="宋体" w:cs="宋体"/>
                <w:color w:val="000000" w:themeColor="text1"/>
                <w:sz w:val="24"/>
                <w:highlight w:val="none"/>
                <w:lang w:val="en-US" w:eastAsia="zh-CN" w:bidi="ar"/>
                <w14:textFill>
                  <w14:solidFill>
                    <w14:schemeClr w14:val="tx1"/>
                  </w14:solidFill>
                </w14:textFill>
              </w:rPr>
              <w:t>王先生13968855370</w:t>
            </w:r>
            <w:r>
              <w:rPr>
                <w:rFonts w:hint="eastAsia" w:ascii="宋体" w:hAnsi="宋体" w:cs="宋体"/>
                <w:color w:val="000000" w:themeColor="text1"/>
                <w:sz w:val="24"/>
                <w:highlight w:val="none"/>
                <w:lang w:bidi="ar"/>
                <w14:textFill>
                  <w14:solidFill>
                    <w14:schemeClr w14:val="tx1"/>
                  </w14:solidFill>
                </w14:textFill>
              </w:rPr>
              <w:t>）或后缀名为BFBS的加密文件发送至153997632@qq.com。</w:t>
            </w:r>
          </w:p>
          <w:p w14:paraId="6327245D">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b.“备份谈判文件”应当密封包装，并在包装上标注投标项目名称、投标单位名称并加盖公章。没有密封包装或者逾期邮寄送达至投标地点的“备份谈判文件”将不予接收；</w:t>
            </w:r>
          </w:p>
          <w:p w14:paraId="4CF26027">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c.通过“政府采购云平台”成功上传递交的“电子加密谈判文件”已按时解密的，“备份谈判文件”自动失效。投标截止时间前，供应商仅递交了“备份谈判文件”而未将“电子加密谈判文件”成功上传至“政府采购云平台”的，投标无效。</w:t>
            </w:r>
          </w:p>
          <w:p w14:paraId="3C9E7F34">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7、电子加密谈判文件的解密和异常情况处理：</w:t>
            </w:r>
          </w:p>
          <w:p w14:paraId="2D66F3B9">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（1）开标后，采购组织机构将向各供应商发出“电子加密谈判文件”的解密通知，各供应商代表应当在接到解密通知后30分钟内自行完成“电子加密谈判文件”的在线解密。</w:t>
            </w:r>
          </w:p>
          <w:p w14:paraId="3F914344">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通过“政府采购云平台”成功上传递交的“电子加密谈判文件”无法按时解密，供应商如按规定递交了“备份谈判文件”的，以“备份谈判文件”为依据（由采购组织机构按“政府采购云平台”操作规范将“备份谈判文件”上传至“政府采购云平台”，上传成功后，“电子加密谈判文件”自动失效），否则视为谈判文件撤回。</w:t>
            </w:r>
          </w:p>
          <w:p w14:paraId="30359443">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（3）投标截止时间前，供应商仅递交了“备份谈判文件”而未将电子加密谈判文件上传至“政府采购云平台”的，投标无效。</w:t>
            </w:r>
          </w:p>
          <w:p w14:paraId="57E02941">
            <w:pPr>
              <w:snapToGrid w:val="0"/>
              <w:spacing w:line="400" w:lineRule="exact"/>
              <w:ind w:left="19" w:right="199" w:rightChars="95" w:hanging="19" w:hangingChars="8"/>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8、投标截止后，在投标有效期内，供应商不能撤销谈判文件</w:t>
            </w:r>
            <w:r>
              <w:rPr>
                <w:rFonts w:hint="eastAsia" w:ascii="宋体" w:hAnsi="宋体" w:cs="宋体"/>
                <w:color w:val="000000" w:themeColor="text1"/>
                <w:sz w:val="24"/>
                <w:highlight w:val="none"/>
                <w:lang w:eastAsia="zh-CN" w:bidi="ar"/>
                <w14:textFill>
                  <w14:solidFill>
                    <w14:schemeClr w14:val="tx1"/>
                  </w14:solidFill>
                </w14:textFill>
              </w:rPr>
              <w:t>。</w:t>
            </w:r>
          </w:p>
          <w:p w14:paraId="64C1DBEC">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14:paraId="3A73305C">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14:paraId="5BDC1903">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（1）中标或者成交后，拒绝签订政府采购合同的；</w:t>
            </w:r>
          </w:p>
          <w:p w14:paraId="40EF342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（2）投标有效期内撤销谈判文件的</w:t>
            </w:r>
          </w:p>
        </w:tc>
      </w:tr>
      <w:tr w14:paraId="52413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18" w:type="dxa"/>
            <w:vAlign w:val="center"/>
          </w:tcPr>
          <w:p w14:paraId="2D46AD36">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2676A2C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577" w:type="dxa"/>
            <w:vAlign w:val="center"/>
          </w:tcPr>
          <w:p w14:paraId="046D98D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不需要</w:t>
            </w:r>
          </w:p>
          <w:p w14:paraId="481C403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46677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18" w:type="dxa"/>
            <w:vAlign w:val="center"/>
          </w:tcPr>
          <w:p w14:paraId="3BAB8AE0">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BCF82A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577" w:type="dxa"/>
            <w:vAlign w:val="center"/>
          </w:tcPr>
          <w:p w14:paraId="74D17DC6">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39010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18" w:type="dxa"/>
            <w:vAlign w:val="center"/>
          </w:tcPr>
          <w:p w14:paraId="562E3737">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536F933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577" w:type="dxa"/>
            <w:vAlign w:val="center"/>
          </w:tcPr>
          <w:p w14:paraId="48FF353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不需要</w:t>
            </w:r>
          </w:p>
          <w:p w14:paraId="370B44E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   签订合同</w:t>
            </w:r>
            <w:r>
              <w:rPr>
                <w:rFonts w:hint="eastAsia" w:ascii="宋体" w:hAnsi="宋体" w:cs="宋体"/>
                <w:color w:val="000000" w:themeColor="text1"/>
                <w:sz w:val="24"/>
                <w:highlight w:val="none"/>
                <w:lang w:val="en-US" w:eastAsia="zh-CN"/>
                <w14:textFill>
                  <w14:solidFill>
                    <w14:schemeClr w14:val="tx1"/>
                  </w14:solidFill>
                </w14:textFill>
              </w:rPr>
              <w:t>前</w:t>
            </w:r>
            <w:r>
              <w:rPr>
                <w:rFonts w:hint="eastAsia" w:ascii="宋体" w:hAnsi="宋体" w:cs="宋体"/>
                <w:color w:val="000000" w:themeColor="text1"/>
                <w:sz w:val="24"/>
                <w:highlight w:val="none"/>
                <w14:textFill>
                  <w14:solidFill>
                    <w14:schemeClr w14:val="tx1"/>
                  </w14:solidFill>
                </w14:textFill>
              </w:rPr>
              <w:t>，成交供应商应缴纳</w:t>
            </w:r>
            <w:r>
              <w:rPr>
                <w:rFonts w:hint="eastAsia" w:ascii="宋体" w:hAnsi="宋体" w:cs="宋体"/>
                <w:color w:val="000000" w:themeColor="text1"/>
                <w:sz w:val="24"/>
                <w:highlight w:val="none"/>
                <w:lang w:val="en-US" w:eastAsia="zh-CN"/>
                <w14:textFill>
                  <w14:solidFill>
                    <w14:schemeClr w14:val="tx1"/>
                  </w14:solidFill>
                </w14:textFill>
              </w:rPr>
              <w:t>叁万伍仟</w:t>
            </w:r>
            <w:r>
              <w:rPr>
                <w:rFonts w:hint="eastAsia" w:ascii="宋体" w:hAnsi="宋体" w:cs="宋体"/>
                <w:color w:val="000000" w:themeColor="text1"/>
                <w:sz w:val="24"/>
                <w:highlight w:val="none"/>
                <w14:textFill>
                  <w14:solidFill>
                    <w14:schemeClr w14:val="tx1"/>
                  </w14:solidFill>
                </w14:textFill>
              </w:rPr>
              <w:t>作为履约保证金。</w:t>
            </w:r>
          </w:p>
        </w:tc>
      </w:tr>
      <w:tr w14:paraId="1C78D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18" w:type="dxa"/>
            <w:vAlign w:val="center"/>
          </w:tcPr>
          <w:p w14:paraId="47BF23CA">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ECDF89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谈判文件获取方式</w:t>
            </w:r>
          </w:p>
        </w:tc>
        <w:tc>
          <w:tcPr>
            <w:tcW w:w="6577" w:type="dxa"/>
            <w:vAlign w:val="center"/>
          </w:tcPr>
          <w:p w14:paraId="3824E7EC">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http://www.zjzfcg.gov.cn）查找本项目并获取采购文件，获取采购文件时应填写正确的电子邮箱（开标时文件传输均发至此邮箱）。</w:t>
            </w:r>
          </w:p>
          <w:p w14:paraId="1AD08CA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74B9B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18" w:type="dxa"/>
            <w:vAlign w:val="center"/>
          </w:tcPr>
          <w:p w14:paraId="761936FC">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314782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谈判截止时间</w:t>
            </w:r>
          </w:p>
        </w:tc>
        <w:tc>
          <w:tcPr>
            <w:tcW w:w="6577" w:type="dxa"/>
            <w:vAlign w:val="center"/>
          </w:tcPr>
          <w:p w14:paraId="512CF09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2025年0</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lang w:eastAsia="zh-CN"/>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27</w:t>
            </w:r>
            <w:r>
              <w:rPr>
                <w:rFonts w:hint="eastAsia" w:ascii="宋体" w:hAnsi="宋体" w:cs="宋体"/>
                <w:b/>
                <w:color w:val="000000" w:themeColor="text1"/>
                <w:sz w:val="24"/>
                <w:highlight w:val="none"/>
                <w:lang w:eastAsia="zh-CN"/>
                <w14:textFill>
                  <w14:solidFill>
                    <w14:schemeClr w14:val="tx1"/>
                  </w14:solidFill>
                </w14:textFill>
              </w:rPr>
              <w:t>日</w:t>
            </w:r>
            <w:r>
              <w:rPr>
                <w:rFonts w:hint="eastAsia" w:ascii="宋体" w:hAnsi="宋体" w:cs="宋体"/>
                <w:b/>
                <w:color w:val="000000" w:themeColor="text1"/>
                <w:sz w:val="24"/>
                <w:highlight w:val="none"/>
                <w:lang w:val="en-US" w:eastAsia="zh-CN"/>
                <w14:textFill>
                  <w14:solidFill>
                    <w14:schemeClr w14:val="tx1"/>
                  </w14:solidFill>
                </w14:textFill>
              </w:rPr>
              <w:t>09点00分</w:t>
            </w:r>
            <w:r>
              <w:rPr>
                <w:rFonts w:hint="eastAsia" w:ascii="宋体" w:hAnsi="宋体" w:cs="宋体"/>
                <w:color w:val="000000" w:themeColor="text1"/>
                <w:sz w:val="24"/>
                <w:highlight w:val="none"/>
                <w14:textFill>
                  <w14:solidFill>
                    <w14:schemeClr w14:val="tx1"/>
                  </w14:solidFill>
                </w14:textFill>
              </w:rPr>
              <w:t>截止(北京时间)。</w:t>
            </w:r>
          </w:p>
        </w:tc>
      </w:tr>
      <w:tr w14:paraId="46999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18" w:type="dxa"/>
            <w:vAlign w:val="center"/>
          </w:tcPr>
          <w:p w14:paraId="02A072EB">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7A3F6FA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谈判文件递交地点</w:t>
            </w:r>
          </w:p>
        </w:tc>
        <w:tc>
          <w:tcPr>
            <w:tcW w:w="6577" w:type="dxa"/>
            <w:vAlign w:val="center"/>
          </w:tcPr>
          <w:p w14:paraId="5317B24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通过“政府采购云平台（www.zcygov.cn）”实行在线投标响应</w:t>
            </w:r>
          </w:p>
        </w:tc>
      </w:tr>
      <w:tr w14:paraId="2690A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18" w:type="dxa"/>
            <w:vAlign w:val="center"/>
          </w:tcPr>
          <w:p w14:paraId="4ADE7613">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C6DE38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谈判时间</w:t>
            </w:r>
          </w:p>
          <w:p w14:paraId="4C5AD25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谈判地点</w:t>
            </w:r>
          </w:p>
        </w:tc>
        <w:tc>
          <w:tcPr>
            <w:tcW w:w="6577" w:type="dxa"/>
            <w:vAlign w:val="center"/>
          </w:tcPr>
          <w:p w14:paraId="512F8C3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lang w:eastAsia="zh-CN"/>
                <w14:textFill>
                  <w14:solidFill>
                    <w14:schemeClr w14:val="tx1"/>
                  </w14:solidFill>
                </w14:textFill>
              </w:rPr>
              <w:t>2025年0</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lang w:eastAsia="zh-CN"/>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27</w:t>
            </w:r>
            <w:r>
              <w:rPr>
                <w:rFonts w:hint="eastAsia" w:ascii="宋体" w:hAnsi="宋体" w:cs="宋体"/>
                <w:b/>
                <w:color w:val="000000" w:themeColor="text1"/>
                <w:sz w:val="24"/>
                <w:highlight w:val="none"/>
                <w:lang w:eastAsia="zh-CN"/>
                <w14:textFill>
                  <w14:solidFill>
                    <w14:schemeClr w14:val="tx1"/>
                  </w14:solidFill>
                </w14:textFill>
              </w:rPr>
              <w:t>日</w:t>
            </w:r>
            <w:r>
              <w:rPr>
                <w:rFonts w:hint="eastAsia" w:ascii="宋体" w:hAnsi="宋体" w:cs="宋体"/>
                <w:b/>
                <w:color w:val="000000" w:themeColor="text1"/>
                <w:sz w:val="24"/>
                <w:highlight w:val="none"/>
                <w:lang w:val="en-US" w:eastAsia="zh-CN"/>
                <w14:textFill>
                  <w14:solidFill>
                    <w14:schemeClr w14:val="tx1"/>
                  </w14:solidFill>
                </w14:textFill>
              </w:rPr>
              <w:t>09点00分</w:t>
            </w:r>
            <w:r>
              <w:rPr>
                <w:rFonts w:hint="eastAsia" w:ascii="宋体" w:hAnsi="宋体" w:cs="宋体"/>
                <w:color w:val="000000" w:themeColor="text1"/>
                <w:sz w:val="24"/>
                <w:highlight w:val="none"/>
                <w14:textFill>
                  <w14:solidFill>
                    <w14:schemeClr w14:val="tx1"/>
                  </w14:solidFill>
                </w14:textFill>
              </w:rPr>
              <w:t>(北京时间)</w:t>
            </w:r>
          </w:p>
          <w:p w14:paraId="686DD90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开标地点：“政府采购云平台”线上开标</w:t>
            </w:r>
          </w:p>
        </w:tc>
      </w:tr>
      <w:tr w14:paraId="0EAF0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918" w:type="dxa"/>
            <w:vAlign w:val="center"/>
          </w:tcPr>
          <w:p w14:paraId="48A6E5BC">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D81AD9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竞争性谈判小组的组建</w:t>
            </w:r>
          </w:p>
        </w:tc>
        <w:tc>
          <w:tcPr>
            <w:tcW w:w="6577" w:type="dxa"/>
            <w:vAlign w:val="center"/>
          </w:tcPr>
          <w:p w14:paraId="41D1A95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14:paraId="40722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6C7E68E2">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19319CAF">
            <w:pPr>
              <w:spacing w:line="400" w:lineRule="exact"/>
              <w:ind w:left="12" w:right="199" w:rightChars="95" w:hanging="12" w:hangingChars="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项目类型</w:t>
            </w:r>
          </w:p>
        </w:tc>
        <w:tc>
          <w:tcPr>
            <w:tcW w:w="6577" w:type="dxa"/>
            <w:vAlign w:val="center"/>
          </w:tcPr>
          <w:p w14:paraId="68031AF2">
            <w:pPr>
              <w:spacing w:line="400" w:lineRule="exact"/>
              <w:ind w:left="19" w:right="199" w:rightChars="95" w:hanging="19" w:hangingChars="8"/>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服务类</w:t>
            </w:r>
          </w:p>
        </w:tc>
      </w:tr>
      <w:tr w14:paraId="05049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55187263">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2E06A8F8">
            <w:pPr>
              <w:spacing w:line="400" w:lineRule="exact"/>
              <w:ind w:left="12" w:right="42" w:rightChars="20"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采购标的对应的中小企业划分标准所属行业</w:t>
            </w:r>
          </w:p>
        </w:tc>
        <w:tc>
          <w:tcPr>
            <w:tcW w:w="6577" w:type="dxa"/>
            <w:vAlign w:val="center"/>
          </w:tcPr>
          <w:p w14:paraId="6758B521">
            <w:pPr>
              <w:spacing w:line="400" w:lineRule="exact"/>
              <w:ind w:left="19" w:right="199" w:rightChars="95" w:hanging="19" w:hangingChars="8"/>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其他未列明行业</w:t>
            </w:r>
          </w:p>
        </w:tc>
      </w:tr>
      <w:tr w14:paraId="57F84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01B58DB4">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27F3C4F7">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6789CB5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577" w:type="dxa"/>
            <w:vAlign w:val="center"/>
          </w:tcPr>
          <w:p w14:paraId="178A2515">
            <w:pPr>
              <w:spacing w:line="400" w:lineRule="exact"/>
              <w:ind w:left="19" w:right="199" w:rightChars="95" w:hanging="19" w:hangingChars="8"/>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本项目专门面向中小微企业</w:t>
            </w:r>
          </w:p>
        </w:tc>
      </w:tr>
      <w:tr w14:paraId="5B3AE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18" w:type="dxa"/>
            <w:vAlign w:val="center"/>
          </w:tcPr>
          <w:p w14:paraId="0EEB4DE1">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77F68D8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577" w:type="dxa"/>
            <w:vAlign w:val="center"/>
          </w:tcPr>
          <w:p w14:paraId="20A258C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01C64C59">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r>
              <w:rPr>
                <w:rFonts w:hint="eastAsia" w:ascii="宋体" w:hAnsi="宋体" w:cs="宋体"/>
                <w:color w:val="000000" w:themeColor="text1"/>
                <w:sz w:val="24"/>
                <w:highlight w:val="none"/>
                <w:lang w:eastAsia="zh-CN"/>
                <w14:textFill>
                  <w14:solidFill>
                    <w14:schemeClr w14:val="tx1"/>
                  </w14:solidFill>
                </w14:textFill>
              </w:rPr>
              <w:t>；</w:t>
            </w:r>
          </w:p>
          <w:p w14:paraId="3CB9804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34F2AA1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7BBBF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18" w:type="dxa"/>
            <w:vAlign w:val="center"/>
          </w:tcPr>
          <w:p w14:paraId="772D5483">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38EAD1E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谈判文件备案</w:t>
            </w:r>
          </w:p>
        </w:tc>
        <w:tc>
          <w:tcPr>
            <w:tcW w:w="6577" w:type="dxa"/>
            <w:vAlign w:val="center"/>
          </w:tcPr>
          <w:p w14:paraId="15E1B19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成交单位需在成交确认后7个工作日内，邮寄1套纸质投标资料至招标代理处。</w:t>
            </w:r>
          </w:p>
        </w:tc>
      </w:tr>
      <w:tr w14:paraId="2CC78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18" w:type="dxa"/>
            <w:vAlign w:val="center"/>
          </w:tcPr>
          <w:p w14:paraId="63C940CA">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20D216D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577" w:type="dxa"/>
            <w:vAlign w:val="center"/>
          </w:tcPr>
          <w:p w14:paraId="6159550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1、成交方须在发出成交通知书之日起30日历天内与采购人签订合同。</w:t>
            </w:r>
          </w:p>
          <w:p w14:paraId="419F10D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2、成交方与采购人签订合同后，2日历天内将合同原件交给招标代理机构备案。</w:t>
            </w:r>
          </w:p>
          <w:p w14:paraId="3623172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6DB76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18" w:type="dxa"/>
            <w:vAlign w:val="center"/>
          </w:tcPr>
          <w:p w14:paraId="4C22E5CC">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0B87EC2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577" w:type="dxa"/>
            <w:vAlign w:val="center"/>
          </w:tcPr>
          <w:p w14:paraId="0D6EAB2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14:paraId="1F920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675C6EB5">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40E3E63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577" w:type="dxa"/>
            <w:vAlign w:val="center"/>
          </w:tcPr>
          <w:p w14:paraId="7D84ABB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14:paraId="1783109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14:paraId="0CC89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vAlign w:val="center"/>
          </w:tcPr>
          <w:p w14:paraId="41082B64">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vAlign w:val="center"/>
          </w:tcPr>
          <w:p w14:paraId="75C26EE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577" w:type="dxa"/>
            <w:vAlign w:val="center"/>
          </w:tcPr>
          <w:p w14:paraId="233A3AF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谈判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48208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18" w:type="dxa"/>
            <w:tcBorders>
              <w:bottom w:val="single" w:color="auto" w:sz="12" w:space="0"/>
            </w:tcBorders>
            <w:vAlign w:val="center"/>
          </w:tcPr>
          <w:p w14:paraId="1522B40D">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24" w:type="dxa"/>
            <w:tcBorders>
              <w:bottom w:val="single" w:color="auto" w:sz="12" w:space="0"/>
            </w:tcBorders>
            <w:vAlign w:val="center"/>
          </w:tcPr>
          <w:p w14:paraId="05510A5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577" w:type="dxa"/>
            <w:tcBorders>
              <w:bottom w:val="single" w:color="auto" w:sz="12" w:space="0"/>
            </w:tcBorders>
            <w:vAlign w:val="center"/>
          </w:tcPr>
          <w:p w14:paraId="62DA713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1.请务必确保谈判文件制作客户端为最新版本，旧版本可能导致谈判文件解密失败。</w:t>
            </w:r>
          </w:p>
          <w:p w14:paraId="44835A4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2.请务必确保谈判文件制作时所用的 CA 锁与谈判文件解密时的 CA 锁为同一把，否则可能导致谈判文件解密失败。</w:t>
            </w:r>
          </w:p>
        </w:tc>
      </w:tr>
    </w:tbl>
    <w:p w14:paraId="2CC6A1F3">
      <w:pPr>
        <w:pStyle w:val="15"/>
        <w:spacing w:line="360" w:lineRule="auto"/>
        <w:jc w:val="center"/>
        <w:outlineLvl w:val="1"/>
        <w:rPr>
          <w:rFonts w:hAnsi="宋体" w:cs="宋体"/>
          <w:b/>
          <w:color w:val="000000" w:themeColor="text1"/>
          <w:sz w:val="24"/>
          <w:highlight w:val="none"/>
          <w14:textFill>
            <w14:solidFill>
              <w14:schemeClr w14:val="tx1"/>
            </w14:solidFill>
          </w14:textFill>
        </w:rPr>
      </w:pPr>
    </w:p>
    <w:p w14:paraId="40692CE1">
      <w:pPr>
        <w:pStyle w:val="15"/>
        <w:spacing w:line="360" w:lineRule="auto"/>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5028DC1B">
      <w:pPr>
        <w:pageBreakBefore w:val="0"/>
        <w:kinsoku/>
        <w:wordWrap/>
        <w:overflowPunct/>
        <w:topLinePunct w:val="0"/>
        <w:bidi w:val="0"/>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1FC81A63">
      <w:pPr>
        <w:pStyle w:val="3"/>
        <w:pageBreakBefore w:val="0"/>
        <w:kinsoku/>
        <w:wordWrap/>
        <w:overflowPunct/>
        <w:topLinePunct w:val="0"/>
        <w:bidi w:val="0"/>
        <w:spacing w:before="0" w:after="0" w:line="400" w:lineRule="exact"/>
        <w:jc w:val="left"/>
        <w:rPr>
          <w:rFonts w:hint="eastAsia" w:ascii="宋体" w:hAnsi="宋体" w:cs="宋体"/>
          <w:color w:val="000000" w:themeColor="text1"/>
          <w:sz w:val="24"/>
          <w:szCs w:val="24"/>
          <w:highlight w:val="none"/>
          <w14:textFill>
            <w14:solidFill>
              <w14:schemeClr w14:val="tx1"/>
            </w14:solidFill>
          </w14:textFill>
        </w:rPr>
      </w:pPr>
    </w:p>
    <w:p w14:paraId="41CC69DF">
      <w:pPr>
        <w:pStyle w:val="3"/>
        <w:pageBreakBefore w:val="0"/>
        <w:kinsoku/>
        <w:wordWrap/>
        <w:overflowPunct/>
        <w:topLinePunct w:val="0"/>
        <w:bidi w:val="0"/>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、总  则</w:t>
      </w:r>
    </w:p>
    <w:p w14:paraId="13385BE0">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适用范围</w:t>
      </w:r>
    </w:p>
    <w:p w14:paraId="1CBDC71E">
      <w:pPr>
        <w:pageBreakBefore w:val="0"/>
        <w:kinsoku/>
        <w:wordWrap/>
        <w:overflowPunct/>
        <w:topLinePunct w:val="0"/>
        <w:bidi w:val="0"/>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w:t>
      </w:r>
      <w:r>
        <w:rPr>
          <w:rFonts w:hint="eastAsia" w:ascii="宋体" w:hAnsi="宋体" w:cs="宋体"/>
          <w:bCs/>
          <w:color w:val="000000" w:themeColor="text1"/>
          <w:sz w:val="24"/>
          <w:highlight w:val="none"/>
          <w14:textFill>
            <w14:solidFill>
              <w14:schemeClr w14:val="tx1"/>
            </w14:solidFill>
          </w14:textFill>
        </w:rPr>
        <w:t>谈判文件</w:t>
      </w:r>
      <w:r>
        <w:rPr>
          <w:rFonts w:hint="eastAsia" w:ascii="宋体" w:hAnsi="宋体" w:cs="宋体"/>
          <w:color w:val="000000" w:themeColor="text1"/>
          <w:sz w:val="24"/>
          <w:highlight w:val="none"/>
          <w14:textFill>
            <w14:solidFill>
              <w14:schemeClr w14:val="tx1"/>
            </w14:solidFill>
          </w14:textFill>
        </w:rPr>
        <w:t>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项目的谈判、</w:t>
      </w:r>
      <w:r>
        <w:rPr>
          <w:rFonts w:hint="eastAsia" w:ascii="宋体" w:hAnsi="宋体" w:cs="宋体"/>
          <w:bCs/>
          <w:color w:val="000000" w:themeColor="text1"/>
          <w:sz w:val="24"/>
          <w:highlight w:val="none"/>
          <w14:textFill>
            <w14:solidFill>
              <w14:schemeClr w14:val="tx1"/>
            </w14:solidFill>
          </w14:textFill>
        </w:rPr>
        <w:t>评审、确定成交供应商</w:t>
      </w:r>
      <w:r>
        <w:rPr>
          <w:rFonts w:hint="eastAsia" w:ascii="宋体" w:hAnsi="宋体" w:cs="宋体"/>
          <w:color w:val="000000" w:themeColor="text1"/>
          <w:sz w:val="24"/>
          <w:highlight w:val="none"/>
          <w14:textFill>
            <w14:solidFill>
              <w14:schemeClr w14:val="tx1"/>
            </w14:solidFill>
          </w14:textFill>
        </w:rPr>
        <w:t>、验收、合同履约、付款等行为（法律、法规另有规定的，从其规定）。</w:t>
      </w:r>
    </w:p>
    <w:p w14:paraId="20D562D5">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（二）定义</w:t>
      </w:r>
    </w:p>
    <w:p w14:paraId="3C3A5C8B">
      <w:pPr>
        <w:pStyle w:val="15"/>
        <w:pageBreakBefore w:val="0"/>
        <w:kinsoku/>
        <w:wordWrap/>
        <w:overflowPunct/>
        <w:topLinePunct w:val="0"/>
        <w:bidi w:val="0"/>
        <w:spacing w:line="400" w:lineRule="exact"/>
        <w:ind w:firstLine="566" w:firstLineChars="23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1、“采购组织机构”指采购人委托组织谈判的集中采购机构或采购代理机构。</w:t>
      </w:r>
    </w:p>
    <w:p w14:paraId="1ABA08BC">
      <w:pPr>
        <w:pageBreakBefore w:val="0"/>
        <w:kinsoku/>
        <w:wordWrap/>
        <w:overflowPunct/>
        <w:topLinePunct w:val="0"/>
        <w:bidi w:val="0"/>
        <w:snapToGrid w:val="0"/>
        <w:spacing w:line="400" w:lineRule="exact"/>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w:t>
      </w:r>
      <w:r>
        <w:rPr>
          <w:rFonts w:hint="eastAsia" w:ascii="宋体" w:hAnsi="宋体" w:cs="宋体"/>
          <w:color w:val="000000" w:themeColor="text1"/>
          <w:sz w:val="24"/>
          <w:highlight w:val="none"/>
          <w:lang w:val="zh-CN"/>
          <w14:textFill>
            <w14:solidFill>
              <w14:schemeClr w14:val="tx1"/>
            </w14:solidFill>
          </w14:textFill>
        </w:rPr>
        <w:t>集中采购机构或</w:t>
      </w:r>
      <w:r>
        <w:rPr>
          <w:rFonts w:hint="eastAsia" w:ascii="宋体" w:hAnsi="宋体" w:cs="宋体"/>
          <w:color w:val="000000" w:themeColor="text1"/>
          <w:sz w:val="24"/>
          <w:highlight w:val="none"/>
          <w14:textFill>
            <w14:solidFill>
              <w14:schemeClr w14:val="tx1"/>
            </w14:solidFill>
          </w14:textFill>
        </w:rPr>
        <w:t>采购代理机构采购本次项目的国家机关、事业单位和团体组织。</w:t>
      </w:r>
    </w:p>
    <w:p w14:paraId="2E7C793A">
      <w:pPr>
        <w:pageBreakBefore w:val="0"/>
        <w:kinsoku/>
        <w:wordWrap/>
        <w:overflowPunct/>
        <w:topLinePunct w:val="0"/>
        <w:bidi w:val="0"/>
        <w:snapToGrid w:val="0"/>
        <w:spacing w:line="400" w:lineRule="exact"/>
        <w:ind w:left="424" w:leftChars="202" w:firstLine="141" w:firstLineChars="5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3、谈判供应商：是指向</w:t>
      </w:r>
      <w:r>
        <w:rPr>
          <w:rFonts w:hint="eastAsia" w:ascii="宋体" w:hAnsi="宋体" w:cs="宋体"/>
          <w:color w:val="000000" w:themeColor="text1"/>
          <w:sz w:val="24"/>
          <w:highlight w:val="none"/>
          <w:lang w:val="zh-CN"/>
          <w14:textFill>
            <w14:solidFill>
              <w14:schemeClr w14:val="tx1"/>
            </w14:solidFill>
          </w14:textFill>
        </w:rPr>
        <w:t>采购组织机构</w:t>
      </w:r>
      <w:r>
        <w:rPr>
          <w:rFonts w:hint="eastAsia" w:ascii="宋体" w:hAnsi="宋体" w:cs="宋体"/>
          <w:color w:val="000000" w:themeColor="text1"/>
          <w:sz w:val="24"/>
          <w:highlight w:val="none"/>
          <w14:textFill>
            <w14:solidFill>
              <w14:schemeClr w14:val="tx1"/>
            </w14:solidFill>
          </w14:textFill>
        </w:rPr>
        <w:t>提交谈判响应文件的单位或个人。</w:t>
      </w:r>
    </w:p>
    <w:p w14:paraId="048039D0">
      <w:pPr>
        <w:pageBreakBefore w:val="0"/>
        <w:kinsoku/>
        <w:wordWrap/>
        <w:overflowPunct/>
        <w:topLinePunct w:val="0"/>
        <w:bidi w:val="0"/>
        <w:snapToGrid w:val="0"/>
        <w:spacing w:line="400" w:lineRule="exact"/>
        <w:ind w:left="424" w:leftChars="202" w:firstLine="143"/>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20233A86">
      <w:pPr>
        <w:pageBreakBefore w:val="0"/>
        <w:kinsoku/>
        <w:wordWrap/>
        <w:overflowPunct/>
        <w:topLinePunct w:val="0"/>
        <w:bidi w:val="0"/>
        <w:snapToGrid w:val="0"/>
        <w:spacing w:line="400" w:lineRule="exact"/>
        <w:ind w:firstLine="566" w:firstLineChars="23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2E1C907C">
      <w:pPr>
        <w:pageBreakBefore w:val="0"/>
        <w:kinsoku/>
        <w:wordWrap/>
        <w:overflowPunct/>
        <w:topLinePunct w:val="0"/>
        <w:bidi w:val="0"/>
        <w:snapToGrid w:val="0"/>
        <w:spacing w:line="400" w:lineRule="exact"/>
        <w:ind w:firstLine="566" w:firstLineChars="23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51F87178">
      <w:pPr>
        <w:pageBreakBefore w:val="0"/>
        <w:kinsoku/>
        <w:wordWrap/>
        <w:overflowPunct/>
        <w:topLinePunct w:val="0"/>
        <w:bidi w:val="0"/>
        <w:snapToGrid w:val="0"/>
        <w:spacing w:line="400" w:lineRule="exact"/>
        <w:ind w:firstLine="566" w:firstLineChars="23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”不可偏离。</w:t>
      </w:r>
    </w:p>
    <w:p w14:paraId="69137A9D">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（三）谈判费用</w:t>
      </w:r>
    </w:p>
    <w:p w14:paraId="4E6FCE3D">
      <w:pPr>
        <w:pageBreakBefore w:val="0"/>
        <w:kinsoku/>
        <w:wordWrap/>
        <w:overflowPunct/>
        <w:topLinePunct w:val="0"/>
        <w:bidi w:val="0"/>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不论谈判结果如何，供应商均应自行承担所有与谈判有关的全部费用（</w:t>
      </w:r>
      <w:r>
        <w:rPr>
          <w:rFonts w:hint="eastAsia" w:ascii="宋体" w:hAnsi="宋体" w:cs="宋体"/>
          <w:bCs/>
          <w:color w:val="000000" w:themeColor="text1"/>
          <w:sz w:val="24"/>
          <w:highlight w:val="none"/>
          <w14:textFill>
            <w14:solidFill>
              <w14:schemeClr w14:val="tx1"/>
            </w14:solidFill>
          </w14:textFill>
        </w:rPr>
        <w:t>谈判文件</w:t>
      </w:r>
      <w:r>
        <w:rPr>
          <w:rFonts w:hint="eastAsia" w:ascii="宋体" w:hAnsi="宋体" w:cs="宋体"/>
          <w:color w:val="000000" w:themeColor="text1"/>
          <w:sz w:val="24"/>
          <w:highlight w:val="none"/>
          <w14:textFill>
            <w14:solidFill>
              <w14:schemeClr w14:val="tx1"/>
            </w14:solidFill>
          </w14:textFill>
        </w:rPr>
        <w:t>有相关规定除外）。</w:t>
      </w:r>
    </w:p>
    <w:p w14:paraId="716D3DD0">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（四）特别说明</w:t>
      </w:r>
    </w:p>
    <w:p w14:paraId="045DC81C">
      <w:pPr>
        <w:pStyle w:val="15"/>
        <w:pageBreakBefore w:val="0"/>
        <w:kinsoku/>
        <w:wordWrap/>
        <w:overflowPunct/>
        <w:topLinePunct w:val="0"/>
        <w:bidi w:val="0"/>
        <w:snapToGrid w:val="0"/>
        <w:spacing w:line="400" w:lineRule="exact"/>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1、供应商谈判所使用的资格、信誉、荣誉、业绩与企业认证必须为本法人所拥有。供应商谈判所使用的采购项目实施人员必须为本法人员工（指必须为本法人或控股公司正式员工）。</w:t>
      </w:r>
    </w:p>
    <w:p w14:paraId="6429890D">
      <w:pPr>
        <w:pageBreakBefore w:val="0"/>
        <w:kinsoku/>
        <w:wordWrap/>
        <w:overflowPunct/>
        <w:topLinePunct w:val="0"/>
        <w:bidi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2、供应商所标产品除</w:t>
      </w:r>
      <w:r>
        <w:rPr>
          <w:rFonts w:hint="eastAsia" w:ascii="宋体" w:hAnsi="宋体" w:cs="宋体"/>
          <w:bCs/>
          <w:color w:val="000000" w:themeColor="text1"/>
          <w:sz w:val="24"/>
          <w:highlight w:val="none"/>
          <w14:textFill>
            <w14:solidFill>
              <w14:schemeClr w14:val="tx1"/>
            </w14:solidFill>
          </w14:textFill>
        </w:rPr>
        <w:t>谈判文件</w:t>
      </w:r>
      <w:r>
        <w:rPr>
          <w:rFonts w:hint="eastAsia" w:ascii="宋体" w:hAnsi="宋体" w:cs="宋体"/>
          <w:color w:val="000000" w:themeColor="text1"/>
          <w:sz w:val="24"/>
          <w:highlight w:val="none"/>
          <w14:textFill>
            <w14:solidFill>
              <w14:schemeClr w14:val="tx1"/>
            </w14:solidFill>
          </w14:textFill>
        </w:rPr>
        <w:t>中明确规定要求“提供官网截图或相应检测报告的证明材料”以外，所有技术参数描述均以谈判响应文件为准。</w:t>
      </w:r>
      <w:r>
        <w:rPr>
          <w:rFonts w:hint="eastAsia" w:ascii="宋体" w:hAnsi="宋体" w:cs="宋体"/>
          <w:b/>
          <w:color w:val="000000" w:themeColor="text1"/>
          <w:sz w:val="24"/>
          <w:highlight w:val="none"/>
          <w14:textFill>
            <w14:solidFill>
              <w14:schemeClr w14:val="tx1"/>
            </w14:solidFill>
          </w14:textFill>
        </w:rPr>
        <w:t>谈判供应商对所标产品技术参数的真实性承担法律责任。</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bCs/>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结束后、质疑期限内，如有质疑供应商认为成交供应商所标产品、谈判响应文件技术参数与采购需求存在重大偏离、错误、甚至造假的情况，应提供具体有效的证明材料。</w:t>
      </w:r>
      <w:r>
        <w:rPr>
          <w:rFonts w:hint="eastAsia" w:ascii="宋体" w:hAnsi="宋体" w:cs="宋体"/>
          <w:color w:val="000000" w:themeColor="text1"/>
          <w:sz w:val="24"/>
          <w:highlight w:val="none"/>
          <w14:textFill>
            <w14:solidFill>
              <w14:schemeClr w14:val="tx1"/>
            </w14:solidFill>
          </w14:textFill>
        </w:rPr>
        <w:tab/>
      </w:r>
    </w:p>
    <w:p w14:paraId="63202119">
      <w:pPr>
        <w:pStyle w:val="34"/>
        <w:pageBreakBefore w:val="0"/>
        <w:kinsoku/>
        <w:wordWrap/>
        <w:overflowPunct/>
        <w:topLinePunct w:val="0"/>
        <w:bidi w:val="0"/>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3、供应商在</w:t>
      </w:r>
      <w:r>
        <w:rPr>
          <w:rFonts w:hint="eastAsia" w:ascii="宋体" w:hAnsi="宋体" w:cs="宋体"/>
          <w:bCs/>
          <w:color w:val="000000" w:themeColor="text1"/>
          <w:sz w:val="24"/>
          <w:szCs w:val="24"/>
          <w:highlight w:val="none"/>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9A8E14">
      <w:pPr>
        <w:pStyle w:val="34"/>
        <w:pageBreakBefore w:val="0"/>
        <w:kinsoku/>
        <w:wordWrap/>
        <w:overflowPunct/>
        <w:topLinePunct w:val="0"/>
        <w:bidi w:val="0"/>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4、供应商不得相互串通谈判报价，不得妨碍其他供应商的公平竞争，不得损害采购人或其他供应商的合法权益，供应商不得以向采购人、谈判小组成员行贿或者采取其他不正当手段谋取成交。</w:t>
      </w:r>
    </w:p>
    <w:p w14:paraId="6AF587FC">
      <w:pPr>
        <w:pStyle w:val="34"/>
        <w:pageBreakBefore w:val="0"/>
        <w:kinsoku/>
        <w:wordWrap/>
        <w:overflowPunct/>
        <w:topLinePunct w:val="0"/>
        <w:bidi w:val="0"/>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7F793160">
      <w:pPr>
        <w:pStyle w:val="34"/>
        <w:pageBreakBefore w:val="0"/>
        <w:kinsoku/>
        <w:wordWrap/>
        <w:overflowPunct/>
        <w:topLinePunct w:val="0"/>
        <w:bidi w:val="0"/>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6、谈判响应文件格式中的表格式样可以根据项目差别做适当调整,但应当保持表格样式基本形态不变。</w:t>
      </w:r>
    </w:p>
    <w:p w14:paraId="040F7B09">
      <w:pPr>
        <w:pStyle w:val="34"/>
        <w:pageBreakBefore w:val="0"/>
        <w:kinsoku/>
        <w:wordWrap/>
        <w:overflowPunct/>
        <w:topLinePunct w:val="0"/>
        <w:bidi w:val="0"/>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19DC07E0">
      <w:pPr>
        <w:pStyle w:val="34"/>
        <w:pageBreakBefore w:val="0"/>
        <w:kinsoku/>
        <w:wordWrap/>
        <w:overflowPunct/>
        <w:topLinePunct w:val="0"/>
        <w:bidi w:val="0"/>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8、本项目不允许分包。</w:t>
      </w:r>
    </w:p>
    <w:p w14:paraId="2C6865C3">
      <w:pPr>
        <w:pStyle w:val="3"/>
        <w:pageBreakBefore w:val="0"/>
        <w:kinsoku/>
        <w:wordWrap/>
        <w:overflowPunct/>
        <w:topLinePunct w:val="0"/>
        <w:bidi w:val="0"/>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二、谈判响应文件</w:t>
      </w:r>
    </w:p>
    <w:p w14:paraId="7A474746">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（一）谈判响应文件的组成</w:t>
      </w:r>
    </w:p>
    <w:p w14:paraId="3EBF7676">
      <w:pPr>
        <w:pageBreakBefore w:val="0"/>
        <w:kinsoku/>
        <w:wordWrap/>
        <w:overflowPunct/>
        <w:topLinePunct w:val="0"/>
        <w:bidi w:val="0"/>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供应商应仔细阅读谈判采购文件的所有内容，按谈判采购文件的要求，详细编制谈判响应文件</w:t>
      </w:r>
      <w:r>
        <w:rPr>
          <w:rFonts w:hint="eastAsia" w:ascii="宋体" w:hAnsi="宋体" w:cs="宋体"/>
          <w:color w:val="000000" w:themeColor="text1"/>
          <w:sz w:val="24"/>
          <w:highlight w:val="none"/>
          <w14:textFill>
            <w14:solidFill>
              <w14:schemeClr w14:val="tx1"/>
            </w14:solidFill>
          </w14:textFill>
        </w:rPr>
        <w:t>。</w:t>
      </w:r>
    </w:p>
    <w:p w14:paraId="294A4B85">
      <w:pPr>
        <w:pageBreakBefore w:val="0"/>
        <w:kinsoku/>
        <w:wordWrap/>
        <w:overflowPunct/>
        <w:topLinePunct w:val="0"/>
        <w:bidi w:val="0"/>
        <w:snapToGrid w:val="0"/>
        <w:spacing w:line="40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▲1、资格证明内容的组成：</w:t>
      </w:r>
    </w:p>
    <w:p w14:paraId="487C3B93">
      <w:pPr>
        <w:pStyle w:val="23"/>
        <w:pageBreakBefore w:val="0"/>
        <w:kinsoku/>
        <w:wordWrap/>
        <w:overflowPunct/>
        <w:topLinePunct w:val="0"/>
        <w:bidi w:val="0"/>
        <w:spacing w:line="400" w:lineRule="exact"/>
        <w:ind w:left="0" w:leftChars="0" w:firstLine="470"/>
        <w:rPr>
          <w:rStyle w:val="31"/>
          <w:rFonts w:cs="宋体"/>
          <w:b w:val="0"/>
          <w:color w:val="000000" w:themeColor="text1"/>
          <w:highlight w:val="none"/>
          <w:u w:val="none"/>
          <w14:textFill>
            <w14:solidFill>
              <w14:schemeClr w14:val="tx1"/>
            </w14:solidFill>
          </w14:textFill>
        </w:rPr>
      </w:pPr>
      <w:r>
        <w:rPr>
          <w:rStyle w:val="31"/>
          <w:rFonts w:hint="eastAsia" w:cs="宋体"/>
          <w:b w:val="0"/>
          <w:color w:val="000000" w:themeColor="text1"/>
          <w:highlight w:val="none"/>
          <w:u w:val="none"/>
          <w14:textFill>
            <w14:solidFill>
              <w14:schemeClr w14:val="tx1"/>
            </w14:solidFill>
          </w14:textFill>
        </w:rPr>
        <w:t>（1）谈判声明书</w:t>
      </w:r>
    </w:p>
    <w:p w14:paraId="46DC26DF">
      <w:pPr>
        <w:pStyle w:val="23"/>
        <w:pageBreakBefore w:val="0"/>
        <w:kinsoku/>
        <w:wordWrap/>
        <w:overflowPunct/>
        <w:topLinePunct w:val="0"/>
        <w:bidi w:val="0"/>
        <w:spacing w:line="400" w:lineRule="exact"/>
        <w:ind w:left="0" w:leftChars="0" w:firstLine="470"/>
        <w:rPr>
          <w:rStyle w:val="31"/>
          <w:rFonts w:cs="宋体"/>
          <w:b w:val="0"/>
          <w:color w:val="000000" w:themeColor="text1"/>
          <w:highlight w:val="none"/>
          <w:u w:val="none"/>
          <w14:textFill>
            <w14:solidFill>
              <w14:schemeClr w14:val="tx1"/>
            </w14:solidFill>
          </w14:textFill>
        </w:rPr>
      </w:pPr>
      <w:r>
        <w:rPr>
          <w:rStyle w:val="31"/>
          <w:rFonts w:hint="eastAsia" w:cs="宋体"/>
          <w:b w:val="0"/>
          <w:color w:val="000000" w:themeColor="text1"/>
          <w:highlight w:val="none"/>
          <w:u w:val="none"/>
          <w14:textFill>
            <w14:solidFill>
              <w14:schemeClr w14:val="tx1"/>
            </w14:solidFill>
          </w14:textFill>
        </w:rPr>
        <w:t>（2）授权委托书（法定代表人亲自办理谈判响应事宜的，则无需提交)；</w:t>
      </w:r>
    </w:p>
    <w:p w14:paraId="4245CE1C">
      <w:pPr>
        <w:pStyle w:val="23"/>
        <w:pageBreakBefore w:val="0"/>
        <w:kinsoku/>
        <w:wordWrap/>
        <w:overflowPunct/>
        <w:topLinePunct w:val="0"/>
        <w:bidi w:val="0"/>
        <w:spacing w:line="400" w:lineRule="exact"/>
        <w:ind w:left="0" w:leftChars="0" w:firstLine="470"/>
        <w:rPr>
          <w:rStyle w:val="31"/>
          <w:rFonts w:cs="宋体"/>
          <w:b w:val="0"/>
          <w:color w:val="000000" w:themeColor="text1"/>
          <w:highlight w:val="none"/>
          <w:u w:val="none"/>
          <w14:textFill>
            <w14:solidFill>
              <w14:schemeClr w14:val="tx1"/>
            </w14:solidFill>
          </w14:textFill>
        </w:rPr>
      </w:pPr>
      <w:r>
        <w:rPr>
          <w:rStyle w:val="31"/>
          <w:rFonts w:hint="eastAsia" w:cs="宋体"/>
          <w:b w:val="0"/>
          <w:color w:val="000000" w:themeColor="text1"/>
          <w:highlight w:val="none"/>
          <w:u w:val="none"/>
          <w14:textFill>
            <w14:solidFill>
              <w14:schemeClr w14:val="tx1"/>
            </w14:solidFill>
          </w14:textFill>
        </w:rPr>
        <w:t>（3）法人或者其他组织的营业执照等证明文件，自然人的身份证明；</w:t>
      </w:r>
    </w:p>
    <w:p w14:paraId="1CBB58C8">
      <w:pPr>
        <w:pStyle w:val="23"/>
        <w:pageBreakBefore w:val="0"/>
        <w:kinsoku/>
        <w:wordWrap/>
        <w:overflowPunct/>
        <w:topLinePunct w:val="0"/>
        <w:bidi w:val="0"/>
        <w:spacing w:line="400" w:lineRule="exact"/>
        <w:ind w:left="0" w:leftChars="0" w:firstLine="470"/>
        <w:rPr>
          <w:rStyle w:val="31"/>
          <w:rFonts w:cs="宋体"/>
          <w:b w:val="0"/>
          <w:color w:val="000000" w:themeColor="text1"/>
          <w:highlight w:val="none"/>
          <w:u w:val="none"/>
          <w14:textFill>
            <w14:solidFill>
              <w14:schemeClr w14:val="tx1"/>
            </w14:solidFill>
          </w14:textFill>
        </w:rPr>
      </w:pPr>
      <w:r>
        <w:rPr>
          <w:rStyle w:val="31"/>
          <w:rFonts w:hint="eastAsia" w:cs="宋体"/>
          <w:b w:val="0"/>
          <w:color w:val="000000" w:themeColor="text1"/>
          <w:highlight w:val="none"/>
          <w:u w:val="none"/>
          <w14:textFill>
            <w14:solidFill>
              <w14:schemeClr w14:val="tx1"/>
            </w14:solidFill>
          </w14:textFill>
        </w:rPr>
        <w:t>（4）财务状况报告，依法缴纳税收和社会保障资金的相关材料</w:t>
      </w:r>
      <w:r>
        <w:rPr>
          <w:rStyle w:val="31"/>
          <w:rFonts w:hint="eastAsia" w:cs="宋体"/>
          <w:b w:val="0"/>
          <w:color w:val="000000" w:themeColor="text1"/>
          <w:highlight w:val="none"/>
          <w:u w:val="none"/>
          <w:lang w:eastAsia="zh-CN"/>
          <w14:textFill>
            <w14:solidFill>
              <w14:schemeClr w14:val="tx1"/>
            </w14:solidFill>
          </w14:textFill>
        </w:rPr>
        <w:t>（根据项目性质提供）</w:t>
      </w:r>
      <w:r>
        <w:rPr>
          <w:rStyle w:val="31"/>
          <w:rFonts w:hint="eastAsia" w:cs="宋体"/>
          <w:b w:val="0"/>
          <w:color w:val="000000" w:themeColor="text1"/>
          <w:highlight w:val="none"/>
          <w:u w:val="none"/>
          <w14:textFill>
            <w14:solidFill>
              <w14:schemeClr w14:val="tx1"/>
            </w14:solidFill>
          </w14:textFill>
        </w:rPr>
        <w:t>；</w:t>
      </w:r>
    </w:p>
    <w:p w14:paraId="5F0F6C5E">
      <w:pPr>
        <w:pStyle w:val="23"/>
        <w:pageBreakBefore w:val="0"/>
        <w:kinsoku/>
        <w:wordWrap/>
        <w:overflowPunct/>
        <w:topLinePunct w:val="0"/>
        <w:bidi w:val="0"/>
        <w:spacing w:line="400" w:lineRule="exact"/>
        <w:ind w:left="0" w:leftChars="0" w:firstLine="470"/>
        <w:rPr>
          <w:rStyle w:val="31"/>
          <w:rFonts w:cs="宋体"/>
          <w:b w:val="0"/>
          <w:color w:val="000000" w:themeColor="text1"/>
          <w:highlight w:val="none"/>
          <w:u w:val="none"/>
          <w14:textFill>
            <w14:solidFill>
              <w14:schemeClr w14:val="tx1"/>
            </w14:solidFill>
          </w14:textFill>
        </w:rPr>
      </w:pPr>
      <w:r>
        <w:rPr>
          <w:rStyle w:val="31"/>
          <w:rFonts w:hint="eastAsia" w:cs="宋体"/>
          <w:b w:val="0"/>
          <w:color w:val="000000" w:themeColor="text1"/>
          <w:highlight w:val="none"/>
          <w:u w:val="none"/>
          <w14:textFill>
            <w14:solidFill>
              <w14:schemeClr w14:val="tx1"/>
            </w14:solidFill>
          </w14:textFill>
        </w:rPr>
        <w:t>（5）具备履行合同所必需的设备和专业技术能力的证明材料(根据项目性质提供)；</w:t>
      </w:r>
    </w:p>
    <w:p w14:paraId="593C3F97">
      <w:pPr>
        <w:pStyle w:val="23"/>
        <w:pageBreakBefore w:val="0"/>
        <w:kinsoku/>
        <w:wordWrap/>
        <w:overflowPunct/>
        <w:topLinePunct w:val="0"/>
        <w:bidi w:val="0"/>
        <w:spacing w:line="400" w:lineRule="exact"/>
        <w:ind w:left="0" w:leftChars="0" w:firstLine="470"/>
        <w:rPr>
          <w:rStyle w:val="31"/>
          <w:rFonts w:cs="宋体"/>
          <w:b w:val="0"/>
          <w:color w:val="000000" w:themeColor="text1"/>
          <w:highlight w:val="none"/>
          <w:u w:val="none"/>
          <w14:textFill>
            <w14:solidFill>
              <w14:schemeClr w14:val="tx1"/>
            </w14:solidFill>
          </w14:textFill>
        </w:rPr>
      </w:pPr>
      <w:r>
        <w:rPr>
          <w:rStyle w:val="31"/>
          <w:rFonts w:hint="eastAsia" w:cs="宋体"/>
          <w:b w:val="0"/>
          <w:color w:val="000000" w:themeColor="text1"/>
          <w:highlight w:val="none"/>
          <w:u w:val="none"/>
          <w14:textFill>
            <w14:solidFill>
              <w14:schemeClr w14:val="tx1"/>
            </w14:solidFill>
          </w14:textFill>
        </w:rPr>
        <w:t>（6）提供采购公告中符合供应商特定条件的有效资质证书复印件（谈判供应商特定条件中有要求的必须提供），以及需要说明的其他资料；</w:t>
      </w:r>
    </w:p>
    <w:p w14:paraId="569038ED">
      <w:pPr>
        <w:pageBreakBefore w:val="0"/>
        <w:kinsoku/>
        <w:wordWrap/>
        <w:overflowPunct/>
        <w:topLinePunct w:val="0"/>
        <w:bidi w:val="0"/>
        <w:snapToGrid w:val="0"/>
        <w:spacing w:line="400" w:lineRule="exact"/>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2、商务与技术内容的组成：</w:t>
      </w:r>
    </w:p>
    <w:p w14:paraId="672C4ABE">
      <w:pPr>
        <w:pStyle w:val="7"/>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（1）供应商情况介绍（人员与技术力量、企业规模、经营业绩等）。</w:t>
      </w:r>
    </w:p>
    <w:p w14:paraId="772A0610">
      <w:pPr>
        <w:pStyle w:val="7"/>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（2）谈判响应方案描述：</w:t>
      </w:r>
    </w:p>
    <w:p w14:paraId="6EE23CB2">
      <w:pPr>
        <w:pStyle w:val="7"/>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A.项目需求的理解与分析(供应商对项目现状及需求的理解情况，对项目现状和需求描述的全面性、准确性、针对性，对项目重点、难点的把握，解决方案及合理化建议)。</w:t>
      </w:r>
    </w:p>
    <w:p w14:paraId="0DF84F3B">
      <w:pPr>
        <w:pStyle w:val="7"/>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60B1B3BD">
      <w:pPr>
        <w:pageBreakBefore w:val="0"/>
        <w:kinsoku/>
        <w:wordWrap/>
        <w:overflowPunct/>
        <w:topLinePunct w:val="0"/>
        <w:autoSpaceDE w:val="0"/>
        <w:autoSpaceDN w:val="0"/>
        <w:bidi w:val="0"/>
        <w:adjustRightInd w:val="0"/>
        <w:spacing w:line="400" w:lineRule="exact"/>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（3）供应商通过的</w:t>
      </w:r>
      <w:r>
        <w:rPr>
          <w:rFonts w:hint="eastAsia" w:ascii="宋体" w:hAnsi="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14:paraId="30022562">
      <w:pPr>
        <w:pStyle w:val="7"/>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14:paraId="190451A6">
      <w:pPr>
        <w:pageBreakBefore w:val="0"/>
        <w:kinsoku/>
        <w:wordWrap/>
        <w:overflowPunct/>
        <w:topLinePunct w:val="0"/>
        <w:bidi w:val="0"/>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14:paraId="5FDEC61D">
      <w:pPr>
        <w:pStyle w:val="7"/>
        <w:pageBreakBefore w:val="0"/>
        <w:widowControl/>
        <w:kinsoku/>
        <w:wordWrap/>
        <w:overflowPunct/>
        <w:topLinePunct w:val="0"/>
        <w:bidi w:val="0"/>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（6）售后服务描述及承诺：</w:t>
      </w:r>
    </w:p>
    <w:p w14:paraId="2F1D70C7">
      <w:pPr>
        <w:pStyle w:val="7"/>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14:paraId="416A9EA3">
      <w:pPr>
        <w:pStyle w:val="7"/>
        <w:pageBreakBefore w:val="0"/>
        <w:widowControl/>
        <w:kinsoku/>
        <w:wordWrap/>
        <w:overflowPunct/>
        <w:topLinePunct w:val="0"/>
        <w:bidi w:val="0"/>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14:paraId="7FE18A9E">
      <w:pPr>
        <w:pageBreakBefore w:val="0"/>
        <w:kinsoku/>
        <w:wordWrap/>
        <w:overflowPunct/>
        <w:topLinePunct w:val="0"/>
        <w:autoSpaceDE w:val="0"/>
        <w:autoSpaceDN w:val="0"/>
        <w:bidi w:val="0"/>
        <w:adjustRightInd w:val="0"/>
        <w:spacing w:line="400" w:lineRule="exact"/>
        <w:ind w:left="426" w:firstLine="65" w:firstLineChars="2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3、报价内容的组成</w:t>
      </w:r>
    </w:p>
    <w:p w14:paraId="3B9D98CB">
      <w:pPr>
        <w:pStyle w:val="23"/>
        <w:pageBreakBefore w:val="0"/>
        <w:kinsoku/>
        <w:wordWrap/>
        <w:overflowPunct/>
        <w:topLinePunct w:val="0"/>
        <w:bidi w:val="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14:paraId="7BAD0BD3">
      <w:pPr>
        <w:pStyle w:val="23"/>
        <w:pageBreakBefore w:val="0"/>
        <w:kinsoku/>
        <w:wordWrap/>
        <w:overflowPunct/>
        <w:topLinePunct w:val="0"/>
        <w:bidi w:val="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14:paraId="79699719">
      <w:pPr>
        <w:pStyle w:val="23"/>
        <w:pageBreakBefore w:val="0"/>
        <w:kinsoku/>
        <w:wordWrap/>
        <w:overflowPunct/>
        <w:topLinePunct w:val="0"/>
        <w:bidi w:val="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（3）</w:t>
      </w:r>
      <w:r>
        <w:rPr>
          <w:rFonts w:hint="eastAsia" w:cs="宋体"/>
          <w:b w:val="0"/>
          <w:color w:val="000000" w:themeColor="text1"/>
          <w:kern w:val="0"/>
          <w:highlight w:val="none"/>
          <w:lang w:val="zh-CN"/>
          <w14:textFill>
            <w14:solidFill>
              <w14:schemeClr w14:val="tx1"/>
            </w14:solidFill>
          </w14:textFill>
        </w:rPr>
        <w:t>报价包括</w:t>
      </w:r>
      <w:r>
        <w:rPr>
          <w:rFonts w:hint="eastAsia" w:cs="宋体"/>
          <w:b w:val="0"/>
          <w:color w:val="000000" w:themeColor="text1"/>
          <w:kern w:val="0"/>
          <w:highlight w:val="none"/>
          <w14:textFill>
            <w14:solidFill>
              <w14:schemeClr w14:val="tx1"/>
            </w14:solidFill>
          </w14:textFill>
        </w:rPr>
        <w:t>相关</w:t>
      </w:r>
      <w:r>
        <w:rPr>
          <w:rFonts w:hint="eastAsia"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cs="宋体"/>
          <w:b w:val="0"/>
          <w:color w:val="000000" w:themeColor="text1"/>
          <w:kern w:val="0"/>
          <w:highlight w:val="none"/>
          <w14:textFill>
            <w14:solidFill>
              <w14:schemeClr w14:val="tx1"/>
            </w14:solidFill>
          </w14:textFill>
        </w:rPr>
        <w:t>招标代理服务费、</w:t>
      </w:r>
      <w:r>
        <w:rPr>
          <w:rFonts w:hint="eastAsia"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cs="宋体"/>
          <w:b w:val="0"/>
          <w:color w:val="000000" w:themeColor="text1"/>
          <w:kern w:val="0"/>
          <w:highlight w:val="none"/>
          <w14:textFill>
            <w14:solidFill>
              <w14:schemeClr w14:val="tx1"/>
            </w14:solidFill>
          </w14:textFill>
        </w:rPr>
        <w:t>。</w:t>
      </w:r>
    </w:p>
    <w:p w14:paraId="7ED11B5B">
      <w:pPr>
        <w:pStyle w:val="23"/>
        <w:pageBreakBefore w:val="0"/>
        <w:kinsoku/>
        <w:wordWrap/>
        <w:overflowPunct/>
        <w:topLinePunct w:val="0"/>
        <w:bidi w:val="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（4）政府采购优惠政策相关资料、产品适用政府采购政策情况表（如有）。</w:t>
      </w:r>
    </w:p>
    <w:p w14:paraId="27A9BC4A">
      <w:pPr>
        <w:pStyle w:val="23"/>
        <w:pageBreakBefore w:val="0"/>
        <w:kinsoku/>
        <w:wordWrap/>
        <w:overflowPunct/>
        <w:topLinePunct w:val="0"/>
        <w:bidi w:val="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（5）相关报价表需打印或用不退色的墨水填写， 谈判响应报价表不得涂改和增删，如有错漏必须修改，修改处须由同一签署人签字或盖章。由于字迹模糊或表达不清引起的后果由供应商负责。</w:t>
      </w:r>
    </w:p>
    <w:p w14:paraId="5BD3132E">
      <w:pPr>
        <w:pStyle w:val="23"/>
        <w:pageBreakBefore w:val="0"/>
        <w:kinsoku/>
        <w:wordWrap/>
        <w:overflowPunct/>
        <w:topLinePunct w:val="0"/>
        <w:bidi w:val="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报价有关表格应按谈判采购文件中相关附表格式填写。</w:t>
      </w:r>
    </w:p>
    <w:p w14:paraId="6C2DF95A">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（二）谈判响应文件的制作、封装及递交要求</w:t>
      </w:r>
    </w:p>
    <w:p w14:paraId="1B368292">
      <w:pPr>
        <w:pageBreakBefore w:val="0"/>
        <w:kinsoku/>
        <w:wordWrap/>
        <w:overflowPunct/>
        <w:topLinePunct w:val="0"/>
        <w:autoSpaceDE w:val="0"/>
        <w:autoSpaceDN w:val="0"/>
        <w:bidi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kern w:val="0"/>
          <w:sz w:val="24"/>
          <w:highlight w:val="none"/>
          <w14:textFill>
            <w14:solidFill>
              <w14:schemeClr w14:val="tx1"/>
            </w14:solidFill>
          </w14:textFill>
        </w:rPr>
        <w:t>谈判响应</w:t>
      </w:r>
      <w:r>
        <w:rPr>
          <w:rFonts w:hint="eastAsia" w:ascii="宋体" w:hAnsi="宋体" w:cs="宋体"/>
          <w:b/>
          <w:bCs/>
          <w:color w:val="000000" w:themeColor="text1"/>
          <w:sz w:val="24"/>
          <w:highlight w:val="none"/>
          <w14:textFill>
            <w14:solidFill>
              <w14:schemeClr w14:val="tx1"/>
            </w14:solidFill>
          </w14:textFill>
        </w:rPr>
        <w:t>文件的制作要求</w:t>
      </w:r>
    </w:p>
    <w:p w14:paraId="6443A49A">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（1）谈判人应按照谈判文件组成内容及项目采购需求制作谈判响应文件，</w:t>
      </w:r>
      <w:r>
        <w:rPr>
          <w:rFonts w:hint="eastAsia" w:ascii="宋体" w:hAnsi="宋体" w:cs="宋体"/>
          <w:color w:val="000000" w:themeColor="text1"/>
          <w:kern w:val="0"/>
          <w:sz w:val="24"/>
          <w:highlight w:val="none"/>
          <w14:textFill>
            <w14:solidFill>
              <w14:schemeClr w14:val="tx1"/>
            </w14:solidFill>
          </w14:textFill>
        </w:rPr>
        <w:t>不按谈判采购文件要求制作谈判响应文件的将视情处理（拒收、扣分等），由此产生的责任由谈判人自行承担。</w:t>
      </w:r>
    </w:p>
    <w:p w14:paraId="5D3D914B">
      <w:pPr>
        <w:pageBreakBefore w:val="0"/>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（2）谈判人应对所提供的全部资料的真实性承担法律责任，谈判响应</w:t>
      </w:r>
      <w:r>
        <w:rPr>
          <w:rFonts w:hint="eastAsia" w:ascii="宋体" w:hAnsi="宋体" w:cs="宋体"/>
          <w:color w:val="000000" w:themeColor="text1"/>
          <w:kern w:val="0"/>
          <w:sz w:val="24"/>
          <w:highlight w:val="none"/>
          <w:lang w:val="zh-CN"/>
          <w14:textFill>
            <w14:solidFill>
              <w14:schemeClr w14:val="tx1"/>
            </w14:solidFill>
          </w14:textFill>
        </w:rPr>
        <w:t>文件内容中有要求盖章或签字的地方必须加盖谈判人的公章以及法定代表人或全权代表的盖章或签字。</w:t>
      </w:r>
    </w:p>
    <w:p w14:paraId="28EA344F">
      <w:pPr>
        <w:pageBreakBefore w:val="0"/>
        <w:kinsoku/>
        <w:wordWrap/>
        <w:overflowPunct/>
        <w:topLinePunct w:val="0"/>
        <w:bidi w:val="0"/>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）谈判响应</w:t>
      </w:r>
      <w:r>
        <w:rPr>
          <w:rFonts w:hint="eastAsia" w:ascii="宋体" w:hAnsi="宋体" w:cs="宋体"/>
          <w:color w:val="000000" w:themeColor="text1"/>
          <w:sz w:val="24"/>
          <w:highlight w:val="none"/>
          <w14:textFill>
            <w14:solidFill>
              <w14:schemeClr w14:val="tx1"/>
            </w14:solidFill>
          </w14:textFill>
        </w:rPr>
        <w:t>文件以及谈判供应商与采购组织机构就有关谈判响应事宜的所有来往函电，均应以中文汉语书写。除签字、盖章、专用名称等特殊情形外，以中文汉语以外的文字表述的谈判响应文件视同未提供。</w:t>
      </w:r>
    </w:p>
    <w:p w14:paraId="435E8DBA">
      <w:pPr>
        <w:pageBreakBefore w:val="0"/>
        <w:kinsoku/>
        <w:wordWrap/>
        <w:overflowPunct/>
        <w:topLinePunct w:val="0"/>
        <w:bidi w:val="0"/>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（4）谈判计量单位，谈判文件已有明确规定的，使用谈判文件规定的计量单位；谈判文件没有规定的，应采用中华人民共和国法定计量单位（货币单位：人民币元）。</w:t>
      </w:r>
    </w:p>
    <w:p w14:paraId="2D2142AB">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（5）若供应商不按谈判文件的要求提供资格审查材料，其风险由供应商自行承担。</w:t>
      </w:r>
    </w:p>
    <w:p w14:paraId="72F2ACEB">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与本次谈判无关的内容请不要制作在内，确保谈判文件有针对性、简洁明了。</w:t>
      </w:r>
    </w:p>
    <w:p w14:paraId="28577AD6">
      <w:pPr>
        <w:pageBreakBefore w:val="0"/>
        <w:kinsoku/>
        <w:wordWrap/>
        <w:overflowPunct/>
        <w:topLinePunct w:val="0"/>
        <w:autoSpaceDE w:val="0"/>
        <w:autoSpaceDN w:val="0"/>
        <w:bidi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2、谈判响应文件的</w:t>
      </w:r>
      <w:r>
        <w:rPr>
          <w:rFonts w:hint="eastAsia" w:ascii="宋体" w:hAnsi="宋体" w:cs="宋体"/>
          <w:b/>
          <w:color w:val="000000" w:themeColor="text1"/>
          <w:sz w:val="24"/>
          <w:highlight w:val="none"/>
          <w14:textFill>
            <w14:solidFill>
              <w14:schemeClr w14:val="tx1"/>
            </w14:solidFill>
          </w14:textFill>
        </w:rPr>
        <w:t>签署及规定</w:t>
      </w:r>
    </w:p>
    <w:p w14:paraId="084A648C">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（1）供应商应按本须知的相关要求准备谈判响应文件，注明 “项目编号”、“项目名称”、“资格文件”或“商务技术文件”或“报价文件”、 “谈判供应商”、“时间”等字样。</w:t>
      </w:r>
    </w:p>
    <w:p w14:paraId="7C5FE3C4">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（2）谈判响应文件封面和内部有要求盖章或签字的地方必须加盖谈判供应商的单位公章（或CA电子公章）以及法定代表人或全权代表（CA电子签章或签字）。</w:t>
      </w:r>
    </w:p>
    <w:p w14:paraId="6E698205">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（3）电子谈判响应文件：按政采云平台供应商项目采购-电子招投标操作指南https://help.zcygov.cn/web/site_2/2018/12-28/2573.html及本谈判文件要求提交。</w:t>
      </w:r>
    </w:p>
    <w:p w14:paraId="4A869F0B">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（4）介质存储的数据电文形式的备份电子谈判响应文件：U盘1份，独立密封封装。</w:t>
      </w:r>
    </w:p>
    <w:p w14:paraId="4E8125D5">
      <w:pPr>
        <w:pageBreakBefore w:val="0"/>
        <w:kinsoku/>
        <w:wordWrap/>
        <w:overflowPunct/>
        <w:topLinePunct w:val="0"/>
        <w:autoSpaceDE w:val="0"/>
        <w:autoSpaceDN w:val="0"/>
        <w:bidi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（5）谈判响应文件不得涂改，若有修改错漏处，须加盖单位公章（或CA电子公章）或者法定代表人或授权委托人签字（或CA电子签章）。谈判响应文件因字迹潦草或表达不清所引起的后果由谈判供应商负责。</w:t>
      </w:r>
    </w:p>
    <w:p w14:paraId="1D83E8D2">
      <w:pPr>
        <w:pageBreakBefore w:val="0"/>
        <w:kinsoku/>
        <w:wordWrap/>
        <w:overflowPunct/>
        <w:topLinePunct w:val="0"/>
        <w:autoSpaceDE w:val="0"/>
        <w:autoSpaceDN w:val="0"/>
        <w:bidi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谈判响应文件的递交要求</w:t>
      </w:r>
    </w:p>
    <w:p w14:paraId="5D21A077">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（1）▲在投标截止时间前，谈判供应商应按谈判文件规定的时间、形式上传电子谈判响应文件至政采云平台采购项目中。在投标截止时间后上传提交谈判响应文件的，将被政采云平台拒绝。</w:t>
      </w:r>
    </w:p>
    <w:p w14:paraId="1900BB05">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（2）采购代理机构工作人员将做好介质存储的数据电文形式备份电子谈判响应文件签收手续，明确电子谈判响应文件的提交时间、谈判响应文件的份数、提交人等信息。</w:t>
      </w:r>
    </w:p>
    <w:p w14:paraId="6F528B9D">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14:paraId="2D0F74D5">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（4）如因故推迟谈判响应文件提交截止时间的，招标采购单位和谈判供应商的权利和义务将受到新的截止时间约束。</w:t>
      </w:r>
    </w:p>
    <w:p w14:paraId="4150959D">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（5）已提交谈判响应文件的供应商，在提交最后报价之前，可以根据谈判情况退出谈判。</w:t>
      </w:r>
    </w:p>
    <w:p w14:paraId="6777D34D">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（三）谈判响应文件的有效期</w:t>
      </w:r>
    </w:p>
    <w:p w14:paraId="103A4CDA">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lang w:val="en-GB"/>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GB"/>
          <w14:textFill>
            <w14:solidFill>
              <w14:schemeClr w14:val="tx1"/>
            </w14:solidFill>
          </w14:textFill>
        </w:rPr>
        <w:t>自谈判响应截止日起90天谈判响应文件应保持有效。有效期不足的谈判响应文件将被拒绝。</w:t>
      </w:r>
    </w:p>
    <w:p w14:paraId="5FE81235">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2、在特殊情况下，采购人可与谈判供应商协商延长谈判响应文件的有效期，这种要求和答复均以书面形式进行。</w:t>
      </w:r>
    </w:p>
    <w:p w14:paraId="3E81D7B1">
      <w:pPr>
        <w:pageBreakBefore w:val="0"/>
        <w:tabs>
          <w:tab w:val="left" w:pos="1898"/>
        </w:tabs>
        <w:kinsoku/>
        <w:wordWrap/>
        <w:overflowPunct/>
        <w:topLinePunct w:val="0"/>
        <w:autoSpaceDE w:val="0"/>
        <w:autoSpaceDN w:val="0"/>
        <w:bidi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3.成交供应商的谈判响应文件自谈判之日起至合同履行完毕均应保持有效。</w:t>
      </w:r>
    </w:p>
    <w:p w14:paraId="54DBAE92">
      <w:pPr>
        <w:pStyle w:val="3"/>
        <w:pageBreakBefore w:val="0"/>
        <w:kinsoku/>
        <w:wordWrap/>
        <w:overflowPunct/>
        <w:topLinePunct w:val="0"/>
        <w:bidi w:val="0"/>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三、谈判</w:t>
      </w:r>
    </w:p>
    <w:p w14:paraId="43B21F0D">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（一）谈判程序</w:t>
      </w:r>
    </w:p>
    <w:p w14:paraId="04C9C593">
      <w:pPr>
        <w:pageBreakBefore w:val="0"/>
        <w:kinsoku/>
        <w:wordWrap/>
        <w:overflowPunct/>
        <w:topLinePunct w:val="0"/>
        <w:bidi w:val="0"/>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开标程序</w:t>
      </w:r>
    </w:p>
    <w:p w14:paraId="3EE416F6">
      <w:pPr>
        <w:pageBreakBefore w:val="0"/>
        <w:numPr>
          <w:ilvl w:val="0"/>
          <w:numId w:val="3"/>
        </w:numPr>
        <w:kinsoku/>
        <w:wordWrap/>
        <w:overflowPunct/>
        <w:topLinePunct w:val="0"/>
        <w:bidi w:val="0"/>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到开标时间后，供应商登录政采云平台，用“项目采购-开标评标”功能对电子谈判响应文件进行在线解密。在线解密电子谈判文件时间为开标时间起半个小时内；</w:t>
      </w:r>
    </w:p>
    <w:p w14:paraId="48A69F5B">
      <w:pPr>
        <w:pageBreakBefore w:val="0"/>
        <w:numPr>
          <w:ilvl w:val="0"/>
          <w:numId w:val="3"/>
        </w:numPr>
        <w:kinsoku/>
        <w:wordWrap/>
        <w:overflowPunct/>
        <w:topLinePunct w:val="0"/>
        <w:bidi w:val="0"/>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cs="宋体"/>
          <w:color w:val="000000" w:themeColor="text1"/>
          <w:kern w:val="0"/>
          <w:sz w:val="24"/>
          <w:highlight w:val="none"/>
          <w14:textFill>
            <w14:solidFill>
              <w14:schemeClr w14:val="tx1"/>
            </w14:solidFill>
          </w14:textFill>
        </w:rPr>
        <w:t>审查内容见。</w:t>
      </w:r>
    </w:p>
    <w:p w14:paraId="0CCE235E">
      <w:pPr>
        <w:pageBreakBefore w:val="0"/>
        <w:kinsoku/>
        <w:wordWrap/>
        <w:overflowPunct/>
        <w:topLinePunct w:val="0"/>
        <w:bidi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2、通过资格审查视作具备谈判资格，审查不合格的谈判响应文件将不进入后续详细评审。</w:t>
      </w:r>
    </w:p>
    <w:p w14:paraId="6163F858">
      <w:pPr>
        <w:pageBreakBefore w:val="0"/>
        <w:kinsoku/>
        <w:wordWrap/>
        <w:overflowPunct/>
        <w:topLinePunct w:val="0"/>
        <w:bidi w:val="0"/>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谈判小组根据谈判文件的规定，对谈判响应文件的有效性、完整性和对谈判文件的响应程度进行审查，以确定其是否对谈判文件作出了实质性响应。实质上没有响应谈判文件要求的谈判响应文件将被否决。</w:t>
      </w:r>
    </w:p>
    <w:p w14:paraId="29C4102E">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评审过程中谈判供应商有义务对谈判小组提出就谈判响应文件中含义不明确、同类问题表述不</w:t>
      </w:r>
      <w:r>
        <w:rPr>
          <w:rFonts w:hint="eastAsia" w:ascii="宋体" w:hAnsi="宋体" w:cs="宋体"/>
          <w:color w:val="000000" w:themeColor="text1"/>
          <w:sz w:val="24"/>
          <w:highlight w:val="none"/>
          <w14:textFill>
            <w14:solidFill>
              <w14:schemeClr w14:val="tx1"/>
            </w14:solidFill>
          </w14:textFill>
        </w:rPr>
        <w:t>一致或者有明显的文字和计算错误的内容进行澄清、说明、或者纠正。并在谈判结束前，对澄清、说明或者纠正的相关内容在政采云平台以书面形式进行最终确认承诺，并由谈判供应商代表签字（签章），但不得改变谈判响应文件的实质性内容。供应商的澄清、说明或者更正应当由法定代表人或其授权代表签字或者加盖公章（CA电子公章）。</w:t>
      </w:r>
    </w:p>
    <w:p w14:paraId="56273276">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14:textFill>
            <w14:solidFill>
              <w14:schemeClr w14:val="tx1"/>
            </w14:solidFill>
          </w14:textFill>
        </w:rPr>
        <w:t>经澄清后，若偏差仍存在，且不可接受，谈判供应商则被认为是“没有实质性响应竞争性谈判文件要求”，其谈判不进入下一步评审</w:t>
      </w:r>
      <w:r>
        <w:rPr>
          <w:rFonts w:hint="eastAsia" w:ascii="宋体" w:hAnsi="宋体" w:cs="宋体"/>
          <w:color w:val="000000" w:themeColor="text1"/>
          <w:sz w:val="24"/>
          <w:highlight w:val="none"/>
          <w14:textFill>
            <w14:solidFill>
              <w14:schemeClr w14:val="tx1"/>
            </w14:solidFill>
          </w14:textFill>
        </w:rPr>
        <w:t>。</w:t>
      </w:r>
    </w:p>
    <w:p w14:paraId="4F0CDFA1">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谈判小组所有成员将遵循“公开、公平、公正”的原则，采用相同的程序和标准。如有必要，所有成员按顺序与单一供应商分别进行单独封闭式谈判。谈判内容包括服务价格、服务质量水平和保障措施、服务期限、服务方案、履约能力、培训计划、付款方式等方面进行谈判和综合分析考评，以确定是否满足采购要求。在谈判过程中，谈判的任何一方都不得透露与谈判有关的其他供应商的技术资料、价格和其他信息。谈判供应商在谈判过程中所作出的各种承诺都必须用书面形式（或经电子签章的政采云平台上传文件，下同），并由谈判供应商代表签字。谈判轮次最多不超过3轮。</w:t>
      </w:r>
    </w:p>
    <w:p w14:paraId="2D8D24A0">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供应商代表签字或者加盖公章。由授权代表签字的，应当附法定代表人授权书。供应商为自然人的，应当由本人签字并附身份证明。</w:t>
      </w:r>
    </w:p>
    <w:p w14:paraId="72ED9FDF">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8、在谈判过程中，谈判供应商不得向谈判小组成员询问谈判情况，不得进行旨在影响谈判结果的活动，否则将取消其谈判资格。</w:t>
      </w:r>
    </w:p>
    <w:p w14:paraId="5E67AB48">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9、在谈判过程中，谈判小组成员不得与谈判供应商私下交换意见，在竞争性谈判结束后，凡与谈判情况有接触的人不得将谈判情况扩散出谈判小组成员外。</w:t>
      </w:r>
    </w:p>
    <w:p w14:paraId="570A2E57">
      <w:pPr>
        <w:pageBreakBefore w:val="0"/>
        <w:kinsoku/>
        <w:wordWrap/>
        <w:overflowPunct/>
        <w:topLinePunct w:val="0"/>
        <w:bidi w:val="0"/>
        <w:spacing w:line="400" w:lineRule="exact"/>
        <w:ind w:firstLine="458"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10、谈判结束后，谈判小组将要求谈判供应商在规定的时间内，统一进行最后报价，最后报价不得高于首次报价（谈判小组另有决议的除外）。</w:t>
      </w:r>
    </w:p>
    <w:p w14:paraId="350E32C7">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11、宣布评分结果以及最终报价</w:t>
      </w:r>
    </w:p>
    <w:p w14:paraId="669B27F0">
      <w:pPr>
        <w:pageBreakBefore w:val="0"/>
        <w:kinsoku/>
        <w:wordWrap/>
        <w:overflowPunct/>
        <w:topLinePunct w:val="0"/>
        <w:bidi w:val="0"/>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宣布评分结果以及最终报价在政采云电子招投标开标及评审程序中进行。</w:t>
      </w:r>
    </w:p>
    <w:p w14:paraId="36BD864F">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（二）澄清问题的形式</w:t>
      </w:r>
    </w:p>
    <w:p w14:paraId="6A9A9216">
      <w:pPr>
        <w:pageBreakBefore w:val="0"/>
        <w:kinsoku/>
        <w:wordWrap/>
        <w:overflowPunct/>
        <w:topLinePunct w:val="0"/>
        <w:bidi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谈判供应商的澄清、说明或者补正应当采用书面形式，并加盖公章，或者由法定代理人或其授权的代表签字，并不得超出谈判响应文件的范围或者改变谈判响应文件的实质性内容。</w:t>
      </w:r>
    </w:p>
    <w:p w14:paraId="5D073FBB">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（三）错误修正</w:t>
      </w:r>
    </w:p>
    <w:p w14:paraId="7E79F209">
      <w:pPr>
        <w:pStyle w:val="24"/>
        <w:pageBreakBefore w:val="0"/>
        <w:kinsoku/>
        <w:wordWrap/>
        <w:overflowPunct/>
        <w:topLinePunct w:val="0"/>
        <w:bidi w:val="0"/>
        <w:spacing w:before="0" w:beforeAutospacing="0" w:after="0" w:afterAutospacing="0" w:line="40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谈判响应文件报价出现前后不一致的，除</w:t>
      </w:r>
      <w:r>
        <w:rPr>
          <w:rFonts w:cs="宋体"/>
          <w:bCs/>
          <w:color w:val="000000" w:themeColor="text1"/>
          <w:highlight w:val="none"/>
          <w14:textFill>
            <w14:solidFill>
              <w14:schemeClr w14:val="tx1"/>
            </w14:solidFill>
          </w14:textFill>
        </w:rPr>
        <w:t>谈判采购文件</w:t>
      </w:r>
      <w:r>
        <w:rPr>
          <w:rFonts w:cs="宋体"/>
          <w:color w:val="000000" w:themeColor="text1"/>
          <w:highlight w:val="none"/>
          <w14:textFill>
            <w14:solidFill>
              <w14:schemeClr w14:val="tx1"/>
            </w14:solidFill>
          </w14:textFill>
        </w:rPr>
        <w:t>另有规定外，按照下列规定修正：</w:t>
      </w:r>
    </w:p>
    <w:p w14:paraId="44CC00BC">
      <w:pPr>
        <w:pStyle w:val="24"/>
        <w:pageBreakBefore w:val="0"/>
        <w:kinsoku/>
        <w:wordWrap/>
        <w:overflowPunct/>
        <w:topLinePunct w:val="0"/>
        <w:bidi w:val="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1、谈判响应文件中首次报价一览表内容与谈判响应文件中相应内容不一致的，以首次报价一览表为准；</w:t>
      </w:r>
    </w:p>
    <w:p w14:paraId="238F5267">
      <w:pPr>
        <w:pStyle w:val="24"/>
        <w:pageBreakBefore w:val="0"/>
        <w:kinsoku/>
        <w:wordWrap/>
        <w:overflowPunct/>
        <w:topLinePunct w:val="0"/>
        <w:bidi w:val="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2、大写金额和小写金额不一致的，以大写金额为准；</w:t>
      </w:r>
    </w:p>
    <w:p w14:paraId="77FC6E3D">
      <w:pPr>
        <w:pStyle w:val="24"/>
        <w:pageBreakBefore w:val="0"/>
        <w:kinsoku/>
        <w:wordWrap/>
        <w:overflowPunct/>
        <w:topLinePunct w:val="0"/>
        <w:bidi w:val="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3、单价金额小数点或者百分比有明显错位的，以首次报价一览表的总价为准，并修改单价；</w:t>
      </w:r>
    </w:p>
    <w:p w14:paraId="7AA353EE">
      <w:pPr>
        <w:pStyle w:val="24"/>
        <w:pageBreakBefore w:val="0"/>
        <w:kinsoku/>
        <w:wordWrap/>
        <w:overflowPunct/>
        <w:topLinePunct w:val="0"/>
        <w:bidi w:val="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4、总价金额与按单价汇总金额不一致的，以单价金额计算结果为准。</w:t>
      </w:r>
    </w:p>
    <w:p w14:paraId="53B8DFF4">
      <w:pPr>
        <w:pStyle w:val="24"/>
        <w:pageBreakBefore w:val="0"/>
        <w:kinsoku/>
        <w:wordWrap/>
        <w:overflowPunct/>
        <w:topLinePunct w:val="0"/>
        <w:bidi w:val="0"/>
        <w:spacing w:before="0" w:beforeAutospacing="0" w:after="0" w:afterAutospacing="0" w:line="400" w:lineRule="exact"/>
        <w:ind w:firstLine="48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谈判供应商确认后产生约束力，谈判供应商不确认的，将终止谈判。</w:t>
      </w:r>
    </w:p>
    <w:p w14:paraId="0E1808C7">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（四）谈判供应商存在下列情况之一的，响应无效，终止谈判</w:t>
      </w:r>
    </w:p>
    <w:p w14:paraId="11C87630">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1、实质上没有响应谈判文件要求的谈判响应文件将被视为无效谈判。供应商不得通过修正或撤消不合要求的偏离或保留从而使其谈判成为实质上响应的谈判。如发生下列情况之一的，其谈判响应文件视为无效：</w:t>
      </w:r>
    </w:p>
    <w:p w14:paraId="54D01155">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2、未提交电子谈判响应文件的；</w:t>
      </w:r>
    </w:p>
    <w:p w14:paraId="18F30575">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3、供应商仅提交备份电子谈判响应文件的；</w:t>
      </w:r>
    </w:p>
    <w:p w14:paraId="083DC055">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4、采用电子投标的，电子谈判响应文件未在规定时间内解密的（出现特殊情况，采用介质存储的数据电文形式的备份响应文件开标、评标的情形除外）；</w:t>
      </w:r>
    </w:p>
    <w:p w14:paraId="3C225012">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5、谈判响应文件未有效授权的；</w:t>
      </w:r>
    </w:p>
    <w:p w14:paraId="742E9034">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6、供应商未按谈判文件规定参加谈判的；</w:t>
      </w:r>
    </w:p>
    <w:p w14:paraId="2566E6B7">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7、未按规定要求盖章和签字（包括CA签章）的；</w:t>
      </w:r>
    </w:p>
    <w:p w14:paraId="6D7B5501">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谈判小组认为供应商的报价明显低于其他通过符合性审查供应商的报价，有可能影响产品质量或者不能诚信履约的，应当要求其在谈判合理的时间内提供书面说明，必要时提交相关证明材料；关于不能证明其报价合理性的，谈判小组应当将其作为无效投标处理；</w:t>
      </w:r>
    </w:p>
    <w:p w14:paraId="40793FC9">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9、未按规定要求递交资格文件、商务技术文件、报价文件的谈判响应文件的；</w:t>
      </w:r>
    </w:p>
    <w:p w14:paraId="4280416A">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10、同一供应商最终报价具有选择性（即出现二个及以上投标总报价的）；</w:t>
      </w:r>
    </w:p>
    <w:p w14:paraId="7EAD052F">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11、符合竞争性谈判文件中明确作无效标处理或被拒绝的条款；</w:t>
      </w:r>
    </w:p>
    <w:p w14:paraId="16B74EBA">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12、报价超出谈判文件中规定的预算金额或者最高限价的；</w:t>
      </w:r>
    </w:p>
    <w:p w14:paraId="37F83C32">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13、提供虚假材料谋取成交的；</w:t>
      </w:r>
    </w:p>
    <w:p w14:paraId="23E35758">
      <w:pPr>
        <w:pageBreakBefore w:val="0"/>
        <w:kinsoku/>
        <w:wordWrap/>
        <w:overflowPunct/>
        <w:topLinePunct w:val="0"/>
        <w:autoSpaceDE w:val="0"/>
        <w:autoSpaceDN w:val="0"/>
        <w:bidi w:val="0"/>
        <w:adjustRightInd w:val="0"/>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14、不符合法律、法规和谈判文件规定的其他实质性要求的。</w:t>
      </w:r>
    </w:p>
    <w:p w14:paraId="2FA40771">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（五）有下列情况之一的，本次谈判终止。</w:t>
      </w:r>
    </w:p>
    <w:p w14:paraId="012C5C65">
      <w:pPr>
        <w:pageBreakBefore w:val="0"/>
        <w:kinsoku/>
        <w:wordWrap/>
        <w:overflowPunct/>
        <w:topLinePunct w:val="0"/>
        <w:autoSpaceDE w:val="0"/>
        <w:autoSpaceDN w:val="0"/>
        <w:bidi w:val="0"/>
        <w:adjustRightInd w:val="0"/>
        <w:spacing w:line="400" w:lineRule="exact"/>
        <w:ind w:firstLine="480" w:firstLineChars="200"/>
        <w:rPr>
          <w:rFonts w:hint="default"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1、出现影响采购公正的违法、违规行为的；</w:t>
      </w:r>
    </w:p>
    <w:p w14:paraId="71708EF4">
      <w:pPr>
        <w:pageBreakBefore w:val="0"/>
        <w:kinsoku/>
        <w:wordWrap/>
        <w:overflowPunct/>
        <w:topLinePunct w:val="0"/>
        <w:autoSpaceDE w:val="0"/>
        <w:autoSpaceDN w:val="0"/>
        <w:bidi w:val="0"/>
        <w:adjustRightInd w:val="0"/>
        <w:spacing w:line="400" w:lineRule="exact"/>
        <w:ind w:firstLine="480" w:firstLineChars="200"/>
        <w:rPr>
          <w:rFonts w:hint="default"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2、谈判小组发现谈判文件存在歧义、重大缺陷导致评审工作无法进行，或者谈判文件内容违反国家有关强制性规定的； </w:t>
      </w:r>
    </w:p>
    <w:p w14:paraId="3BDA97D5">
      <w:pPr>
        <w:pageBreakBefore w:val="0"/>
        <w:kinsoku/>
        <w:wordWrap/>
        <w:overflowPunct/>
        <w:topLinePunct w:val="0"/>
        <w:autoSpaceDE w:val="0"/>
        <w:autoSpaceDN w:val="0"/>
        <w:bidi w:val="0"/>
        <w:adjustRightInd w:val="0"/>
        <w:spacing w:line="400" w:lineRule="exact"/>
        <w:ind w:firstLine="480" w:firstLineChars="200"/>
        <w:rPr>
          <w:rFonts w:hint="default"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3、因重大变故，采购任务取消的；</w:t>
      </w:r>
    </w:p>
    <w:p w14:paraId="6BBC0DF9">
      <w:pPr>
        <w:pageBreakBefore w:val="0"/>
        <w:kinsoku/>
        <w:wordWrap/>
        <w:overflowPunct/>
        <w:topLinePunct w:val="0"/>
        <w:autoSpaceDE w:val="0"/>
        <w:autoSpaceDN w:val="0"/>
        <w:bidi w:val="0"/>
        <w:adjustRightIn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4、法律、法规和谈判文件规定的其他导致评审结果无效的。</w:t>
      </w:r>
    </w:p>
    <w:p w14:paraId="713CD164">
      <w:pPr>
        <w:pageBreakBefore w:val="0"/>
        <w:kinsoku/>
        <w:wordWrap/>
        <w:overflowPunct/>
        <w:topLinePunct w:val="0"/>
        <w:autoSpaceDE w:val="0"/>
        <w:autoSpaceDN w:val="0"/>
        <w:bidi w:val="0"/>
        <w:adjustRightInd w:val="0"/>
        <w:spacing w:line="400" w:lineRule="exact"/>
        <w:ind w:firstLine="482" w:firstLineChars="200"/>
        <w:rPr>
          <w:rFonts w:hint="eastAsia" w:ascii="宋体" w:hAnsi="宋体" w:cs="宋体"/>
          <w:b/>
          <w:bCs w:val="0"/>
          <w:color w:val="000000" w:themeColor="text1"/>
          <w:kern w:val="0"/>
          <w:sz w:val="24"/>
          <w:highlight w:val="none"/>
          <w14:textFill>
            <w14:solidFill>
              <w14:schemeClr w14:val="tx1"/>
            </w14:solidFill>
          </w14:textFill>
        </w:rPr>
      </w:pPr>
      <w:r>
        <w:rPr>
          <w:rFonts w:hint="eastAsia" w:ascii="宋体" w:hAnsi="宋体" w:cs="宋体"/>
          <w:b/>
          <w:bCs w:val="0"/>
          <w:color w:val="000000" w:themeColor="text1"/>
          <w:kern w:val="0"/>
          <w:sz w:val="24"/>
          <w:highlight w:val="none"/>
          <w14:textFill>
            <w14:solidFill>
              <w14:schemeClr w14:val="tx1"/>
            </w14:solidFill>
          </w14:textFill>
        </w:rPr>
        <w:t>（六）谈判原则和方法</w:t>
      </w:r>
    </w:p>
    <w:p w14:paraId="672415D3">
      <w:pPr>
        <w:pageBreakBefore w:val="0"/>
        <w:kinsoku/>
        <w:wordWrap/>
        <w:overflowPunct/>
        <w:topLinePunct w:val="0"/>
        <w:autoSpaceDE w:val="0"/>
        <w:autoSpaceDN w:val="0"/>
        <w:bidi w:val="0"/>
        <w:adjustRightIn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4FC5F0BF">
      <w:pPr>
        <w:pageBreakBefore w:val="0"/>
        <w:kinsoku/>
        <w:wordWrap/>
        <w:overflowPunct/>
        <w:topLinePunct w:val="0"/>
        <w:autoSpaceDE w:val="0"/>
        <w:autoSpaceDN w:val="0"/>
        <w:bidi w:val="0"/>
        <w:adjustRightIn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2、谈判办法：（1）谈判小组应当从质量和服务均能满足谈判文件实质性响应要求的供应商中，按照报价由低到高的顺序确定成交候选人。</w:t>
      </w:r>
    </w:p>
    <w:p w14:paraId="48C34235">
      <w:pPr>
        <w:pageBreakBefore w:val="0"/>
        <w:kinsoku/>
        <w:wordWrap/>
        <w:overflowPunct/>
        <w:topLinePunct w:val="0"/>
        <w:autoSpaceDE w:val="0"/>
        <w:autoSpaceDN w:val="0"/>
        <w:bidi w:val="0"/>
        <w:adjustRightIn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（2）如遇相同最低报价，取交货期短者为成交单位；如两者均相同，则在相同最低报价中重新报价，直至产生最低报价者为成交单位。</w:t>
      </w:r>
    </w:p>
    <w:p w14:paraId="25B0C70D">
      <w:pPr>
        <w:pageBreakBefore w:val="0"/>
        <w:kinsoku/>
        <w:wordWrap/>
        <w:overflowPunct/>
        <w:topLinePunct w:val="0"/>
        <w:autoSpaceDE w:val="0"/>
        <w:autoSpaceDN w:val="0"/>
        <w:bidi w:val="0"/>
        <w:adjustRightIn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（七）评审过程的监控</w:t>
      </w:r>
    </w:p>
    <w:p w14:paraId="2FD9503A">
      <w:pPr>
        <w:pageBreakBefore w:val="0"/>
        <w:kinsoku/>
        <w:wordWrap/>
        <w:overflowPunct/>
        <w:topLinePunct w:val="0"/>
        <w:autoSpaceDE w:val="0"/>
        <w:autoSpaceDN w:val="0"/>
        <w:bidi w:val="0"/>
        <w:adjustRightInd w:val="0"/>
        <w:spacing w:line="400" w:lineRule="exact"/>
        <w:ind w:firstLine="480" w:firstLineChars="200"/>
        <w:rPr>
          <w:rFonts w:hint="default"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本项目评审过程实行全程录音、录像监控，政府采购监管部门视情进行现场监督，供应商在评审过程中所进行的试图影响评审结果的不公正活动，可能导致其被拒绝谈判。</w:t>
      </w:r>
    </w:p>
    <w:p w14:paraId="6FB4A004">
      <w:pPr>
        <w:pStyle w:val="3"/>
        <w:pageBreakBefore w:val="0"/>
        <w:kinsoku/>
        <w:wordWrap/>
        <w:overflowPunct/>
        <w:topLinePunct w:val="0"/>
        <w:bidi w:val="0"/>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四、谈判结果确定</w:t>
      </w:r>
    </w:p>
    <w:p w14:paraId="3387703B">
      <w:pPr>
        <w:pStyle w:val="24"/>
        <w:pageBreakBefore w:val="0"/>
        <w:kinsoku/>
        <w:wordWrap/>
        <w:overflowPunct/>
        <w:topLinePunct w:val="0"/>
        <w:bidi w:val="0"/>
        <w:spacing w:before="0" w:beforeAutospacing="0" w:after="0" w:afterAutospacing="0" w:line="40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成交供应商。谈判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EF1EBF3">
      <w:pPr>
        <w:pageBreakBefore w:val="0"/>
        <w:kinsoku/>
        <w:wordWrap/>
        <w:overflowPunct/>
        <w:topLinePunct w:val="0"/>
        <w:bidi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2、发布成交结果公告。采购组织机构应当在成交供应商确定后2个工作日内，在省级以上财政部门指定的政府采购信息发布媒体及相关网站上公告成交结果，并将谈判文件随同公告。</w:t>
      </w:r>
    </w:p>
    <w:p w14:paraId="0928C22E">
      <w:pPr>
        <w:pageBreakBefore w:val="0"/>
        <w:kinsoku/>
        <w:wordWrap/>
        <w:overflowPunct/>
        <w:topLinePunct w:val="0"/>
        <w:bidi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67760121">
      <w:pPr>
        <w:pStyle w:val="3"/>
        <w:pageBreakBefore w:val="0"/>
        <w:kinsoku/>
        <w:wordWrap/>
        <w:overflowPunct/>
        <w:topLinePunct w:val="0"/>
        <w:bidi w:val="0"/>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五、合同签订及公告</w:t>
      </w:r>
    </w:p>
    <w:p w14:paraId="73578696">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（一）签订合同</w:t>
      </w:r>
    </w:p>
    <w:p w14:paraId="51B7FF35">
      <w:pPr>
        <w:pStyle w:val="13"/>
        <w:pageBreakBefore w:val="0"/>
        <w:kinsoku/>
        <w:wordWrap/>
        <w:overflowPunct/>
        <w:topLinePunct w:val="0"/>
        <w:bidi w:val="0"/>
        <w:spacing w:line="40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1．采购人应当自成交通知书发出之日起30日内，按照谈判采购文件确定的合同文本以及采购标的、规格型号、采购金额、采购数量和服务要求等事项签订政府采购合同。</w:t>
      </w:r>
    </w:p>
    <w:p w14:paraId="4F362F88">
      <w:pPr>
        <w:pStyle w:val="24"/>
        <w:pageBreakBefore w:val="0"/>
        <w:kinsoku/>
        <w:wordWrap/>
        <w:overflowPunct/>
        <w:topLinePunct w:val="0"/>
        <w:bidi w:val="0"/>
        <w:spacing w:before="0" w:beforeAutospacing="0" w:after="0" w:afterAutospacing="0" w:line="40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7F89EC49">
      <w:pPr>
        <w:pStyle w:val="24"/>
        <w:pageBreakBefore w:val="0"/>
        <w:kinsoku/>
        <w:wordWrap/>
        <w:overflowPunct/>
        <w:topLinePunct w:val="0"/>
        <w:bidi w:val="0"/>
        <w:spacing w:before="0" w:beforeAutospacing="0" w:after="0" w:afterAutospacing="0" w:line="40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3．成交供应商无故拖延、拒签合同的,取消成交资格。</w:t>
      </w:r>
    </w:p>
    <w:p w14:paraId="307A8EAB">
      <w:pPr>
        <w:pStyle w:val="24"/>
        <w:pageBreakBefore w:val="0"/>
        <w:kinsoku/>
        <w:wordWrap/>
        <w:overflowPunct/>
        <w:topLinePunct w:val="0"/>
        <w:bidi w:val="0"/>
        <w:spacing w:before="0" w:beforeAutospacing="0" w:after="0" w:afterAutospacing="0" w:line="40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9952910">
      <w:pPr>
        <w:pStyle w:val="24"/>
        <w:pageBreakBefore w:val="0"/>
        <w:kinsoku/>
        <w:wordWrap/>
        <w:overflowPunct/>
        <w:topLinePunct w:val="0"/>
        <w:bidi w:val="0"/>
        <w:spacing w:before="0" w:beforeAutospacing="0" w:after="0" w:afterAutospacing="0" w:line="400" w:lineRule="exact"/>
        <w:ind w:firstLine="600" w:firstLineChars="250"/>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5DD446D6">
      <w:pPr>
        <w:pStyle w:val="4"/>
        <w:pageBreakBefore w:val="0"/>
        <w:kinsoku/>
        <w:wordWrap/>
        <w:overflowPunct/>
        <w:topLinePunct w:val="0"/>
        <w:bidi w:val="0"/>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（二）合同公告及备案</w:t>
      </w:r>
    </w:p>
    <w:p w14:paraId="17C36ADF">
      <w:pPr>
        <w:pStyle w:val="13"/>
        <w:pageBreakBefore w:val="0"/>
        <w:kinsoku/>
        <w:wordWrap/>
        <w:overflowPunct/>
        <w:topLinePunct w:val="0"/>
        <w:bidi w:val="0"/>
        <w:spacing w:line="40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4B5CF0A5">
      <w:pPr>
        <w:pStyle w:val="13"/>
        <w:pageBreakBefore w:val="0"/>
        <w:kinsoku/>
        <w:wordWrap/>
        <w:overflowPunct/>
        <w:topLinePunct w:val="0"/>
        <w:bidi w:val="0"/>
        <w:spacing w:line="40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7EC4563D">
      <w:pPr>
        <w:pStyle w:val="3"/>
        <w:pageBreakBefore w:val="0"/>
        <w:kinsoku/>
        <w:wordWrap/>
        <w:overflowPunct/>
        <w:topLinePunct w:val="0"/>
        <w:bidi w:val="0"/>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六、采购代理费</w:t>
      </w:r>
    </w:p>
    <w:p w14:paraId="5583806C">
      <w:pPr>
        <w:pageBreakBefore w:val="0"/>
        <w:kinsoku/>
        <w:wordWrap/>
        <w:overflowPunct/>
        <w:topLinePunct w:val="0"/>
        <w:autoSpaceDE w:val="0"/>
        <w:autoSpaceDN w:val="0"/>
        <w:bidi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成交供应商在领取成交通知书同时向招标代理机构支付招标代理服务费</w:t>
      </w:r>
      <w:r>
        <w:rPr>
          <w:rFonts w:hint="eastAsia" w:ascii="宋体" w:hAnsi="宋体"/>
          <w:color w:val="000000" w:themeColor="text1"/>
          <w:sz w:val="24"/>
          <w:highlight w:val="none"/>
          <w:lang w:val="en-US" w:eastAsia="zh-CN"/>
          <w14:textFill>
            <w14:solidFill>
              <w14:schemeClr w14:val="tx1"/>
            </w14:solidFill>
          </w14:textFill>
        </w:rPr>
        <w:t>叁万捌仟元</w:t>
      </w:r>
      <w:r>
        <w:rPr>
          <w:rFonts w:hint="eastAsia" w:ascii="宋体" w:hAnsi="宋体"/>
          <w:color w:val="000000" w:themeColor="text1"/>
          <w:sz w:val="24"/>
          <w:highlight w:val="none"/>
          <w14:textFill>
            <w14:solidFill>
              <w14:schemeClr w14:val="tx1"/>
            </w14:solidFill>
          </w14:textFill>
        </w:rPr>
        <w:t>。招标代理服务费汇入以下帐号：</w:t>
      </w:r>
    </w:p>
    <w:p w14:paraId="02BD913E">
      <w:pPr>
        <w:pageBreakBefore w:val="0"/>
        <w:kinsoku/>
        <w:wordWrap/>
        <w:overflowPunct/>
        <w:topLinePunct w:val="0"/>
        <w:bidi w:val="0"/>
        <w:adjustRightInd w:val="0"/>
        <w:snapToGrid w:val="0"/>
        <w:spacing w:line="400" w:lineRule="exact"/>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开户名称：台州嘉亿招标代理有限责任公司</w:t>
      </w:r>
    </w:p>
    <w:p w14:paraId="71C64385">
      <w:pPr>
        <w:pageBreakBefore w:val="0"/>
        <w:kinsoku/>
        <w:wordWrap/>
        <w:overflowPunct/>
        <w:topLinePunct w:val="0"/>
        <w:bidi w:val="0"/>
        <w:adjustRightInd w:val="0"/>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开户银行：中国邮政储蓄银行股份有限公司玉环市支行</w:t>
      </w:r>
    </w:p>
    <w:p w14:paraId="60A9991C">
      <w:pPr>
        <w:pageBreakBefore w:val="0"/>
        <w:kinsoku/>
        <w:wordWrap/>
        <w:overflowPunct/>
        <w:topLinePunct w:val="0"/>
        <w:bidi w:val="0"/>
        <w:adjustRightInd w:val="0"/>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开户账号：933006010097810001</w:t>
      </w:r>
    </w:p>
    <w:p w14:paraId="02DC7733">
      <w:pPr>
        <w:snapToGrid w:val="0"/>
        <w:spacing w:before="156" w:beforeLines="50" w:after="156" w:afterLines="50" w:line="360" w:lineRule="auto"/>
        <w:jc w:val="center"/>
        <w:rPr>
          <w:rFonts w:asciiTheme="majorEastAsia" w:hAnsiTheme="majorEastAsia" w:eastAsiaTheme="majorEastAsia"/>
          <w:b/>
          <w:bCs/>
          <w:color w:val="000000" w:themeColor="text1"/>
          <w:sz w:val="24"/>
          <w:highlight w:val="none"/>
          <w14:textFill>
            <w14:solidFill>
              <w14:schemeClr w14:val="tx1"/>
            </w14:solidFill>
          </w14:textFill>
        </w:rPr>
      </w:pPr>
      <w:r>
        <w:rPr>
          <w:rFonts w:hint="eastAsia" w:asciiTheme="majorEastAsia" w:hAnsiTheme="majorEastAsia" w:eastAsiaTheme="majorEastAsia"/>
          <w:b/>
          <w:bCs/>
          <w:color w:val="000000" w:themeColor="text1"/>
          <w:sz w:val="24"/>
          <w:highlight w:val="none"/>
          <w14:textFill>
            <w14:solidFill>
              <w14:schemeClr w14:val="tx1"/>
            </w14:solidFill>
          </w14:textFill>
        </w:rPr>
        <w:br w:type="page"/>
      </w:r>
    </w:p>
    <w:p w14:paraId="2999D769">
      <w:pPr>
        <w:spacing w:line="360" w:lineRule="auto"/>
        <w:jc w:val="center"/>
        <w:rPr>
          <w:rFonts w:ascii="宋体" w:hAnsi="宋体" w:cs="宋体"/>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第三章　评审办法及评审标准</w:t>
      </w:r>
    </w:p>
    <w:p w14:paraId="1B14A143">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根据《中华人民共和国政府采购法》等有关政府采购法规，结合本次所要采购货物的实际，按照公平、公正、科学、择优的原则选择成交单位，特制定本评审办法。</w:t>
      </w:r>
    </w:p>
    <w:p w14:paraId="152BB339">
      <w:pPr>
        <w:keepNext w:val="0"/>
        <w:keepLines w:val="0"/>
        <w:pageBreakBefore w:val="0"/>
        <w:widowControl w:val="0"/>
        <w:kinsoku/>
        <w:wordWrap/>
        <w:overflowPunct/>
        <w:topLinePunct w:val="0"/>
        <w:autoSpaceDE/>
        <w:autoSpaceDN/>
        <w:bidi w:val="0"/>
        <w:adjustRightInd w:val="0"/>
        <w:snapToGrid w:val="0"/>
        <w:spacing w:line="380" w:lineRule="exact"/>
        <w:ind w:left="-420" w:leftChars="-200" w:right="-313" w:rightChars="-149" w:firstLine="439" w:firstLineChars="183"/>
        <w:textAlignment w:val="auto"/>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一、总则</w:t>
      </w:r>
    </w:p>
    <w:p w14:paraId="07216870">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评审工作遵循公平、公正、民主、科学的原则和诚实、信誉、效率的服务原则。本着科学、严谨的态度，认真进行评审。择优选定设备的供货单位，确保设备质量、交货期，节约投资，最大限度的保护当事人权益，严格按照采购文件的商务、技术要求，对报价文件进行综合评定，提出优选方案，编写成交报告。谈判小组必须严格遵守保密规定，不得泄漏评审的有关情况，不得索贿受贿，不得接受吃请和礼品，不得参加影响公正评审的有关活动。对落标单位，谈判小组不作任何落标解释。供应商不得以任何方式干扰报价工作的进行，一经发现其报价文件将被拒绝。</w:t>
      </w:r>
    </w:p>
    <w:p w14:paraId="0F96AB1B">
      <w:pPr>
        <w:keepNext w:val="0"/>
        <w:keepLines w:val="0"/>
        <w:pageBreakBefore w:val="0"/>
        <w:widowControl w:val="0"/>
        <w:kinsoku/>
        <w:wordWrap/>
        <w:overflowPunct/>
        <w:topLinePunct w:val="0"/>
        <w:autoSpaceDE/>
        <w:autoSpaceDN/>
        <w:bidi w:val="0"/>
        <w:adjustRightInd w:val="0"/>
        <w:snapToGrid w:val="0"/>
        <w:spacing w:line="380" w:lineRule="exact"/>
        <w:ind w:left="-420" w:leftChars="-200" w:right="-313" w:rightChars="-149" w:firstLine="439" w:firstLineChars="183"/>
        <w:textAlignment w:val="auto"/>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二．评审组织</w:t>
      </w:r>
    </w:p>
    <w:p w14:paraId="5FC2FBBC">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评审工作由采购人依法组建的谈判小组负责，谈判小组由采购人代表以及评审专家库中随机抽取的有关技术、经济专家共同组成。评审全过程由采购管理部门监督整个报价、评审和成交过程。</w:t>
      </w:r>
    </w:p>
    <w:p w14:paraId="5169C618">
      <w:pPr>
        <w:pStyle w:val="49"/>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420" w:leftChars="-200" w:right="-313" w:rightChars="-149" w:firstLine="439" w:firstLineChars="183"/>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三、评审程序</w:t>
      </w:r>
    </w:p>
    <w:p w14:paraId="2CE7B11C">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本次报价，技术资信标和商务标分别开启，报价程序如下：</w:t>
      </w:r>
    </w:p>
    <w:p w14:paraId="4B4CA95C">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第一步：首先开启技术资信标，</w:t>
      </w:r>
      <w:r>
        <w:rPr>
          <w:rFonts w:hint="eastAsia" w:ascii="宋体"/>
          <w:color w:val="000000" w:themeColor="text1"/>
          <w:sz w:val="24"/>
          <w:highlight w:val="none"/>
          <w14:textFill>
            <w14:solidFill>
              <w14:schemeClr w14:val="tx1"/>
            </w14:solidFill>
          </w14:textFill>
        </w:rPr>
        <w:t>竞争性谈判采购</w:t>
      </w:r>
      <w:r>
        <w:rPr>
          <w:rFonts w:ascii="宋体"/>
          <w:color w:val="000000" w:themeColor="text1"/>
          <w:sz w:val="24"/>
          <w:highlight w:val="none"/>
          <w14:textFill>
            <w14:solidFill>
              <w14:schemeClr w14:val="tx1"/>
            </w14:solidFill>
          </w14:textFill>
        </w:rPr>
        <w:t>小组根据评审原则和评审办法，对各供应商的资信、技术部分报价进行评审，技术资信标不合格的供应商做无效标处理，不进入商务标评审。</w:t>
      </w:r>
    </w:p>
    <w:p w14:paraId="38886EB3">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第二步：开启技术资信标部分符合采购文件要求的有效供应商的商务报价标。</w:t>
      </w:r>
    </w:p>
    <w:p w14:paraId="44329A12">
      <w:pPr>
        <w:pStyle w:val="49"/>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left="-420" w:leftChars="-200" w:right="-313" w:rightChars="-149" w:firstLine="439" w:firstLineChars="183"/>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四、确定供应商办法</w:t>
      </w:r>
    </w:p>
    <w:p w14:paraId="4091388E">
      <w:pPr>
        <w:keepNext w:val="0"/>
        <w:keepLines w:val="0"/>
        <w:pageBreakBefore w:val="0"/>
        <w:widowControl w:val="0"/>
        <w:kinsoku/>
        <w:wordWrap/>
        <w:overflowPunct/>
        <w:topLinePunct w:val="0"/>
        <w:autoSpaceDE/>
        <w:autoSpaceDN/>
        <w:bidi w:val="0"/>
        <w:adjustRightInd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本次评审采用</w:t>
      </w:r>
      <w:r>
        <w:rPr>
          <w:rFonts w:hint="eastAsia" w:ascii="宋体"/>
          <w:color w:val="000000" w:themeColor="text1"/>
          <w:sz w:val="24"/>
          <w:highlight w:val="none"/>
          <w:u w:val="single"/>
          <w14:textFill>
            <w14:solidFill>
              <w14:schemeClr w14:val="tx1"/>
            </w14:solidFill>
          </w14:textFill>
        </w:rPr>
        <w:t>最低</w:t>
      </w:r>
      <w:r>
        <w:rPr>
          <w:rFonts w:hint="eastAsia" w:ascii="宋体"/>
          <w:color w:val="000000" w:themeColor="text1"/>
          <w:sz w:val="24"/>
          <w:highlight w:val="none"/>
          <w:u w:val="single"/>
          <w:lang w:val="en-US" w:eastAsia="zh-CN"/>
          <w14:textFill>
            <w14:solidFill>
              <w14:schemeClr w14:val="tx1"/>
            </w14:solidFill>
          </w14:textFill>
        </w:rPr>
        <w:t>评标</w:t>
      </w:r>
      <w:r>
        <w:rPr>
          <w:rFonts w:hint="eastAsia" w:ascii="宋体"/>
          <w:color w:val="000000" w:themeColor="text1"/>
          <w:sz w:val="24"/>
          <w:highlight w:val="none"/>
          <w:u w:val="single"/>
          <w14:textFill>
            <w14:solidFill>
              <w14:schemeClr w14:val="tx1"/>
            </w14:solidFill>
          </w14:textFill>
        </w:rPr>
        <w:t>价法</w:t>
      </w:r>
      <w:r>
        <w:rPr>
          <w:rFonts w:hint="eastAsia" w:ascii="宋体"/>
          <w:color w:val="000000" w:themeColor="text1"/>
          <w:sz w:val="24"/>
          <w:highlight w:val="none"/>
          <w14:textFill>
            <w14:solidFill>
              <w14:schemeClr w14:val="tx1"/>
            </w14:solidFill>
          </w14:textFill>
        </w:rPr>
        <w:t>。竞争性谈判采购小组根据采购人的授权，按符合采购需求、质量和服务相等且报价最低的原则，确定最低报价的供应商即为成交供应商，并将结果通知所有参加报价的未成交的供应商。(如果供应商最低报价相同，则抽签决定），并编写采购报告。</w:t>
      </w:r>
    </w:p>
    <w:p w14:paraId="6F361FA3">
      <w:pPr>
        <w:keepNext w:val="0"/>
        <w:keepLines w:val="0"/>
        <w:pageBreakBefore w:val="0"/>
        <w:widowControl w:val="0"/>
        <w:kinsoku/>
        <w:wordWrap/>
        <w:overflowPunct/>
        <w:topLinePunct w:val="0"/>
        <w:autoSpaceDE/>
        <w:autoSpaceDN/>
        <w:bidi w:val="0"/>
        <w:adjustRightInd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五、说明</w:t>
      </w:r>
    </w:p>
    <w:p w14:paraId="696A804F">
      <w:pPr>
        <w:keepNext w:val="0"/>
        <w:keepLines w:val="0"/>
        <w:pageBreakBefore w:val="0"/>
        <w:widowControl w:val="0"/>
        <w:kinsoku/>
        <w:wordWrap/>
        <w:overflowPunct/>
        <w:topLinePunct w:val="0"/>
        <w:autoSpaceDE/>
        <w:autoSpaceDN/>
        <w:bidi w:val="0"/>
        <w:adjustRightInd w:val="0"/>
        <w:snapToGrid w:val="0"/>
        <w:spacing w:line="380" w:lineRule="exact"/>
        <w:ind w:left="-420" w:leftChars="-200" w:right="-313" w:rightChars="-149" w:firstLine="439" w:firstLineChars="183"/>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1、竞争性谈判采购小组</w:t>
      </w:r>
      <w:r>
        <w:rPr>
          <w:rFonts w:hint="eastAsia" w:ascii="宋体" w:cs="Arial"/>
          <w:color w:val="000000" w:themeColor="text1"/>
          <w:sz w:val="24"/>
          <w:highlight w:val="none"/>
          <w14:textFill>
            <w14:solidFill>
              <w14:schemeClr w14:val="tx1"/>
            </w14:solidFill>
          </w14:textFill>
        </w:rPr>
        <w:t>推荐</w:t>
      </w:r>
      <w:r>
        <w:rPr>
          <w:rFonts w:hint="eastAsia" w:ascii="宋体" w:cs="Arial"/>
          <w:color w:val="000000" w:themeColor="text1"/>
          <w:sz w:val="24"/>
          <w:highlight w:val="none"/>
          <w:u w:val="single"/>
          <w14:textFill>
            <w14:solidFill>
              <w14:schemeClr w14:val="tx1"/>
            </w14:solidFill>
          </w14:textFill>
        </w:rPr>
        <w:t>有效供应商中报价最低的供应商为成交供应商</w:t>
      </w:r>
      <w:r>
        <w:rPr>
          <w:rFonts w:hint="eastAsia" w:ascii="宋体"/>
          <w:color w:val="000000" w:themeColor="text1"/>
          <w:sz w:val="24"/>
          <w:highlight w:val="none"/>
          <w14:textFill>
            <w14:solidFill>
              <w14:schemeClr w14:val="tx1"/>
            </w14:solidFill>
          </w14:textFill>
        </w:rPr>
        <w:t>(如遇相同最低报价，取交货期短者为成交单位；如两者均相同，则在相同最低报价中重新报价，直至产生最低报价者为成交单位。），并编写评审报告。</w:t>
      </w:r>
    </w:p>
    <w:p w14:paraId="33D06ED4">
      <w:pPr>
        <w:keepNext w:val="0"/>
        <w:keepLines w:val="0"/>
        <w:pageBreakBefore w:val="0"/>
        <w:widowControl w:val="0"/>
        <w:kinsoku/>
        <w:wordWrap/>
        <w:overflowPunct/>
        <w:topLinePunct w:val="0"/>
        <w:autoSpaceDE/>
        <w:autoSpaceDN/>
        <w:bidi w:val="0"/>
        <w:snapToGrid w:val="0"/>
        <w:spacing w:line="380" w:lineRule="exact"/>
        <w:ind w:left="-420" w:leftChars="-200" w:right="-313" w:rightChars="-149" w:firstLine="439" w:firstLineChars="183"/>
        <w:textAlignment w:val="auto"/>
        <w:outlineLvl w:val="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参见本采购文件第三部分：“供应商须知”中的相关内容，未尽事宜按有关法律规定处理。</w:t>
      </w:r>
    </w:p>
    <w:p w14:paraId="11EFF5D2">
      <w:pPr>
        <w:pStyle w:val="27"/>
        <w:rPr>
          <w:rFonts w:hint="eastAsia" w:ascii="宋体"/>
          <w:color w:val="000000" w:themeColor="text1"/>
          <w:sz w:val="24"/>
          <w:highlight w:val="none"/>
          <w14:textFill>
            <w14:solidFill>
              <w14:schemeClr w14:val="tx1"/>
            </w14:solidFill>
          </w14:textFill>
        </w:rPr>
      </w:pPr>
    </w:p>
    <w:p w14:paraId="7CC6F9F8">
      <w:pPr>
        <w:pStyle w:val="22"/>
        <w:rPr>
          <w:rFonts w:hint="eastAsia" w:ascii="宋体"/>
          <w:color w:val="000000" w:themeColor="text1"/>
          <w:sz w:val="24"/>
          <w:highlight w:val="none"/>
          <w14:textFill>
            <w14:solidFill>
              <w14:schemeClr w14:val="tx1"/>
            </w14:solidFill>
          </w14:textFill>
        </w:rPr>
      </w:pPr>
    </w:p>
    <w:p w14:paraId="0770152A">
      <w:pPr>
        <w:rPr>
          <w:rFonts w:hint="eastAsia" w:ascii="宋体"/>
          <w:color w:val="000000" w:themeColor="text1"/>
          <w:sz w:val="24"/>
          <w:highlight w:val="none"/>
          <w14:textFill>
            <w14:solidFill>
              <w14:schemeClr w14:val="tx1"/>
            </w14:solidFill>
          </w14:textFill>
        </w:rPr>
      </w:pPr>
    </w:p>
    <w:p w14:paraId="0E250A73">
      <w:pPr>
        <w:pStyle w:val="27"/>
        <w:rPr>
          <w:color w:val="000000" w:themeColor="text1"/>
          <w:highlight w:val="none"/>
          <w14:textFill>
            <w14:solidFill>
              <w14:schemeClr w14:val="tx1"/>
            </w14:solidFill>
          </w14:textFill>
        </w:rPr>
      </w:pPr>
    </w:p>
    <w:p w14:paraId="7593CF9B">
      <w:pPr>
        <w:numPr>
          <w:ilvl w:val="0"/>
          <w:numId w:val="4"/>
        </w:numPr>
        <w:tabs>
          <w:tab w:val="left" w:pos="8280"/>
          <w:tab w:val="clear" w:pos="0"/>
        </w:tabs>
        <w:autoSpaceDE w:val="0"/>
        <w:autoSpaceDN w:val="0"/>
        <w:adjustRightInd w:val="0"/>
        <w:spacing w:line="360" w:lineRule="auto"/>
        <w:ind w:right="25"/>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谈判内容</w:t>
      </w:r>
    </w:p>
    <w:p w14:paraId="58F1A84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一、招标内容：</w:t>
      </w:r>
    </w:p>
    <w:p w14:paraId="633878F6">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）玉环城区范围内的城市道路路面、人行道、桥梁市政设施日常养护（含人为破损道路修复）、应急抢险修复和市政巡查工作。（玉环市城市执法局承接的管理范围）</w:t>
      </w:r>
    </w:p>
    <w:p w14:paraId="46D254C9">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）对道路日常维护、保养维修、出现突发性事件的临时围护、应急处理等工作及业主指定的其他维护项目（包括各类抢修改项目）。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工程量详见预算书。 </w:t>
      </w:r>
    </w:p>
    <w:p w14:paraId="23A5EF51">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）协助</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做好养护技术档案和信息管理系统的建立、整理、归档工作。</w:t>
      </w:r>
    </w:p>
    <w:p w14:paraId="0CC648AB">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二、具体养护范围及养护数量：玉环城区范围内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BEE371D">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三、养护期限：</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本工程完成的工程价款达到</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预算金额或</w:t>
      </w:r>
      <w:r>
        <w:rPr>
          <w:rFonts w:hint="eastAsia" w:ascii="宋体" w:hAnsi="宋体" w:cs="宋体"/>
          <w:b/>
          <w:bCs/>
          <w:color w:val="000000" w:themeColor="text1"/>
          <w:spacing w:val="-6"/>
          <w:sz w:val="24"/>
          <w:szCs w:val="24"/>
          <w:highlight w:val="none"/>
          <w:u w:val="single"/>
          <w:lang w:val="en-US" w:eastAsia="zh-CN"/>
          <w14:textFill>
            <w14:solidFill>
              <w14:schemeClr w14:val="tx1"/>
            </w14:solidFill>
          </w14:textFill>
        </w:rPr>
        <w:t>合同签订日起一年</w:t>
      </w:r>
      <w:r>
        <w:rPr>
          <w:rFonts w:hint="eastAsia" w:ascii="宋体" w:hAnsi="宋体" w:eastAsia="宋体" w:cs="宋体"/>
          <w:b/>
          <w:bCs/>
          <w:color w:val="000000" w:themeColor="text1"/>
          <w:sz w:val="24"/>
          <w:szCs w:val="24"/>
          <w:highlight w:val="none"/>
          <w:u w:val="single"/>
          <w14:textFill>
            <w14:solidFill>
              <w14:schemeClr w14:val="tx1"/>
            </w14:solidFill>
          </w14:textFill>
        </w:rPr>
        <w:t>。</w:t>
      </w:r>
    </w:p>
    <w:p w14:paraId="0016F62B">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四、项目概况：</w:t>
      </w:r>
      <w:r>
        <w:rPr>
          <w:rFonts w:hint="eastAsia" w:ascii="宋体" w:hAnsi="宋体" w:eastAsia="宋体" w:cs="宋体"/>
          <w:b w:val="0"/>
          <w:bCs w:val="0"/>
          <w:color w:val="000000" w:themeColor="text1"/>
          <w:sz w:val="24"/>
          <w:szCs w:val="24"/>
          <w:highlight w:val="none"/>
          <w:u w:val="none"/>
          <w14:textFill>
            <w14:solidFill>
              <w14:schemeClr w14:val="tx1"/>
            </w14:solidFill>
          </w14:textFill>
        </w:rPr>
        <w:t>玉环市玉城、坎门、大麦屿街道市政道路和桥梁日常养护工程（第二期）于</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2024年9月招标，中标供应商于</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服务</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到期或</w:t>
      </w:r>
      <w:r>
        <w:rPr>
          <w:rFonts w:hint="eastAsia" w:ascii="宋体" w:hAnsi="宋体" w:eastAsia="宋体" w:cs="宋体"/>
          <w:b w:val="0"/>
          <w:bCs w:val="0"/>
          <w:color w:val="000000" w:themeColor="text1"/>
          <w:sz w:val="24"/>
          <w:szCs w:val="24"/>
          <w:highlight w:val="none"/>
          <w:u w:val="none"/>
          <w14:textFill>
            <w14:solidFill>
              <w14:schemeClr w14:val="tx1"/>
            </w14:solidFill>
          </w14:textFill>
        </w:rPr>
        <w:t>预算价</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截止</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合同终止。</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故本项目招标后，最终的开工时间以采购人发放的开工令为准。</w:t>
      </w:r>
    </w:p>
    <w:p w14:paraId="66999001">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、项目管理：</w:t>
      </w:r>
    </w:p>
    <w:p w14:paraId="41C001DD">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必须按相关要求制定安全文明施工管理制度，施工期间严格按照要求做好安全文明施工工作。</w:t>
      </w:r>
    </w:p>
    <w:p w14:paraId="5F19251D">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）建筑垃圾应及时清理，如发现未及时清理的，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有权做出相应处罚。建筑垃圾未清理的，相应围挡不得拆除。</w:t>
      </w:r>
    </w:p>
    <w:p w14:paraId="12263F04">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提出要进行整改修复的工程，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应按规定时间完成，未能按时完成的，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有权委托其他单位进行实施，费用在合同费用中扣除。</w:t>
      </w:r>
    </w:p>
    <w:p w14:paraId="160238D3">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应与工程同步形成、积累、整理及保管工程进度、隐蔽工程、障碍物拆除以及所有影响工程的记录资料并整理归档提交</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，以备查阅。</w:t>
      </w:r>
    </w:p>
    <w:p w14:paraId="6A309406">
      <w:pPr>
        <w:pStyle w:val="20"/>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本项目需要本地化的售后服务机构作为履约保障，供应商应当在成交公示后十五个工作日内在本地设立售后服务机构（以营业执照为准），否则视为放弃成交资格，由排名次之的成交候选供应商替补，以此类推。</w:t>
      </w:r>
    </w:p>
    <w:p w14:paraId="5927DE3F">
      <w:pPr>
        <w:pStyle w:val="20"/>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default"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（6）主要材料：就地热再生沥青。施工主要用就地热再生沥青，如特殊情况，需采购人同意允许采用其他材料。</w:t>
      </w:r>
    </w:p>
    <w:p w14:paraId="6A31D74A">
      <w:pPr>
        <w:pStyle w:val="20"/>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（7）▲主要施工机械设备：移动式沥青再生搅拌机。该设备为本项目施工过程中主要设备，供应商投标文件中须提供购买发票或者设备租赁合同，未提供有效证明材料的，该供应商按无效报价处理。</w:t>
      </w:r>
    </w:p>
    <w:p w14:paraId="24FEABDB">
      <w:pPr>
        <w:pStyle w:val="20"/>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（8）▲特别说明（考核办法）：</w:t>
      </w:r>
    </w:p>
    <w:p w14:paraId="41ACA8FC">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1）承包人急件单（完成时间按采购人要求）延迟处理的，每项扣除1500元。</w:t>
      </w:r>
    </w:p>
    <w:p w14:paraId="164A21C7">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2）承包人非急件单（不标注急件的单</w:t>
      </w: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完成时间按采购人要求）延迟处理的，每项扣除500元。</w:t>
      </w:r>
    </w:p>
    <w:p w14:paraId="1B535733">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3）每季度至少完成派单总数的95%，整数四舍五入，每单按500扣除。</w:t>
      </w:r>
    </w:p>
    <w:p w14:paraId="799C5505">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、响应时间：</w:t>
      </w:r>
    </w:p>
    <w:p w14:paraId="7B813F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项目承接响应时间：</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成交供应商</w:t>
      </w:r>
      <w:r>
        <w:rPr>
          <w:rFonts w:hint="eastAsia" w:ascii="宋体" w:hAnsi="宋体" w:eastAsia="宋体" w:cs="宋体"/>
          <w:b/>
          <w:bCs/>
          <w:color w:val="000000" w:themeColor="text1"/>
          <w:sz w:val="24"/>
          <w:szCs w:val="24"/>
          <w:highlight w:val="none"/>
          <w:u w:val="single"/>
          <w14:textFill>
            <w14:solidFill>
              <w14:schemeClr w14:val="tx1"/>
            </w14:solidFill>
          </w14:textFill>
        </w:rPr>
        <w:t>接到项目实施单位通知后，10分钟内必须响应，6小时内人员到达指定地点，24小时内施工机械到达施工现场。</w:t>
      </w:r>
    </w:p>
    <w:p w14:paraId="34B3E8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single"/>
          <w14:textFill>
            <w14:solidFill>
              <w14:schemeClr w14:val="tx1"/>
            </w14:solidFill>
          </w14:textFill>
        </w:rPr>
        <w:t>须提供2个企业主要负责人24小时开机的联系方式（手机号码），确保及时响应。</w:t>
      </w:r>
    </w:p>
    <w:p w14:paraId="56D0EAA9">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、结算方式：</w:t>
      </w:r>
      <w:bookmarkStart w:id="594" w:name="_GoBack"/>
      <w:bookmarkEnd w:id="594"/>
    </w:p>
    <w:p w14:paraId="10AC746B">
      <w:pPr>
        <w:pStyle w:val="11"/>
        <w:keepNext w:val="0"/>
        <w:keepLines w:val="0"/>
        <w:pageBreakBefore w:val="0"/>
        <w:widowControl w:val="0"/>
        <w:tabs>
          <w:tab w:val="left" w:pos="574"/>
        </w:tabs>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合同签订前，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u w:val="none"/>
          <w14:textFill>
            <w14:solidFill>
              <w14:schemeClr w14:val="tx1"/>
            </w14:solidFill>
          </w14:textFill>
        </w:rPr>
        <w:t>需支付履约保证金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成交金额</w:t>
      </w:r>
      <w:r>
        <w:rPr>
          <w:rFonts w:hint="eastAsia" w:ascii="宋体" w:hAnsi="宋体" w:cs="宋体"/>
          <w:color w:val="000000" w:themeColor="text1"/>
          <w:sz w:val="24"/>
          <w:szCs w:val="24"/>
          <w:highlight w:val="none"/>
          <w:u w:val="none"/>
          <w:lang w:val="en-US" w:eastAsia="zh-CN"/>
          <w14:textFill>
            <w14:solidFill>
              <w14:schemeClr w14:val="tx1"/>
            </w14:solidFill>
          </w14:textFill>
        </w:rPr>
        <w:t>叁万伍仟元</w:t>
      </w:r>
      <w:r>
        <w:rPr>
          <w:rFonts w:hint="eastAsia" w:ascii="宋体" w:hAnsi="宋体" w:eastAsia="宋体" w:cs="宋体"/>
          <w:color w:val="000000" w:themeColor="text1"/>
          <w:sz w:val="24"/>
          <w:szCs w:val="24"/>
          <w:highlight w:val="none"/>
          <w:u w:val="none"/>
          <w14:textFill>
            <w14:solidFill>
              <w14:schemeClr w14:val="tx1"/>
            </w14:solidFill>
          </w14:textFill>
        </w:rPr>
        <w:t>至</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u w:val="none"/>
          <w14:textFill>
            <w14:solidFill>
              <w14:schemeClr w14:val="tx1"/>
            </w14:solidFill>
          </w14:textFill>
        </w:rPr>
        <w:t>账户。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服务期结束后，根据考核办法，采购人退还履约保证金。</w:t>
      </w:r>
    </w:p>
    <w:p w14:paraId="07E78324">
      <w:pPr>
        <w:pStyle w:val="27"/>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基准：按政府有关部门的审核结算为准（或委托中介机构进行审核）。</w:t>
      </w:r>
    </w:p>
    <w:p w14:paraId="2AEFA83E">
      <w:pPr>
        <w:pStyle w:val="27"/>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工程结算：按政府有关部门的审核结算为准（或委托中介机构进行审核）*成交折扣率。</w:t>
      </w:r>
    </w:p>
    <w:p w14:paraId="6A806320">
      <w:pPr>
        <w:pStyle w:val="11"/>
        <w:keepNext w:val="0"/>
        <w:keepLines w:val="0"/>
        <w:pageBreakBefore w:val="0"/>
        <w:widowControl w:val="0"/>
        <w:tabs>
          <w:tab w:val="left" w:pos="574"/>
        </w:tabs>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合同生效以及具备实施条件后，成交供应商须提供正式的税务发票并凭税务发票付款，采购人根据资金落实情况，按季度支付，按工程量结算。</w:t>
      </w:r>
    </w:p>
    <w:p w14:paraId="16E6B9E7">
      <w:pPr>
        <w:pStyle w:val="11"/>
        <w:keepNext w:val="0"/>
        <w:keepLines w:val="0"/>
        <w:pageBreakBefore w:val="0"/>
        <w:widowControl w:val="0"/>
        <w:tabs>
          <w:tab w:val="left" w:pos="574"/>
        </w:tabs>
        <w:kinsoku/>
        <w:wordWrap/>
        <w:overflowPunct/>
        <w:topLinePunct w:val="0"/>
        <w:autoSpaceDE/>
        <w:autoSpaceDN/>
        <w:bidi w:val="0"/>
        <w:adjustRightInd/>
        <w:snapToGrid/>
        <w:spacing w:line="400" w:lineRule="exact"/>
        <w:ind w:left="-420" w:leftChars="-200" w:right="-420" w:rightChars="-200" w:firstLine="561" w:firstLineChars="233"/>
        <w:textAlignment w:val="auto"/>
        <w:rPr>
          <w:rFonts w:hint="default"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向</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支付当季工程量价款的80%工程价款</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发包人按审定的最终结算工程款完成对承包人的付款。其余按通用合同条款</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w:t>
      </w:r>
    </w:p>
    <w:p w14:paraId="57A80CBC">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本工程完成的工程价款达到</w:t>
      </w:r>
      <w:r>
        <w:rPr>
          <w:rFonts w:hint="eastAsia" w:ascii="宋体" w:hAnsi="宋体" w:cs="宋体"/>
          <w:color w:val="000000" w:themeColor="text1"/>
          <w:sz w:val="24"/>
          <w:szCs w:val="24"/>
          <w:highlight w:val="none"/>
          <w:lang w:val="en-US" w:eastAsia="zh-CN"/>
          <w14:textFill>
            <w14:solidFill>
              <w14:schemeClr w14:val="tx1"/>
            </w14:solidFill>
          </w14:textFill>
        </w:rPr>
        <w:t>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或服务期截止，须停止施工承包人不得再承接新的零星修复，根据已完成的工程量报相关部门审核（或有资质的中介机构审核）。</w:t>
      </w:r>
    </w:p>
    <w:p w14:paraId="41EC7DDE">
      <w:pPr>
        <w:pStyle w:val="11"/>
        <w:keepNext w:val="0"/>
        <w:keepLines w:val="0"/>
        <w:pageBreakBefore w:val="0"/>
        <w:widowControl w:val="0"/>
        <w:tabs>
          <w:tab w:val="left" w:pos="574"/>
        </w:tabs>
        <w:kinsoku/>
        <w:wordWrap/>
        <w:overflowPunct/>
        <w:topLinePunct w:val="0"/>
        <w:autoSpaceDE/>
        <w:autoSpaceDN/>
        <w:bidi w:val="0"/>
        <w:adjustRightInd/>
        <w:snapToGrid/>
        <w:spacing w:line="400" w:lineRule="exact"/>
        <w:ind w:left="-420" w:leftChars="-200" w:right="-420" w:rightChars="-200" w:firstLine="559" w:firstLineChars="233"/>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、本次采购的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不得将承接的项目转包给其他投标人或个人，一经检查发现或书面举报经查实后，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有权终止该投标人的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资格，并对其做出处罚。</w:t>
      </w:r>
    </w:p>
    <w:p w14:paraId="6EE13DE5">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0792CCE8">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59441D4C">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5C516939">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2A95D449">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3DD55204">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126D772D">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70981590">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48013E07">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785BBE09">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14:paraId="32ECAF9F">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t>第四章  政府采购合同主要条款指引</w:t>
      </w:r>
    </w:p>
    <w:p w14:paraId="0B897B9C">
      <w:pPr>
        <w:widowControl/>
        <w:shd w:val="clear" w:color="auto" w:fill="FFFFFF"/>
        <w:spacing w:after="150" w:line="40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以下为成交后签定本项目合同的通用条款，成交供应商不得提出实质性的修改，关于专用条款将由采购人与成交供应商结合本项目具体情况协商后签订。（仅供参考）</w:t>
      </w:r>
    </w:p>
    <w:p w14:paraId="61FD5C1A">
      <w:pPr>
        <w:pStyle w:val="2"/>
        <w:rPr>
          <w:rFonts w:hint="eastAsia" w:ascii="宋体" w:hAnsi="Times New Roman" w:eastAsia="宋体" w:cs="Times New Roman"/>
          <w:b/>
          <w:color w:val="000000" w:themeColor="text1"/>
          <w:kern w:val="0"/>
          <w:sz w:val="36"/>
          <w:szCs w:val="24"/>
          <w:highlight w:val="none"/>
          <w:lang w:val="en-US" w:eastAsia="zh-CN" w:bidi="ar-SA"/>
          <w14:textFill>
            <w14:solidFill>
              <w14:schemeClr w14:val="tx1"/>
            </w14:solidFill>
          </w14:textFill>
        </w:rPr>
      </w:pPr>
      <w:bookmarkStart w:id="38" w:name="_Toc52251986"/>
      <w:bookmarkStart w:id="39" w:name="_Toc16015453"/>
      <w:bookmarkStart w:id="40" w:name="_Toc100474482"/>
      <w:bookmarkStart w:id="41" w:name="_Toc136335613"/>
      <w:bookmarkStart w:id="42" w:name="_Toc107735838"/>
      <w:bookmarkStart w:id="43" w:name="_Toc103956897"/>
      <w:bookmarkStart w:id="44" w:name="_Toc103956895"/>
      <w:r>
        <w:rPr>
          <w:rFonts w:hint="eastAsia" w:ascii="宋体" w:hAnsi="Times New Roman" w:eastAsia="宋体" w:cs="Times New Roman"/>
          <w:b/>
          <w:color w:val="000000" w:themeColor="text1"/>
          <w:kern w:val="0"/>
          <w:sz w:val="36"/>
          <w:szCs w:val="24"/>
          <w:highlight w:val="none"/>
          <w:lang w:val="en-US" w:eastAsia="zh-CN" w:bidi="ar-SA"/>
          <w14:textFill>
            <w14:solidFill>
              <w14:schemeClr w14:val="tx1"/>
            </w14:solidFill>
          </w14:textFill>
        </w:rPr>
        <w:t>第一部分  协议书</w:t>
      </w:r>
      <w:bookmarkEnd w:id="38"/>
      <w:bookmarkEnd w:id="39"/>
    </w:p>
    <w:bookmarkEnd w:id="40"/>
    <w:bookmarkEnd w:id="41"/>
    <w:bookmarkEnd w:id="42"/>
    <w:bookmarkEnd w:id="43"/>
    <w:bookmarkEnd w:id="44"/>
    <w:p w14:paraId="5173FF82">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2" w:firstLineChars="200"/>
        <w:jc w:val="both"/>
        <w:textAlignment w:val="auto"/>
        <w:outlineLvl w:val="9"/>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发包人（全称）</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玉环市市政公用事业服务中心</w:t>
      </w:r>
    </w:p>
    <w:p w14:paraId="04721289">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2"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承包人（全称）</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p>
    <w:p w14:paraId="00D4E7A5">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w:t>
      </w:r>
      <w:r>
        <w:rPr>
          <w:rFonts w:hint="eastAsia" w:ascii="宋体" w:hAnsi="宋体" w:eastAsia="宋体" w:cs="宋体"/>
          <w:color w:val="000000" w:themeColor="text1"/>
          <w:sz w:val="24"/>
          <w:szCs w:val="24"/>
          <w:highlight w:val="none"/>
          <w:lang w:eastAsia="zh-CN"/>
          <w14:textFill>
            <w14:solidFill>
              <w14:schemeClr w14:val="tx1"/>
            </w14:solidFill>
          </w14:textFill>
        </w:rPr>
        <w:t>民法典</w:t>
      </w:r>
      <w:r>
        <w:rPr>
          <w:rFonts w:hint="eastAsia" w:ascii="宋体" w:hAnsi="宋体" w:eastAsia="宋体" w:cs="宋体"/>
          <w:color w:val="000000" w:themeColor="text1"/>
          <w:sz w:val="24"/>
          <w:szCs w:val="24"/>
          <w:highlight w:val="none"/>
          <w14:textFill>
            <w14:solidFill>
              <w14:schemeClr w14:val="tx1"/>
            </w14:solidFill>
          </w14:textFill>
        </w:rPr>
        <w:t>》、《中华人民共和国建筑法》及有关法律规定，遵循平等、自愿、公平和诚实信用的原则，双方就</w:t>
      </w:r>
      <w:r>
        <w:rPr>
          <w:rFonts w:hint="eastAsia" w:ascii="宋体" w:hAnsi="宋体" w:cs="宋体"/>
          <w:color w:val="000000" w:themeColor="text1"/>
          <w:sz w:val="24"/>
          <w:szCs w:val="24"/>
          <w:highlight w:val="none"/>
          <w:u w:val="single"/>
          <w:lang w:eastAsia="zh-CN"/>
          <w14:textFill>
            <w14:solidFill>
              <w14:schemeClr w14:val="tx1"/>
            </w14:solidFill>
          </w14:textFill>
        </w:rPr>
        <w:t>玉环市玉城、坎门、大麦屿街道2025-2026年度市政道路和桥梁日常养护（一期）项目</w:t>
      </w:r>
      <w:r>
        <w:rPr>
          <w:rFonts w:hint="eastAsia" w:ascii="宋体" w:hAnsi="宋体" w:eastAsia="宋体" w:cs="宋体"/>
          <w:color w:val="000000" w:themeColor="text1"/>
          <w:sz w:val="24"/>
          <w:szCs w:val="24"/>
          <w:highlight w:val="none"/>
          <w14:textFill>
            <w14:solidFill>
              <w14:schemeClr w14:val="tx1"/>
            </w14:solidFill>
          </w14:textFill>
        </w:rPr>
        <w:t>施工及有关事项协商一致，共同达成如下协议：</w:t>
      </w:r>
    </w:p>
    <w:p w14:paraId="55EAD144">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2" w:firstLineChars="200"/>
        <w:jc w:val="both"/>
        <w:textAlignment w:val="auto"/>
        <w:outlineLvl w:val="9"/>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一、工程概况</w:t>
      </w:r>
    </w:p>
    <w:p w14:paraId="43E95D3D">
      <w:pPr>
        <w:keepNext w:val="0"/>
        <w:keepLines w:val="0"/>
        <w:pageBreakBefore w:val="0"/>
        <w:widowControl w:val="0"/>
        <w:suppressLineNumbers w:val="0"/>
        <w:kinsoku/>
        <w:overflowPunct/>
        <w:topLinePunct w:val="0"/>
        <w:autoSpaceDE/>
        <w:autoSpaceDN/>
        <w:bidi w:val="0"/>
        <w:adjustRightInd/>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1.工</w:t>
      </w:r>
      <w:r>
        <w:rPr>
          <w:rFonts w:hint="eastAsia" w:ascii="宋体" w:hAnsi="宋体" w:eastAsia="宋体" w:cs="宋体"/>
          <w:bCs/>
          <w:snapToGrid w:val="0"/>
          <w:color w:val="000000" w:themeColor="text1"/>
          <w:kern w:val="2"/>
          <w:sz w:val="24"/>
          <w:szCs w:val="24"/>
          <w:highlight w:val="none"/>
          <w:lang w:val="en-US" w:eastAsia="zh-CN" w:bidi="ar"/>
          <w14:textFill>
            <w14:solidFill>
              <w14:schemeClr w14:val="tx1"/>
            </w14:solidFill>
          </w14:textFill>
        </w:rPr>
        <w:t>程名称</w:t>
      </w:r>
      <w:r>
        <w:rPr>
          <w:rFonts w:hint="eastAsia" w:ascii="宋体" w:hAnsi="宋体" w:eastAsia="宋体" w:cs="宋体"/>
          <w:snapToGrid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玉环市玉城、坎门、大麦屿街道2025-2026年度市政道路和桥梁日常养护（一期）项目</w:t>
      </w:r>
      <w:r>
        <w:rPr>
          <w:rFonts w:hint="eastAsia" w:ascii="宋体" w:hAnsi="宋体" w:eastAsia="宋体" w:cs="宋体"/>
          <w:snapToGrid w:val="0"/>
          <w:color w:val="000000" w:themeColor="text1"/>
          <w:kern w:val="2"/>
          <w:sz w:val="24"/>
          <w:szCs w:val="24"/>
          <w:highlight w:val="none"/>
          <w:lang w:val="en-US" w:eastAsia="zh-CN" w:bidi="ar"/>
          <w14:textFill>
            <w14:solidFill>
              <w14:schemeClr w14:val="tx1"/>
            </w14:solidFill>
          </w14:textFill>
        </w:rPr>
        <w:t>。</w:t>
      </w:r>
    </w:p>
    <w:p w14:paraId="4CDBAF2C">
      <w:pPr>
        <w:keepNext w:val="0"/>
        <w:keepLines w:val="0"/>
        <w:pageBreakBefore w:val="0"/>
        <w:widowControl w:val="0"/>
        <w:suppressLineNumbers w:val="0"/>
        <w:kinsoku/>
        <w:overflowPunct/>
        <w:topLinePunct w:val="0"/>
        <w:autoSpaceDE/>
        <w:autoSpaceDN/>
        <w:bidi w:val="0"/>
        <w:adjustRightInd/>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snapToGrid w:val="0"/>
          <w:color w:val="000000" w:themeColor="text1"/>
          <w:kern w:val="2"/>
          <w:sz w:val="24"/>
          <w:szCs w:val="24"/>
          <w:highlight w:val="none"/>
          <w:lang w:val="en-US" w:eastAsia="zh-CN" w:bidi="ar"/>
          <w14:textFill>
            <w14:solidFill>
              <w14:schemeClr w14:val="tx1"/>
            </w14:solidFill>
          </w14:textFill>
        </w:rPr>
        <w:t>2.工程地点：</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位于玉城、坎门、大麦屿街道 </w:t>
      </w:r>
      <w:r>
        <w:rPr>
          <w:rFonts w:hint="eastAsia" w:ascii="宋体" w:hAnsi="宋体" w:eastAsia="宋体" w:cs="宋体"/>
          <w:snapToGrid w:val="0"/>
          <w:color w:val="000000" w:themeColor="text1"/>
          <w:kern w:val="2"/>
          <w:sz w:val="24"/>
          <w:szCs w:val="24"/>
          <w:highlight w:val="none"/>
          <w:lang w:val="en-US" w:eastAsia="zh-CN" w:bidi="ar"/>
          <w14:textFill>
            <w14:solidFill>
              <w14:schemeClr w14:val="tx1"/>
            </w14:solidFill>
          </w14:textFill>
        </w:rPr>
        <w:t>。</w:t>
      </w:r>
    </w:p>
    <w:p w14:paraId="7F315424">
      <w:pPr>
        <w:keepNext w:val="0"/>
        <w:keepLines w:val="0"/>
        <w:pageBreakBefore w:val="0"/>
        <w:widowControl w:val="0"/>
        <w:suppressLineNumbers w:val="0"/>
        <w:kinsoku/>
        <w:overflowPunct/>
        <w:topLinePunct w:val="0"/>
        <w:autoSpaceDE/>
        <w:autoSpaceDN/>
        <w:bidi w:val="0"/>
        <w:adjustRightInd/>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snapToGrid w:val="0"/>
          <w:color w:val="000000" w:themeColor="text1"/>
          <w:kern w:val="2"/>
          <w:sz w:val="24"/>
          <w:szCs w:val="24"/>
          <w:highlight w:val="none"/>
          <w:lang w:val="en-US" w:eastAsia="zh-CN" w:bidi="ar"/>
          <w14:textFill>
            <w14:solidFill>
              <w14:schemeClr w14:val="tx1"/>
            </w14:solidFill>
          </w14:textFill>
        </w:rPr>
        <w:t>3.资金来源：</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自筹  </w:t>
      </w:r>
      <w:r>
        <w:rPr>
          <w:rFonts w:hint="eastAsia" w:ascii="宋体" w:hAnsi="宋体" w:eastAsia="宋体" w:cs="宋体"/>
          <w:bCs/>
          <w:snapToGrid w:val="0"/>
          <w:color w:val="000000" w:themeColor="text1"/>
          <w:kern w:val="2"/>
          <w:sz w:val="24"/>
          <w:szCs w:val="24"/>
          <w:highlight w:val="none"/>
          <w:lang w:val="en-US" w:eastAsia="zh-CN" w:bidi="ar"/>
          <w14:textFill>
            <w14:solidFill>
              <w14:schemeClr w14:val="tx1"/>
            </w14:solidFill>
          </w14:textFill>
        </w:rPr>
        <w:t>。</w:t>
      </w:r>
    </w:p>
    <w:p w14:paraId="56265169">
      <w:pPr>
        <w:keepNext w:val="0"/>
        <w:keepLines w:val="0"/>
        <w:pageBreakBefore w:val="0"/>
        <w:widowControl/>
        <w:suppressLineNumbers w:val="0"/>
        <w:kinsoku/>
        <w:overflowPunct/>
        <w:topLinePunct w:val="0"/>
        <w:bidi w:val="0"/>
        <w:snapToGrid/>
        <w:spacing w:line="380" w:lineRule="exact"/>
        <w:ind w:left="0" w:right="0"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4.工程内容：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该项目为市政道路和桥梁的日常养护和维修，结合以往的经验总结和实际养护情况，尽量能使工作内容覆盖养护需求，具体内容包括：水泥路面修复、沥青路面修复、人行道修复、侧石修复、排水管道修复、新建雨水口、雨水口井篦座及检查井盖更换、花坛修复、标线和标志牌等交通设施安装、挡车球止车柱安装等，工程量详见预算书。</w:t>
      </w:r>
    </w:p>
    <w:p w14:paraId="4ED2D0D1">
      <w:pPr>
        <w:pStyle w:val="24"/>
        <w:keepNext w:val="0"/>
        <w:keepLines w:val="0"/>
        <w:pageBreakBefore w:val="0"/>
        <w:kinsoku/>
        <w:wordWrap w:val="0"/>
        <w:overflowPunct/>
        <w:topLinePunct w:val="0"/>
        <w:autoSpaceDE/>
        <w:autoSpaceDN/>
        <w:bidi w:val="0"/>
        <w:adjustRightInd/>
        <w:snapToGrid/>
        <w:spacing w:before="0" w:beforeAutospacing="0" w:after="0" w:afterAutospacing="0" w:line="380" w:lineRule="exact"/>
        <w:ind w:left="0" w:right="0" w:firstLine="480" w:firstLineChars="200"/>
        <w:textAlignment w:val="auto"/>
        <w:outlineLvl w:val="9"/>
        <w:rPr>
          <w:rFonts w:hint="eastAsia" w:ascii="宋体" w:hAnsi="宋体" w:eastAsia="宋体" w:cs="宋体"/>
          <w:bCs/>
          <w:color w:val="000000" w:themeColor="text1"/>
          <w:sz w:val="24"/>
          <w:szCs w:val="24"/>
          <w:highlight w:val="none"/>
          <w:u w:val="singl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5.工程承包范围：</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发包人指定的所有市政道路和桥梁日常养护工程所包含的全部工程量（招标人提供的招标人预算书工程量为暂估量，工程量若有出入，按实调整）。</w:t>
      </w:r>
    </w:p>
    <w:p w14:paraId="122D6ED3">
      <w:pPr>
        <w:pStyle w:val="24"/>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80" w:lineRule="exact"/>
        <w:ind w:left="0" w:leftChars="0" w:right="0" w:firstLine="482" w:firstLineChars="200"/>
        <w:jc w:val="both"/>
        <w:textAlignment w:val="auto"/>
        <w:outlineLvl w:val="9"/>
        <w:rPr>
          <w:rFonts w:hint="eastAsia" w:ascii="宋体" w:hAnsi="宋体" w:eastAsia="宋体" w:cs="宋体"/>
          <w:color w:val="000000" w:themeColor="text1"/>
          <w:sz w:val="24"/>
          <w:szCs w:val="24"/>
          <w:highlight w:val="none"/>
          <w:u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二．合同服务期限</w:t>
      </w: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 xml:space="preserve">                                 </w:t>
      </w:r>
    </w:p>
    <w:p w14:paraId="35790DC4">
      <w:pPr>
        <w:keepNext w:val="0"/>
        <w:keepLines w:val="0"/>
        <w:pageBreakBefore w:val="0"/>
        <w:widowControl/>
        <w:kinsoku/>
        <w:wordWrap w:val="0"/>
        <w:overflowPunct/>
        <w:topLinePunct w:val="0"/>
        <w:autoSpaceDE/>
        <w:autoSpaceDN/>
        <w:bidi w:val="0"/>
        <w:adjustRightInd/>
        <w:snapToGrid/>
        <w:spacing w:line="380" w:lineRule="exact"/>
        <w:ind w:left="0" w:right="0" w:firstLine="42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1、合同服务期限：</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一年，服务期限为</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2025年</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月    日至</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2026年</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月    日止。</w:t>
      </w:r>
    </w:p>
    <w:p w14:paraId="01D2A8CE">
      <w:pPr>
        <w:keepNext w:val="0"/>
        <w:keepLines w:val="0"/>
        <w:pageBreakBefore w:val="0"/>
        <w:widowControl/>
        <w:kinsoku/>
        <w:wordWrap w:val="0"/>
        <w:overflowPunct/>
        <w:topLinePunct w:val="0"/>
        <w:autoSpaceDE/>
        <w:autoSpaceDN/>
        <w:bidi w:val="0"/>
        <w:adjustRightInd/>
        <w:snapToGrid/>
        <w:spacing w:line="380" w:lineRule="exact"/>
        <w:ind w:left="0" w:right="0" w:firstLine="720" w:firstLineChars="30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2、本工程所涉及到的发包人指定的市政道路和桥梁日常养护工程具体施工内容以发包人交办单（附件1-1）为准，</w:t>
      </w:r>
      <w:r>
        <w:rPr>
          <w:rFonts w:hint="eastAsia" w:ascii="宋体" w:hAnsi="宋体" w:eastAsia="宋体" w:cs="宋体"/>
          <w:color w:val="000000" w:themeColor="text1"/>
          <w:kern w:val="2"/>
          <w:sz w:val="24"/>
          <w:szCs w:val="24"/>
          <w:highlight w:val="none"/>
          <w:lang w:val="zh-CN" w:eastAsia="zh-CN" w:bidi="ar"/>
          <w14:textFill>
            <w14:solidFill>
              <w14:schemeClr w14:val="tx1"/>
            </w14:solidFill>
          </w14:textFill>
        </w:rPr>
        <w:t>项目须在</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交办单</w:t>
      </w:r>
      <w:r>
        <w:rPr>
          <w:rFonts w:hint="eastAsia" w:ascii="宋体" w:hAnsi="宋体" w:eastAsia="宋体" w:cs="宋体"/>
          <w:color w:val="000000" w:themeColor="text1"/>
          <w:kern w:val="2"/>
          <w:sz w:val="24"/>
          <w:szCs w:val="24"/>
          <w:highlight w:val="none"/>
          <w:lang w:val="zh-CN" w:eastAsia="zh-CN" w:bidi="ar"/>
          <w14:textFill>
            <w14:solidFill>
              <w14:schemeClr w14:val="tx1"/>
            </w14:solidFill>
          </w14:textFill>
        </w:rPr>
        <w:t>规定时间内完成施工，</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并将完成情况以《反馈确认单》（附件1-2）形式上报监理单位及建设单位确认。</w:t>
      </w:r>
    </w:p>
    <w:p w14:paraId="5A432647">
      <w:pPr>
        <w:keepNext w:val="0"/>
        <w:keepLines w:val="0"/>
        <w:pageBreakBefore w:val="0"/>
        <w:widowControl/>
        <w:kinsoku/>
        <w:wordWrap w:val="0"/>
        <w:overflowPunct/>
        <w:topLinePunct w:val="0"/>
        <w:autoSpaceDE/>
        <w:autoSpaceDN/>
        <w:bidi w:val="0"/>
        <w:adjustRightInd/>
        <w:snapToGrid/>
        <w:spacing w:line="380" w:lineRule="exact"/>
        <w:ind w:left="0" w:right="0" w:firstLine="720" w:firstLineChars="30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3、本工程完成的工程价款达到</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签约合同价</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时</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服务期截止</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，须停止施工承包人不得再承接新的零星修复，合同服务期限自动终止。</w:t>
      </w:r>
    </w:p>
    <w:p w14:paraId="7A3A86D6">
      <w:pPr>
        <w:pStyle w:val="24"/>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80" w:lineRule="exact"/>
        <w:ind w:left="0" w:leftChars="0" w:right="0" w:firstLine="482" w:firstLineChars="200"/>
        <w:jc w:val="both"/>
        <w:textAlignment w:val="auto"/>
        <w:outlineLvl w:val="9"/>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三．质量标准</w:t>
      </w:r>
    </w:p>
    <w:p w14:paraId="2F9D220A">
      <w:pPr>
        <w:keepNext w:val="0"/>
        <w:keepLines w:val="0"/>
        <w:pageBreakBefore w:val="0"/>
        <w:widowControl/>
        <w:kinsoku/>
        <w:wordWrap w:val="0"/>
        <w:overflowPunct/>
        <w:topLinePunct w:val="0"/>
        <w:autoSpaceDE/>
        <w:autoSpaceDN/>
        <w:bidi w:val="0"/>
        <w:adjustRightInd/>
        <w:snapToGrid/>
        <w:spacing w:line="380" w:lineRule="exact"/>
        <w:ind w:left="0" w:right="0" w:firstLine="420"/>
        <w:jc w:val="left"/>
        <w:textAlignment w:val="auto"/>
        <w:rPr>
          <w:rFonts w:hint="eastAsia" w:ascii="宋体" w:hAnsi="宋体" w:eastAsia="宋体" w:cs="宋体"/>
          <w:b/>
          <w:i/>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工程质量符合</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合格</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标准</w:t>
      </w:r>
      <w:r>
        <w:rPr>
          <w:rFonts w:hint="eastAsia" w:ascii="宋体" w:hAnsi="宋体" w:eastAsia="宋体" w:cs="宋体"/>
          <w:b/>
          <w:i/>
          <w:color w:val="000000" w:themeColor="text1"/>
          <w:kern w:val="2"/>
          <w:sz w:val="24"/>
          <w:szCs w:val="24"/>
          <w:highlight w:val="none"/>
          <w:lang w:val="en-US" w:eastAsia="zh-CN" w:bidi="ar"/>
          <w14:textFill>
            <w14:solidFill>
              <w14:schemeClr w14:val="tx1"/>
            </w14:solidFill>
          </w14:textFill>
        </w:rPr>
        <w:t>。</w:t>
      </w:r>
    </w:p>
    <w:p w14:paraId="2FEF9CB8">
      <w:pPr>
        <w:pStyle w:val="24"/>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80" w:lineRule="exact"/>
        <w:ind w:left="0" w:leftChars="0" w:right="0" w:firstLine="482" w:firstLineChars="200"/>
        <w:jc w:val="both"/>
        <w:textAlignment w:val="auto"/>
        <w:outlineLvl w:val="9"/>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四．签约合同价与合同价格形式</w:t>
      </w:r>
    </w:p>
    <w:p w14:paraId="63C2F6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1.签约合同价为：</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折扣率</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宋体"/>
          <w:b w:val="0"/>
          <w:bCs w:val="0"/>
          <w:color w:val="000000" w:themeColor="text1"/>
          <w:kern w:val="2"/>
          <w:sz w:val="24"/>
          <w:szCs w:val="24"/>
          <w:highlight w:val="none"/>
          <w:u w:val="single"/>
          <w:lang w:val="en-US" w:eastAsia="zh-CN" w:bidi="ar"/>
          <w14:textFill>
            <w14:solidFill>
              <w14:schemeClr w14:val="tx1"/>
            </w14:solidFill>
          </w14:textFill>
        </w:rPr>
        <w:t>百分之</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w:t>
      </w:r>
    </w:p>
    <w:p w14:paraId="6D5BCE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80" w:lineRule="exact"/>
        <w:ind w:left="0" w:right="0" w:rightChars="0" w:firstLine="480" w:firstLineChars="200"/>
        <w:jc w:val="both"/>
        <w:textAlignment w:val="auto"/>
        <w:outlineLvl w:val="9"/>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2.合同价格形式：</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单价合同 </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w:t>
      </w:r>
    </w:p>
    <w:p w14:paraId="2448EE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right="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3.发包人向承包人支付工程价款及其他应当支付的款项均须汇入承包人合同协议书中的银行账户。</w:t>
      </w:r>
    </w:p>
    <w:p w14:paraId="270E5EF9">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textAlignment w:val="auto"/>
        <w:rPr>
          <w:rFonts w:hint="eastAsia" w:ascii="宋体" w:hAnsi="宋体" w:eastAsia="宋体" w:cs="宋体"/>
          <w:b w:val="0"/>
          <w:bCs w:val="0"/>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4.履约保证金：叁万伍仟元。服务期结束后，根据考核办法，发包人退还履约保证金。</w:t>
      </w:r>
    </w:p>
    <w:p w14:paraId="38E00F28">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FFFFFF"/>
          <w14:textFill>
            <w14:solidFill>
              <w14:schemeClr w14:val="tx1"/>
            </w14:solidFill>
          </w14:textFill>
        </w:rPr>
        <w:t>承包人完成本合同项下应税行为的计税方式按</w:t>
      </w:r>
      <w:r>
        <w:rPr>
          <w:rFonts w:hint="eastAsia" w:ascii="宋体" w:hAnsi="宋体" w:eastAsia="宋体" w:cs="宋体"/>
          <w:b w:val="0"/>
          <w:bCs w:val="0"/>
          <w:color w:val="000000" w:themeColor="text1"/>
          <w:sz w:val="24"/>
          <w:szCs w:val="24"/>
          <w:highlight w:val="none"/>
          <w14:textFill>
            <w14:solidFill>
              <w14:schemeClr w14:val="tx1"/>
            </w14:solidFill>
          </w14:textFill>
        </w:rPr>
        <w:t>以下第</w:t>
      </w:r>
      <w:r>
        <w:rPr>
          <w:rFonts w:hint="eastAsia" w:ascii="宋体" w:hAnsi="宋体" w:eastAsia="宋体" w:cs="宋体"/>
          <w:b w:val="0"/>
          <w:bCs w:val="0"/>
          <w:color w:val="000000" w:themeColor="text1"/>
          <w:sz w:val="24"/>
          <w:szCs w:val="24"/>
          <w:highlight w:val="none"/>
          <w:u w:val="single"/>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shd w:val="clear" w:color="auto" w:fill="FFFFFF"/>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u w:val="single"/>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FFFFFF"/>
          <w14:textFill>
            <w14:solidFill>
              <w14:schemeClr w14:val="tx1"/>
            </w14:solidFill>
          </w14:textFill>
        </w:rPr>
        <w:t>种方法，并与</w:t>
      </w:r>
      <w:r>
        <w:rPr>
          <w:rFonts w:hint="eastAsia" w:ascii="宋体" w:hAnsi="宋体" w:eastAsia="宋体" w:cs="宋体"/>
          <w:b w:val="0"/>
          <w:bCs w:val="0"/>
          <w:color w:val="000000" w:themeColor="text1"/>
          <w:sz w:val="24"/>
          <w:szCs w:val="24"/>
          <w:highlight w:val="none"/>
          <w14:textFill>
            <w14:solidFill>
              <w14:schemeClr w14:val="tx1"/>
            </w14:solidFill>
          </w14:textFill>
        </w:rPr>
        <w:t>工程计价时采用的计税方法一致。</w:t>
      </w:r>
    </w:p>
    <w:p w14:paraId="0B6FAAAF">
      <w:pPr>
        <w:keepNext w:val="0"/>
        <w:keepLines w:val="0"/>
        <w:pageBreakBefore w:val="0"/>
        <w:widowControl w:val="0"/>
        <w:kinsoku/>
        <w:wordWrap/>
        <w:overflowPunct/>
        <w:topLinePunct w:val="0"/>
        <w:autoSpaceDE/>
        <w:autoSpaceDN/>
        <w:bidi w:val="0"/>
        <w:adjustRightInd/>
        <w:snapToGrid/>
        <w:spacing w:line="380" w:lineRule="exact"/>
        <w:ind w:left="0" w:right="0" w:firstLine="403" w:firstLineChars="16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（1）一般计税方法。</w:t>
      </w:r>
    </w:p>
    <w:p w14:paraId="00A69E20">
      <w:pPr>
        <w:keepNext w:val="0"/>
        <w:keepLines w:val="0"/>
        <w:pageBreakBefore w:val="0"/>
        <w:widowControl w:val="0"/>
        <w:kinsoku/>
        <w:wordWrap/>
        <w:overflowPunct/>
        <w:topLinePunct w:val="0"/>
        <w:autoSpaceDE/>
        <w:autoSpaceDN/>
        <w:bidi w:val="0"/>
        <w:adjustRightInd/>
        <w:snapToGrid/>
        <w:spacing w:line="380" w:lineRule="exact"/>
        <w:ind w:left="0" w:right="0" w:firstLine="403" w:firstLineChars="16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简易计税方法。</w:t>
      </w:r>
    </w:p>
    <w:p w14:paraId="0DF7E487">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2" w:firstLineChars="200"/>
        <w:jc w:val="both"/>
        <w:textAlignment w:val="auto"/>
        <w:outlineLvl w:val="9"/>
        <w:rPr>
          <w:rFonts w:hint="eastAsia" w:ascii="宋体" w:hAnsi="宋体" w:eastAsia="宋体" w:cs="宋体"/>
          <w:b/>
          <w:bCs w:val="0"/>
          <w:color w:val="000000" w:themeColor="text1"/>
          <w:sz w:val="24"/>
          <w:szCs w:val="24"/>
          <w:highlight w:val="none"/>
          <w:lang w:val="en-US"/>
          <w14:textFill>
            <w14:solidFill>
              <w14:schemeClr w14:val="tx1"/>
            </w14:solidFill>
          </w14:textFill>
        </w:rPr>
      </w:pPr>
      <w:bookmarkStart w:id="45" w:name="_Toc351203485"/>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五、</w:t>
      </w:r>
      <w:bookmarkEnd w:id="45"/>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项目经理</w:t>
      </w:r>
    </w:p>
    <w:p w14:paraId="7FFD93C0">
      <w:pPr>
        <w:pStyle w:val="24"/>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承包人项目经理：</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291EA32E">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 </w:t>
      </w:r>
      <w:bookmarkStart w:id="46" w:name="_Toc351203486"/>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六、合同文件构</w:t>
      </w:r>
      <w:bookmarkEnd w:id="46"/>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成</w:t>
      </w:r>
    </w:p>
    <w:p w14:paraId="397D07CA">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本协议书与下列文件一起构成合同文件：</w:t>
      </w:r>
    </w:p>
    <w:p w14:paraId="363B660E">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（1）中标通知书；</w:t>
      </w:r>
    </w:p>
    <w:p w14:paraId="439B7F0E">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（2）投标函及其附录； </w:t>
      </w:r>
    </w:p>
    <w:p w14:paraId="6E55594C">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（3）专用合同条款及其附件；</w:t>
      </w:r>
    </w:p>
    <w:p w14:paraId="4293BA41">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（4）通用合同条款；</w:t>
      </w:r>
    </w:p>
    <w:p w14:paraId="14CD85AB">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（5）技术标准和要求；</w:t>
      </w:r>
    </w:p>
    <w:p w14:paraId="6D0662B0">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left"/>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（6）图纸；（如有）</w:t>
      </w:r>
    </w:p>
    <w:p w14:paraId="6D9C1EE6">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（7）已标价工程量清单或预算书；</w:t>
      </w:r>
    </w:p>
    <w:p w14:paraId="5A1476A9">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（8）其他合同文件。</w:t>
      </w:r>
    </w:p>
    <w:p w14:paraId="64429DBF">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在合同订立及履行过程中形成的与合同有关的文件均构成合同文件组成部分。</w:t>
      </w:r>
    </w:p>
    <w:p w14:paraId="6F7BB218">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1008AE57">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2" w:firstLineChars="200"/>
        <w:jc w:val="both"/>
        <w:textAlignment w:val="auto"/>
        <w:outlineLvl w:val="9"/>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
          <w14:textFill>
            <w14:solidFill>
              <w14:schemeClr w14:val="tx1"/>
            </w14:solidFill>
          </w14:textFill>
        </w:rPr>
        <w:t xml:space="preserve"> </w:t>
      </w:r>
      <w:bookmarkStart w:id="47" w:name="_Toc351203487"/>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七、承诺</w:t>
      </w:r>
      <w:bookmarkEnd w:id="47"/>
    </w:p>
    <w:p w14:paraId="05780CB7">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bookmarkStart w:id="48" w:name="_Toc351203488"/>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1．发包人承诺按照法律规定履行项目审批手续、筹集工程建设资金并按照合同约定的期限和方式支付合同价款。</w:t>
      </w:r>
    </w:p>
    <w:p w14:paraId="499DD9F1">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732E5357">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 承包人承诺不拖欠工人工资，因拖欠工资造成的一切后果，均由承包人承担。如发生承包人恶意拖欠、克扣农民工工资或欠薪逃逸行为的，发包人有权将应拨付的工程款，先代付工人工资。</w:t>
      </w:r>
    </w:p>
    <w:p w14:paraId="7B005C72">
      <w:pPr>
        <w:keepNext w:val="0"/>
        <w:keepLines w:val="0"/>
        <w:pageBreakBefore w:val="0"/>
        <w:widowControl w:val="0"/>
        <w:suppressLineNumbers w:val="0"/>
        <w:kinsoku/>
        <w:overflowPunct/>
        <w:topLinePunct w:val="0"/>
        <w:autoSpaceDE w:val="0"/>
        <w:autoSpaceDN w:val="0"/>
        <w:bidi w:val="0"/>
        <w:adjustRightInd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4．发包人和承包人通过招投标形式签订合同的，双方理解并承诺不再就同一工程另行签订与合同实质性内容相背离的协议。</w:t>
      </w:r>
    </w:p>
    <w:p w14:paraId="1D45F903">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2"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 xml:space="preserve"> 八、词语含义</w:t>
      </w:r>
      <w:bookmarkEnd w:id="48"/>
    </w:p>
    <w:p w14:paraId="29393048">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本协议书中词语含义与第二部分通用合同条款中赋予的含义相同。</w:t>
      </w:r>
    </w:p>
    <w:p w14:paraId="573739DA">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 </w:t>
      </w:r>
      <w:bookmarkStart w:id="49" w:name="_Toc351203489"/>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九、签订时间</w:t>
      </w:r>
      <w:bookmarkEnd w:id="49"/>
    </w:p>
    <w:p w14:paraId="7FBA501B">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本合同于</w:t>
      </w:r>
      <w:r>
        <w:rPr>
          <w:rFonts w:hint="eastAsia" w:ascii="宋体" w:hAnsi="宋体" w:cs="宋体"/>
          <w:bCs/>
          <w:color w:val="000000" w:themeColor="text1"/>
          <w:kern w:val="2"/>
          <w:sz w:val="24"/>
          <w:szCs w:val="24"/>
          <w:highlight w:val="none"/>
          <w:u w:val="single"/>
          <w:lang w:val="en-US" w:eastAsia="zh-CN" w:bidi="ar"/>
          <w14:textFill>
            <w14:solidFill>
              <w14:schemeClr w14:val="tx1"/>
            </w14:solidFill>
          </w14:textFill>
        </w:rPr>
        <w:t>2025年</w:t>
      </w:r>
      <w:r>
        <w:rPr>
          <w:rFonts w:hint="eastAsia" w:ascii="宋体" w:hAnsi="宋体" w:eastAsia="宋体" w:cs="宋体"/>
          <w:bCs/>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宋体"/>
          <w:bCs/>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日签订。</w:t>
      </w:r>
    </w:p>
    <w:p w14:paraId="5ABDAF74">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 </w:t>
      </w:r>
      <w:bookmarkStart w:id="50" w:name="_Toc351203490"/>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十、签订地点</w:t>
      </w:r>
      <w:bookmarkEnd w:id="50"/>
    </w:p>
    <w:p w14:paraId="3773FF53">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本合同在</w:t>
      </w:r>
      <w:r>
        <w:rPr>
          <w:rFonts w:hint="eastAsia" w:ascii="宋体" w:hAnsi="宋体" w:eastAsia="宋体" w:cs="宋体"/>
          <w:bCs/>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玉环市市政公用事业服务中心</w:t>
      </w:r>
      <w:r>
        <w:rPr>
          <w:rFonts w:hint="eastAsia" w:ascii="宋体" w:hAnsi="宋体" w:eastAsia="宋体" w:cs="宋体"/>
          <w:bCs/>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签订。</w:t>
      </w:r>
    </w:p>
    <w:p w14:paraId="129B901A">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 </w:t>
      </w:r>
      <w:bookmarkStart w:id="51" w:name="_Toc351203491"/>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十一、补充协议</w:t>
      </w:r>
      <w:bookmarkEnd w:id="51"/>
    </w:p>
    <w:p w14:paraId="736ACA82">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合同未尽事宜，合同当事人另行签订补充协议，补充协议是合同的组成部分。</w:t>
      </w:r>
    </w:p>
    <w:p w14:paraId="0D932F7A">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 </w:t>
      </w:r>
      <w:bookmarkStart w:id="52" w:name="_Toc351203492"/>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十二、合同生效</w:t>
      </w:r>
      <w:bookmarkEnd w:id="52"/>
    </w:p>
    <w:p w14:paraId="101DFACD">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本合同自</w:t>
      </w:r>
      <w:r>
        <w:rPr>
          <w:rFonts w:hint="eastAsia" w:ascii="宋体" w:hAnsi="宋体" w:eastAsia="宋体" w:cs="宋体"/>
          <w:bCs/>
          <w:color w:val="000000" w:themeColor="text1"/>
          <w:kern w:val="2"/>
          <w:sz w:val="24"/>
          <w:szCs w:val="24"/>
          <w:highlight w:val="none"/>
          <w:u w:val="single"/>
          <w:lang w:val="en-US" w:eastAsia="zh-CN" w:bidi="ar"/>
          <w14:textFill>
            <w14:solidFill>
              <w14:schemeClr w14:val="tx1"/>
            </w14:solidFill>
          </w14:textFill>
        </w:rPr>
        <w:t>双方法定代表人或委托代理人签字或盖章，加盖公章后才生效</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w:t>
      </w:r>
      <w:bookmarkStart w:id="53" w:name="_Toc351203493"/>
    </w:p>
    <w:p w14:paraId="18177F00">
      <w:pPr>
        <w:keepNext w:val="0"/>
        <w:keepLines w:val="0"/>
        <w:pageBreakBefore w:val="0"/>
        <w:widowControl w:val="0"/>
        <w:numPr>
          <w:ilvl w:val="0"/>
          <w:numId w:val="5"/>
        </w:numPr>
        <w:suppressLineNumbers w:val="0"/>
        <w:kinsoku/>
        <w:overflowPunct/>
        <w:topLinePunct w:val="0"/>
        <w:bidi w:val="0"/>
        <w:snapToGrid/>
        <w:spacing w:beforeAutospacing="0" w:afterAutospacing="0" w:line="380" w:lineRule="exact"/>
        <w:ind w:left="0" w:leftChars="0" w:right="0" w:firstLine="0" w:firstLineChars="0"/>
        <w:jc w:val="both"/>
        <w:textAlignment w:val="auto"/>
        <w:outlineLvl w:val="9"/>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 xml:space="preserve"> </w:t>
      </w:r>
      <w:bookmarkEnd w:id="53"/>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合同份数</w:t>
      </w:r>
    </w:p>
    <w:p w14:paraId="63786BEE">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本合同一式</w:t>
      </w:r>
      <w:r>
        <w:rPr>
          <w:rFonts w:hint="eastAsia" w:ascii="宋体" w:hAnsi="宋体" w:cs="宋体"/>
          <w:bCs/>
          <w:color w:val="000000" w:themeColor="text1"/>
          <w:kern w:val="2"/>
          <w:sz w:val="24"/>
          <w:szCs w:val="24"/>
          <w:highlight w:val="none"/>
          <w:u w:val="single"/>
          <w:lang w:val="en-US" w:eastAsia="zh-CN" w:bidi="ar"/>
          <w14:textFill>
            <w14:solidFill>
              <w14:schemeClr w14:val="tx1"/>
            </w14:solidFill>
          </w14:textFill>
        </w:rPr>
        <w:t>肆</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份，均具有同等法律效力，发包人执</w:t>
      </w:r>
      <w:r>
        <w:rPr>
          <w:rFonts w:hint="eastAsia" w:ascii="宋体" w:hAnsi="宋体" w:cs="宋体"/>
          <w:bCs/>
          <w:color w:val="000000" w:themeColor="text1"/>
          <w:kern w:val="2"/>
          <w:sz w:val="24"/>
          <w:szCs w:val="24"/>
          <w:highlight w:val="none"/>
          <w:u w:val="single"/>
          <w:lang w:val="en-US" w:eastAsia="zh-CN" w:bidi="ar"/>
          <w14:textFill>
            <w14:solidFill>
              <w14:schemeClr w14:val="tx1"/>
            </w14:solidFill>
          </w14:textFill>
        </w:rPr>
        <w:t>贰</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份，承包人执</w:t>
      </w:r>
      <w:r>
        <w:rPr>
          <w:rFonts w:hint="eastAsia" w:ascii="宋体" w:hAnsi="宋体" w:cs="宋体"/>
          <w:bCs/>
          <w:color w:val="000000" w:themeColor="text1"/>
          <w:kern w:val="2"/>
          <w:sz w:val="24"/>
          <w:szCs w:val="24"/>
          <w:highlight w:val="none"/>
          <w:u w:val="single"/>
          <w:lang w:val="en-US" w:eastAsia="zh-CN" w:bidi="ar"/>
          <w14:textFill>
            <w14:solidFill>
              <w14:schemeClr w14:val="tx1"/>
            </w14:solidFill>
          </w14:textFill>
        </w:rPr>
        <w:t>贰</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份。</w:t>
      </w:r>
    </w:p>
    <w:p w14:paraId="42C77F24">
      <w:pPr>
        <w:keepNext w:val="0"/>
        <w:keepLines w:val="0"/>
        <w:pageBreakBefore w:val="0"/>
        <w:widowControl w:val="0"/>
        <w:suppressLineNumbers w:val="0"/>
        <w:kinsoku/>
        <w:overflowPunct/>
        <w:topLinePunct w:val="0"/>
        <w:bidi w:val="0"/>
        <w:snapToGrid/>
        <w:spacing w:beforeAutospacing="0" w:afterAutospacing="0" w:line="380" w:lineRule="exact"/>
        <w:ind w:left="0" w:leftChars="0" w:right="0" w:firstLine="480" w:firstLineChars="200"/>
        <w:jc w:val="both"/>
        <w:textAlignment w:val="auto"/>
        <w:outlineLvl w:val="9"/>
        <w:rPr>
          <w:rFonts w:hint="eastAsia" w:ascii="宋体" w:hAnsi="宋体" w:eastAsia="宋体" w:cs="宋体"/>
          <w:bCs/>
          <w:color w:val="000000" w:themeColor="text1"/>
          <w:sz w:val="24"/>
          <w:szCs w:val="24"/>
          <w:highlight w:val="none"/>
          <w:lang w:val="en-US"/>
          <w14:textFill>
            <w14:solidFill>
              <w14:schemeClr w14:val="tx1"/>
            </w14:solidFill>
          </w14:textFill>
        </w:rPr>
      </w:pPr>
    </w:p>
    <w:p w14:paraId="34B9FC8E">
      <w:pPr>
        <w:keepNext w:val="0"/>
        <w:keepLines w:val="0"/>
        <w:pageBreakBefore w:val="0"/>
        <w:widowControl w:val="0"/>
        <w:suppressLineNumbers w:val="0"/>
        <w:kinsoku/>
        <w:overflowPunct/>
        <w:topLinePunct w:val="0"/>
        <w:bidi w:val="0"/>
        <w:snapToGrid/>
        <w:spacing w:before="0" w:beforeAutospacing="0" w:after="0" w:afterAutospacing="0" w:line="380" w:lineRule="exact"/>
        <w:ind w:left="0" w:right="0" w:firstLine="480" w:firstLineChars="200"/>
        <w:jc w:val="both"/>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发包人：  (公章)                      承包人：  (公章)</w:t>
      </w:r>
    </w:p>
    <w:p w14:paraId="225BE2D7">
      <w:pPr>
        <w:keepNext w:val="0"/>
        <w:keepLines w:val="0"/>
        <w:pageBreakBefore w:val="0"/>
        <w:widowControl w:val="0"/>
        <w:suppressLineNumbers w:val="0"/>
        <w:kinsoku/>
        <w:overflowPunct/>
        <w:topLinePunct w:val="0"/>
        <w:bidi w:val="0"/>
        <w:snapToGrid/>
        <w:spacing w:before="0" w:beforeAutospacing="0" w:after="0" w:afterAutospacing="0" w:line="380" w:lineRule="exact"/>
        <w:ind w:left="0" w:right="0" w:firstLine="480" w:firstLineChars="200"/>
        <w:jc w:val="both"/>
        <w:textAlignment w:val="auto"/>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p>
    <w:p w14:paraId="51264CDB">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法定代表人或其委托代理人：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p>
    <w:p w14:paraId="6EAF42E0">
      <w:pPr>
        <w:keepNext w:val="0"/>
        <w:keepLines w:val="0"/>
        <w:pageBreakBefore w:val="0"/>
        <w:kinsoku/>
        <w:overflowPunct/>
        <w:topLinePunct w:val="0"/>
        <w:bidi w:val="0"/>
        <w:snapToGrid/>
        <w:spacing w:line="380" w:lineRule="exact"/>
        <w:ind w:left="0" w:right="0" w:firstLine="1200" w:firstLineChars="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签字或盖章</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签字或盖章</w:t>
      </w:r>
      <w:r>
        <w:rPr>
          <w:rFonts w:hint="eastAsia" w:ascii="宋体" w:hAnsi="宋体" w:eastAsia="宋体" w:cs="宋体"/>
          <w:color w:val="000000" w:themeColor="text1"/>
          <w:sz w:val="24"/>
          <w:szCs w:val="24"/>
          <w:highlight w:val="none"/>
          <w14:textFill>
            <w14:solidFill>
              <w14:schemeClr w14:val="tx1"/>
            </w14:solidFill>
          </w14:textFill>
        </w:rPr>
        <w:t>）</w:t>
      </w:r>
    </w:p>
    <w:p w14:paraId="185C0CD2">
      <w:pPr>
        <w:keepNext w:val="0"/>
        <w:keepLines w:val="0"/>
        <w:pageBreakBefore w:val="0"/>
        <w:tabs>
          <w:tab w:val="left" w:pos="4410"/>
        </w:tabs>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统一社会信用代码：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081BA13">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CABADBC">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7A300DF">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041C3B4">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9A614B">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A3682A5">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1923E0A">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20B0A02">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9DAA33A">
      <w:pPr>
        <w:keepNext w:val="0"/>
        <w:keepLines w:val="0"/>
        <w:pageBreakBefore w:val="0"/>
        <w:kinsoku/>
        <w:overflowPunct/>
        <w:topLinePunct w:val="0"/>
        <w:bidi w:val="0"/>
        <w:snapToGrid/>
        <w:spacing w:line="380" w:lineRule="exact"/>
        <w:ind w:left="0" w:right="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账  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49D36BB">
      <w:pPr>
        <w:keepNext w:val="0"/>
        <w:keepLines w:val="0"/>
        <w:pageBreakBefore w:val="0"/>
        <w:widowControl w:val="0"/>
        <w:suppressLineNumbers w:val="0"/>
        <w:kinsoku/>
        <w:overflowPunct/>
        <w:topLinePunct w:val="0"/>
        <w:bidi w:val="0"/>
        <w:snapToGrid/>
        <w:spacing w:before="0" w:beforeAutospacing="0" w:after="0" w:afterAutospacing="0" w:line="380" w:lineRule="exact"/>
        <w:ind w:left="0" w:right="0" w:firstLine="480" w:firstLineChars="200"/>
        <w:jc w:val="both"/>
        <w:textAlignment w:val="auto"/>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p>
    <w:p w14:paraId="0C56B717">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p>
    <w:p w14:paraId="20D74DBD">
      <w:pPr>
        <w:pStyle w:val="2"/>
        <w:widowControl/>
        <w:spacing w:line="240" w:lineRule="auto"/>
        <w:jc w:val="center"/>
        <w:rPr>
          <w:color w:val="000000" w:themeColor="text1"/>
          <w:sz w:val="36"/>
          <w:szCs w:val="36"/>
          <w:highlight w:val="none"/>
          <w:lang w:val="en-US"/>
          <w14:textFill>
            <w14:solidFill>
              <w14:schemeClr w14:val="tx1"/>
            </w14:solidFill>
          </w14:textFill>
        </w:rPr>
      </w:pPr>
      <w:bookmarkStart w:id="54" w:name="_Toc18338"/>
      <w:bookmarkStart w:id="55" w:name="_Toc25959"/>
      <w:bookmarkStart w:id="56" w:name="_Toc11966"/>
      <w:bookmarkStart w:id="57" w:name="_Toc3844"/>
      <w:bookmarkStart w:id="58" w:name="_Toc12134"/>
      <w:bookmarkStart w:id="59" w:name="_Toc64076793"/>
      <w:bookmarkStart w:id="60" w:name="_Toc9063"/>
      <w:r>
        <w:rPr>
          <w:color w:val="000000" w:themeColor="text1"/>
          <w:sz w:val="36"/>
          <w:szCs w:val="36"/>
          <w:highlight w:val="none"/>
          <w:lang w:eastAsia="zh-CN"/>
          <w14:textFill>
            <w14:solidFill>
              <w14:schemeClr w14:val="tx1"/>
            </w14:solidFill>
          </w14:textFill>
        </w:rPr>
        <w:t>第二部分　　通用条款</w:t>
      </w:r>
      <w:r>
        <w:rPr>
          <w:color w:val="000000" w:themeColor="text1"/>
          <w:sz w:val="36"/>
          <w:szCs w:val="36"/>
          <w:highlight w:val="none"/>
          <w:lang w:val="en-US"/>
          <w14:textFill>
            <w14:solidFill>
              <w14:schemeClr w14:val="tx1"/>
            </w14:solidFill>
          </w14:textFill>
        </w:rPr>
        <w:t>(</w:t>
      </w:r>
      <w:r>
        <w:rPr>
          <w:color w:val="000000" w:themeColor="text1"/>
          <w:sz w:val="36"/>
          <w:szCs w:val="36"/>
          <w:highlight w:val="none"/>
          <w:lang w:eastAsia="zh-CN"/>
          <w14:textFill>
            <w14:solidFill>
              <w14:schemeClr w14:val="tx1"/>
            </w14:solidFill>
          </w14:textFill>
        </w:rPr>
        <w:t>略</w:t>
      </w:r>
      <w:r>
        <w:rPr>
          <w:color w:val="000000" w:themeColor="text1"/>
          <w:sz w:val="36"/>
          <w:szCs w:val="36"/>
          <w:highlight w:val="none"/>
          <w:lang w:val="en-US"/>
          <w14:textFill>
            <w14:solidFill>
              <w14:schemeClr w14:val="tx1"/>
            </w14:solidFill>
          </w14:textFill>
        </w:rPr>
        <w:t>)</w:t>
      </w:r>
      <w:bookmarkEnd w:id="54"/>
      <w:bookmarkEnd w:id="55"/>
      <w:bookmarkEnd w:id="56"/>
      <w:bookmarkEnd w:id="57"/>
      <w:bookmarkEnd w:id="58"/>
      <w:bookmarkEnd w:id="59"/>
      <w:bookmarkEnd w:id="60"/>
    </w:p>
    <w:p w14:paraId="3B29C21C">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Calibri" w:eastAsia="宋体" w:cs="宋体"/>
          <w:b/>
          <w:color w:val="000000" w:themeColor="text1"/>
          <w:sz w:val="24"/>
          <w:szCs w:val="24"/>
          <w:highlight w:val="none"/>
          <w:lang w:val="en-US"/>
          <w14:textFill>
            <w14:solidFill>
              <w14:schemeClr w14:val="tx1"/>
            </w14:solidFill>
          </w14:textFill>
        </w:rPr>
      </w:pPr>
      <w:r>
        <w:rPr>
          <w:rFonts w:hint="eastAsia" w:ascii="宋体" w:hAnsi="Calibri" w:eastAsia="宋体" w:cs="宋体"/>
          <w:b/>
          <w:color w:val="000000" w:themeColor="text1"/>
          <w:kern w:val="2"/>
          <w:sz w:val="24"/>
          <w:szCs w:val="24"/>
          <w:highlight w:val="none"/>
          <w:lang w:val="en-US" w:eastAsia="zh-CN" w:bidi="ar"/>
          <w14:textFill>
            <w14:solidFill>
              <w14:schemeClr w14:val="tx1"/>
            </w14:solidFill>
          </w14:textFill>
        </w:rPr>
        <w:t>合同通用条款采用《建设工程施工合同（示范文本）》的通用条款（</w:t>
      </w:r>
      <w:r>
        <w:rPr>
          <w:rFonts w:hint="eastAsia" w:ascii="宋体" w:hAnsi="Calibri" w:cs="宋体"/>
          <w:b/>
          <w:color w:val="000000" w:themeColor="text1"/>
          <w:kern w:val="2"/>
          <w:sz w:val="24"/>
          <w:szCs w:val="24"/>
          <w:highlight w:val="none"/>
          <w:lang w:val="en-US" w:eastAsia="zh-CN" w:bidi="ar"/>
          <w14:textFill>
            <w14:solidFill>
              <w14:schemeClr w14:val="tx1"/>
            </w14:solidFill>
          </w14:textFill>
        </w:rPr>
        <w:t>GF-2017-0201</w:t>
      </w:r>
      <w:r>
        <w:rPr>
          <w:rFonts w:hint="eastAsia" w:ascii="宋体" w:hAnsi="Calibri" w:eastAsia="宋体" w:cs="宋体"/>
          <w:b/>
          <w:color w:val="000000" w:themeColor="text1"/>
          <w:kern w:val="2"/>
          <w:sz w:val="24"/>
          <w:szCs w:val="24"/>
          <w:highlight w:val="none"/>
          <w:lang w:val="en-US" w:eastAsia="zh-CN" w:bidi="ar"/>
          <w14:textFill>
            <w14:solidFill>
              <w14:schemeClr w14:val="tx1"/>
            </w14:solidFill>
          </w14:textFill>
        </w:rPr>
        <w:t>）。</w:t>
      </w:r>
    </w:p>
    <w:p w14:paraId="774E75E4">
      <w:pPr>
        <w:pStyle w:val="2"/>
        <w:keepNext/>
        <w:keepLines/>
        <w:pageBreakBefore/>
        <w:widowControl/>
        <w:kinsoku/>
        <w:wordWrap/>
        <w:overflowPunct/>
        <w:topLinePunct w:val="0"/>
        <w:autoSpaceDE/>
        <w:autoSpaceDN/>
        <w:bidi w:val="0"/>
        <w:adjustRightInd/>
        <w:snapToGrid/>
        <w:spacing w:line="240" w:lineRule="auto"/>
        <w:jc w:val="center"/>
        <w:textAlignment w:val="auto"/>
        <w:rPr>
          <w:color w:val="000000" w:themeColor="text1"/>
          <w:sz w:val="36"/>
          <w:szCs w:val="36"/>
          <w:highlight w:val="none"/>
          <w:lang w:val="en-US"/>
          <w14:textFill>
            <w14:solidFill>
              <w14:schemeClr w14:val="tx1"/>
            </w14:solidFill>
          </w14:textFill>
        </w:rPr>
      </w:pPr>
      <w:bookmarkStart w:id="61" w:name="_Toc103956896"/>
      <w:bookmarkStart w:id="62" w:name="_Toc107735839"/>
      <w:bookmarkStart w:id="63" w:name="_Toc64076794"/>
      <w:bookmarkStart w:id="64" w:name="_Toc22073"/>
      <w:bookmarkStart w:id="65" w:name="_Toc30845"/>
      <w:bookmarkStart w:id="66" w:name="_Toc32542"/>
      <w:bookmarkStart w:id="67" w:name="_Toc136335614"/>
      <w:bookmarkStart w:id="68" w:name="_Toc24452"/>
      <w:bookmarkStart w:id="69" w:name="_Toc25744"/>
      <w:bookmarkStart w:id="70" w:name="_Toc21746"/>
      <w:bookmarkStart w:id="71" w:name="_Toc100474483"/>
      <w:r>
        <w:rPr>
          <w:color w:val="000000" w:themeColor="text1"/>
          <w:sz w:val="36"/>
          <w:szCs w:val="36"/>
          <w:highlight w:val="none"/>
          <w:lang w:eastAsia="zh-CN"/>
          <w14:textFill>
            <w14:solidFill>
              <w14:schemeClr w14:val="tx1"/>
            </w14:solidFill>
          </w14:textFill>
        </w:rPr>
        <w:t>第三部分　　专用条款</w:t>
      </w:r>
      <w:bookmarkEnd w:id="61"/>
      <w:bookmarkEnd w:id="62"/>
      <w:bookmarkEnd w:id="63"/>
      <w:bookmarkEnd w:id="64"/>
      <w:bookmarkEnd w:id="65"/>
      <w:bookmarkEnd w:id="66"/>
      <w:bookmarkEnd w:id="67"/>
      <w:bookmarkEnd w:id="68"/>
      <w:bookmarkEnd w:id="69"/>
      <w:bookmarkEnd w:id="70"/>
      <w:bookmarkEnd w:id="71"/>
    </w:p>
    <w:p w14:paraId="2F81FB8B">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72" w:name="_Toc351203633"/>
      <w:r>
        <w:rPr>
          <w:rFonts w:hint="eastAsia" w:ascii="宋体" w:hAnsi="Arial" w:eastAsia="宋体" w:cs="宋体"/>
          <w:color w:val="000000" w:themeColor="text1"/>
          <w:sz w:val="21"/>
          <w:szCs w:val="21"/>
          <w:highlight w:val="none"/>
          <w:lang w:val="en-US"/>
          <w14:textFill>
            <w14:solidFill>
              <w14:schemeClr w14:val="tx1"/>
            </w14:solidFill>
          </w14:textFill>
        </w:rPr>
        <w:t>1</w:t>
      </w:r>
      <w:bookmarkStart w:id="73" w:name="_Toc296503156"/>
      <w:bookmarkStart w:id="74" w:name="_Toc296944495"/>
      <w:bookmarkStart w:id="75" w:name="_Toc297120456"/>
      <w:bookmarkStart w:id="76" w:name="_Toc296890984"/>
      <w:bookmarkStart w:id="77" w:name="_Toc296347155"/>
      <w:bookmarkStart w:id="78" w:name="_Toc297048342"/>
      <w:bookmarkStart w:id="79" w:name="_Toc296346657"/>
      <w:bookmarkStart w:id="80" w:name="_Toc292559361"/>
      <w:bookmarkStart w:id="81" w:name="_Toc296891196"/>
      <w:bookmarkStart w:id="82" w:name="_Toc292559866"/>
      <w:r>
        <w:rPr>
          <w:rFonts w:hint="eastAsia" w:ascii="宋体" w:hAnsi="Arial" w:eastAsia="宋体" w:cs="宋体"/>
          <w:color w:val="000000" w:themeColor="text1"/>
          <w:sz w:val="21"/>
          <w:szCs w:val="21"/>
          <w:highlight w:val="none"/>
          <w:lang w:val="en-US"/>
          <w14:textFill>
            <w14:solidFill>
              <w14:schemeClr w14:val="tx1"/>
            </w14:solidFill>
          </w14:textFill>
        </w:rPr>
        <w:t xml:space="preserve">. </w:t>
      </w:r>
      <w:r>
        <w:rPr>
          <w:rFonts w:hint="eastAsia" w:ascii="宋体" w:hAnsi="Arial" w:eastAsia="宋体" w:cs="宋体"/>
          <w:color w:val="000000" w:themeColor="text1"/>
          <w:sz w:val="21"/>
          <w:szCs w:val="21"/>
          <w:highlight w:val="none"/>
          <w:lang w:eastAsia="zh-CN"/>
          <w14:textFill>
            <w14:solidFill>
              <w14:schemeClr w14:val="tx1"/>
            </w14:solidFill>
          </w14:textFill>
        </w:rPr>
        <w:t>一般约定</w:t>
      </w:r>
      <w:bookmarkEnd w:id="72"/>
    </w:p>
    <w:bookmarkEnd w:id="73"/>
    <w:bookmarkEnd w:id="74"/>
    <w:bookmarkEnd w:id="75"/>
    <w:bookmarkEnd w:id="76"/>
    <w:bookmarkEnd w:id="77"/>
    <w:bookmarkEnd w:id="78"/>
    <w:bookmarkEnd w:id="79"/>
    <w:bookmarkEnd w:id="80"/>
    <w:bookmarkEnd w:id="81"/>
    <w:bookmarkEnd w:id="82"/>
    <w:p w14:paraId="06C1471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 词语定义</w:t>
      </w:r>
    </w:p>
    <w:p w14:paraId="608E8E9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1.1.1合同</w:t>
      </w:r>
    </w:p>
    <w:p w14:paraId="7E595BB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1.1.1.10其他合同文件包括：</w:t>
      </w:r>
      <w:r>
        <w:rPr>
          <w:rFonts w:hint="eastAsia" w:ascii="宋体" w:hAnsi="Calibri" w:cs="宋体"/>
          <w:color w:val="000000" w:themeColor="text1"/>
          <w:kern w:val="0"/>
          <w:szCs w:val="21"/>
          <w:highlight w:val="none"/>
          <w:u w:val="single"/>
          <w:lang w:bidi="ar"/>
          <w14:textFill>
            <w14:solidFill>
              <w14:schemeClr w14:val="tx1"/>
            </w14:solidFill>
          </w14:textFill>
        </w:rPr>
        <w:t>工程招标文件、《关于印发玉环市政府投资项目工程变更管理办法的通知》（玉政办发[2018]39号）文件、已标价工程量清单或预算书外的其它投标文件。</w:t>
      </w:r>
    </w:p>
    <w:p w14:paraId="5FDDE58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1.1.2 合同当事人及其他相关方</w:t>
      </w:r>
    </w:p>
    <w:p w14:paraId="6850DD1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1.1.2.4监理人：</w:t>
      </w:r>
    </w:p>
    <w:p w14:paraId="27FDA5B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名    称：</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EABD7F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资质类别和等级：</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7C6B4B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联系电话：</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98E430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电子信箱：</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E0A8DF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通信地址：</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8DF22E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1.1.2.5 设计人：</w:t>
      </w:r>
    </w:p>
    <w:p w14:paraId="229013D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名    称：</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6551B0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资质类别和等级：</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D5F0F9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联系电话：</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815540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电子信箱：</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27D0A9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通信地址：</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C2E97D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1.1.3 工程和设备</w:t>
      </w:r>
    </w:p>
    <w:p w14:paraId="645EE0C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1.1.3.7 作为施工现场组成部分的其他场所包括：</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具体状况以施工过程中的现场踏勘为准。</w:t>
      </w:r>
    </w:p>
    <w:p w14:paraId="464953A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1.1.3.9 永久占地包括：</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具体状况以施工过程中的现场踏勘为准。</w:t>
      </w:r>
    </w:p>
    <w:p w14:paraId="6A8FE4A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1.1.3.10 临时占地包括：</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由承包人自行负责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22B1791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1.3法律 </w:t>
      </w:r>
    </w:p>
    <w:p w14:paraId="2D5A31B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适用于合同的其他规范性文件：</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工程所在地现行的有关工程造价方面规定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E2C7C4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 标准和规范</w:t>
      </w:r>
    </w:p>
    <w:p w14:paraId="6826654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1.4.1适用于工程的标准规范包括：</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按现行的国家、省、市施工验收规范、质量评定标准及有关规定。按合同工期内的标准、规范，招标文件中的技术要求等</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5C740B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1.4.2 发包人提供国外标准、规范的名称：</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无  ；</w:t>
      </w:r>
    </w:p>
    <w:p w14:paraId="107DCF1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发包人提供国外标准、规范的份数：</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无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3F48FF8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发包人提供国外标准、规范的名称：</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无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76BB4DD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1.4.3发包人对工程的技术标准和功能要求的特殊要求：</w:t>
      </w:r>
    </w:p>
    <w:p w14:paraId="54D5D3A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无   （国家没有相应标准、规范且不使用国外标准、规范时，按发包人和承包人商定的方案施工）</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EADC1B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1.5 合同文件的优先顺序</w:t>
      </w:r>
    </w:p>
    <w:p w14:paraId="42E43AD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合同文件组成及优先顺序为：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DAE2AE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 图纸和承包人文件</w:t>
      </w:r>
    </w:p>
    <w:p w14:paraId="46BB0929">
      <w:pPr>
        <w:keepNext w:val="0"/>
        <w:keepLines w:val="0"/>
        <w:pageBreakBefore w:val="0"/>
        <w:widowControl w:val="0"/>
        <w:suppressLineNumbers w:val="0"/>
        <w:kinsoku/>
        <w:wordWrap/>
        <w:overflowPunct/>
        <w:topLinePunct w:val="0"/>
        <w:bidi w:val="0"/>
        <w:spacing w:before="0" w:beforeAutospacing="0" w:after="0" w:afterAutospacing="0" w:line="370" w:lineRule="exact"/>
        <w:ind w:left="0" w:right="0" w:firstLine="420" w:firstLineChars="200"/>
        <w:jc w:val="both"/>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1.6.1 图纸的提供</w:t>
      </w:r>
    </w:p>
    <w:p w14:paraId="0E789E93">
      <w:pPr>
        <w:keepNext w:val="0"/>
        <w:keepLines w:val="0"/>
        <w:pageBreakBefore w:val="0"/>
        <w:widowControl w:val="0"/>
        <w:suppressLineNumbers w:val="0"/>
        <w:kinsoku/>
        <w:wordWrap/>
        <w:overflowPunct/>
        <w:topLinePunct w:val="0"/>
        <w:bidi w:val="0"/>
        <w:spacing w:before="0" w:beforeAutospacing="0" w:after="0" w:afterAutospacing="0" w:line="350" w:lineRule="exact"/>
        <w:ind w:left="0" w:right="0" w:firstLine="420" w:firstLineChars="200"/>
        <w:jc w:val="both"/>
        <w:textAlignment w:val="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发包人向承包人提供图纸的期限：</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w:t>
      </w:r>
    </w:p>
    <w:p w14:paraId="45C69FC3">
      <w:pPr>
        <w:keepNext w:val="0"/>
        <w:keepLines w:val="0"/>
        <w:pageBreakBefore w:val="0"/>
        <w:widowControl w:val="0"/>
        <w:suppressLineNumbers w:val="0"/>
        <w:kinsoku/>
        <w:wordWrap/>
        <w:overflowPunct/>
        <w:topLinePunct w:val="0"/>
        <w:bidi w:val="0"/>
        <w:spacing w:before="0" w:beforeAutospacing="0" w:after="0" w:afterAutospacing="0" w:line="350" w:lineRule="exact"/>
        <w:ind w:left="0" w:right="0" w:firstLine="420" w:firstLineChars="200"/>
        <w:jc w:val="both"/>
        <w:textAlignment w:val="auto"/>
        <w:rPr>
          <w:rFonts w:hint="eastAsia" w:ascii="宋体" w:hAnsi="宋体" w:eastAsia="宋体" w:cs="宋体"/>
          <w:color w:val="000000" w:themeColor="text1"/>
          <w:szCs w:val="21"/>
          <w:highlight w:val="none"/>
          <w:u w:val="singl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发包人向承包人提供图纸的数量：</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w:t>
      </w:r>
    </w:p>
    <w:p w14:paraId="76B3DC0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发包人向承包人提供图纸的内容：</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ab/>
      </w:r>
    </w:p>
    <w:p w14:paraId="6CFD1D5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1.6.4 承包人文件</w:t>
      </w:r>
    </w:p>
    <w:p w14:paraId="35ABD936">
      <w:pPr>
        <w:pageBreakBefore w:val="0"/>
        <w:kinsoku/>
        <w:wordWrap/>
        <w:overflowPunct/>
        <w:topLinePunct w:val="0"/>
        <w:bidi w:val="0"/>
        <w:spacing w:line="340" w:lineRule="exact"/>
        <w:ind w:firstLine="420" w:firstLineChars="200"/>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需要由承包人提供的文件，包括：</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7430A6AC">
      <w:pPr>
        <w:pageBreakBefore w:val="0"/>
        <w:kinsoku/>
        <w:wordWrap/>
        <w:overflowPunct/>
        <w:topLinePunct w:val="0"/>
        <w:bidi w:val="0"/>
        <w:spacing w:line="340" w:lineRule="exact"/>
        <w:ind w:firstLine="420" w:firstLineChars="200"/>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承包人提供的文件的期限为：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42D7B6C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承包人提供的文件的数量为：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一式三份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4FFCFD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承包人提供的文件的形式为：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纸质及电子版本；</w:t>
      </w:r>
    </w:p>
    <w:p w14:paraId="518C696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发包人审批承包人文件的期限：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收到相应文件后7天内。</w:t>
      </w:r>
    </w:p>
    <w:p w14:paraId="7556F75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1.6.5 现场图纸准备</w:t>
      </w:r>
    </w:p>
    <w:p w14:paraId="1A222D1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关于现场图纸准备的约定：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由监理人在现场保管一套完整施工图，供发包人、监理人及有关人员进行工程检查等活动时使用。</w:t>
      </w:r>
    </w:p>
    <w:p w14:paraId="6D63586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1.7 联络</w:t>
      </w:r>
    </w:p>
    <w:p w14:paraId="5EDA667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1.7.1发包人和承包人应当在</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7</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天内将与合同有关的通知、批准、证明、证书、指示、指令、要求、请求、同意、意见、确定和决定等书面函件送达对方当事人。</w:t>
      </w:r>
    </w:p>
    <w:p w14:paraId="1883C0A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left"/>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1.7.2 发包人接收文件的地点：</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发包人办公室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40A11F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u w:val="singl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发包人接收文件的电子</w:t>
      </w:r>
      <w:r>
        <w:rPr>
          <w:rFonts w:hint="eastAsia" w:hAnsi="仿宋"/>
          <w:color w:val="000000" w:themeColor="text1"/>
          <w:sz w:val="21"/>
          <w:szCs w:val="21"/>
          <w:highlight w:val="none"/>
          <w14:textFill>
            <w14:solidFill>
              <w14:schemeClr w14:val="tx1"/>
            </w14:solidFill>
          </w14:textFill>
        </w:rPr>
        <w:t>信箱</w:t>
      </w:r>
      <w:r>
        <w:rPr>
          <w:rFonts w:hint="eastAsia" w:hAnsi="仿宋"/>
          <w:color w:val="000000" w:themeColor="text1"/>
          <w:kern w:val="0"/>
          <w:sz w:val="21"/>
          <w:szCs w:val="21"/>
          <w:highlight w:val="none"/>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14:textFill>
            <w14:solidFill>
              <w14:schemeClr w14:val="tx1"/>
            </w14:solidFill>
          </w14:textFill>
        </w:rPr>
        <w:t>。</w:t>
      </w:r>
    </w:p>
    <w:p w14:paraId="72CECBC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发包人指定的接收人为：</w:t>
      </w:r>
      <w:r>
        <w:rPr>
          <w:rFonts w:hint="eastAsia" w:hAnsi="仿宋"/>
          <w:color w:val="000000" w:themeColor="text1"/>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int="eastAsia" w:hAnsi="仿宋"/>
          <w:color w:val="000000" w:themeColor="text1"/>
          <w:sz w:val="21"/>
          <w:szCs w:val="21"/>
          <w:highlight w:val="none"/>
          <w:u w:val="single"/>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注：</w:t>
      </w:r>
      <w:r>
        <w:rPr>
          <w:rFonts w:hint="eastAsia" w:hAnsi="仿宋"/>
          <w:color w:val="000000" w:themeColor="text1"/>
          <w:sz w:val="21"/>
          <w:szCs w:val="21"/>
          <w:highlight w:val="none"/>
          <w:u w:val="single"/>
          <w14:textFill>
            <w14:solidFill>
              <w14:schemeClr w14:val="tx1"/>
            </w14:solidFill>
          </w14:textFill>
        </w:rPr>
        <w:t xml:space="preserve">2人以上及联系电话）  </w:t>
      </w:r>
      <w:r>
        <w:rPr>
          <w:rFonts w:hint="eastAsia" w:hAnsi="仿宋"/>
          <w:color w:val="000000" w:themeColor="text1"/>
          <w:kern w:val="0"/>
          <w:sz w:val="21"/>
          <w:szCs w:val="21"/>
          <w:highlight w:val="none"/>
          <w14:textFill>
            <w14:solidFill>
              <w14:schemeClr w14:val="tx1"/>
            </w14:solidFill>
          </w14:textFill>
        </w:rPr>
        <w:t>。</w:t>
      </w:r>
    </w:p>
    <w:p w14:paraId="7763193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承包人接收文件的地点：</w:t>
      </w:r>
      <w:r>
        <w:rPr>
          <w:rFonts w:hint="eastAsia" w:hAnsi="仿宋"/>
          <w:color w:val="000000" w:themeColor="text1"/>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Ansi="仿宋"/>
          <w:color w:val="000000" w:themeColor="text1"/>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14:textFill>
            <w14:solidFill>
              <w14:schemeClr w14:val="tx1"/>
            </w14:solidFill>
          </w14:textFill>
        </w:rPr>
        <w:t>；</w:t>
      </w:r>
    </w:p>
    <w:p w14:paraId="2347D2C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承包人接收文件的电子</w:t>
      </w:r>
      <w:r>
        <w:rPr>
          <w:rFonts w:hint="eastAsia" w:hAnsi="仿宋"/>
          <w:color w:val="000000" w:themeColor="text1"/>
          <w:sz w:val="21"/>
          <w:szCs w:val="21"/>
          <w:highlight w:val="none"/>
          <w14:textFill>
            <w14:solidFill>
              <w14:schemeClr w14:val="tx1"/>
            </w14:solidFill>
          </w14:textFill>
        </w:rPr>
        <w:t>信箱</w:t>
      </w:r>
      <w:r>
        <w:rPr>
          <w:rFonts w:hint="eastAsia" w:hAnsi="仿宋"/>
          <w:color w:val="000000" w:themeColor="text1"/>
          <w:kern w:val="0"/>
          <w:sz w:val="21"/>
          <w:szCs w:val="21"/>
          <w:highlight w:val="none"/>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14:textFill>
            <w14:solidFill>
              <w14:schemeClr w14:val="tx1"/>
            </w14:solidFill>
          </w14:textFill>
        </w:rPr>
        <w:t>。</w:t>
      </w:r>
    </w:p>
    <w:p w14:paraId="30B3F90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承包人指定的接收人为：</w:t>
      </w:r>
      <w:r>
        <w:rPr>
          <w:rFonts w:hint="eastAsia" w:hAnsi="仿宋"/>
          <w:color w:val="000000" w:themeColor="text1"/>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int="eastAsia" w:hAnsi="仿宋"/>
          <w:color w:val="000000" w:themeColor="text1"/>
          <w:sz w:val="21"/>
          <w:szCs w:val="21"/>
          <w:highlight w:val="none"/>
          <w:u w:val="single"/>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注：</w:t>
      </w:r>
      <w:r>
        <w:rPr>
          <w:rFonts w:hint="eastAsia" w:hAnsi="仿宋"/>
          <w:color w:val="000000" w:themeColor="text1"/>
          <w:sz w:val="21"/>
          <w:szCs w:val="21"/>
          <w:highlight w:val="none"/>
          <w:u w:val="single"/>
          <w14:textFill>
            <w14:solidFill>
              <w14:schemeClr w14:val="tx1"/>
            </w14:solidFill>
          </w14:textFill>
        </w:rPr>
        <w:t>2人以上及联系电话）</w:t>
      </w:r>
      <w:r>
        <w:rPr>
          <w:rFonts w:hint="eastAsia" w:hAnsi="仿宋"/>
          <w:color w:val="000000" w:themeColor="text1"/>
          <w:kern w:val="0"/>
          <w:sz w:val="21"/>
          <w:szCs w:val="21"/>
          <w:highlight w:val="none"/>
          <w14:textFill>
            <w14:solidFill>
              <w14:schemeClr w14:val="tx1"/>
            </w14:solidFill>
          </w14:textFill>
        </w:rPr>
        <w:t>。</w:t>
      </w:r>
    </w:p>
    <w:p w14:paraId="758C932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监理人接收文件的地点：</w:t>
      </w:r>
      <w:r>
        <w:rPr>
          <w:rFonts w:hint="eastAsia" w:hAnsi="仿宋"/>
          <w:color w:val="000000" w:themeColor="text1"/>
          <w:sz w:val="21"/>
          <w:szCs w:val="21"/>
          <w:highlight w:val="none"/>
          <w:u w:val="single"/>
          <w14:textFill>
            <w14:solidFill>
              <w14:schemeClr w14:val="tx1"/>
            </w14:solidFill>
          </w14:textFill>
        </w:rPr>
        <w:t xml:space="preserve"> </w:t>
      </w:r>
      <w:r>
        <w:rPr>
          <w:rFonts w:hAnsi="仿宋"/>
          <w:color w:val="000000" w:themeColor="text1"/>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Ansi="仿宋"/>
          <w:color w:val="000000" w:themeColor="text1"/>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14:textFill>
            <w14:solidFill>
              <w14:schemeClr w14:val="tx1"/>
            </w14:solidFill>
          </w14:textFill>
        </w:rPr>
        <w:t>；</w:t>
      </w:r>
    </w:p>
    <w:p w14:paraId="62688CA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监理人接收文件的电子</w:t>
      </w:r>
      <w:r>
        <w:rPr>
          <w:rFonts w:hint="eastAsia" w:hAnsi="仿宋"/>
          <w:color w:val="000000" w:themeColor="text1"/>
          <w:sz w:val="21"/>
          <w:szCs w:val="21"/>
          <w:highlight w:val="none"/>
          <w14:textFill>
            <w14:solidFill>
              <w14:schemeClr w14:val="tx1"/>
            </w14:solidFill>
          </w14:textFill>
        </w:rPr>
        <w:t>信箱</w:t>
      </w:r>
      <w:r>
        <w:rPr>
          <w:rFonts w:hint="eastAsia" w:hAnsi="仿宋"/>
          <w:color w:val="000000" w:themeColor="text1"/>
          <w:kern w:val="0"/>
          <w:sz w:val="21"/>
          <w:szCs w:val="21"/>
          <w:highlight w:val="none"/>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14:textFill>
            <w14:solidFill>
              <w14:schemeClr w14:val="tx1"/>
            </w14:solidFill>
          </w14:textFill>
        </w:rPr>
        <w:t>。</w:t>
      </w:r>
    </w:p>
    <w:p w14:paraId="0F1E567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监理人指定的接收人为：</w:t>
      </w:r>
      <w:r>
        <w:rPr>
          <w:rFonts w:hint="eastAsia" w:hAnsi="仿宋"/>
          <w:color w:val="000000" w:themeColor="text1"/>
          <w:sz w:val="21"/>
          <w:szCs w:val="21"/>
          <w:highlight w:val="none"/>
          <w:u w:val="single"/>
          <w14:textFill>
            <w14:solidFill>
              <w14:schemeClr w14:val="tx1"/>
            </w14:solidFill>
          </w14:textFill>
        </w:rPr>
        <w:t xml:space="preserve"> </w:t>
      </w:r>
      <w:r>
        <w:rPr>
          <w:rFonts w:hAnsi="仿宋"/>
          <w:color w:val="000000" w:themeColor="text1"/>
          <w:sz w:val="21"/>
          <w:szCs w:val="21"/>
          <w:highlight w:val="none"/>
          <w:u w:val="single"/>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第一次工程例会时予以明确</w:t>
      </w:r>
      <w:r>
        <w:rPr>
          <w:rFonts w:hint="eastAsia" w:hAnsi="仿宋"/>
          <w:color w:val="000000" w:themeColor="text1"/>
          <w:sz w:val="21"/>
          <w:szCs w:val="21"/>
          <w:highlight w:val="none"/>
          <w:u w:val="single"/>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注：</w:t>
      </w:r>
      <w:r>
        <w:rPr>
          <w:rFonts w:hint="eastAsia" w:hAnsi="仿宋"/>
          <w:color w:val="000000" w:themeColor="text1"/>
          <w:sz w:val="21"/>
          <w:szCs w:val="21"/>
          <w:highlight w:val="none"/>
          <w:u w:val="single"/>
          <w14:textFill>
            <w14:solidFill>
              <w14:schemeClr w14:val="tx1"/>
            </w14:solidFill>
          </w14:textFill>
        </w:rPr>
        <w:t xml:space="preserve">2人以上及联系电话） </w:t>
      </w:r>
      <w:r>
        <w:rPr>
          <w:rFonts w:hint="eastAsia" w:hAnsi="仿宋"/>
          <w:color w:val="000000" w:themeColor="text1"/>
          <w:kern w:val="0"/>
          <w:sz w:val="21"/>
          <w:szCs w:val="21"/>
          <w:highlight w:val="none"/>
          <w14:textFill>
            <w14:solidFill>
              <w14:schemeClr w14:val="tx1"/>
            </w14:solidFill>
          </w14:textFill>
        </w:rPr>
        <w:t>。</w:t>
      </w:r>
    </w:p>
    <w:p w14:paraId="3B9C0C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000000" w:themeColor="text1"/>
          <w:highlight w:val="none"/>
          <w:lang w:val="en-US"/>
          <w14:textFill>
            <w14:solidFill>
              <w14:schemeClr w14:val="tx1"/>
            </w14:solidFill>
          </w14:textFill>
        </w:rPr>
      </w:pPr>
      <w:r>
        <w:rPr>
          <w:rFonts w:hint="eastAsia" w:hAnsi="仿宋"/>
          <w:color w:val="000000" w:themeColor="text1"/>
          <w:kern w:val="0"/>
          <w:sz w:val="21"/>
          <w:szCs w:val="21"/>
          <w:highlight w:val="none"/>
          <w:u w:val="single"/>
          <w14:textFill>
            <w14:solidFill>
              <w14:schemeClr w14:val="tx1"/>
            </w14:solidFill>
          </w14:textFill>
        </w:rPr>
        <w:t>发包人、承包人、监理人的文件接收地址、接收人（含联系电话）发生变动的，应提前3天通知各方。</w:t>
      </w:r>
    </w:p>
    <w:p w14:paraId="136F978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1.10 交通运输</w:t>
      </w:r>
    </w:p>
    <w:p w14:paraId="7A01EFA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w:t>
      </w:r>
      <w:bookmarkStart w:id="83" w:name="_Toc312677986"/>
      <w:bookmarkStart w:id="84" w:name="_Toc300934943"/>
      <w:bookmarkStart w:id="85" w:name="_Toc318581155"/>
      <w:bookmarkStart w:id="86" w:name="_Toc303539100"/>
      <w:bookmarkStart w:id="87" w:name="_Toc304295521"/>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.10.1 出入现场的权利</w:t>
      </w:r>
    </w:p>
    <w:p w14:paraId="2349936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关于出入现场的权利的约定：</w:t>
      </w: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按通用合同条款，可视工程实际双方再补充约定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83"/>
    <w:bookmarkEnd w:id="84"/>
    <w:bookmarkEnd w:id="85"/>
    <w:bookmarkEnd w:id="86"/>
    <w:bookmarkEnd w:id="87"/>
    <w:p w14:paraId="188800F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w:t>
      </w:r>
      <w:bookmarkStart w:id="88" w:name="_Toc304295522"/>
      <w:bookmarkStart w:id="89" w:name="_Toc303539101"/>
      <w:bookmarkStart w:id="90" w:name="_Toc312677987"/>
      <w:bookmarkStart w:id="91" w:name="_Toc318581156"/>
      <w:bookmarkStart w:id="92" w:name="_Toc300934944"/>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.10.3 场内交通</w:t>
      </w:r>
    </w:p>
    <w:p w14:paraId="7178E7B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关于场外交通和场内交通的边界的约定：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具体状况以</w:t>
      </w: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在施工过程中</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的现场踏勘为准</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1B57FAF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left"/>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发包人提供的场内交通条件为现状，承包人自行组织现场踏勘</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bookmarkEnd w:id="88"/>
      <w:bookmarkEnd w:id="89"/>
      <w:bookmarkEnd w:id="90"/>
      <w:bookmarkEnd w:id="91"/>
      <w:bookmarkEnd w:id="92"/>
      <w:bookmarkStart w:id="93" w:name="_Toc318581157"/>
    </w:p>
    <w:p w14:paraId="097BDC2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1.10.4超大件和超重件的运输</w:t>
      </w:r>
    </w:p>
    <w:p w14:paraId="6982BD0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运输超大件或超重件所需的道路和桥梁临时加固改造费用和其他有关费用由</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具体状况以在施工过程中的现场踏勘为准，由承包人报价包干</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承担。</w:t>
      </w:r>
    </w:p>
    <w:bookmarkEnd w:id="93"/>
    <w:p w14:paraId="385D0B0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1.11 知识产权</w:t>
      </w:r>
    </w:p>
    <w:p w14:paraId="754B472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按合同通用条款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1D266C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关于发包人提供的上述文件的使用限制的要求：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按合同通用条款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3EAFB6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1.11.2 关于承包人为实施工程所编制文件的著作权的归属：</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发包人</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ECCE21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关于承包人提供的上述文件的使用限制的要求：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01B455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1.11.4 承包人在施工过程中所采用的专利、专有技术、技术秘密的使用费的承担方式：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包含在签约合同价内</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5B2BD557">
      <w:pPr>
        <w:keepNext w:val="0"/>
        <w:keepLines w:val="0"/>
        <w:pageBreakBefore w:val="0"/>
        <w:widowControl w:val="0"/>
        <w:suppressLineNumbers w:val="0"/>
        <w:kinsoku/>
        <w:wordWrap/>
        <w:overflowPunct/>
        <w:topLinePunct w:val="0"/>
        <w:bidi w:val="0"/>
        <w:spacing w:before="0" w:beforeAutospacing="0" w:after="0" w:afterAutospacing="0" w:line="370" w:lineRule="exact"/>
        <w:ind w:left="0" w:right="0" w:firstLine="420" w:firstLineChars="200"/>
        <w:jc w:val="both"/>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1.13工程量清单错误的修正</w:t>
      </w:r>
    </w:p>
    <w:p w14:paraId="5B1D353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本工程按定额计价不涉及工程量清单相关规则</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28E2316C">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94" w:name="_Toc351203634"/>
      <w:r>
        <w:rPr>
          <w:rFonts w:hint="eastAsia" w:ascii="宋体" w:hAnsi="Arial" w:eastAsia="宋体" w:cs="宋体"/>
          <w:color w:val="000000" w:themeColor="text1"/>
          <w:sz w:val="21"/>
          <w:szCs w:val="21"/>
          <w:highlight w:val="none"/>
          <w:lang w:val="en-US"/>
          <w14:textFill>
            <w14:solidFill>
              <w14:schemeClr w14:val="tx1"/>
            </w14:solidFill>
          </w14:textFill>
        </w:rPr>
        <w:t>2</w:t>
      </w:r>
      <w:bookmarkStart w:id="95" w:name="_Toc292559867"/>
      <w:bookmarkStart w:id="96" w:name="_Toc296503157"/>
      <w:bookmarkStart w:id="97" w:name="_Toc292559362"/>
      <w:bookmarkStart w:id="98" w:name="_Toc296891197"/>
      <w:bookmarkStart w:id="99" w:name="_Toc297120457"/>
      <w:bookmarkStart w:id="100" w:name="_Toc296346658"/>
      <w:bookmarkStart w:id="101" w:name="_Toc296890985"/>
      <w:bookmarkStart w:id="102" w:name="_Toc297048343"/>
      <w:bookmarkStart w:id="103" w:name="_Toc296944496"/>
      <w:bookmarkStart w:id="104" w:name="_Toc296347156"/>
      <w:r>
        <w:rPr>
          <w:rFonts w:hint="eastAsia" w:ascii="宋体" w:hAnsi="Arial" w:eastAsia="宋体" w:cs="宋体"/>
          <w:color w:val="000000" w:themeColor="text1"/>
          <w:sz w:val="21"/>
          <w:szCs w:val="21"/>
          <w:highlight w:val="none"/>
          <w:lang w:val="en-US"/>
          <w14:textFill>
            <w14:solidFill>
              <w14:schemeClr w14:val="tx1"/>
            </w14:solidFill>
          </w14:textFill>
        </w:rPr>
        <w:t xml:space="preserve">. </w:t>
      </w:r>
      <w:r>
        <w:rPr>
          <w:rFonts w:hint="eastAsia" w:ascii="宋体" w:hAnsi="Arial" w:eastAsia="宋体" w:cs="宋体"/>
          <w:color w:val="000000" w:themeColor="text1"/>
          <w:sz w:val="21"/>
          <w:szCs w:val="21"/>
          <w:highlight w:val="none"/>
          <w:lang w:eastAsia="zh-CN"/>
          <w14:textFill>
            <w14:solidFill>
              <w14:schemeClr w14:val="tx1"/>
            </w14:solidFill>
          </w14:textFill>
        </w:rPr>
        <w:t>发包人</w:t>
      </w:r>
      <w:bookmarkEnd w:id="94"/>
    </w:p>
    <w:bookmarkEnd w:id="95"/>
    <w:bookmarkEnd w:id="96"/>
    <w:bookmarkEnd w:id="97"/>
    <w:bookmarkEnd w:id="98"/>
    <w:bookmarkEnd w:id="99"/>
    <w:bookmarkEnd w:id="100"/>
    <w:bookmarkEnd w:id="101"/>
    <w:bookmarkEnd w:id="102"/>
    <w:bookmarkEnd w:id="103"/>
    <w:bookmarkEnd w:id="104"/>
    <w:p w14:paraId="03C52A0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2.2 发包人代表</w:t>
      </w:r>
    </w:p>
    <w:p w14:paraId="1515E1E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发包人代表：</w:t>
      </w:r>
    </w:p>
    <w:p w14:paraId="65AF32A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姓    名：</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E4CC26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身份证号：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6DB0D8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职    务：</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864469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联系电话：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E1485F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电子信箱：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587666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通信地址：</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A08C2E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Times New Roman"/>
          <w:color w:val="000000" w:themeColor="text1"/>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发包人对发包人代表的授权范围如下：</w:t>
      </w:r>
      <w:r>
        <w:rPr>
          <w:rFonts w:hint="eastAsia" w:ascii="宋体" w:hAnsi="Calibri" w:eastAsia="宋体" w:cs="Times New Roman"/>
          <w:color w:val="000000" w:themeColor="text1"/>
          <w:sz w:val="21"/>
          <w:szCs w:val="21"/>
          <w:highlight w:val="none"/>
          <w:u w:val="single"/>
          <w:lang w:val="en-US" w:eastAsia="zh-CN" w:bidi="ar"/>
          <w14:textFill>
            <w14:solidFill>
              <w14:schemeClr w14:val="tx1"/>
            </w14:solidFill>
          </w14:textFill>
        </w:rPr>
        <w:t xml:space="preserve">除监理合同已授权外，对工程的质量、进度、投资、安全文明施工等进行全面管理及外部环境协调 </w:t>
      </w:r>
      <w:r>
        <w:rPr>
          <w:rFonts w:hint="eastAsia" w:ascii="宋体" w:hAnsi="Calibri" w:eastAsia="宋体" w:cs="Times New Roman"/>
          <w:color w:val="000000" w:themeColor="text1"/>
          <w:sz w:val="21"/>
          <w:szCs w:val="21"/>
          <w:highlight w:val="none"/>
          <w:lang w:val="en-US" w:eastAsia="zh-CN" w:bidi="ar"/>
          <w14:textFill>
            <w14:solidFill>
              <w14:schemeClr w14:val="tx1"/>
            </w14:solidFill>
          </w14:textFill>
        </w:rPr>
        <w:t>。</w:t>
      </w:r>
    </w:p>
    <w:p w14:paraId="31045B7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2.4 施工现场、施工条件和基础资料的提供</w:t>
      </w:r>
    </w:p>
    <w:p w14:paraId="4BDA83C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2.4.1 提供施工现场</w:t>
      </w:r>
    </w:p>
    <w:p w14:paraId="7C0E0D4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关于发包人移交施工现场的期限要求：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开工日期</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7</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天前</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2851E3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2.4.2 提供施工条件</w:t>
      </w:r>
    </w:p>
    <w:p w14:paraId="06616F2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关于发包人应负责提供施工所需要的条件，包括：</w:t>
      </w:r>
      <w:r>
        <w:rPr>
          <w:rFonts w:hint="eastAsia"/>
          <w:color w:val="000000" w:themeColor="text1"/>
          <w:szCs w:val="21"/>
          <w:highlight w:val="none"/>
          <w:u w:val="single"/>
          <w14:textFill>
            <w14:solidFill>
              <w14:schemeClr w14:val="tx1"/>
            </w14:solidFill>
          </w14:textFill>
        </w:rPr>
        <w:t>施工现场用水、用电已由发包人统一接至施工现场配置点，场内线路及施工期间的维护由承包人负责</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（具体状况以在施工过程中</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的</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现场踏勘为准）</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747BBB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2.5 资金来源证明及支付担保</w:t>
      </w:r>
    </w:p>
    <w:p w14:paraId="324C70E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发包人提供资金来源证明的期限要求：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FF6F9B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发包人是否提供支付担保：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B99E9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发包人提供支付担保的形式：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5A72A4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2.6 支付合同价款</w:t>
      </w:r>
    </w:p>
    <w:p w14:paraId="0893BAA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发包人应按合同约定向承包人及时支付合同价款。</w:t>
      </w:r>
    </w:p>
    <w:p w14:paraId="287E0CA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2.7 组织竣工验收</w:t>
      </w:r>
    </w:p>
    <w:p w14:paraId="123574F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发包人应按合同约定及时组织竣工验收。</w:t>
      </w:r>
    </w:p>
    <w:p w14:paraId="44E8A159">
      <w:pPr>
        <w:pStyle w:val="11"/>
        <w:keepNext w:val="0"/>
        <w:keepLines w:val="0"/>
        <w:pageBreakBefore w:val="0"/>
        <w:widowControl w:val="0"/>
        <w:tabs>
          <w:tab w:val="left" w:pos="574"/>
        </w:tabs>
        <w:kinsoku/>
        <w:wordWrap/>
        <w:overflowPunct/>
        <w:topLinePunct w:val="0"/>
        <w:autoSpaceDE/>
        <w:autoSpaceDN/>
        <w:bidi w:val="0"/>
        <w:adjustRightInd/>
        <w:snapToGrid/>
        <w:spacing w:line="340" w:lineRule="exact"/>
        <w:ind w:firstLine="420" w:firstLineChars="200"/>
        <w:textAlignment w:val="auto"/>
        <w:rPr>
          <w:rFonts w:hint="eastAsia"/>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承包人完成合同范围内工程内容，发包人应根据现行施工验收规范和质量验收标准及时组织工程质量验收</w:t>
      </w:r>
      <w:r>
        <w:rPr>
          <w:rFonts w:hint="eastAsia" w:hAnsi="仿宋"/>
          <w:color w:val="000000" w:themeColor="text1"/>
          <w:sz w:val="21"/>
          <w:szCs w:val="21"/>
          <w:highlight w:val="none"/>
          <w:u w:val="single"/>
          <w14:textFill>
            <w14:solidFill>
              <w14:schemeClr w14:val="tx1"/>
            </w14:solidFill>
          </w14:textFill>
        </w:rPr>
        <w:t>。</w:t>
      </w:r>
    </w:p>
    <w:p w14:paraId="29B6D984">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105" w:name="_Toc351203635"/>
      <w:r>
        <w:rPr>
          <w:rFonts w:hint="eastAsia" w:ascii="宋体" w:hAnsi="Arial" w:eastAsia="宋体" w:cs="宋体"/>
          <w:color w:val="000000" w:themeColor="text1"/>
          <w:sz w:val="21"/>
          <w:szCs w:val="21"/>
          <w:highlight w:val="none"/>
          <w:lang w:val="en-US"/>
          <w14:textFill>
            <w14:solidFill>
              <w14:schemeClr w14:val="tx1"/>
            </w14:solidFill>
          </w14:textFill>
        </w:rPr>
        <w:t>3</w:t>
      </w:r>
      <w:bookmarkStart w:id="106" w:name="_Toc297120458"/>
      <w:bookmarkStart w:id="107" w:name="_Toc296347157"/>
      <w:bookmarkStart w:id="108" w:name="_Toc296346659"/>
      <w:bookmarkStart w:id="109" w:name="_Toc296503158"/>
      <w:bookmarkStart w:id="110" w:name="_Toc292559363"/>
      <w:bookmarkStart w:id="111" w:name="_Toc292559868"/>
      <w:bookmarkStart w:id="112" w:name="_Toc296944497"/>
      <w:bookmarkStart w:id="113" w:name="_Toc297048344"/>
      <w:bookmarkStart w:id="114" w:name="_Toc296890986"/>
      <w:bookmarkStart w:id="115" w:name="_Toc296891198"/>
      <w:r>
        <w:rPr>
          <w:rFonts w:hint="eastAsia" w:ascii="宋体" w:hAnsi="Arial" w:eastAsia="宋体" w:cs="宋体"/>
          <w:color w:val="000000" w:themeColor="text1"/>
          <w:sz w:val="21"/>
          <w:szCs w:val="21"/>
          <w:highlight w:val="none"/>
          <w:lang w:val="en-US"/>
          <w14:textFill>
            <w14:solidFill>
              <w14:schemeClr w14:val="tx1"/>
            </w14:solidFill>
          </w14:textFill>
        </w:rPr>
        <w:t xml:space="preserve">. </w:t>
      </w:r>
      <w:r>
        <w:rPr>
          <w:rFonts w:hint="eastAsia" w:ascii="宋体" w:hAnsi="Arial" w:eastAsia="宋体" w:cs="宋体"/>
          <w:color w:val="000000" w:themeColor="text1"/>
          <w:sz w:val="21"/>
          <w:szCs w:val="21"/>
          <w:highlight w:val="none"/>
          <w:lang w:eastAsia="zh-CN"/>
          <w14:textFill>
            <w14:solidFill>
              <w14:schemeClr w14:val="tx1"/>
            </w14:solidFill>
          </w14:textFill>
        </w:rPr>
        <w:t>承包人</w:t>
      </w:r>
      <w:bookmarkEnd w:id="105"/>
    </w:p>
    <w:bookmarkEnd w:id="106"/>
    <w:bookmarkEnd w:id="107"/>
    <w:bookmarkEnd w:id="108"/>
    <w:bookmarkEnd w:id="109"/>
    <w:bookmarkEnd w:id="110"/>
    <w:bookmarkEnd w:id="111"/>
    <w:bookmarkEnd w:id="112"/>
    <w:bookmarkEnd w:id="113"/>
    <w:bookmarkEnd w:id="114"/>
    <w:bookmarkEnd w:id="115"/>
    <w:p w14:paraId="0A5BA47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3.1 承包人的一般义务</w:t>
      </w:r>
    </w:p>
    <w:p w14:paraId="3FA48E1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（9）承包人提交的竣工资料的内容：</w:t>
      </w:r>
      <w:r>
        <w:rPr>
          <w:rFonts w:hint="eastAsia" w:ascii="宋体" w:hAnsi="仿宋" w:eastAsia="宋体" w:cs="Times New Roman"/>
          <w:color w:val="000000" w:themeColor="text1"/>
          <w:kern w:val="2"/>
          <w:sz w:val="21"/>
          <w:szCs w:val="21"/>
          <w:highlight w:val="none"/>
          <w:u w:val="single"/>
          <w:lang w:val="en-US" w:eastAsia="zh-CN" w:bidi="ar-SA"/>
          <w14:textFill>
            <w14:solidFill>
              <w14:schemeClr w14:val="tx1"/>
            </w14:solidFill>
          </w14:textFill>
        </w:rPr>
        <w:t>向发包人提交按规范规定应由承包人编制部分的竣工资料，包括含施工过程中验收、检查时拍摄或录制的相片、影像资料等，并符合建设工程资料存档要求。</w:t>
      </w:r>
    </w:p>
    <w:p w14:paraId="67E98F8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承包人需要提交的竣工资料套数：</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叁套。</w:t>
      </w:r>
    </w:p>
    <w:p w14:paraId="7D20655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承包人提交的竣工资料的费用承担：</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由承包人承担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263DD4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承包人提交的竣工资料移交时间：</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工程竣工验收合格后7天内</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792971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承包人提交的竣工资料形式要求：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纸质及相关电子数据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470D93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（10）承包人应履行的其他义务：</w:t>
      </w:r>
    </w:p>
    <w:p w14:paraId="7B559EC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a.向发包人、监理人提供施工现场办公室各1间免费使用。 </w:t>
      </w:r>
    </w:p>
    <w:p w14:paraId="21A16B7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b.在施工中必须严格按照规范操作，对不按规范要求施工或未采取防护措施，造成的损失由承包人承担。</w:t>
      </w:r>
    </w:p>
    <w:p w14:paraId="34FF4A3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c.本项目施工安全由承包人负总责。</w:t>
      </w:r>
    </w:p>
    <w:p w14:paraId="648749B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d.按当地有关部门要求，由承包人办理有关施工场地交通、环卫和施工噪音排放等手续。</w:t>
      </w:r>
    </w:p>
    <w:p w14:paraId="55C0CF3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（11）承包人诚实信用的承诺：</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保质保量，按期完成 。</w:t>
      </w:r>
    </w:p>
    <w:p w14:paraId="119EE9A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（12）承包人使用新技术、工法、工艺的承诺</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 </w:t>
      </w:r>
    </w:p>
    <w:p w14:paraId="77CC7AE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3.2 项目经理</w:t>
      </w:r>
    </w:p>
    <w:p w14:paraId="6C5B4B1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 xml:space="preserve">3.2.1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项目经理：</w:t>
      </w:r>
    </w:p>
    <w:p w14:paraId="46C3923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姓    名：</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A4A094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身份证号：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570020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建造师执业资格等级：</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099BC4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建造师注册证书号：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C35B85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建造师执业印章号：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DA573E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安全生产考核合格证书号：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9CCF97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联系电话：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41585E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电子信箱：</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C7C3FE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通信地址：</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E67518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承包人对项目经理的授权范围如下：</w:t>
      </w:r>
      <w:r>
        <w:rPr>
          <w:rFonts w:hint="eastAsia" w:ascii="Times New Roman" w:hAnsi="仿宋" w:eastAsia="宋体" w:cs="Times New Roman"/>
          <w:color w:val="000000" w:themeColor="text1"/>
          <w:sz w:val="21"/>
          <w:szCs w:val="21"/>
          <w:highlight w:val="none"/>
          <w:u w:val="single"/>
          <w:lang w:val="en-US" w:eastAsia="zh-CN"/>
          <w14:textFill>
            <w14:solidFill>
              <w14:schemeClr w14:val="tx1"/>
            </w14:solidFill>
          </w14:textFill>
        </w:rPr>
        <w:t xml:space="preserve">项目团队的组建权、财务决策权、项目实施控制权等本项目实施的所有权利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08CD8C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关于项目经理每月在施工现场的时间要求：</w:t>
      </w:r>
      <w:r>
        <w:rPr>
          <w:rFonts w:hint="eastAsia" w:hAnsi="仿宋"/>
          <w:color w:val="000000" w:themeColor="text1"/>
          <w:sz w:val="21"/>
          <w:szCs w:val="21"/>
          <w:highlight w:val="none"/>
          <w:u w:val="single"/>
          <w14:textFill>
            <w14:solidFill>
              <w14:schemeClr w14:val="tx1"/>
            </w14:solidFill>
          </w14:textFill>
        </w:rPr>
        <w:t>月到岗须不少于24天</w:t>
      </w:r>
      <w:r>
        <w:rPr>
          <w:rFonts w:hint="eastAsia" w:hAnsi="仿宋"/>
          <w:color w:val="000000" w:themeColor="text1"/>
          <w:sz w:val="21"/>
          <w:szCs w:val="21"/>
          <w:highlight w:val="none"/>
          <w14:textFill>
            <w14:solidFill>
              <w14:schemeClr w14:val="tx1"/>
            </w14:solidFill>
          </w14:textFill>
        </w:rPr>
        <w:t>；</w:t>
      </w:r>
    </w:p>
    <w:p w14:paraId="516195B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u w:val="single"/>
          <w14:textFill>
            <w14:solidFill>
              <w14:schemeClr w14:val="tx1"/>
            </w14:solidFill>
          </w14:textFill>
        </w:rPr>
        <w:t>月到岗达不到约定天数，按相关行业主管部发布的规定处理；遇有工程检查、验收或参观等活动时，无特殊原因不得</w:t>
      </w:r>
      <w:r>
        <w:rPr>
          <w:rFonts w:hint="eastAsia" w:hAnsi="仿宋"/>
          <w:color w:val="000000" w:themeColor="text1"/>
          <w:kern w:val="0"/>
          <w:sz w:val="21"/>
          <w:szCs w:val="21"/>
          <w:highlight w:val="none"/>
          <w:u w:val="single"/>
          <w14:textFill>
            <w14:solidFill>
              <w14:schemeClr w14:val="tx1"/>
            </w14:solidFill>
          </w14:textFill>
        </w:rPr>
        <w:t>离开施工现场。</w:t>
      </w:r>
    </w:p>
    <w:p w14:paraId="0BCEF36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承包人未提交劳动合同，以及没有为项目经理缴纳社会保险证明的违约责任：</w:t>
      </w:r>
      <w:r>
        <w:rPr>
          <w:rFonts w:hint="eastAsia" w:hAnsi="仿宋"/>
          <w:color w:val="000000" w:themeColor="text1"/>
          <w:sz w:val="21"/>
          <w:szCs w:val="21"/>
          <w:highlight w:val="none"/>
          <w:u w:val="single"/>
          <w14:textFill>
            <w14:solidFill>
              <w14:schemeClr w14:val="tx1"/>
            </w14:solidFill>
          </w14:textFill>
        </w:rPr>
        <w:t>按通用合同条款</w:t>
      </w:r>
      <w:r>
        <w:rPr>
          <w:rFonts w:hint="eastAsia" w:hAnsi="仿宋"/>
          <w:color w:val="000000" w:themeColor="text1"/>
          <w:sz w:val="21"/>
          <w:szCs w:val="21"/>
          <w:highlight w:val="none"/>
          <w14:textFill>
            <w14:solidFill>
              <w14:schemeClr w14:val="tx1"/>
            </w14:solidFill>
          </w14:textFill>
        </w:rPr>
        <w:t>。</w:t>
      </w:r>
    </w:p>
    <w:p w14:paraId="3421B59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3.2.3 承包人擅自更换项目经理的违约责任：</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E45219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3.2.4 承包人无正当理由拒绝更换项目经理的违约责任：</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发包人可通知承包人全部解除合同，所有履约担保金归发包人，同时赔偿发包人损失</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934FD4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3.3 承包人人员</w:t>
      </w:r>
    </w:p>
    <w:p w14:paraId="1BF429E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3.3.1 承包人提交项目管理机构及施工现场管理人员安排报告的期限：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接到开工通知（或确定开工日期）后7天内</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F33BEF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3.3.3 承包人无正当理由拒绝撤换主要施工管理人员的违约责任：</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发包人可通知承包人全部解除合同，所有履约担保金归发包人，同时赔偿发包人损失。</w:t>
      </w:r>
    </w:p>
    <w:p w14:paraId="2DF17A3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3.3.4 承包人主要施工管理人员离开施工现场的批准要求：</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按通用合同条款；按相关行业主管部发布的规定处理。另遇有工程检查、验收或参观等活动时，无特殊原因不得请假</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7EB95B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3.3.5承包人擅自更换主要施工管理人员的违约责任：</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C87450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w:t>
      </w:r>
      <w:bookmarkStart w:id="116" w:name="_Toc296346660"/>
      <w:bookmarkStart w:id="117" w:name="_Toc296890987"/>
      <w:bookmarkStart w:id="118" w:name="_Toc292559869"/>
      <w:bookmarkStart w:id="119" w:name="_Toc312677988"/>
      <w:bookmarkStart w:id="120" w:name="_Toc303539102"/>
      <w:bookmarkStart w:id="121" w:name="_Toc296944498"/>
      <w:bookmarkStart w:id="122" w:name="_Toc296891199"/>
      <w:bookmarkStart w:id="123" w:name="_Toc297048345"/>
      <w:bookmarkStart w:id="124" w:name="_Toc297123492"/>
      <w:bookmarkStart w:id="125" w:name="_Toc296503159"/>
      <w:bookmarkStart w:id="126" w:name="_Toc297216151"/>
      <w:bookmarkStart w:id="127" w:name="_Toc297120459"/>
      <w:bookmarkStart w:id="128" w:name="_Toc296347158"/>
      <w:bookmarkStart w:id="129" w:name="_Toc292559364"/>
      <w:bookmarkStart w:id="130" w:name="_Toc300934945"/>
      <w:bookmarkStart w:id="131" w:name="_Toc304295523"/>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3802D66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w:t>
      </w:r>
      <w:bookmarkStart w:id="132" w:name="_Toc300934946"/>
      <w:bookmarkStart w:id="133" w:name="_Toc303539103"/>
      <w:bookmarkStart w:id="134" w:name="_Toc304295524"/>
      <w:bookmarkStart w:id="135" w:name="_Toc297048346"/>
      <w:bookmarkStart w:id="136" w:name="_Toc296944499"/>
      <w:bookmarkStart w:id="137" w:name="_Toc296891200"/>
      <w:bookmarkStart w:id="138" w:name="_Toc296503160"/>
      <w:bookmarkStart w:id="139" w:name="_Toc292559870"/>
      <w:bookmarkStart w:id="140" w:name="_Toc297216152"/>
      <w:bookmarkStart w:id="141" w:name="_Toc297123493"/>
      <w:bookmarkStart w:id="142" w:name="_Toc297120460"/>
      <w:bookmarkStart w:id="143" w:name="_Toc318581158"/>
      <w:bookmarkStart w:id="144" w:name="_Toc296346661"/>
      <w:bookmarkStart w:id="145" w:name="_Toc296890988"/>
      <w:bookmarkStart w:id="146" w:name="_Toc296347159"/>
      <w:bookmarkStart w:id="147" w:name="_Toc312677989"/>
      <w:bookmarkStart w:id="148" w:name="_Toc292559365"/>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.5.1 分包的一般约定</w:t>
      </w:r>
    </w:p>
    <w:p w14:paraId="5484B3E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禁止分包的工程包括：</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本工程所有项目禁止分包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B9B2A4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主体结构、关键性工作的范围：</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53761CD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 3</w:t>
      </w:r>
      <w:bookmarkStart w:id="149" w:name="_Toc312677990"/>
      <w:bookmarkStart w:id="150" w:name="_Toc318581159"/>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.5.2分包的确定</w:t>
      </w:r>
    </w:p>
    <w:p w14:paraId="4954D24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允许分包的专业工程包括：</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无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29DED4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其他关于分包的约定：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无                        。</w:t>
      </w:r>
    </w:p>
    <w:p w14:paraId="2621E5C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3.5.4 分包合同价款</w:t>
      </w:r>
    </w:p>
    <w:p w14:paraId="167F631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关于分包合同价款支付的约定：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149"/>
    <w:bookmarkEnd w:id="150"/>
    <w:p w14:paraId="65E366E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3.6 工程照管与成品、半成品保护</w:t>
      </w:r>
    </w:p>
    <w:p w14:paraId="376725B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承包人负责照管工程及工程相关的材料、工程设备的起始时间：</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按合同通用条款执行</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02026AA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3.7 履约担保</w:t>
      </w:r>
    </w:p>
    <w:p w14:paraId="68E3097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承包人是否提供履约担保：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是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E37A072">
      <w:pPr>
        <w:keepNext w:val="0"/>
        <w:keepLines w:val="0"/>
        <w:pageBreakBefore w:val="0"/>
        <w:widowControl/>
        <w:suppressLineNumbers w:val="0"/>
        <w:kinsoku/>
        <w:wordWrap/>
        <w:overflowPunct/>
        <w:topLinePunct w:val="0"/>
        <w:bidi w:val="0"/>
        <w:spacing w:line="340" w:lineRule="exact"/>
        <w:ind w:firstLine="420" w:firstLineChars="200"/>
        <w:jc w:val="left"/>
        <w:textAlignment w:val="auto"/>
        <w:rPr>
          <w:rFonts w:hint="eastAsia"/>
          <w:color w:val="000000" w:themeColor="text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承包人提供履约担保的形式、金额及期限的：</w:t>
      </w:r>
      <w:r>
        <w:rPr>
          <w:rFonts w:hint="eastAsia"/>
          <w:color w:val="000000" w:themeColor="text1"/>
          <w:szCs w:val="21"/>
          <w:highlight w:val="none"/>
          <w:u w:val="single"/>
          <w:lang w:eastAsia="zh-CN"/>
          <w14:textFill>
            <w14:solidFill>
              <w14:schemeClr w14:val="tx1"/>
            </w14:solidFill>
          </w14:textFill>
        </w:rPr>
        <w:t>履约担保</w:t>
      </w:r>
      <w:r>
        <w:rPr>
          <w:rFonts w:hint="eastAsia"/>
          <w:color w:val="000000" w:themeColor="text1"/>
          <w:szCs w:val="21"/>
          <w:highlight w:val="none"/>
          <w:u w:val="single"/>
          <w:lang w:val="en-US" w:eastAsia="zh-CN"/>
          <w14:textFill>
            <w14:solidFill>
              <w14:schemeClr w14:val="tx1"/>
            </w14:solidFill>
          </w14:textFill>
        </w:rPr>
        <w:t>可采用工程保函的形式，如不能提交工程保函的，采用现金的，</w:t>
      </w:r>
      <w:r>
        <w:rPr>
          <w:rFonts w:hint="eastAsia"/>
          <w:color w:val="000000" w:themeColor="text1"/>
          <w:szCs w:val="21"/>
          <w:highlight w:val="none"/>
          <w:u w:val="single"/>
          <w:lang w:eastAsia="zh-CN"/>
          <w14:textFill>
            <w14:solidFill>
              <w14:schemeClr w14:val="tx1"/>
            </w14:solidFill>
          </w14:textFill>
        </w:rPr>
        <w:t>中标人的履约担保必须通过其基本账户转出的转帐、电汇或银行汇票方式解入招标人</w:t>
      </w:r>
      <w:r>
        <w:rPr>
          <w:rFonts w:hint="eastAsia"/>
          <w:color w:val="000000" w:themeColor="text1"/>
          <w:szCs w:val="21"/>
          <w:highlight w:val="none"/>
          <w:u w:val="single"/>
          <w:lang w:val="en-US" w:eastAsia="zh-CN"/>
          <w14:textFill>
            <w14:solidFill>
              <w14:schemeClr w14:val="tx1"/>
            </w14:solidFill>
          </w14:textFill>
        </w:rPr>
        <w:t>指定账户</w:t>
      </w:r>
      <w:r>
        <w:rPr>
          <w:rFonts w:hint="eastAsia"/>
          <w:color w:val="000000" w:themeColor="text1"/>
          <w:szCs w:val="21"/>
          <w:highlight w:val="none"/>
          <w:u w:val="single"/>
          <w:lang w:eastAsia="zh-CN"/>
          <w14:textFill>
            <w14:solidFill>
              <w14:schemeClr w14:val="tx1"/>
            </w14:solidFill>
          </w14:textFill>
        </w:rPr>
        <w:t>，履约担保金额为</w:t>
      </w:r>
      <w:r>
        <w:rPr>
          <w:rFonts w:hint="eastAsia"/>
          <w:color w:val="000000" w:themeColor="text1"/>
          <w:szCs w:val="21"/>
          <w:highlight w:val="none"/>
          <w:u w:val="single"/>
          <w:lang w:val="en-US" w:eastAsia="zh-CN"/>
          <w14:textFill>
            <w14:solidFill>
              <w14:schemeClr w14:val="tx1"/>
            </w14:solidFill>
          </w14:textFill>
        </w:rPr>
        <w:t>壹万玖仟捌佰元</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发包人在工程竣工验收合格并已提交完整的结算资料后10天内，向承包人全额返还（履约担保不计息）；提供履约担保工程保函的承包人应保证履约担保在工程竣工验收前持续有效。非承包人原因导致的工期延长，承包人继续提供履约担保所增加的费用由发包人承担。</w:t>
      </w:r>
    </w:p>
    <w:p w14:paraId="2EA27EFB">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151" w:name="_Toc351203636"/>
      <w:bookmarkStart w:id="152" w:name="_Toc303539147"/>
      <w:bookmarkStart w:id="153" w:name="_Toc292559904"/>
      <w:bookmarkStart w:id="154" w:name="_Toc312678026"/>
      <w:bookmarkStart w:id="155" w:name="_Toc304295567"/>
      <w:bookmarkStart w:id="156" w:name="_Toc296891234"/>
      <w:bookmarkStart w:id="157" w:name="_Toc296347193"/>
      <w:bookmarkStart w:id="158" w:name="_Toc296346695"/>
      <w:bookmarkStart w:id="159" w:name="_Toc296891022"/>
      <w:bookmarkStart w:id="160" w:name="_Toc297120494"/>
      <w:bookmarkStart w:id="161" w:name="_Toc297216200"/>
      <w:bookmarkStart w:id="162" w:name="_Toc312677500"/>
      <w:bookmarkStart w:id="163" w:name="_Toc297123541"/>
      <w:bookmarkStart w:id="164" w:name="_Toc300934990"/>
      <w:bookmarkStart w:id="165" w:name="_Toc296503194"/>
      <w:bookmarkStart w:id="166" w:name="_Toc297048380"/>
      <w:bookmarkStart w:id="167" w:name="_Toc292559399"/>
      <w:bookmarkStart w:id="168" w:name="_Toc296944533"/>
      <w:bookmarkStart w:id="169" w:name="_Toc267251435"/>
      <w:bookmarkStart w:id="170" w:name="_Toc267251433"/>
      <w:bookmarkStart w:id="171" w:name="_Toc267251437"/>
      <w:bookmarkStart w:id="172" w:name="_Toc267251439"/>
      <w:bookmarkStart w:id="173" w:name="_Toc267251441"/>
      <w:bookmarkStart w:id="174" w:name="_Toc267251440"/>
      <w:bookmarkStart w:id="175" w:name="_Toc267251442"/>
      <w:r>
        <w:rPr>
          <w:rFonts w:hint="eastAsia" w:ascii="宋体" w:hAnsi="Arial" w:eastAsia="宋体" w:cs="宋体"/>
          <w:color w:val="000000" w:themeColor="text1"/>
          <w:sz w:val="21"/>
          <w:szCs w:val="21"/>
          <w:highlight w:val="none"/>
          <w:lang w:val="en-US"/>
          <w14:textFill>
            <w14:solidFill>
              <w14:schemeClr w14:val="tx1"/>
            </w14:solidFill>
          </w14:textFill>
        </w:rPr>
        <w:t>4</w:t>
      </w:r>
      <w:bookmarkStart w:id="176" w:name="_Toc296346663"/>
      <w:bookmarkStart w:id="177" w:name="_Toc296891202"/>
      <w:bookmarkStart w:id="178" w:name="_Toc297048348"/>
      <w:bookmarkStart w:id="179" w:name="_Toc296890990"/>
      <w:bookmarkStart w:id="180" w:name="_Toc267251413"/>
      <w:bookmarkStart w:id="181" w:name="_Toc296347161"/>
      <w:bookmarkStart w:id="182" w:name="_Toc292559366"/>
      <w:bookmarkStart w:id="183" w:name="_Toc296503162"/>
      <w:bookmarkStart w:id="184" w:name="_Toc297120462"/>
      <w:bookmarkStart w:id="185" w:name="_Toc296944501"/>
      <w:bookmarkStart w:id="186" w:name="_Toc292559871"/>
      <w:r>
        <w:rPr>
          <w:rFonts w:hint="eastAsia" w:ascii="宋体" w:hAnsi="Arial" w:eastAsia="宋体" w:cs="宋体"/>
          <w:color w:val="000000" w:themeColor="text1"/>
          <w:sz w:val="21"/>
          <w:szCs w:val="21"/>
          <w:highlight w:val="none"/>
          <w:lang w:val="en-US"/>
          <w14:textFill>
            <w14:solidFill>
              <w14:schemeClr w14:val="tx1"/>
            </w14:solidFill>
          </w14:textFill>
        </w:rPr>
        <w:t xml:space="preserve">. </w:t>
      </w:r>
      <w:r>
        <w:rPr>
          <w:rFonts w:hint="eastAsia" w:ascii="宋体" w:hAnsi="Arial" w:eastAsia="宋体" w:cs="宋体"/>
          <w:color w:val="000000" w:themeColor="text1"/>
          <w:sz w:val="21"/>
          <w:szCs w:val="21"/>
          <w:highlight w:val="none"/>
          <w:lang w:eastAsia="zh-CN"/>
          <w14:textFill>
            <w14:solidFill>
              <w14:schemeClr w14:val="tx1"/>
            </w14:solidFill>
          </w14:textFill>
        </w:rPr>
        <w:t>监</w:t>
      </w:r>
      <w:bookmarkEnd w:id="176"/>
      <w:bookmarkEnd w:id="177"/>
      <w:bookmarkEnd w:id="178"/>
      <w:bookmarkEnd w:id="179"/>
      <w:bookmarkEnd w:id="180"/>
      <w:bookmarkEnd w:id="181"/>
      <w:bookmarkEnd w:id="182"/>
      <w:bookmarkEnd w:id="183"/>
      <w:bookmarkEnd w:id="184"/>
      <w:bookmarkEnd w:id="185"/>
      <w:bookmarkEnd w:id="186"/>
      <w:r>
        <w:rPr>
          <w:rFonts w:hint="eastAsia" w:ascii="宋体" w:hAnsi="Arial" w:eastAsia="宋体" w:cs="宋体"/>
          <w:color w:val="000000" w:themeColor="text1"/>
          <w:sz w:val="21"/>
          <w:szCs w:val="21"/>
          <w:highlight w:val="none"/>
          <w:lang w:eastAsia="zh-CN"/>
          <w14:textFill>
            <w14:solidFill>
              <w14:schemeClr w14:val="tx1"/>
            </w14:solidFill>
          </w14:textFill>
        </w:rPr>
        <w:t>理人</w:t>
      </w:r>
      <w:bookmarkEnd w:id="151"/>
    </w:p>
    <w:p w14:paraId="761E94D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4.1监理人的一般规定</w:t>
      </w:r>
    </w:p>
    <w:p w14:paraId="1547EC2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关于监理人的监理内容：</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按本工程监理合同约定内容</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DFCD1F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关于监理人的监理权限：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[按本工程监理合同约定内容，涉及工程变更（含设计变更等参建各方变更）均需报发包人审批后生效]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 </w:t>
      </w:r>
    </w:p>
    <w:p w14:paraId="6D3CDF5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关于监理人在施工现场的办公场所、生活场所的提供和费用承担的约定：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由承包人免费提供办公室1间使用</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F79C87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4.2 监理人员</w:t>
      </w:r>
    </w:p>
    <w:p w14:paraId="7874060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总监理工程师：</w:t>
      </w:r>
    </w:p>
    <w:p w14:paraId="25DF5EC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姓    名：</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1B3B5F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职    务：</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11BDCF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监理工程师执业资格证书号：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775F6C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联系电话：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7DAC15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电子信箱：</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EF24E5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通信地址：</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329A5C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关于监理人的其他约定：</w:t>
      </w:r>
    </w:p>
    <w:p w14:paraId="5434197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（1）监理人授权超出合同约定，承包人有权提出异议，如监理人对于承包人合理的异议不予接受，则承包人可要求发包人就该事项作出处理决定；</w:t>
      </w:r>
    </w:p>
    <w:p w14:paraId="5BC7A61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（2）对于监理人更换其委派的监理人员的，监理人在征得发包人同意后应当提前48小时书面通知承包人；</w:t>
      </w:r>
    </w:p>
    <w:p w14:paraId="3BA8D84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（3）监理人对其监理人员的任何授权，承包人均应当要求监理人提供书面的授权，否则，承包人有权拒绝接受监理人员的指示</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9DD71C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4.4 商定或确定</w:t>
      </w:r>
    </w:p>
    <w:p w14:paraId="6D6B10C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187" w:name="_Toc267251418"/>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在发包人和承包人不能通过协商达成一致意见时，发包人授权监理人对以下事项进行确定：</w:t>
      </w:r>
    </w:p>
    <w:p w14:paraId="2423D47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第一次工程例会时予以明确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BD7569C">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188" w:name="_Toc351203637"/>
      <w:r>
        <w:rPr>
          <w:rFonts w:hint="eastAsia" w:ascii="宋体" w:hAnsi="Arial" w:eastAsia="宋体" w:cs="宋体"/>
          <w:color w:val="000000" w:themeColor="text1"/>
          <w:sz w:val="21"/>
          <w:szCs w:val="21"/>
          <w:highlight w:val="none"/>
          <w:lang w:val="en-US"/>
          <w14:textFill>
            <w14:solidFill>
              <w14:schemeClr w14:val="tx1"/>
            </w14:solidFill>
          </w14:textFill>
        </w:rPr>
        <w:t>5</w:t>
      </w:r>
      <w:bookmarkEnd w:id="187"/>
      <w:bookmarkStart w:id="189" w:name="_Toc296891203"/>
      <w:bookmarkStart w:id="190" w:name="_Toc292559367"/>
      <w:bookmarkStart w:id="191" w:name="_Toc296503163"/>
      <w:bookmarkStart w:id="192" w:name="_Toc296346664"/>
      <w:bookmarkStart w:id="193" w:name="_Toc297120463"/>
      <w:bookmarkStart w:id="194" w:name="_Toc296347162"/>
      <w:bookmarkStart w:id="195" w:name="_Toc296944502"/>
      <w:bookmarkStart w:id="196" w:name="_Toc292559872"/>
      <w:bookmarkStart w:id="197" w:name="_Toc297048349"/>
      <w:bookmarkStart w:id="198" w:name="_Toc296890991"/>
      <w:r>
        <w:rPr>
          <w:rFonts w:hint="eastAsia" w:ascii="宋体" w:hAnsi="Arial" w:eastAsia="宋体" w:cs="宋体"/>
          <w:color w:val="000000" w:themeColor="text1"/>
          <w:sz w:val="21"/>
          <w:szCs w:val="21"/>
          <w:highlight w:val="none"/>
          <w:lang w:val="en-US"/>
          <w14:textFill>
            <w14:solidFill>
              <w14:schemeClr w14:val="tx1"/>
            </w14:solidFill>
          </w14:textFill>
        </w:rPr>
        <w:t xml:space="preserve">. </w:t>
      </w:r>
      <w:r>
        <w:rPr>
          <w:rFonts w:hint="eastAsia" w:ascii="宋体" w:hAnsi="Arial" w:eastAsia="宋体" w:cs="宋体"/>
          <w:color w:val="000000" w:themeColor="text1"/>
          <w:sz w:val="21"/>
          <w:szCs w:val="21"/>
          <w:highlight w:val="none"/>
          <w:lang w:eastAsia="zh-CN"/>
          <w14:textFill>
            <w14:solidFill>
              <w14:schemeClr w14:val="tx1"/>
            </w14:solidFill>
          </w14:textFill>
        </w:rPr>
        <w:t>工程质量</w:t>
      </w:r>
      <w:bookmarkEnd w:id="188"/>
    </w:p>
    <w:p w14:paraId="1F129E2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5.1 质量要求</w:t>
      </w:r>
    </w:p>
    <w:p w14:paraId="0D4B463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bookmarkStart w:id="199" w:name="_Toc300934949"/>
      <w:bookmarkStart w:id="200" w:name="_Toc312677997"/>
      <w:bookmarkStart w:id="201" w:name="_Toc304295527"/>
      <w:bookmarkStart w:id="202" w:name="_Toc318581164"/>
      <w:bookmarkStart w:id="203" w:name="_Toc303539106"/>
      <w:bookmarkStart w:id="204" w:name="_Toc297216155"/>
      <w:bookmarkStart w:id="205" w:name="_Toc297123496"/>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5.1.1 特殊质量标准和要求：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p>
    <w:p w14:paraId="7D0DA0D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关于工程奖项的约定：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p>
    <w:p w14:paraId="6D62CC8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5.3 隐蔽工程检查</w:t>
      </w:r>
    </w:p>
    <w:p w14:paraId="788CED9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5.3.2承包人提前通知监理人隐蔽工程检查的期限的约定：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按合同通用条款执行</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0DF6E2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监理人不能按时进行检查时，应提前</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24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小时提交书面延期要求。</w:t>
      </w:r>
    </w:p>
    <w:p w14:paraId="76CB16E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关于延期最长不得超过：</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24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小时。由此导致工期延误的，工期予以顺延。</w:t>
      </w:r>
    </w:p>
    <w:p w14:paraId="41212DE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left"/>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隐蔽工程验收过程、验收部位除办理纸质验收记录，还应留置验收部位、验收过程、主要验收人员相片、影像等资料。</w:t>
      </w:r>
    </w:p>
    <w:p w14:paraId="78C917BF">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b w:val="0"/>
          <w:bCs/>
          <w:color w:val="000000" w:themeColor="text1"/>
          <w:sz w:val="21"/>
          <w:szCs w:val="21"/>
          <w:highlight w:val="none"/>
          <w:lang w:val="en-US"/>
          <w14:textFill>
            <w14:solidFill>
              <w14:schemeClr w14:val="tx1"/>
            </w14:solidFill>
          </w14:textFill>
        </w:rPr>
      </w:pPr>
      <w:bookmarkStart w:id="206" w:name="_Toc351203638"/>
      <w:r>
        <w:rPr>
          <w:rFonts w:hint="eastAsia" w:ascii="宋体" w:hAnsi="Arial" w:eastAsia="宋体" w:cs="宋体"/>
          <w:color w:val="000000" w:themeColor="text1"/>
          <w:sz w:val="21"/>
          <w:szCs w:val="21"/>
          <w:highlight w:val="none"/>
          <w:lang w:val="en-US"/>
          <w14:textFill>
            <w14:solidFill>
              <w14:schemeClr w14:val="tx1"/>
            </w14:solidFill>
          </w14:textFill>
        </w:rPr>
        <w:t xml:space="preserve">6. </w:t>
      </w:r>
      <w:r>
        <w:rPr>
          <w:rFonts w:hint="eastAsia" w:ascii="宋体" w:hAnsi="Arial" w:eastAsia="宋体" w:cs="宋体"/>
          <w:color w:val="000000" w:themeColor="text1"/>
          <w:sz w:val="21"/>
          <w:szCs w:val="21"/>
          <w:highlight w:val="none"/>
          <w:lang w:eastAsia="zh-CN"/>
          <w14:textFill>
            <w14:solidFill>
              <w14:schemeClr w14:val="tx1"/>
            </w14:solidFill>
          </w14:textFill>
        </w:rPr>
        <w:t>安全文明施工与环境保护</w:t>
      </w:r>
      <w:bookmarkEnd w:id="206"/>
    </w:p>
    <w:p w14:paraId="401A218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6.1安全文明施工</w:t>
      </w:r>
    </w:p>
    <w:p w14:paraId="2B5478E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6.1.1 项目安全生产的达标目标及相应事项的约定：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浙江省建筑施工安全标准化管理规定》（浙建建〔2012〕54号），及工程所在地相关主管部门发布的有关施工现场安全文明施工（含扬尘防护、监测），门禁考勤管理，噪音、污水排放，视频监控等管理规定执行。</w:t>
      </w:r>
    </w:p>
    <w:p w14:paraId="51012C0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6.1.4 关于治安保卫的特别约定：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3196F0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关于编制施工场地治安管理计划的约定：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1FCF7C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6.1.5 文明施工</w:t>
      </w:r>
    </w:p>
    <w:p w14:paraId="2BBB0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合同当事人对文明施工的要求：</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按省、市发有关文明施工管理规定执行。[创国家、省、市、县（市、区）级安标化工地]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0D833C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8"/>
          <w:szCs w:val="28"/>
          <w:highlight w:val="none"/>
          <w:u w:val="single"/>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6.1.6 关于安全文明施工费支付比例和支付期限的约定：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安全文明施工费预付费用包含在工程预付款内，与工程预付款一并支付。安全文明施工费承包人应专款专用，在财务账目中应单独列项。</w:t>
      </w:r>
    </w:p>
    <w:p w14:paraId="537D9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199"/>
    <w:bookmarkEnd w:id="200"/>
    <w:bookmarkEnd w:id="201"/>
    <w:bookmarkEnd w:id="202"/>
    <w:bookmarkEnd w:id="203"/>
    <w:bookmarkEnd w:id="204"/>
    <w:bookmarkEnd w:id="205"/>
    <w:p w14:paraId="2422D01C">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207" w:name="_Toc351203639"/>
      <w:r>
        <w:rPr>
          <w:rFonts w:hint="eastAsia" w:ascii="宋体" w:hAnsi="Arial" w:eastAsia="宋体" w:cs="宋体"/>
          <w:color w:val="000000" w:themeColor="text1"/>
          <w:sz w:val="21"/>
          <w:szCs w:val="21"/>
          <w:highlight w:val="none"/>
          <w:lang w:val="en-US"/>
          <w14:textFill>
            <w14:solidFill>
              <w14:schemeClr w14:val="tx1"/>
            </w14:solidFill>
          </w14:textFill>
        </w:rPr>
        <w:t xml:space="preserve">7. </w:t>
      </w:r>
      <w:r>
        <w:rPr>
          <w:rFonts w:hint="eastAsia" w:ascii="宋体" w:hAnsi="Arial" w:eastAsia="宋体" w:cs="宋体"/>
          <w:color w:val="000000" w:themeColor="text1"/>
          <w:sz w:val="21"/>
          <w:szCs w:val="21"/>
          <w:highlight w:val="none"/>
          <w:lang w:eastAsia="zh-CN"/>
          <w14:textFill>
            <w14:solidFill>
              <w14:schemeClr w14:val="tx1"/>
            </w14:solidFill>
          </w14:textFill>
        </w:rPr>
        <w:t>工期和进度</w:t>
      </w:r>
      <w:bookmarkEnd w:id="207"/>
    </w:p>
    <w:p w14:paraId="63F2806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7.1 施工组织设计</w:t>
      </w:r>
    </w:p>
    <w:p w14:paraId="1A065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7.1.1 合</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同当事人约定的施工组织设计应包括的其他内容：</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对特殊工艺施工、危险性较大分部分项工程施工，应按规定办理审批手续和按当地建设行政主管部门要求组织专家论证</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7F3E6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6DD1102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7.1.2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施工组织设计的提交和修改</w:t>
      </w:r>
    </w:p>
    <w:p w14:paraId="77AA523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承包人提交详细施工组织设计的期限的约定：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接到开工通知（或确定开工日期）后7天内，专项施工方案在相应部位施工前7天。发包人对承包人的施工组织设计（或方案）提出质疑和合理修正时，承包人应7天内修正完成并重新提交；每月20日前向发包方提交下一月进度计划和施工方案</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A66002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发包人和监理人在收到详细的施工组织设计后确认或提出修改意见的期限：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收到相应文件后7天内。</w:t>
      </w:r>
    </w:p>
    <w:p w14:paraId="5DF669D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w:t>
      </w:r>
      <w:bookmarkStart w:id="208" w:name="_Toc297216173"/>
      <w:bookmarkStart w:id="209" w:name="_Toc300934966"/>
      <w:bookmarkStart w:id="210" w:name="_Toc312677479"/>
      <w:bookmarkStart w:id="211" w:name="_Toc303539123"/>
      <w:bookmarkStart w:id="212" w:name="_Toc312678005"/>
      <w:bookmarkStart w:id="213" w:name="_Toc297123514"/>
      <w:bookmarkStart w:id="214" w:name="_Toc304295541"/>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 施工进度计划</w:t>
      </w:r>
    </w:p>
    <w:p w14:paraId="6B2A9BE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7.2.2 施工进度计划的修订</w:t>
      </w:r>
    </w:p>
    <w:p w14:paraId="008525B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发包人和监理人在收到修订的施工进度计划后确认或提出修改意见的期限：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收到相应文件后7天内</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1A819D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7.3 开工</w:t>
      </w:r>
    </w:p>
    <w:p w14:paraId="0483BA4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7.3.1 开工准备</w:t>
      </w:r>
    </w:p>
    <w:p w14:paraId="71AEE26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关于承包人提交</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工程开工报审表的期限：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接到开工通知（或确定开工日期）后7天内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E773AF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关于发包人应完成的其他开工准备工作及期限：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开工前7天</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5186DF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关于承包人应完成的其他开工准备工作及期限：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开工前</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1630AA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7.3.2开工通知</w:t>
      </w:r>
    </w:p>
    <w:p w14:paraId="159B92C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发包人（或监理人）在计划开工日期前7天向承包人发出开工通知，工期自开工通知中载明的开工日期起算。</w:t>
      </w:r>
    </w:p>
    <w:bookmarkEnd w:id="208"/>
    <w:bookmarkEnd w:id="209"/>
    <w:bookmarkEnd w:id="210"/>
    <w:bookmarkEnd w:id="211"/>
    <w:bookmarkEnd w:id="212"/>
    <w:bookmarkEnd w:id="213"/>
    <w:bookmarkEnd w:id="214"/>
    <w:p w14:paraId="5AE4A75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因发包人原因造成监理人未能在计划开工日期之日起90天内发出开工通知的，承包人有权提出价格调整要求，或者解除合同。发包人应当承担由此增加的费用或赔偿承包人的损失。</w:t>
      </w:r>
    </w:p>
    <w:p w14:paraId="5C90DFA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7.4 测量放线</w:t>
      </w:r>
    </w:p>
    <w:p w14:paraId="5DFEEBA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7.4.1发包人通过监理人向承包人提供测量基准点、基准线和水准点及其书面资料的期限：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按合同通用条款执行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1EC9D6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w:t>
      </w:r>
      <w:bookmarkStart w:id="215" w:name="_Toc312678010"/>
      <w:bookmarkStart w:id="216" w:name="_Toc297216175"/>
      <w:bookmarkStart w:id="217" w:name="_Toc297123516"/>
      <w:bookmarkStart w:id="218" w:name="_Toc303539125"/>
      <w:bookmarkStart w:id="219" w:name="_Toc304295546"/>
      <w:bookmarkStart w:id="220" w:name="_Toc300934968"/>
      <w:bookmarkStart w:id="221" w:name="_Toc312677484"/>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 工期延误</w:t>
      </w:r>
    </w:p>
    <w:bookmarkEnd w:id="215"/>
    <w:bookmarkEnd w:id="216"/>
    <w:bookmarkEnd w:id="217"/>
    <w:bookmarkEnd w:id="218"/>
    <w:bookmarkEnd w:id="219"/>
    <w:bookmarkEnd w:id="220"/>
    <w:bookmarkEnd w:id="221"/>
    <w:p w14:paraId="184A000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7.5.1 因发包人原因导致工期延误</w:t>
      </w:r>
    </w:p>
    <w:p w14:paraId="411BFE1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（7）因发包人原因导致工期延误的其他情形：</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无       。</w:t>
      </w:r>
    </w:p>
    <w:p w14:paraId="7D8FFD2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w:t>
      </w:r>
      <w:bookmarkStart w:id="222" w:name="_Toc318581169"/>
      <w:bookmarkStart w:id="223" w:name="_Toc312677486"/>
      <w:bookmarkStart w:id="224" w:name="_Toc312678012"/>
      <w:bookmarkStart w:id="225" w:name="_Toc297216177"/>
      <w:bookmarkStart w:id="226" w:name="_Toc304295548"/>
      <w:bookmarkStart w:id="227" w:name="_Toc303539127"/>
      <w:bookmarkStart w:id="228" w:name="_Toc300934970"/>
      <w:bookmarkStart w:id="229" w:name="_Toc297123518"/>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.5.2 因承包人原因导致工期延误</w:t>
      </w:r>
    </w:p>
    <w:bookmarkEnd w:id="222"/>
    <w:bookmarkEnd w:id="223"/>
    <w:bookmarkEnd w:id="224"/>
    <w:p w14:paraId="3D74D9E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因</w:t>
      </w:r>
      <w:bookmarkStart w:id="230" w:name="_Toc312678013"/>
      <w:bookmarkStart w:id="231" w:name="_Toc312677487"/>
      <w:bookmarkStart w:id="232" w:name="_Toc318581170"/>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承包人原因造成工期延误，逾期竣工违约金的计算方法为：</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每天500元</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bookmarkEnd w:id="225"/>
      <w:bookmarkEnd w:id="226"/>
      <w:bookmarkEnd w:id="227"/>
      <w:bookmarkEnd w:id="228"/>
      <w:bookmarkEnd w:id="229"/>
      <w:bookmarkEnd w:id="230"/>
      <w:bookmarkEnd w:id="231"/>
    </w:p>
    <w:bookmarkEnd w:id="232"/>
    <w:p w14:paraId="2DC9D8C2">
      <w:pPr>
        <w:pageBreakBefore w:val="0"/>
        <w:kinsoku/>
        <w:wordWrap/>
        <w:overflowPunct/>
        <w:topLinePunct w:val="0"/>
        <w:bidi w:val="0"/>
        <w:spacing w:line="340" w:lineRule="exact"/>
        <w:ind w:firstLine="420" w:firstLineChars="200"/>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因承包人原因造成工期延误，逾</w:t>
      </w:r>
      <w:bookmarkStart w:id="233" w:name="_Toc312678014"/>
      <w:bookmarkStart w:id="234" w:name="_Toc318581171"/>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期竣工违约金的上限：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履约保证金额度，对发包人造成损失超过违约金的，除承担违约金外同时赔偿发包人损失。</w:t>
      </w:r>
    </w:p>
    <w:bookmarkEnd w:id="233"/>
    <w:bookmarkEnd w:id="234"/>
    <w:p w14:paraId="6669983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w:t>
      </w:r>
      <w:bookmarkStart w:id="235" w:name="_Toc300934971"/>
      <w:bookmarkStart w:id="236" w:name="_Toc297123519"/>
      <w:bookmarkStart w:id="237" w:name="_Toc304295549"/>
      <w:bookmarkStart w:id="238" w:name="_Toc312678015"/>
      <w:bookmarkStart w:id="239" w:name="_Toc297216178"/>
      <w:bookmarkStart w:id="240" w:name="_Toc303539128"/>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.6 不</w:t>
      </w:r>
      <w:bookmarkEnd w:id="235"/>
      <w:bookmarkEnd w:id="236"/>
      <w:bookmarkEnd w:id="237"/>
      <w:bookmarkEnd w:id="238"/>
      <w:bookmarkEnd w:id="239"/>
      <w:bookmarkEnd w:id="240"/>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利物质条件</w:t>
      </w:r>
    </w:p>
    <w:p w14:paraId="5BBCEC6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left"/>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241" w:name="_Toc297216179"/>
      <w:bookmarkStart w:id="242" w:name="_Toc304295550"/>
      <w:bookmarkStart w:id="243" w:name="_Toc297123520"/>
      <w:bookmarkStart w:id="244" w:name="_Toc312678016"/>
      <w:bookmarkStart w:id="245" w:name="_Toc303539129"/>
      <w:bookmarkStart w:id="246" w:name="_Toc318581172"/>
      <w:bookmarkStart w:id="247" w:name="_Toc300934972"/>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不利物质条件的其他情形和有关约定：</w:t>
      </w:r>
    </w:p>
    <w:bookmarkEnd w:id="241"/>
    <w:bookmarkEnd w:id="242"/>
    <w:bookmarkEnd w:id="243"/>
    <w:bookmarkEnd w:id="244"/>
    <w:bookmarkEnd w:id="245"/>
    <w:bookmarkEnd w:id="246"/>
    <w:bookmarkEnd w:id="247"/>
    <w:p w14:paraId="2CEC795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（1）</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每天连续停水、停电超过8小时以上。</w:t>
      </w:r>
    </w:p>
    <w:p w14:paraId="654DB8B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（2）</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因政府行政命令（因承包人原因的除外）。</w:t>
      </w:r>
    </w:p>
    <w:p w14:paraId="75EAE16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（3）</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非因双方原因而无法控制的爆炸、火灾等事件。</w:t>
      </w:r>
    </w:p>
    <w:p w14:paraId="7B83BF0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（4）</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施工场地周围地下管线保护，地下障碍物和污染物排除，邻近建筑物、构筑物的保护要求。</w:t>
      </w:r>
    </w:p>
    <w:p w14:paraId="0BFAB48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（5）</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地质勘探资料未涉及的地下管道、暗沟、岩层等。</w:t>
      </w:r>
    </w:p>
    <w:p w14:paraId="573257A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承包人为克服不利物质条件，所采取合理措施而增加的费用和延误的工期由发包人承担；承包人虽然采取了合理的措施，但不利物质条件发生后，仍导致了工程现场损失，则参照通用合同条款17.3条处理。</w:t>
      </w:r>
    </w:p>
    <w:p w14:paraId="7A4A71D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w:t>
      </w:r>
      <w:bookmarkStart w:id="248" w:name="_Toc303539130"/>
      <w:bookmarkStart w:id="249" w:name="_Toc297216180"/>
      <w:bookmarkStart w:id="250" w:name="_Toc300934973"/>
      <w:bookmarkStart w:id="251" w:name="_Toc312678017"/>
      <w:bookmarkStart w:id="252" w:name="_Toc304295551"/>
      <w:bookmarkStart w:id="253" w:name="_Toc297123521"/>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.7异常恶劣的气候条件</w:t>
      </w:r>
    </w:p>
    <w:bookmarkEnd w:id="248"/>
    <w:bookmarkEnd w:id="249"/>
    <w:bookmarkEnd w:id="250"/>
    <w:bookmarkEnd w:id="251"/>
    <w:bookmarkEnd w:id="252"/>
    <w:bookmarkEnd w:id="253"/>
    <w:p w14:paraId="14D9069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发包人和承包人同意以下情形视为异常恶劣的气候条件：</w:t>
      </w:r>
    </w:p>
    <w:p w14:paraId="7403462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（1）</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8-10级（含10级）持续24小时的大风（台风）；</w:t>
      </w:r>
    </w:p>
    <w:p w14:paraId="771B470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（2）</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24小时内持续降雨且降水量为200mm以上；</w:t>
      </w:r>
    </w:p>
    <w:p w14:paraId="7C6DF57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（3）</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40摄氏度及以上且持续2天以上的高温天气。</w:t>
      </w:r>
    </w:p>
    <w:p w14:paraId="61C5BE5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47864E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7.9 提前竣工的奖励</w:t>
      </w:r>
    </w:p>
    <w:p w14:paraId="1AFBF4E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7.9.2提前竣工的奖励：</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无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218E6FF">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254" w:name="_Toc351203640"/>
      <w:r>
        <w:rPr>
          <w:rFonts w:hint="eastAsia" w:ascii="宋体" w:hAnsi="Arial" w:eastAsia="宋体" w:cs="宋体"/>
          <w:color w:val="000000" w:themeColor="text1"/>
          <w:sz w:val="21"/>
          <w:szCs w:val="21"/>
          <w:highlight w:val="none"/>
          <w:lang w:val="en-US"/>
          <w14:textFill>
            <w14:solidFill>
              <w14:schemeClr w14:val="tx1"/>
            </w14:solidFill>
          </w14:textFill>
        </w:rPr>
        <w:t xml:space="preserve">8. </w:t>
      </w:r>
      <w:r>
        <w:rPr>
          <w:rFonts w:hint="eastAsia" w:ascii="宋体" w:hAnsi="Arial" w:eastAsia="宋体" w:cs="宋体"/>
          <w:color w:val="000000" w:themeColor="text1"/>
          <w:sz w:val="21"/>
          <w:szCs w:val="21"/>
          <w:highlight w:val="none"/>
          <w:lang w:eastAsia="zh-CN"/>
          <w14:textFill>
            <w14:solidFill>
              <w14:schemeClr w14:val="tx1"/>
            </w14:solidFill>
          </w14:textFill>
        </w:rPr>
        <w:t>材料与设备</w:t>
      </w:r>
      <w:bookmarkEnd w:id="254"/>
    </w:p>
    <w:bookmarkEnd w:id="189"/>
    <w:bookmarkEnd w:id="190"/>
    <w:bookmarkEnd w:id="191"/>
    <w:bookmarkEnd w:id="192"/>
    <w:bookmarkEnd w:id="193"/>
    <w:bookmarkEnd w:id="194"/>
    <w:bookmarkEnd w:id="195"/>
    <w:bookmarkEnd w:id="196"/>
    <w:bookmarkEnd w:id="197"/>
    <w:bookmarkEnd w:id="198"/>
    <w:p w14:paraId="5570CED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8.2 承包人采购材料与工程设备</w:t>
      </w:r>
    </w:p>
    <w:p w14:paraId="29494ECD">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（1）材料品牌、规格和使用要求：按招标文件（相应）技术标准和要求执行。凡是招标文件注明规格、型号或品牌、产地的材料，承包人必须按照招标文件要求采购和施工；如需调整，必须经得发包人认可。</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（未作具体要求的主要材料须采用知名品牌，并经招标人同意）</w:t>
      </w:r>
    </w:p>
    <w:p w14:paraId="2B2B975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（2）本工程已确定价格的建筑材料均由承包人自行采购、运输和保管。</w:t>
      </w:r>
    </w:p>
    <w:p w14:paraId="5C570C1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（3）本工程要求使用材料要求（按招标人预算书）。</w:t>
      </w:r>
    </w:p>
    <w:p w14:paraId="67158FD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（4）所有材料必须有相关合格证明资料，符合规范要求，且品牌、产地需报监理人及发包人备案后方可进场。</w:t>
      </w:r>
    </w:p>
    <w:p w14:paraId="6D6EB54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（5）合同中原暂定价材料或由工程变更产生的无价材料（按有关规定可不组织招标采购的）由承包人采购时，应由发包人签证确定价格后采购，发包人收到承包人价格确定申请后，7日内审批完毕。</w:t>
      </w:r>
    </w:p>
    <w:p w14:paraId="6A88FC4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6</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）根据工程需要，发包人有权对承包人投标时确认的品牌进行更换，更换后的材料价格由发包人签证进行结算。</w:t>
      </w:r>
    </w:p>
    <w:p w14:paraId="50C7BC6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8</w:t>
      </w:r>
      <w:bookmarkStart w:id="255" w:name="_Toc297120467"/>
      <w:bookmarkStart w:id="256" w:name="_Toc296891207"/>
      <w:bookmarkStart w:id="257" w:name="_Toc296503167"/>
      <w:bookmarkStart w:id="258" w:name="_Toc303539136"/>
      <w:bookmarkStart w:id="259" w:name="_Toc292559877"/>
      <w:bookmarkStart w:id="260" w:name="_Toc296944506"/>
      <w:bookmarkStart w:id="261" w:name="_Toc312678019"/>
      <w:bookmarkStart w:id="262" w:name="_Toc297048353"/>
      <w:bookmarkStart w:id="263" w:name="_Toc296346668"/>
      <w:bookmarkStart w:id="264" w:name="_Toc312677493"/>
      <w:bookmarkStart w:id="265" w:name="_Toc300934979"/>
      <w:bookmarkStart w:id="266" w:name="_Toc292559372"/>
      <w:bookmarkStart w:id="267" w:name="_Toc297123527"/>
      <w:bookmarkStart w:id="268" w:name="_Toc304295556"/>
      <w:bookmarkStart w:id="269" w:name="_Toc280868654"/>
      <w:bookmarkStart w:id="270" w:name="_Toc297216186"/>
      <w:bookmarkStart w:id="271" w:name="_Toc296347166"/>
      <w:bookmarkStart w:id="272" w:name="_Toc296890995"/>
      <w:bookmarkStart w:id="273" w:name="_Toc280868656"/>
      <w:bookmarkStart w:id="274" w:name="_Toc280868655"/>
      <w:bookmarkStart w:id="275" w:name="_Toc267251424"/>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.4材料与工程设备的保管与使用</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3F177B44">
      <w:pPr>
        <w:pageBreakBefore w:val="0"/>
        <w:kinsoku/>
        <w:wordWrap/>
        <w:overflowPunct/>
        <w:topLinePunct w:val="0"/>
        <w:bidi w:val="0"/>
        <w:spacing w:line="340" w:lineRule="exact"/>
        <w:ind w:firstLine="420" w:firstLineChars="200"/>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8</w:t>
      </w:r>
      <w:bookmarkStart w:id="276" w:name="_Toc292559373"/>
      <w:bookmarkStart w:id="277" w:name="_Toc292559878"/>
      <w:bookmarkStart w:id="278" w:name="_Toc296890996"/>
      <w:bookmarkStart w:id="279" w:name="_Toc296891208"/>
      <w:bookmarkStart w:id="280" w:name="_Toc304295557"/>
      <w:bookmarkStart w:id="281" w:name="_Toc318581173"/>
      <w:bookmarkStart w:id="282" w:name="_Toc297048354"/>
      <w:bookmarkStart w:id="283" w:name="_Toc296346669"/>
      <w:bookmarkStart w:id="284" w:name="_Toc296944507"/>
      <w:bookmarkStart w:id="285" w:name="_Toc297123528"/>
      <w:bookmarkStart w:id="286" w:name="_Toc296347167"/>
      <w:bookmarkStart w:id="287" w:name="_Toc297216187"/>
      <w:bookmarkStart w:id="288" w:name="_Toc296503168"/>
      <w:bookmarkStart w:id="289" w:name="_Toc312678020"/>
      <w:bookmarkStart w:id="290" w:name="_Toc303539137"/>
      <w:bookmarkStart w:id="291" w:name="_Toc312677494"/>
      <w:bookmarkStart w:id="292" w:name="_Toc300934980"/>
      <w:bookmarkStart w:id="293" w:name="_Toc297120468"/>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.4.1发包人供应的材料设备的保管费用的承担：</w:t>
      </w:r>
      <w:r>
        <w:rPr>
          <w:rFonts w:hint="eastAsia"/>
          <w:color w:val="000000" w:themeColor="text1"/>
          <w:szCs w:val="21"/>
          <w:highlight w:val="none"/>
          <w:u w:val="single"/>
          <w14:textFill>
            <w14:solidFill>
              <w14:schemeClr w14:val="tx1"/>
            </w14:solidFill>
          </w14:textFill>
        </w:rPr>
        <w:t>由承包人承担，包</w:t>
      </w:r>
      <w:r>
        <w:rPr>
          <w:rFonts w:hint="eastAsia"/>
          <w:color w:val="000000" w:themeColor="text1"/>
          <w:szCs w:val="21"/>
          <w:highlight w:val="none"/>
          <w:u w:val="single"/>
          <w:lang w:eastAsia="zh-CN"/>
          <w14:textFill>
            <w14:solidFill>
              <w14:schemeClr w14:val="tx1"/>
            </w14:solidFill>
          </w14:textFill>
        </w:rPr>
        <w:t>含</w:t>
      </w:r>
      <w:r>
        <w:rPr>
          <w:rFonts w:hint="eastAsia"/>
          <w:color w:val="000000" w:themeColor="text1"/>
          <w:szCs w:val="21"/>
          <w:highlight w:val="none"/>
          <w:u w:val="single"/>
          <w14:textFill>
            <w14:solidFill>
              <w14:schemeClr w14:val="tx1"/>
            </w14:solidFill>
          </w14:textFill>
        </w:rPr>
        <w:t>在合同价内，不再另行计算</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bookmarkEnd w:id="276"/>
      <w:bookmarkEnd w:id="277"/>
    </w:p>
    <w:p w14:paraId="6BE8172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8.6 样品</w:t>
      </w:r>
    </w:p>
    <w:p w14:paraId="538A60C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8.6.1</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ab/>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样品的报送与封存</w:t>
      </w:r>
    </w:p>
    <w:p w14:paraId="248ADBB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需要承包人报送样品的材料或工程设备，样品的种类、名称、规格、数量要求：</w:t>
      </w:r>
      <w:r>
        <w:rPr>
          <w:rFonts w:hint="eastAsia"/>
          <w:color w:val="000000" w:themeColor="text1"/>
          <w:szCs w:val="21"/>
          <w:highlight w:val="none"/>
          <w:u w:val="single"/>
          <w14:textFill>
            <w14:solidFill>
              <w14:schemeClr w14:val="tx1"/>
            </w14:solidFill>
          </w14:textFill>
        </w:rPr>
        <w:t>按实际需求由承包人提供</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453EE94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8.8 施工设备和临时设施</w:t>
      </w:r>
    </w:p>
    <w:p w14:paraId="608E02E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8.8.1 承包人提供的施工设备和临时设施</w:t>
      </w:r>
    </w:p>
    <w:p w14:paraId="2791A39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关于修建临时设施费用承担的约定：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由承包人承担。</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4F172CA7">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294" w:name="_Toc351203641"/>
      <w:r>
        <w:rPr>
          <w:rFonts w:hint="eastAsia" w:ascii="宋体" w:hAnsi="Arial" w:eastAsia="宋体" w:cs="宋体"/>
          <w:color w:val="000000" w:themeColor="text1"/>
          <w:sz w:val="21"/>
          <w:szCs w:val="21"/>
          <w:highlight w:val="none"/>
          <w:lang w:val="en-US"/>
          <w14:textFill>
            <w14:solidFill>
              <w14:schemeClr w14:val="tx1"/>
            </w14:solidFill>
          </w14:textFill>
        </w:rPr>
        <w:t>9</w:t>
      </w:r>
      <w:bookmarkEnd w:id="273"/>
      <w:bookmarkEnd w:id="274"/>
      <w:bookmarkEnd w:id="275"/>
      <w:bookmarkStart w:id="295" w:name="_Toc312677495"/>
      <w:bookmarkStart w:id="296" w:name="_Toc304295559"/>
      <w:bookmarkStart w:id="297" w:name="_Toc312678021"/>
      <w:bookmarkStart w:id="298" w:name="_Toc300934982"/>
      <w:bookmarkStart w:id="299" w:name="_Toc297216192"/>
      <w:bookmarkStart w:id="300" w:name="_Toc303539139"/>
      <w:bookmarkStart w:id="301" w:name="_Toc297123533"/>
      <w:bookmarkStart w:id="302" w:name="_Toc296347172"/>
      <w:bookmarkStart w:id="303" w:name="_Toc297048359"/>
      <w:bookmarkStart w:id="304" w:name="_Toc267251428"/>
      <w:bookmarkStart w:id="305" w:name="_Toc297120473"/>
      <w:bookmarkStart w:id="306" w:name="_Toc296891001"/>
      <w:bookmarkStart w:id="307" w:name="_Toc267251427"/>
      <w:bookmarkStart w:id="308" w:name="_Toc292559883"/>
      <w:bookmarkStart w:id="309" w:name="_Toc296891213"/>
      <w:bookmarkStart w:id="310" w:name="_Toc296346674"/>
      <w:bookmarkStart w:id="311" w:name="_Toc296503173"/>
      <w:bookmarkStart w:id="312" w:name="_Toc296944512"/>
      <w:bookmarkStart w:id="313" w:name="_Toc292559378"/>
      <w:r>
        <w:rPr>
          <w:rFonts w:hint="eastAsia" w:ascii="宋体" w:hAnsi="Arial" w:eastAsia="宋体" w:cs="宋体"/>
          <w:color w:val="000000" w:themeColor="text1"/>
          <w:sz w:val="21"/>
          <w:szCs w:val="21"/>
          <w:highlight w:val="none"/>
          <w:lang w:val="en-US"/>
          <w14:textFill>
            <w14:solidFill>
              <w14:schemeClr w14:val="tx1"/>
            </w14:solidFill>
          </w14:textFill>
        </w:rPr>
        <w:t xml:space="preserve">. </w:t>
      </w:r>
      <w:r>
        <w:rPr>
          <w:rFonts w:hint="eastAsia" w:ascii="宋体" w:hAnsi="Arial" w:eastAsia="宋体" w:cs="宋体"/>
          <w:color w:val="000000" w:themeColor="text1"/>
          <w:sz w:val="21"/>
          <w:szCs w:val="21"/>
          <w:highlight w:val="none"/>
          <w:lang w:eastAsia="zh-CN"/>
          <w14:textFill>
            <w14:solidFill>
              <w14:schemeClr w14:val="tx1"/>
            </w14:solidFill>
          </w14:textFill>
        </w:rPr>
        <w:t>试验与检验</w:t>
      </w:r>
      <w:bookmarkEnd w:id="294"/>
    </w:p>
    <w:bookmarkEnd w:id="295"/>
    <w:bookmarkEnd w:id="296"/>
    <w:bookmarkEnd w:id="297"/>
    <w:bookmarkEnd w:id="298"/>
    <w:bookmarkEnd w:id="299"/>
    <w:bookmarkEnd w:id="300"/>
    <w:bookmarkEnd w:id="301"/>
    <w:p w14:paraId="3A1633D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9</w:t>
      </w:r>
      <w:bookmarkStart w:id="314" w:name="_Toc297123534"/>
      <w:bookmarkStart w:id="315" w:name="_Toc300934983"/>
      <w:bookmarkStart w:id="316" w:name="_Toc312678022"/>
      <w:bookmarkStart w:id="317" w:name="_Toc312677496"/>
      <w:bookmarkStart w:id="318" w:name="_Toc304295560"/>
      <w:bookmarkStart w:id="319" w:name="_Toc297216193"/>
      <w:bookmarkStart w:id="320" w:name="_Toc303539140"/>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.1试验设备与试验人员</w:t>
      </w:r>
    </w:p>
    <w:bookmarkEnd w:id="314"/>
    <w:bookmarkEnd w:id="315"/>
    <w:bookmarkEnd w:id="316"/>
    <w:bookmarkEnd w:id="317"/>
    <w:bookmarkEnd w:id="318"/>
    <w:bookmarkEnd w:id="319"/>
    <w:bookmarkEnd w:id="320"/>
    <w:p w14:paraId="238B71E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9</w:t>
      </w:r>
      <w:bookmarkStart w:id="321" w:name="_Toc297123535"/>
      <w:bookmarkStart w:id="322" w:name="_Toc300934984"/>
      <w:bookmarkStart w:id="323" w:name="_Toc297216194"/>
      <w:bookmarkStart w:id="324" w:name="_Toc312677497"/>
      <w:bookmarkStart w:id="325" w:name="_Toc303539141"/>
      <w:bookmarkStart w:id="326" w:name="_Toc312678023"/>
      <w:bookmarkStart w:id="327" w:name="_Toc304295561"/>
      <w:bookmarkStart w:id="328" w:name="_Toc318581174"/>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 试验设备</w:t>
      </w:r>
    </w:p>
    <w:bookmarkEnd w:id="321"/>
    <w:bookmarkEnd w:id="322"/>
    <w:bookmarkEnd w:id="323"/>
    <w:bookmarkEnd w:id="324"/>
    <w:bookmarkEnd w:id="325"/>
    <w:bookmarkEnd w:id="326"/>
    <w:bookmarkEnd w:id="327"/>
    <w:p w14:paraId="52E8898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bookmarkStart w:id="329" w:name="_Toc297123536"/>
      <w:bookmarkStart w:id="330" w:name="_Toc312678024"/>
      <w:bookmarkStart w:id="331" w:name="_Toc297216195"/>
      <w:bookmarkStart w:id="332" w:name="_Toc303539142"/>
      <w:bookmarkStart w:id="333" w:name="_Toc304295562"/>
      <w:bookmarkStart w:id="334" w:name="_Toc300934985"/>
      <w:bookmarkStart w:id="335" w:name="_Toc312677498"/>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施工现场需要配置的试验场所：</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按规范及（当地）建设行政主管部门要求配置 。 </w:t>
      </w:r>
    </w:p>
    <w:p w14:paraId="630F951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施工现场需要配备的试验设备：</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按规范及（当地）建设行政主管部门要求配置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2EAAF2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施工现场需要具备的其他试验条件：</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按规范及（当地）建设行政主管部门要求配置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AD46E1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left"/>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9.3 材料、工程设备和工程的试验和检验</w:t>
      </w:r>
    </w:p>
    <w:p w14:paraId="60CACD8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cs="宋体"/>
          <w:color w:val="000000" w:themeColor="text1"/>
          <w:kern w:val="2"/>
          <w:sz w:val="21"/>
          <w:szCs w:val="21"/>
          <w:highlight w:val="none"/>
          <w:lang w:val="en-US" w:eastAsia="zh-CN" w:bidi="ar"/>
          <w14:textFill>
            <w14:solidFill>
              <w14:schemeClr w14:val="tx1"/>
            </w14:solidFill>
          </w14:textFill>
        </w:rPr>
        <w:t>9.3.4</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材料、设备和工程的试验和检验的费用：</w:t>
      </w:r>
    </w:p>
    <w:p w14:paraId="072A08A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5D987A5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8AAA07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434C7AC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1A2A54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9.4 现场工艺试验 </w:t>
      </w:r>
    </w:p>
    <w:p w14:paraId="2946FF5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现场工艺试验的有关约定：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328"/>
    <w:bookmarkEnd w:id="329"/>
    <w:bookmarkEnd w:id="330"/>
    <w:bookmarkEnd w:id="331"/>
    <w:bookmarkEnd w:id="332"/>
    <w:bookmarkEnd w:id="333"/>
    <w:bookmarkEnd w:id="334"/>
    <w:bookmarkEnd w:id="335"/>
    <w:p w14:paraId="0D49F7FD">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336" w:name="_Toc351203642"/>
      <w:r>
        <w:rPr>
          <w:rFonts w:hint="eastAsia" w:ascii="宋体" w:hAnsi="Arial" w:eastAsia="宋体" w:cs="宋体"/>
          <w:color w:val="000000" w:themeColor="text1"/>
          <w:sz w:val="21"/>
          <w:szCs w:val="21"/>
          <w:highlight w:val="none"/>
          <w:lang w:val="en-US"/>
          <w14:textFill>
            <w14:solidFill>
              <w14:schemeClr w14:val="tx1"/>
            </w14:solidFill>
          </w14:textFill>
        </w:rPr>
        <w:t>1</w:t>
      </w:r>
      <w:bookmarkEnd w:id="302"/>
      <w:bookmarkEnd w:id="303"/>
      <w:bookmarkEnd w:id="304"/>
      <w:bookmarkEnd w:id="305"/>
      <w:bookmarkEnd w:id="306"/>
      <w:bookmarkEnd w:id="307"/>
      <w:bookmarkEnd w:id="308"/>
      <w:bookmarkEnd w:id="309"/>
      <w:bookmarkEnd w:id="310"/>
      <w:bookmarkEnd w:id="311"/>
      <w:bookmarkEnd w:id="312"/>
      <w:bookmarkEnd w:id="313"/>
      <w:bookmarkStart w:id="337" w:name="_Toc297123540"/>
      <w:bookmarkStart w:id="338" w:name="_Toc292559903"/>
      <w:bookmarkStart w:id="339" w:name="_Toc303539146"/>
      <w:bookmarkStart w:id="340" w:name="_Toc292559398"/>
      <w:bookmarkStart w:id="341" w:name="_Toc296346694"/>
      <w:bookmarkStart w:id="342" w:name="_Toc297216199"/>
      <w:bookmarkStart w:id="343" w:name="_Toc297120493"/>
      <w:bookmarkStart w:id="344" w:name="_Toc304295566"/>
      <w:bookmarkStart w:id="345" w:name="_Toc296347192"/>
      <w:bookmarkStart w:id="346" w:name="_Toc296891233"/>
      <w:bookmarkStart w:id="347" w:name="_Toc296503193"/>
      <w:bookmarkStart w:id="348" w:name="_Toc296891021"/>
      <w:bookmarkStart w:id="349" w:name="_Toc300934989"/>
      <w:bookmarkStart w:id="350" w:name="_Toc296944532"/>
      <w:bookmarkStart w:id="351" w:name="_Toc297048379"/>
      <w:bookmarkStart w:id="352" w:name="_Toc312678025"/>
      <w:bookmarkStart w:id="353" w:name="_Toc312677499"/>
      <w:r>
        <w:rPr>
          <w:rFonts w:hint="eastAsia" w:ascii="宋体" w:hAnsi="Arial" w:eastAsia="宋体" w:cs="宋体"/>
          <w:color w:val="000000" w:themeColor="text1"/>
          <w:sz w:val="21"/>
          <w:szCs w:val="21"/>
          <w:highlight w:val="none"/>
          <w:lang w:val="en-US"/>
          <w14:textFill>
            <w14:solidFill>
              <w14:schemeClr w14:val="tx1"/>
            </w14:solidFill>
          </w14:textFill>
        </w:rPr>
        <w:t xml:space="preserve">0. </w:t>
      </w:r>
      <w:r>
        <w:rPr>
          <w:rFonts w:hint="eastAsia" w:ascii="宋体" w:hAnsi="Arial" w:eastAsia="宋体" w:cs="宋体"/>
          <w:color w:val="000000" w:themeColor="text1"/>
          <w:sz w:val="21"/>
          <w:szCs w:val="21"/>
          <w:highlight w:val="none"/>
          <w:lang w:eastAsia="zh-CN"/>
          <w14:textFill>
            <w14:solidFill>
              <w14:schemeClr w14:val="tx1"/>
            </w14:solidFill>
          </w14:textFill>
        </w:rPr>
        <w:t>变更</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52"/>
    <w:bookmarkEnd w:id="353"/>
    <w:p w14:paraId="27EE0DD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10.1变更的范围</w:t>
      </w:r>
    </w:p>
    <w:p w14:paraId="340C56F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关于变更的范围的约定：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按合同通用条款。本工程预算内的量均为暂估量，工程实际工程量的减少或增加均按实结算，承包人不得因此拒绝施工</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358D75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10.4 变更估价</w:t>
      </w:r>
    </w:p>
    <w:p w14:paraId="27114EE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10.4.1 变更估价原则</w:t>
      </w:r>
    </w:p>
    <w:p w14:paraId="25E3983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315" w:firstLineChars="150"/>
        <w:jc w:val="left"/>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关于变更估价的约定: </w:t>
      </w:r>
    </w:p>
    <w:p w14:paraId="59E18E68">
      <w:pPr>
        <w:pageBreakBefore w:val="0"/>
        <w:kinsoku/>
        <w:wordWrap/>
        <w:overflowPunct/>
        <w:topLinePunct w:val="0"/>
        <w:bidi w:val="0"/>
        <w:spacing w:line="340" w:lineRule="exact"/>
        <w:ind w:firstLine="420" w:firstLineChars="200"/>
        <w:textAlignment w:val="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（1）招标人预算书有相同项目的，按投标下浮率下浮后确定。</w:t>
      </w:r>
    </w:p>
    <w:p w14:paraId="0BB09C37">
      <w:pPr>
        <w:pageBreakBefore w:val="0"/>
        <w:kinsoku/>
        <w:wordWrap/>
        <w:overflowPunct/>
        <w:topLinePunct w:val="0"/>
        <w:bidi w:val="0"/>
        <w:spacing w:line="340" w:lineRule="exact"/>
        <w:ind w:firstLine="420" w:firstLineChars="200"/>
        <w:textAlignment w:val="auto"/>
        <w:rPr>
          <w:rFonts w:hint="eastAsia" w:ascii="宋体" w:hAnsi="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变更后项目与已标价工程量清单没有适用的综合单价或相类似项目，招标人预算书编制依据、编制方法、口径（其中人工、材料、机械及费用计取标准均按招标人预算书中计算标准），计算综合单价，乘以投标总报价与招标控制价下降幅度</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即结算综合单价=按招标控制价编制依据计算的综合单价×投标总报价/招标控制价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编制变更项目的综合单价，报发包人审核后确定。但确定综合单价时，合同中约定的人工、材料、机械可调整的内容，仍按合同约定调整;合同中未约定的，按施工期信息价（或签证价）确定</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p w14:paraId="1C3A5048">
      <w:pPr>
        <w:pageBreakBefore w:val="0"/>
        <w:kinsoku/>
        <w:wordWrap/>
        <w:overflowPunct/>
        <w:topLinePunct w:val="0"/>
        <w:bidi w:val="0"/>
        <w:spacing w:line="340" w:lineRule="exact"/>
        <w:ind w:firstLine="420" w:firstLineChars="200"/>
        <w:textAlignment w:val="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）如按以上编制依据缺项的内容，承包人应通过市场调查等手段提出单价，并报发包人确定后执行。</w:t>
      </w:r>
    </w:p>
    <w:p w14:paraId="6A8D8B30">
      <w:pPr>
        <w:pageBreakBefore w:val="0"/>
        <w:kinsoku/>
        <w:wordWrap/>
        <w:overflowPunct/>
        <w:topLinePunct w:val="0"/>
        <w:bidi w:val="0"/>
        <w:spacing w:line="340" w:lineRule="exact"/>
        <w:ind w:firstLine="420" w:firstLineChars="200"/>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10.4.2 变更估价程序</w:t>
      </w:r>
    </w:p>
    <w:p w14:paraId="2C44806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承包人收到发包人、监理人、设计单位的变更指示后14天内向发包人提交变更估价申请。</w:t>
      </w:r>
    </w:p>
    <w:p w14:paraId="460A847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承包人提出工程变更、施工方案调整等变更应同时提交变更估价申请。</w:t>
      </w:r>
    </w:p>
    <w:p w14:paraId="13F0D104">
      <w:pPr>
        <w:pStyle w:val="11"/>
        <w:pageBreakBefore w:val="0"/>
        <w:tabs>
          <w:tab w:val="left" w:pos="574"/>
        </w:tabs>
        <w:kinsoku/>
        <w:wordWrap/>
        <w:overflowPunct/>
        <w:topLinePunct w:val="0"/>
        <w:bidi w:val="0"/>
        <w:spacing w:line="340" w:lineRule="exact"/>
        <w:ind w:firstLine="420" w:firstLineChars="200"/>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承包人提交的变更估价申请，发包人和监理人应予以签收，并在14天内审批完毕。</w:t>
      </w:r>
    </w:p>
    <w:p w14:paraId="6364EC6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354" w:name="_Toc296891025"/>
      <w:bookmarkStart w:id="355" w:name="_Toc292559907"/>
      <w:bookmarkStart w:id="356" w:name="_Toc296503197"/>
      <w:bookmarkStart w:id="357" w:name="_Toc297216203"/>
      <w:bookmarkStart w:id="358" w:name="_Toc296347196"/>
      <w:bookmarkStart w:id="359" w:name="_Toc297048383"/>
      <w:bookmarkStart w:id="360" w:name="_Toc303539150"/>
      <w:bookmarkStart w:id="361" w:name="_Toc300934993"/>
      <w:bookmarkStart w:id="362" w:name="_Toc292559402"/>
      <w:bookmarkStart w:id="363" w:name="_Toc297123544"/>
      <w:bookmarkStart w:id="364" w:name="_Toc296891237"/>
      <w:bookmarkStart w:id="365" w:name="_Toc296944536"/>
      <w:bookmarkStart w:id="366" w:name="_Toc296346698"/>
      <w:bookmarkStart w:id="367" w:name="_Toc297120497"/>
      <w:bookmarkStart w:id="368" w:name="_Toc304295570"/>
      <w:bookmarkStart w:id="369" w:name="_Toc312678029"/>
      <w:bookmarkStart w:id="370" w:name="_Toc312677503"/>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0.5承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71" w:name="_Toc297216204"/>
      <w:bookmarkStart w:id="372" w:name="_Toc297048389"/>
      <w:bookmarkStart w:id="373" w:name="_Toc303539151"/>
      <w:bookmarkStart w:id="374" w:name="_Toc296347202"/>
      <w:bookmarkStart w:id="375" w:name="_Toc297120503"/>
      <w:bookmarkStart w:id="376" w:name="_Toc296891031"/>
      <w:bookmarkStart w:id="377" w:name="_Toc292559408"/>
      <w:bookmarkStart w:id="378" w:name="_Toc296503203"/>
      <w:bookmarkStart w:id="379" w:name="_Toc296346704"/>
      <w:bookmarkStart w:id="380" w:name="_Toc296891243"/>
      <w:bookmarkStart w:id="381" w:name="_Toc300934994"/>
      <w:bookmarkStart w:id="382" w:name="_Toc292559913"/>
      <w:bookmarkStart w:id="383" w:name="_Toc297123545"/>
      <w:bookmarkStart w:id="384" w:name="_Toc296944542"/>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包人的合理化建议</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473596A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监理人审查承包人合理化建议的期限：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按通用条款执行</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AC20DE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发包人审批承包人合理化建议的期限：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按通用条款执行</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D1637B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w:t>
      </w:r>
      <w:bookmarkStart w:id="385" w:name="_Toc296891244"/>
      <w:bookmarkStart w:id="386" w:name="_Toc292559914"/>
      <w:bookmarkStart w:id="387" w:name="_Toc297120504"/>
      <w:bookmarkStart w:id="388" w:name="_Toc304295571"/>
      <w:bookmarkStart w:id="389" w:name="_Toc297123546"/>
      <w:bookmarkStart w:id="390" w:name="_Toc297048390"/>
      <w:bookmarkStart w:id="391" w:name="_Toc296503204"/>
      <w:bookmarkStart w:id="392" w:name="_Toc296346705"/>
      <w:bookmarkStart w:id="393" w:name="_Toc312678030"/>
      <w:bookmarkStart w:id="394" w:name="_Toc312677504"/>
      <w:bookmarkStart w:id="395" w:name="_Toc296891032"/>
      <w:bookmarkStart w:id="396" w:name="_Toc296944543"/>
      <w:bookmarkStart w:id="397" w:name="_Toc318581175"/>
      <w:bookmarkStart w:id="398" w:name="_Toc303539152"/>
      <w:bookmarkStart w:id="399" w:name="_Toc296347203"/>
      <w:bookmarkStart w:id="400" w:name="_Toc300934995"/>
      <w:bookmarkStart w:id="401" w:name="_Toc292559409"/>
      <w:bookmarkStart w:id="402" w:name="_Toc297216205"/>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包人提出的合理化建议降低了合同价格或者提高了工程经济效益的奖励的方法和金额为：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3385DED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w:t>
      </w:r>
      <w:bookmarkStart w:id="403" w:name="_Toc292559404"/>
      <w:bookmarkStart w:id="404" w:name="_Toc296891027"/>
      <w:bookmarkStart w:id="405" w:name="_Toc296347198"/>
      <w:bookmarkStart w:id="406" w:name="_Toc297120499"/>
      <w:bookmarkStart w:id="407" w:name="_Toc312677507"/>
      <w:bookmarkStart w:id="408" w:name="_Toc312678033"/>
      <w:bookmarkStart w:id="409" w:name="_Toc304295574"/>
      <w:bookmarkStart w:id="410" w:name="_Toc303539154"/>
      <w:bookmarkStart w:id="411" w:name="_Toc296944538"/>
      <w:bookmarkStart w:id="412" w:name="_Toc292559909"/>
      <w:bookmarkStart w:id="413" w:name="_Toc296503199"/>
      <w:bookmarkStart w:id="414" w:name="_Toc297216207"/>
      <w:bookmarkStart w:id="415" w:name="_Toc296891239"/>
      <w:bookmarkStart w:id="416" w:name="_Toc297123548"/>
      <w:bookmarkStart w:id="417" w:name="_Toc297048385"/>
      <w:bookmarkStart w:id="418" w:name="_Toc296346700"/>
      <w:bookmarkStart w:id="419" w:name="_Toc300934997"/>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0.7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0" w:name="_Toc312677508"/>
      <w:bookmarkStart w:id="421" w:name="_Toc318581176"/>
      <w:bookmarkStart w:id="422" w:name="_Toc312678034"/>
      <w:r>
        <w:rPr>
          <w:rFonts w:hint="eastAsia" w:ascii="宋体" w:hAnsi="Calibri" w:cs="宋体"/>
          <w:color w:val="000000" w:themeColor="text1"/>
          <w:kern w:val="2"/>
          <w:sz w:val="21"/>
          <w:szCs w:val="21"/>
          <w:highlight w:val="none"/>
          <w:lang w:val="en-US" w:eastAsia="zh-CN" w:bidi="ar"/>
          <w14:textFill>
            <w14:solidFill>
              <w14:schemeClr w14:val="tx1"/>
            </w14:solidFill>
          </w14:textFill>
        </w:rPr>
        <w:t>暂估价</w:t>
      </w:r>
    </w:p>
    <w:bookmarkEnd w:id="420"/>
    <w:bookmarkEnd w:id="421"/>
    <w:bookmarkEnd w:id="422"/>
    <w:p w14:paraId="76F37C62">
      <w:pPr>
        <w:pageBreakBefore w:val="0"/>
        <w:kinsoku/>
        <w:wordWrap/>
        <w:overflowPunct/>
        <w:topLinePunct w:val="0"/>
        <w:bidi w:val="0"/>
        <w:spacing w:line="340" w:lineRule="exact"/>
        <w:ind w:firstLine="420" w:firstLineChars="200"/>
        <w:textAlignment w:val="auto"/>
        <w:rPr>
          <w:rFonts w:hint="eastAsia" w:ascii="宋体" w:hAnsi="Calibri" w:cs="宋体"/>
          <w:color w:val="000000" w:themeColor="text1"/>
          <w:szCs w:val="21"/>
          <w:highlight w:val="none"/>
          <w:u w:val="single"/>
          <w:lang w:bidi="ar"/>
          <w14:textFill>
            <w14:solidFill>
              <w14:schemeClr w14:val="tx1"/>
            </w14:solidFill>
          </w14:textFill>
        </w:rPr>
      </w:pPr>
      <w:r>
        <w:rPr>
          <w:rFonts w:hint="eastAsia" w:ascii="宋体" w:hAnsi="Calibri" w:cs="宋体"/>
          <w:color w:val="000000" w:themeColor="text1"/>
          <w:szCs w:val="21"/>
          <w:highlight w:val="none"/>
          <w:u w:val="single"/>
          <w:lang w:bidi="ar"/>
          <w14:textFill>
            <w14:solidFill>
              <w14:schemeClr w14:val="tx1"/>
            </w14:solidFill>
          </w14:textFill>
        </w:rPr>
        <w:t>暂</w:t>
      </w:r>
      <w:r>
        <w:rPr>
          <w:rFonts w:hint="eastAsia" w:ascii="宋体" w:hAnsi="Calibri" w:cs="宋体"/>
          <w:color w:val="000000" w:themeColor="text1"/>
          <w:szCs w:val="21"/>
          <w:highlight w:val="none"/>
          <w:u w:val="single"/>
          <w:lang w:val="en-US" w:eastAsia="zh-CN" w:bidi="ar"/>
          <w14:textFill>
            <w14:solidFill>
              <w14:schemeClr w14:val="tx1"/>
            </w14:solidFill>
          </w14:textFill>
        </w:rPr>
        <w:t>估</w:t>
      </w:r>
      <w:r>
        <w:rPr>
          <w:rFonts w:hint="eastAsia" w:ascii="宋体" w:hAnsi="Calibri" w:cs="宋体"/>
          <w:color w:val="000000" w:themeColor="text1"/>
          <w:szCs w:val="21"/>
          <w:highlight w:val="none"/>
          <w:u w:val="single"/>
          <w:lang w:bidi="ar"/>
          <w14:textFill>
            <w14:solidFill>
              <w14:schemeClr w14:val="tx1"/>
            </w14:solidFill>
          </w14:textFill>
        </w:rPr>
        <w:t>价材料明细详见招标人预算书。</w:t>
      </w:r>
    </w:p>
    <w:p w14:paraId="7163184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w:t>
      </w:r>
      <w:bookmarkStart w:id="423" w:name="_Toc318581177"/>
      <w:bookmarkStart w:id="424" w:name="_Toc312678035"/>
      <w:bookmarkStart w:id="425" w:name="_Toc312677509"/>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0.7.1 依法必须招标的</w:t>
      </w:r>
      <w:r>
        <w:rPr>
          <w:rFonts w:hint="eastAsia" w:ascii="宋体" w:hAnsi="Calibri" w:cs="宋体"/>
          <w:color w:val="000000" w:themeColor="text1"/>
          <w:kern w:val="2"/>
          <w:sz w:val="21"/>
          <w:szCs w:val="21"/>
          <w:highlight w:val="none"/>
          <w:lang w:val="en-US" w:eastAsia="zh-CN" w:bidi="ar"/>
          <w14:textFill>
            <w14:solidFill>
              <w14:schemeClr w14:val="tx1"/>
            </w14:solidFill>
          </w14:textFill>
        </w:rPr>
        <w:t>暂定价</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项目</w:t>
      </w:r>
      <w:bookmarkEnd w:id="423"/>
      <w:bookmarkEnd w:id="424"/>
      <w:bookmarkEnd w:id="425"/>
    </w:p>
    <w:p w14:paraId="77007E32">
      <w:pPr>
        <w:pageBreakBefore w:val="0"/>
        <w:kinsoku/>
        <w:wordWrap/>
        <w:overflowPunct/>
        <w:topLinePunct w:val="0"/>
        <w:bidi w:val="0"/>
        <w:spacing w:line="340" w:lineRule="exact"/>
        <w:ind w:firstLine="420" w:firstLineChars="200"/>
        <w:textAlignment w:val="auto"/>
        <w:rPr>
          <w:rFonts w:hint="eastAsia" w:ascii="宋体" w:hAnsi="Calibri" w:cs="宋体"/>
          <w:color w:val="000000" w:themeColor="text1"/>
          <w:szCs w:val="21"/>
          <w:highlight w:val="none"/>
          <w:u w:val="single"/>
          <w:lang w:val="en-US" w:bidi="ar"/>
          <w14:textFill>
            <w14:solidFill>
              <w14:schemeClr w14:val="tx1"/>
            </w14:solidFill>
          </w14:textFill>
        </w:rPr>
      </w:pPr>
      <w:r>
        <w:rPr>
          <w:rFonts w:hint="eastAsia" w:ascii="宋体" w:hAnsi="Calibri" w:cs="宋体"/>
          <w:color w:val="000000" w:themeColor="text1"/>
          <w:szCs w:val="21"/>
          <w:highlight w:val="none"/>
          <w:u w:val="single"/>
          <w:lang w:bidi="ar"/>
          <w14:textFill>
            <w14:solidFill>
              <w14:schemeClr w14:val="tx1"/>
            </w14:solidFill>
          </w14:textFill>
        </w:rPr>
        <w:t>无承包价（暂定价）或工程变更新增的单项材料、设备、专业分包工程估算价在</w:t>
      </w:r>
      <w:r>
        <w:rPr>
          <w:rFonts w:hint="eastAsia" w:ascii="宋体" w:hAnsi="Calibri" w:cs="宋体"/>
          <w:color w:val="000000" w:themeColor="text1"/>
          <w:szCs w:val="21"/>
          <w:highlight w:val="none"/>
          <w:u w:val="single"/>
          <w:lang w:val="en-US" w:eastAsia="zh-CN" w:bidi="ar"/>
          <w14:textFill>
            <w14:solidFill>
              <w14:schemeClr w14:val="tx1"/>
            </w14:solidFill>
          </w14:textFill>
        </w:rPr>
        <w:t>50</w:t>
      </w:r>
      <w:r>
        <w:rPr>
          <w:rFonts w:hint="eastAsia" w:ascii="宋体" w:hAnsi="Calibri" w:cs="宋体"/>
          <w:color w:val="000000" w:themeColor="text1"/>
          <w:szCs w:val="21"/>
          <w:highlight w:val="none"/>
          <w:u w:val="single"/>
          <w:lang w:bidi="ar"/>
          <w14:textFill>
            <w14:solidFill>
              <w14:schemeClr w14:val="tx1"/>
            </w14:solidFill>
          </w14:textFill>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5E81DFC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10.7.2 不属于依法必须招标的</w:t>
      </w:r>
      <w:r>
        <w:rPr>
          <w:rFonts w:hint="eastAsia" w:ascii="宋体" w:hAnsi="Calibri" w:cs="宋体"/>
          <w:color w:val="000000" w:themeColor="text1"/>
          <w:kern w:val="2"/>
          <w:sz w:val="21"/>
          <w:szCs w:val="21"/>
          <w:highlight w:val="none"/>
          <w:lang w:val="en-US" w:eastAsia="zh-CN" w:bidi="ar"/>
          <w14:textFill>
            <w14:solidFill>
              <w14:schemeClr w14:val="tx1"/>
            </w14:solidFill>
          </w14:textFill>
        </w:rPr>
        <w:t>暂定价</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项目</w:t>
      </w:r>
    </w:p>
    <w:p w14:paraId="5E9F602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w:t>
      </w:r>
    </w:p>
    <w:p w14:paraId="2458016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第3种方式：</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承包人直接实施的</w:t>
      </w:r>
      <w:r>
        <w:rPr>
          <w:rFonts w:hint="eastAsia" w:ascii="宋体" w:hAnsi="Calibri" w:cs="宋体"/>
          <w:color w:val="000000" w:themeColor="text1"/>
          <w:kern w:val="0"/>
          <w:sz w:val="21"/>
          <w:szCs w:val="21"/>
          <w:highlight w:val="none"/>
          <w:lang w:val="en-US" w:eastAsia="zh-CN" w:bidi="ar"/>
          <w14:textFill>
            <w14:solidFill>
              <w14:schemeClr w14:val="tx1"/>
            </w14:solidFill>
          </w14:textFill>
        </w:rPr>
        <w:t>暂定价</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项目</w:t>
      </w:r>
    </w:p>
    <w:p w14:paraId="6CFA6F2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承包人直接实施的</w:t>
      </w:r>
      <w:r>
        <w:rPr>
          <w:rFonts w:hint="eastAsia" w:ascii="宋体" w:hAnsi="Calibri" w:cs="宋体"/>
          <w:color w:val="000000" w:themeColor="text1"/>
          <w:kern w:val="2"/>
          <w:sz w:val="21"/>
          <w:szCs w:val="21"/>
          <w:highlight w:val="none"/>
          <w:lang w:val="en-US" w:eastAsia="zh-CN" w:bidi="ar"/>
          <w14:textFill>
            <w14:solidFill>
              <w14:schemeClr w14:val="tx1"/>
            </w14:solidFill>
          </w14:textFill>
        </w:rPr>
        <w:t>暂定价</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项目的约定：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390D869">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10.8 </w:t>
      </w:r>
      <w:r>
        <w:rPr>
          <w:rFonts w:hint="eastAsia" w:ascii="宋体" w:hAnsi="Calibri" w:cs="宋体"/>
          <w:color w:val="000000" w:themeColor="text1"/>
          <w:kern w:val="2"/>
          <w:sz w:val="21"/>
          <w:szCs w:val="21"/>
          <w:highlight w:val="none"/>
          <w:lang w:val="en-US" w:eastAsia="zh-CN" w:bidi="ar"/>
          <w14:textFill>
            <w14:solidFill>
              <w14:schemeClr w14:val="tx1"/>
            </w14:solidFill>
          </w14:textFill>
        </w:rPr>
        <w:t>暂列金</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额</w:t>
      </w:r>
    </w:p>
    <w:p w14:paraId="77D3155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合同当事人关于</w:t>
      </w:r>
      <w:r>
        <w:rPr>
          <w:rFonts w:hint="eastAsia" w:ascii="宋体" w:hAnsi="Calibri" w:cs="宋体"/>
          <w:color w:val="000000" w:themeColor="text1"/>
          <w:kern w:val="0"/>
          <w:sz w:val="21"/>
          <w:szCs w:val="21"/>
          <w:highlight w:val="none"/>
          <w:lang w:val="en-US" w:eastAsia="zh-CN" w:bidi="ar"/>
          <w14:textFill>
            <w14:solidFill>
              <w14:schemeClr w14:val="tx1"/>
            </w14:solidFill>
          </w14:textFill>
        </w:rPr>
        <w:t>暂列金</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额使用的约定：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具体由发包人确定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643F81A0">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426" w:name="_Toc351203643"/>
      <w:r>
        <w:rPr>
          <w:rFonts w:hint="eastAsia" w:ascii="宋体" w:hAnsi="Arial" w:eastAsia="宋体" w:cs="宋体"/>
          <w:color w:val="000000" w:themeColor="text1"/>
          <w:sz w:val="21"/>
          <w:szCs w:val="21"/>
          <w:highlight w:val="none"/>
          <w:lang w:val="en-US"/>
          <w14:textFill>
            <w14:solidFill>
              <w14:schemeClr w14:val="tx1"/>
            </w14:solidFill>
          </w14:textFill>
        </w:rPr>
        <w:t xml:space="preserve">11. </w:t>
      </w:r>
      <w:r>
        <w:rPr>
          <w:rFonts w:hint="eastAsia" w:ascii="宋体" w:hAnsi="Arial" w:eastAsia="宋体" w:cs="宋体"/>
          <w:color w:val="000000" w:themeColor="text1"/>
          <w:sz w:val="21"/>
          <w:szCs w:val="21"/>
          <w:highlight w:val="none"/>
          <w:lang w:eastAsia="zh-CN"/>
          <w14:textFill>
            <w14:solidFill>
              <w14:schemeClr w14:val="tx1"/>
            </w14:solidFill>
          </w14:textFill>
        </w:rPr>
        <w:t>价格调整</w:t>
      </w:r>
      <w:bookmarkEnd w:id="426"/>
    </w:p>
    <w:p w14:paraId="494641F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427" w:name="_Toc297120501"/>
      <w:bookmarkStart w:id="428" w:name="_Toc296503201"/>
      <w:bookmarkStart w:id="429" w:name="_Toc297216209"/>
      <w:bookmarkStart w:id="430" w:name="_Toc300935000"/>
      <w:bookmarkStart w:id="431" w:name="_Toc296346702"/>
      <w:bookmarkStart w:id="432" w:name="_Toc297048387"/>
      <w:bookmarkStart w:id="433" w:name="_Toc292559406"/>
      <w:bookmarkStart w:id="434" w:name="_Toc303539157"/>
      <w:bookmarkStart w:id="435" w:name="_Toc296891029"/>
      <w:bookmarkStart w:id="436" w:name="_Toc304295577"/>
      <w:bookmarkStart w:id="437" w:name="_Toc296347200"/>
      <w:bookmarkStart w:id="438" w:name="_Toc297123550"/>
      <w:bookmarkStart w:id="439" w:name="_Toc292559911"/>
      <w:bookmarkStart w:id="440" w:name="_Toc296944540"/>
      <w:bookmarkStart w:id="441" w:name="_Toc296891241"/>
      <w:bookmarkStart w:id="442" w:name="_Toc312678039"/>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11.1 市场价格波动引起的调整</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4FBD33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市场价格波动是否调整合同价格的约定：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均不予以调整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D8AD886">
      <w:pPr>
        <w:pStyle w:val="11"/>
        <w:keepNext w:val="0"/>
        <w:keepLines w:val="0"/>
        <w:pageBreakBefore w:val="0"/>
        <w:widowControl w:val="0"/>
        <w:tabs>
          <w:tab w:val="left" w:pos="574"/>
        </w:tabs>
        <w:kinsoku/>
        <w:wordWrap/>
        <w:overflowPunct/>
        <w:topLinePunct w:val="0"/>
        <w:autoSpaceDE/>
        <w:autoSpaceDN/>
        <w:bidi w:val="0"/>
        <w:adjustRightInd/>
        <w:snapToGrid/>
        <w:spacing w:line="340" w:lineRule="exact"/>
        <w:ind w:firstLine="420" w:firstLineChars="200"/>
        <w:textAlignment w:val="auto"/>
        <w:rPr>
          <w:rFonts w:hint="eastAsia"/>
          <w:color w:val="000000" w:themeColor="text1"/>
          <w:sz w:val="21"/>
          <w:szCs w:val="21"/>
          <w:highlight w:val="none"/>
          <w:lang w:val="en-US"/>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11.2 法律变化引起的调整 ：</w:t>
      </w:r>
      <w:r>
        <w:rPr>
          <w:rFonts w:hint="eastAsia" w:hAnsi="仿宋"/>
          <w:color w:val="000000" w:themeColor="text1"/>
          <w:sz w:val="21"/>
          <w:szCs w:val="21"/>
          <w:highlight w:val="none"/>
          <w:u w:val="single"/>
          <w14:textFill>
            <w14:solidFill>
              <w14:schemeClr w14:val="tx1"/>
            </w14:solidFill>
          </w14:textFill>
        </w:rPr>
        <w:t>基准日期以后变化由发包人承担，但由承包人原因导致工期延误时的法律变化引起合同价增加的由承包人承担，合同价下降的由发包人受益。</w:t>
      </w:r>
    </w:p>
    <w:bookmarkEnd w:id="169"/>
    <w:bookmarkEnd w:id="170"/>
    <w:bookmarkEnd w:id="171"/>
    <w:bookmarkEnd w:id="172"/>
    <w:bookmarkEnd w:id="173"/>
    <w:bookmarkEnd w:id="174"/>
    <w:p w14:paraId="1489381B">
      <w:pPr>
        <w:pStyle w:val="5"/>
        <w:pageBreakBefore w:val="0"/>
        <w:widowControl/>
        <w:kinsoku/>
        <w:wordWrap/>
        <w:overflowPunct/>
        <w:topLinePunct w:val="0"/>
        <w:bidi w:val="0"/>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443" w:name="_Toc296346706"/>
      <w:bookmarkStart w:id="444" w:name="_Toc292559410"/>
      <w:bookmarkStart w:id="445" w:name="_Toc297048391"/>
      <w:bookmarkStart w:id="446" w:name="_Toc297120505"/>
      <w:bookmarkStart w:id="447" w:name="_Toc296891033"/>
      <w:bookmarkStart w:id="448" w:name="_Toc296944544"/>
      <w:bookmarkStart w:id="449" w:name="_Toc296891245"/>
      <w:bookmarkStart w:id="450" w:name="_Toc292559915"/>
      <w:bookmarkStart w:id="451" w:name="_Toc296503205"/>
      <w:bookmarkStart w:id="452" w:name="_Toc296347204"/>
      <w:bookmarkStart w:id="453" w:name="_Toc351203644"/>
      <w:bookmarkStart w:id="454" w:name="_Toc303539159"/>
      <w:bookmarkStart w:id="455" w:name="_Toc297123552"/>
      <w:bookmarkStart w:id="456" w:name="_Toc297216211"/>
      <w:bookmarkStart w:id="457" w:name="_Toc304295579"/>
      <w:bookmarkStart w:id="458" w:name="_Toc312678040"/>
      <w:bookmarkStart w:id="459" w:name="_Toc300935002"/>
      <w:r>
        <w:rPr>
          <w:rFonts w:hint="eastAsia" w:ascii="宋体" w:hAnsi="Arial" w:eastAsia="宋体" w:cs="宋体"/>
          <w:color w:val="000000" w:themeColor="text1"/>
          <w:sz w:val="21"/>
          <w:szCs w:val="21"/>
          <w:highlight w:val="none"/>
          <w:lang w:val="en-US"/>
          <w14:textFill>
            <w14:solidFill>
              <w14:schemeClr w14:val="tx1"/>
            </w14:solidFill>
          </w14:textFill>
        </w:rPr>
        <w:t xml:space="preserve">12. </w:t>
      </w:r>
      <w:bookmarkEnd w:id="443"/>
      <w:bookmarkEnd w:id="444"/>
      <w:bookmarkEnd w:id="445"/>
      <w:bookmarkEnd w:id="446"/>
      <w:bookmarkEnd w:id="447"/>
      <w:bookmarkEnd w:id="448"/>
      <w:bookmarkEnd w:id="449"/>
      <w:bookmarkEnd w:id="450"/>
      <w:bookmarkEnd w:id="451"/>
      <w:bookmarkEnd w:id="452"/>
      <w:r>
        <w:rPr>
          <w:rFonts w:hint="eastAsia" w:ascii="宋体" w:hAnsi="Arial" w:eastAsia="宋体" w:cs="宋体"/>
          <w:color w:val="000000" w:themeColor="text1"/>
          <w:sz w:val="21"/>
          <w:szCs w:val="21"/>
          <w:highlight w:val="none"/>
          <w:lang w:eastAsia="zh-CN"/>
          <w14:textFill>
            <w14:solidFill>
              <w14:schemeClr w14:val="tx1"/>
            </w14:solidFill>
          </w14:textFill>
        </w:rPr>
        <w:t>合同价格、计量与支付</w:t>
      </w:r>
      <w:bookmarkEnd w:id="453"/>
    </w:p>
    <w:bookmarkEnd w:id="454"/>
    <w:bookmarkEnd w:id="455"/>
    <w:bookmarkEnd w:id="456"/>
    <w:bookmarkEnd w:id="457"/>
    <w:bookmarkEnd w:id="458"/>
    <w:bookmarkEnd w:id="459"/>
    <w:p w14:paraId="44A9C1D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460" w:name="_Toc292559411"/>
      <w:bookmarkStart w:id="461" w:name="_Toc292559916"/>
      <w:bookmarkStart w:id="462" w:name="_Toc267251461"/>
      <w:bookmarkStart w:id="463" w:name="_Toc297120506"/>
      <w:bookmarkStart w:id="464" w:name="_Toc296944545"/>
      <w:bookmarkStart w:id="465" w:name="_Toc296347205"/>
      <w:bookmarkStart w:id="466" w:name="_Toc296346707"/>
      <w:bookmarkStart w:id="467" w:name="_Toc296891034"/>
      <w:bookmarkStart w:id="468" w:name="_Toc296503206"/>
      <w:bookmarkStart w:id="469" w:name="_Toc297048392"/>
      <w:bookmarkStart w:id="470" w:name="_Toc296891246"/>
      <w:bookmarkStart w:id="471" w:name="_Toc300935003"/>
      <w:bookmarkStart w:id="472" w:name="_Toc297123553"/>
      <w:bookmarkStart w:id="473" w:name="_Toc297216212"/>
      <w:bookmarkStart w:id="474" w:name="_Toc312678041"/>
      <w:bookmarkStart w:id="475" w:name="_Toc303539160"/>
      <w:bookmarkStart w:id="476" w:name="_Toc304295580"/>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12.1 合</w:t>
      </w:r>
      <w:bookmarkEnd w:id="460"/>
      <w:bookmarkEnd w:id="461"/>
      <w:bookmarkEnd w:id="462"/>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同价</w:t>
      </w:r>
      <w:bookmarkEnd w:id="463"/>
      <w:bookmarkEnd w:id="464"/>
      <w:bookmarkEnd w:id="465"/>
      <w:bookmarkEnd w:id="466"/>
      <w:bookmarkEnd w:id="467"/>
      <w:bookmarkEnd w:id="468"/>
      <w:bookmarkEnd w:id="469"/>
      <w:bookmarkEnd w:id="470"/>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格形式</w:t>
      </w:r>
    </w:p>
    <w:p w14:paraId="22F067B8">
      <w:pPr>
        <w:pStyle w:val="24"/>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firstLine="420" w:firstLineChars="200"/>
        <w:jc w:val="both"/>
        <w:textAlignment w:val="auto"/>
        <w:rPr>
          <w:color w:val="000000" w:themeColor="text1"/>
          <w:szCs w:val="21"/>
          <w:highlight w:val="none"/>
          <w:lang w:val="en-US"/>
          <w14:textFill>
            <w14:solidFill>
              <w14:schemeClr w14:val="tx1"/>
            </w14:solidFill>
          </w14:textFill>
        </w:rPr>
      </w:pPr>
      <w:r>
        <w:rPr>
          <w:rFonts w:hint="eastAsia" w:ascii="宋体" w:hAnsi="Times New Roman" w:eastAsia="宋体" w:cs="Times New Roman"/>
          <w:color w:val="000000" w:themeColor="text1"/>
          <w:kern w:val="0"/>
          <w:sz w:val="21"/>
          <w:szCs w:val="21"/>
          <w:highlight w:val="none"/>
          <w:lang w:val="en-US" w:eastAsia="zh-CN" w:bidi="ar"/>
          <w14:textFill>
            <w14:solidFill>
              <w14:schemeClr w14:val="tx1"/>
            </w14:solidFill>
          </w14:textFill>
        </w:rPr>
        <w:t>本合同价款采用第</w:t>
      </w: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1  </w:t>
      </w:r>
      <w:r>
        <w:rPr>
          <w:rFonts w:hint="eastAsia" w:ascii="宋体" w:hAnsi="Times New Roman" w:eastAsia="宋体" w:cs="Times New Roman"/>
          <w:color w:val="000000" w:themeColor="text1"/>
          <w:kern w:val="0"/>
          <w:sz w:val="21"/>
          <w:szCs w:val="21"/>
          <w:highlight w:val="none"/>
          <w:lang w:val="en-US" w:eastAsia="zh-CN" w:bidi="ar"/>
          <w14:textFill>
            <w14:solidFill>
              <w14:schemeClr w14:val="tx1"/>
            </w14:solidFill>
          </w14:textFill>
        </w:rPr>
        <w:t>种方式</w:t>
      </w: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单价合同   </w:t>
      </w:r>
      <w:r>
        <w:rPr>
          <w:rFonts w:hint="eastAsia" w:ascii="宋体" w:hAnsi="Times New Roman" w:eastAsia="宋体" w:cs="Times New Roman"/>
          <w:color w:val="000000" w:themeColor="text1"/>
          <w:kern w:val="0"/>
          <w:sz w:val="21"/>
          <w:szCs w:val="21"/>
          <w:highlight w:val="none"/>
          <w:lang w:val="en-US" w:eastAsia="zh-CN" w:bidi="ar"/>
          <w14:textFill>
            <w14:solidFill>
              <w14:schemeClr w14:val="tx1"/>
            </w14:solidFill>
          </w14:textFill>
        </w:rPr>
        <w:t>确定。</w:t>
      </w:r>
    </w:p>
    <w:bookmarkEnd w:id="471"/>
    <w:bookmarkEnd w:id="472"/>
    <w:bookmarkEnd w:id="473"/>
    <w:bookmarkEnd w:id="474"/>
    <w:bookmarkEnd w:id="475"/>
    <w:bookmarkEnd w:id="476"/>
    <w:p w14:paraId="4FB88FA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1、单价合同。</w:t>
      </w:r>
    </w:p>
    <w:p w14:paraId="557364FF">
      <w:pPr>
        <w:pStyle w:val="24"/>
        <w:keepNext w:val="0"/>
        <w:keepLines w:val="0"/>
        <w:pageBreakBefore w:val="0"/>
        <w:widowControl/>
        <w:suppressLineNumbers w:val="0"/>
        <w:kinsoku/>
        <w:wordWrap/>
        <w:overflowPunct/>
        <w:topLinePunct w:val="0"/>
        <w:bidi w:val="0"/>
        <w:adjustRightInd w:val="0"/>
        <w:spacing w:before="0" w:beforeAutospacing="0" w:after="0" w:afterAutospacing="0" w:line="340" w:lineRule="exact"/>
        <w:ind w:left="0" w:right="0" w:firstLine="420" w:firstLineChars="200"/>
        <w:jc w:val="both"/>
        <w:textAlignment w:val="auto"/>
        <w:rPr>
          <w:color w:val="000000" w:themeColor="text1"/>
          <w:szCs w:val="21"/>
          <w:highlight w:val="none"/>
          <w:u w:val="single"/>
          <w:lang w:val="en-US"/>
          <w14:textFill>
            <w14:solidFill>
              <w14:schemeClr w14:val="tx1"/>
            </w14:solidFill>
          </w14:textFill>
        </w:rPr>
      </w:pPr>
      <w:r>
        <w:rPr>
          <w:rFonts w:hint="eastAsia" w:hAnsi="Times New Roman" w:cs="Times New Roman"/>
          <w:color w:val="000000" w:themeColor="text1"/>
          <w:kern w:val="0"/>
          <w:sz w:val="21"/>
          <w:szCs w:val="21"/>
          <w:highlight w:val="none"/>
          <w:u w:val="single"/>
          <w:lang w:val="en-US" w:eastAsia="zh-CN" w:bidi="ar"/>
          <w14:textFill>
            <w14:solidFill>
              <w14:schemeClr w14:val="tx1"/>
            </w14:solidFill>
          </w14:textFill>
        </w:rPr>
        <w:t>折扣</w:t>
      </w: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率一次性包干</w:t>
      </w:r>
      <w:r>
        <w:rPr>
          <w:rFonts w:hint="eastAsia" w:hAnsi="Times New Roman" w:cs="Times New Roman"/>
          <w:color w:val="000000" w:themeColor="text1"/>
          <w:kern w:val="0"/>
          <w:sz w:val="21"/>
          <w:szCs w:val="21"/>
          <w:highlight w:val="none"/>
          <w:u w:val="single"/>
          <w:lang w:val="en-US" w:eastAsia="zh-CN" w:bidi="ar"/>
          <w14:textFill>
            <w14:solidFill>
              <w14:schemeClr w14:val="tx1"/>
            </w14:solidFill>
          </w14:textFill>
        </w:rPr>
        <w:t>。</w:t>
      </w:r>
    </w:p>
    <w:p w14:paraId="4E65CBA6">
      <w:pPr>
        <w:pStyle w:val="15"/>
        <w:pageBreakBefore w:val="0"/>
        <w:widowControl/>
        <w:kinsoku/>
        <w:wordWrap/>
        <w:overflowPunct/>
        <w:topLinePunct w:val="0"/>
        <w:bidi w:val="0"/>
        <w:adjustRightInd w:val="0"/>
        <w:spacing w:line="340" w:lineRule="exact"/>
        <w:ind w:firstLine="420" w:firstLineChars="200"/>
        <w:textAlignment w:val="auto"/>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u w:val="single"/>
          <w14:textFill>
            <w14:solidFill>
              <w14:schemeClr w14:val="tx1"/>
            </w14:solidFill>
          </w14:textFill>
        </w:rPr>
        <w:t>除风险范围以外约定的调整外，以下内容按招标人预算书一次性包干，结算时不得调整：</w:t>
      </w:r>
    </w:p>
    <w:p w14:paraId="268B3717">
      <w:pPr>
        <w:pStyle w:val="15"/>
        <w:pageBreakBefore w:val="0"/>
        <w:widowControl/>
        <w:kinsoku/>
        <w:wordWrap/>
        <w:overflowPunct/>
        <w:topLinePunct w:val="0"/>
        <w:bidi w:val="0"/>
        <w:adjustRightInd w:val="0"/>
        <w:spacing w:line="340" w:lineRule="exact"/>
        <w:ind w:firstLine="420" w:firstLineChars="200"/>
        <w:textAlignment w:val="auto"/>
        <w:rPr>
          <w:rFonts w:hAnsi="宋体"/>
          <w:color w:val="000000" w:themeColor="text1"/>
          <w:kern w:val="0"/>
          <w:szCs w:val="21"/>
          <w:highlight w:val="none"/>
          <w:u w:val="single"/>
          <w14:textFill>
            <w14:solidFill>
              <w14:schemeClr w14:val="tx1"/>
            </w14:solidFill>
          </w14:textFill>
        </w:rPr>
      </w:pPr>
      <w:r>
        <w:rPr>
          <w:rFonts w:hint="eastAsia" w:hAnsi="宋体"/>
          <w:color w:val="000000" w:themeColor="text1"/>
          <w:kern w:val="0"/>
          <w:szCs w:val="21"/>
          <w:highlight w:val="none"/>
          <w:u w:val="single"/>
          <w14:textFill>
            <w14:solidFill>
              <w14:schemeClr w14:val="tx1"/>
            </w14:solidFill>
          </w14:textFill>
        </w:rPr>
        <w:t>1）结算率；</w:t>
      </w:r>
    </w:p>
    <w:p w14:paraId="57F9D3B8">
      <w:pPr>
        <w:pStyle w:val="15"/>
        <w:pageBreakBefore w:val="0"/>
        <w:widowControl/>
        <w:kinsoku/>
        <w:wordWrap/>
        <w:overflowPunct/>
        <w:topLinePunct w:val="0"/>
        <w:bidi w:val="0"/>
        <w:adjustRightInd w:val="0"/>
        <w:spacing w:line="340" w:lineRule="exact"/>
        <w:ind w:firstLine="420" w:firstLineChars="200"/>
        <w:textAlignment w:val="auto"/>
        <w:rPr>
          <w:rFonts w:hAnsi="宋体"/>
          <w:color w:val="000000" w:themeColor="text1"/>
          <w:kern w:val="0"/>
          <w:szCs w:val="21"/>
          <w:highlight w:val="none"/>
          <w:u w:val="single"/>
          <w14:textFill>
            <w14:solidFill>
              <w14:schemeClr w14:val="tx1"/>
            </w14:solidFill>
          </w14:textFill>
        </w:rPr>
      </w:pPr>
      <w:r>
        <w:rPr>
          <w:rFonts w:hint="eastAsia" w:hAnsi="宋体"/>
          <w:color w:val="000000" w:themeColor="text1"/>
          <w:kern w:val="0"/>
          <w:szCs w:val="21"/>
          <w:highlight w:val="none"/>
          <w:u w:val="single"/>
          <w14:textFill>
            <w14:solidFill>
              <w14:schemeClr w14:val="tx1"/>
            </w14:solidFill>
          </w14:textFill>
        </w:rPr>
        <w:t>2）施工组织措施费费率、企业管理费费率、利润率、规费费率、税金税率等预算中的费率；</w:t>
      </w:r>
    </w:p>
    <w:p w14:paraId="627DC808">
      <w:pPr>
        <w:pStyle w:val="15"/>
        <w:pageBreakBefore w:val="0"/>
        <w:widowControl/>
        <w:kinsoku/>
        <w:wordWrap/>
        <w:overflowPunct/>
        <w:topLinePunct w:val="0"/>
        <w:bidi w:val="0"/>
        <w:adjustRightInd w:val="0"/>
        <w:spacing w:line="340" w:lineRule="exact"/>
        <w:ind w:firstLine="420" w:firstLineChars="200"/>
        <w:textAlignment w:val="auto"/>
        <w:rPr>
          <w:rFonts w:hAnsi="宋体"/>
          <w:color w:val="000000" w:themeColor="text1"/>
          <w:kern w:val="0"/>
          <w:szCs w:val="21"/>
          <w:highlight w:val="none"/>
          <w:u w:val="single"/>
          <w14:textFill>
            <w14:solidFill>
              <w14:schemeClr w14:val="tx1"/>
            </w14:solidFill>
          </w14:textFill>
        </w:rPr>
      </w:pPr>
      <w:r>
        <w:rPr>
          <w:rFonts w:hint="eastAsia" w:hAnsi="宋体"/>
          <w:color w:val="000000" w:themeColor="text1"/>
          <w:kern w:val="0"/>
          <w:szCs w:val="21"/>
          <w:highlight w:val="none"/>
          <w:u w:val="single"/>
          <w14:textFill>
            <w14:solidFill>
              <w14:schemeClr w14:val="tx1"/>
            </w14:solidFill>
          </w14:textFill>
        </w:rPr>
        <w:t>3）所有人材机价格；</w:t>
      </w:r>
    </w:p>
    <w:p w14:paraId="737B8B46">
      <w:pPr>
        <w:pageBreakBefore w:val="0"/>
        <w:kinsoku/>
        <w:wordWrap/>
        <w:overflowPunct/>
        <w:topLinePunct w:val="0"/>
        <w:autoSpaceDE w:val="0"/>
        <w:autoSpaceDN w:val="0"/>
        <w:bidi w:val="0"/>
        <w:spacing w:line="340" w:lineRule="exact"/>
        <w:ind w:firstLine="420" w:firstLineChars="200"/>
        <w:textAlignment w:val="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4）计日工综合单价（工数经发包人签证，</w:t>
      </w:r>
      <w:r>
        <w:rPr>
          <w:rFonts w:hint="eastAsia" w:ascii="宋体" w:hAnsi="宋体"/>
          <w:color w:val="000000" w:themeColor="text1"/>
          <w:kern w:val="0"/>
          <w:szCs w:val="21"/>
          <w:highlight w:val="none"/>
          <w:u w:val="single"/>
          <w14:textFill>
            <w14:solidFill>
              <w14:schemeClr w14:val="tx1"/>
            </w14:solidFill>
          </w14:textFill>
        </w:rPr>
        <w:t>综合单价按技术工</w:t>
      </w:r>
      <w:r>
        <w:rPr>
          <w:rFonts w:hint="eastAsia" w:ascii="宋体" w:hAnsi="宋体"/>
          <w:color w:val="000000" w:themeColor="text1"/>
          <w:kern w:val="0"/>
          <w:szCs w:val="21"/>
          <w:highlight w:val="none"/>
          <w:u w:val="single"/>
          <w:lang w:val="en-US" w:eastAsia="zh-CN"/>
          <w14:textFill>
            <w14:solidFill>
              <w14:schemeClr w14:val="tx1"/>
            </w14:solidFill>
          </w14:textFill>
        </w:rPr>
        <w:t>260</w:t>
      </w:r>
      <w:r>
        <w:rPr>
          <w:rFonts w:hint="eastAsia" w:ascii="宋体" w:hAnsi="宋体"/>
          <w:color w:val="000000" w:themeColor="text1"/>
          <w:kern w:val="0"/>
          <w:szCs w:val="21"/>
          <w:highlight w:val="none"/>
          <w:u w:val="single"/>
          <w14:textFill>
            <w14:solidFill>
              <w14:schemeClr w14:val="tx1"/>
            </w14:solidFill>
          </w14:textFill>
        </w:rPr>
        <w:t>元/工日、普工</w:t>
      </w:r>
      <w:r>
        <w:rPr>
          <w:rFonts w:hint="eastAsia" w:ascii="宋体" w:hAnsi="宋体"/>
          <w:color w:val="000000" w:themeColor="text1"/>
          <w:kern w:val="0"/>
          <w:szCs w:val="21"/>
          <w:highlight w:val="none"/>
          <w:u w:val="single"/>
          <w:lang w:val="en-US" w:eastAsia="zh-CN"/>
          <w14:textFill>
            <w14:solidFill>
              <w14:schemeClr w14:val="tx1"/>
            </w14:solidFill>
          </w14:textFill>
        </w:rPr>
        <w:t>180</w:t>
      </w:r>
      <w:r>
        <w:rPr>
          <w:rFonts w:hint="eastAsia" w:ascii="宋体" w:hAnsi="宋体"/>
          <w:color w:val="000000" w:themeColor="text1"/>
          <w:kern w:val="0"/>
          <w:szCs w:val="21"/>
          <w:highlight w:val="none"/>
          <w:u w:val="single"/>
          <w14:textFill>
            <w14:solidFill>
              <w14:schemeClr w14:val="tx1"/>
            </w14:solidFill>
          </w14:textFill>
        </w:rPr>
        <w:t>元/工日计取</w:t>
      </w:r>
      <w:r>
        <w:rPr>
          <w:rFonts w:hint="eastAsia" w:ascii="宋体" w:hAnsi="宋体"/>
          <w:color w:val="000000" w:themeColor="text1"/>
          <w:szCs w:val="21"/>
          <w:highlight w:val="none"/>
          <w:u w:val="single"/>
          <w14:textFill>
            <w14:solidFill>
              <w14:schemeClr w14:val="tx1"/>
            </w14:solidFill>
          </w14:textFill>
        </w:rPr>
        <w:t>）</w:t>
      </w:r>
    </w:p>
    <w:p w14:paraId="55E89D05">
      <w:pPr>
        <w:pageBreakBefore w:val="0"/>
        <w:kinsoku/>
        <w:wordWrap/>
        <w:overflowPunct/>
        <w:topLinePunct w:val="0"/>
        <w:autoSpaceDE w:val="0"/>
        <w:autoSpaceDN w:val="0"/>
        <w:bidi w:val="0"/>
        <w:spacing w:line="340" w:lineRule="exact"/>
        <w:ind w:firstLine="420" w:firstLineChars="200"/>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5）其他可能发生的费用：</w:t>
      </w:r>
    </w:p>
    <w:p w14:paraId="05808D2F">
      <w:pPr>
        <w:pageBreakBefore w:val="0"/>
        <w:kinsoku/>
        <w:wordWrap/>
        <w:overflowPunct/>
        <w:topLinePunct w:val="0"/>
        <w:autoSpaceDE w:val="0"/>
        <w:autoSpaceDN w:val="0"/>
        <w:bidi w:val="0"/>
        <w:spacing w:line="340" w:lineRule="exact"/>
        <w:ind w:firstLine="420" w:firstLineChars="200"/>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63D02B5F">
      <w:pPr>
        <w:pageBreakBefore w:val="0"/>
        <w:kinsoku/>
        <w:wordWrap/>
        <w:overflowPunct/>
        <w:topLinePunct w:val="0"/>
        <w:autoSpaceDE w:val="0"/>
        <w:autoSpaceDN w:val="0"/>
        <w:bidi w:val="0"/>
        <w:spacing w:line="340" w:lineRule="exact"/>
        <w:ind w:firstLine="420" w:firstLineChars="200"/>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b.实际施工中可能发生街道管理费、干扰费、环保费、占道押金等其它管理费。</w:t>
      </w:r>
    </w:p>
    <w:p w14:paraId="753C96E1">
      <w:pPr>
        <w:pageBreakBefore w:val="0"/>
        <w:kinsoku/>
        <w:wordWrap/>
        <w:overflowPunct/>
        <w:topLinePunct w:val="0"/>
        <w:autoSpaceDE w:val="0"/>
        <w:autoSpaceDN w:val="0"/>
        <w:bidi w:val="0"/>
        <w:spacing w:line="340" w:lineRule="exact"/>
        <w:ind w:firstLine="420" w:firstLineChars="200"/>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c. 投标人需充分考虑以下影响因素，由此产生的费用计入投标报价中：</w:t>
      </w:r>
    </w:p>
    <w:p w14:paraId="2D92BEDB">
      <w:pPr>
        <w:pageBreakBefore w:val="0"/>
        <w:widowControl/>
        <w:kinsoku/>
        <w:wordWrap/>
        <w:overflowPunct/>
        <w:topLinePunct w:val="0"/>
        <w:bidi w:val="0"/>
        <w:spacing w:line="340" w:lineRule="exact"/>
        <w:ind w:firstLine="420" w:firstLineChars="200"/>
        <w:jc w:val="left"/>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1）施工用水、用电（包括电源、水源、接水、接电）均由承包人自行解决，所需费用计入投标报价中。因受现场条件及工期等因素影响，施工期间不保证24小时正常供电，因此而引起的工期及相关费用的损失由投标人自行负责，投标人应自备发电机，其费用计入措施项目费。</w:t>
      </w:r>
    </w:p>
    <w:p w14:paraId="3327BFCC">
      <w:pPr>
        <w:pageBreakBefore w:val="0"/>
        <w:kinsoku/>
        <w:wordWrap/>
        <w:overflowPunct/>
        <w:topLinePunct w:val="0"/>
        <w:bidi w:val="0"/>
        <w:spacing w:line="340" w:lineRule="exact"/>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(2)环境保护、工程围护、交通维护、警示措施必须按有关部门的要求设置并承担相关费用；施工外围交通标志牌（告示牌）按业主及交管部门要求设置并承担相关费用。</w:t>
      </w:r>
    </w:p>
    <w:p w14:paraId="05D32BC2">
      <w:pPr>
        <w:pageBreakBefore w:val="0"/>
        <w:tabs>
          <w:tab w:val="left" w:pos="360"/>
          <w:tab w:val="left" w:pos="900"/>
        </w:tabs>
        <w:kinsoku/>
        <w:wordWrap/>
        <w:overflowPunct/>
        <w:topLinePunct w:val="0"/>
        <w:bidi w:val="0"/>
        <w:adjustRightInd w:val="0"/>
        <w:snapToGrid w:val="0"/>
        <w:spacing w:before="60" w:after="60" w:line="340" w:lineRule="exact"/>
        <w:ind w:firstLine="420" w:firstLineChars="200"/>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（3）施工期间，应保证沿街居民、店面、单位和小区的正常营业和出入安全，并承担相关费用；与施工交接的已完建（构）筑物、各种管线的保护措施及费用；上述所需费用请在投标报价中予以考虑。</w:t>
      </w:r>
    </w:p>
    <w:p w14:paraId="3B7D5883">
      <w:pPr>
        <w:pageBreakBefore w:val="0"/>
        <w:widowControl/>
        <w:tabs>
          <w:tab w:val="left" w:pos="360"/>
          <w:tab w:val="left" w:pos="900"/>
        </w:tabs>
        <w:kinsoku/>
        <w:wordWrap/>
        <w:overflowPunct/>
        <w:topLinePunct w:val="0"/>
        <w:bidi w:val="0"/>
        <w:adjustRightInd w:val="0"/>
        <w:snapToGrid w:val="0"/>
        <w:spacing w:before="60" w:after="60" w:line="340" w:lineRule="exact"/>
        <w:ind w:firstLine="420" w:firstLineChars="200"/>
        <w:jc w:val="left"/>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（4）本工程施工区域内及周边已有建筑物、道路、给水管道、电力、通信管道、路灯照明、绿化等，中标人在施工过程中必须注意保护，若有损坏，必须原样修复,所需修复费用请在投标报价中予以考虑。</w:t>
      </w:r>
    </w:p>
    <w:p w14:paraId="328EFDD4">
      <w:pPr>
        <w:pageBreakBefore w:val="0"/>
        <w:widowControl/>
        <w:tabs>
          <w:tab w:val="left" w:pos="360"/>
          <w:tab w:val="left" w:pos="900"/>
        </w:tabs>
        <w:kinsoku/>
        <w:wordWrap/>
        <w:overflowPunct/>
        <w:topLinePunct w:val="0"/>
        <w:bidi w:val="0"/>
        <w:adjustRightInd w:val="0"/>
        <w:snapToGrid w:val="0"/>
        <w:spacing w:before="60" w:after="60" w:line="340" w:lineRule="exact"/>
        <w:ind w:firstLine="420" w:firstLineChars="200"/>
        <w:jc w:val="left"/>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（5）垃圾清理及外运，所有施工中产生的建筑垃圾等在施工完成后必须清理外运，运距、堆放地点及相关部门涉及的各项费用承包人自行考虑解决。</w:t>
      </w:r>
    </w:p>
    <w:p w14:paraId="40AE2EF4">
      <w:pPr>
        <w:pageBreakBefore w:val="0"/>
        <w:kinsoku/>
        <w:wordWrap/>
        <w:overflowPunct/>
        <w:topLinePunct w:val="0"/>
        <w:bidi w:val="0"/>
        <w:spacing w:line="340" w:lineRule="exact"/>
        <w:ind w:firstLine="420" w:firstLineChars="200"/>
        <w:textAlignment w:val="auto"/>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6）施工办公用房场地、材料堆放及加工场地均由中标人自行解决，中标人应充分考虑施工场地内部道路狭窄对材料运输、堆放及施工带来的困难，本工程所采用的材料，投标人在投标报价时必须考虑材料运至工地，到工地后的卸车、二次搬运、保管、验收所产生的费用，请投标人在投标报价的措施费用中予以考虑。工程结算时，不作调整。中标人必须服从业主安排并按业主要求实施。</w:t>
      </w:r>
    </w:p>
    <w:p w14:paraId="627D34D3">
      <w:pPr>
        <w:pageBreakBefore w:val="0"/>
        <w:kinsoku/>
        <w:wordWrap/>
        <w:overflowPunct/>
        <w:topLinePunct w:val="0"/>
        <w:bidi w:val="0"/>
        <w:spacing w:line="370" w:lineRule="exact"/>
        <w:ind w:firstLine="411" w:firstLineChars="196"/>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由于工程施工造成第三方损失、损坏的，由承包人自行与第三方协商解决，协商不一致的，由发包人出面与第三方进行协商解决，由此所发生的费用由承包人承担，或发包人从工程款中代扣。</w:t>
      </w:r>
    </w:p>
    <w:p w14:paraId="062C6A7A">
      <w:pPr>
        <w:pageBreakBefore w:val="0"/>
        <w:kinsoku/>
        <w:wordWrap/>
        <w:overflowPunct/>
        <w:topLinePunct w:val="0"/>
        <w:bidi w:val="0"/>
        <w:spacing w:line="340" w:lineRule="exact"/>
        <w:ind w:firstLine="411" w:firstLineChars="196"/>
        <w:textAlignment w:val="auto"/>
        <w:rPr>
          <w:rFonts w:hint="eastAsia"/>
          <w:color w:val="000000" w:themeColor="text1"/>
          <w:highlight w:val="none"/>
          <w:lang w:val="en-US" w:eastAsia="zh-CN"/>
          <w14:textFill>
            <w14:solidFill>
              <w14:schemeClr w14:val="tx1"/>
            </w14:solidFill>
          </w14:textFill>
        </w:rPr>
      </w:pPr>
      <w:r>
        <w:rPr>
          <w:rFonts w:hint="eastAsia" w:ascii="宋体"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（8）施工单位需要自行编制合理的施工组织方案，采取必要的保护措施；因上述施工造成的损坏，建筑物、构筑物损坏等，承包人需要按原状修复并通过合格验收，费用由承包人自行承担。</w:t>
      </w:r>
    </w:p>
    <w:p w14:paraId="0A1C34DC">
      <w:pPr>
        <w:pageBreakBefore w:val="0"/>
        <w:kinsoku/>
        <w:wordWrap/>
        <w:overflowPunct/>
        <w:topLinePunct w:val="0"/>
        <w:autoSpaceDE w:val="0"/>
        <w:autoSpaceDN w:val="0"/>
        <w:bidi w:val="0"/>
        <w:spacing w:line="370" w:lineRule="exact"/>
        <w:ind w:firstLine="420" w:firstLineChars="200"/>
        <w:textAlignment w:val="auto"/>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以上项目所产生的所有费用由各投标单位自行测算，在投标报价的综合单价中综合考虑所需要的全部费用，工程结算时,不作调整。</w:t>
      </w:r>
    </w:p>
    <w:p w14:paraId="21B6B46B">
      <w:pPr>
        <w:pageBreakBefore w:val="0"/>
        <w:kinsoku/>
        <w:wordWrap/>
        <w:overflowPunct/>
        <w:topLinePunct w:val="0"/>
        <w:bidi w:val="0"/>
        <w:spacing w:line="37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风险费用的计算方法：</w:t>
      </w:r>
      <w:r>
        <w:rPr>
          <w:rFonts w:hint="eastAsia" w:ascii="宋体" w:hAnsi="宋体" w:eastAsia="宋体" w:cs="宋体"/>
          <w:color w:val="000000" w:themeColor="text1"/>
          <w:sz w:val="21"/>
          <w:szCs w:val="21"/>
          <w:highlight w:val="none"/>
          <w:u w:val="single"/>
          <w14:textFill>
            <w14:solidFill>
              <w14:schemeClr w14:val="tx1"/>
            </w14:solidFill>
          </w14:textFill>
        </w:rPr>
        <w:t>已包含在合同价内</w:t>
      </w:r>
      <w:r>
        <w:rPr>
          <w:rFonts w:hint="eastAsia" w:ascii="宋体" w:hAnsi="宋体" w:eastAsia="宋体" w:cs="宋体"/>
          <w:color w:val="000000" w:themeColor="text1"/>
          <w:sz w:val="21"/>
          <w:szCs w:val="21"/>
          <w:highlight w:val="none"/>
          <w14:textFill>
            <w14:solidFill>
              <w14:schemeClr w14:val="tx1"/>
            </w14:solidFill>
          </w14:textFill>
        </w:rPr>
        <w:t>。</w:t>
      </w:r>
    </w:p>
    <w:p w14:paraId="5ADD30A2">
      <w:pPr>
        <w:pStyle w:val="24"/>
        <w:keepNext w:val="0"/>
        <w:keepLines w:val="0"/>
        <w:pageBreakBefore w:val="0"/>
        <w:widowControl/>
        <w:suppressLineNumbers w:val="0"/>
        <w:kinsoku/>
        <w:wordWrap/>
        <w:overflowPunct/>
        <w:topLinePunct w:val="0"/>
        <w:bidi w:val="0"/>
        <w:adjustRightInd w:val="0"/>
        <w:spacing w:before="0" w:beforeAutospacing="0" w:after="0" w:afterAutospacing="0" w:line="370" w:lineRule="exact"/>
        <w:ind w:left="0" w:right="0" w:firstLine="420" w:firstLineChars="200"/>
        <w:jc w:val="both"/>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风险范围以外合同价款调整方法：</w:t>
      </w:r>
    </w:p>
    <w:p w14:paraId="1750F31B">
      <w:pPr>
        <w:pageBreakBefore w:val="0"/>
        <w:kinsoku/>
        <w:wordWrap/>
        <w:overflowPunct/>
        <w:topLinePunct w:val="0"/>
        <w:autoSpaceDE w:val="0"/>
        <w:autoSpaceDN w:val="0"/>
        <w:bidi w:val="0"/>
        <w:spacing w:line="370" w:lineRule="exact"/>
        <w:ind w:firstLine="420" w:firstLineChars="200"/>
        <w:textAlignment w:val="auto"/>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zh-CN"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工程量按照专用条款12.3.1条规定，由承包人计量，发包人及其委托的相关机构审核。</w:t>
      </w:r>
    </w:p>
    <w:p w14:paraId="4D03AC9B">
      <w:pPr>
        <w:pageBreakBefore w:val="0"/>
        <w:kinsoku/>
        <w:wordWrap/>
        <w:overflowPunct/>
        <w:topLinePunct w:val="0"/>
        <w:autoSpaceDE w:val="0"/>
        <w:autoSpaceDN w:val="0"/>
        <w:bidi w:val="0"/>
        <w:spacing w:line="370" w:lineRule="exact"/>
        <w:ind w:firstLine="420" w:firstLineChars="200"/>
        <w:textAlignment w:val="auto"/>
        <w:rPr>
          <w:rFonts w:hint="eastAsia" w:ascii="宋体" w:hAnsi="宋体" w:eastAsia="宋体" w:cs="宋体"/>
          <w:color w:val="000000" w:themeColor="text1"/>
          <w:kern w:val="0"/>
          <w:sz w:val="21"/>
          <w:szCs w:val="21"/>
          <w:highlight w:val="none"/>
          <w:u w:val="single"/>
          <w:lang w:val="zh-CN"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（2）市场价格波动引起的调整按专用合同条款第11.1款约定调整。</w:t>
      </w:r>
    </w:p>
    <w:p w14:paraId="2F093C0A">
      <w:pPr>
        <w:keepNext w:val="0"/>
        <w:keepLines w:val="0"/>
        <w:pageBreakBefore w:val="0"/>
        <w:widowControl/>
        <w:suppressLineNumbers w:val="0"/>
        <w:kinsoku/>
        <w:wordWrap/>
        <w:overflowPunct/>
        <w:topLinePunct w:val="0"/>
        <w:bidi w:val="0"/>
        <w:spacing w:line="37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风险范围以外的合同价款调整引起总价的变化，结算时仍执行结算率。</w:t>
      </w:r>
    </w:p>
    <w:p w14:paraId="5091431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2、总价合同。</w:t>
      </w:r>
    </w:p>
    <w:p w14:paraId="305BFEC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总价包含的风险范围：</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92DF49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风险费用的计算方法：</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578535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风险范围以外合同价格的调整方法：</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       </w:t>
      </w:r>
    </w:p>
    <w:p w14:paraId="628F1E1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3、其他价格方式：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74EADD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477" w:name="_Toc297216213"/>
      <w:bookmarkStart w:id="478" w:name="_Toc304295581"/>
      <w:bookmarkStart w:id="479" w:name="_Toc297123554"/>
      <w:bookmarkStart w:id="480" w:name="_Toc300935004"/>
      <w:bookmarkStart w:id="481" w:name="_Toc312678042"/>
      <w:bookmarkStart w:id="482" w:name="_Toc303539161"/>
      <w:bookmarkStart w:id="483" w:name="_Toc292559917"/>
      <w:bookmarkStart w:id="484" w:name="_Toc297120507"/>
      <w:bookmarkStart w:id="485" w:name="_Toc296944546"/>
      <w:bookmarkStart w:id="486" w:name="_Toc296891035"/>
      <w:bookmarkStart w:id="487" w:name="_Toc292559412"/>
      <w:bookmarkStart w:id="488" w:name="_Toc296347206"/>
      <w:bookmarkStart w:id="489" w:name="_Toc296891247"/>
      <w:bookmarkStart w:id="490" w:name="_Toc296503207"/>
      <w:bookmarkStart w:id="491" w:name="_Toc296346708"/>
      <w:bookmarkStart w:id="492" w:name="_Toc297048393"/>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12.2 预付款</w:t>
      </w:r>
    </w:p>
    <w:bookmarkEnd w:id="477"/>
    <w:bookmarkEnd w:id="478"/>
    <w:bookmarkEnd w:id="479"/>
    <w:bookmarkEnd w:id="480"/>
    <w:bookmarkEnd w:id="481"/>
    <w:bookmarkEnd w:id="482"/>
    <w:p w14:paraId="6E46DA4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12.2.1 预付款的支付</w:t>
      </w:r>
    </w:p>
    <w:p w14:paraId="72FD386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预付款支付比例或金额：/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044795A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预付款支付期限：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5B1AA45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预付款扣回的方式：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73B0AFA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12.2.2 预付款担保</w:t>
      </w:r>
    </w:p>
    <w:p w14:paraId="354D401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承包人提交预付款担保的期限：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548B246">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预付款担保的形式为：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483"/>
    <w:bookmarkEnd w:id="484"/>
    <w:bookmarkEnd w:id="485"/>
    <w:bookmarkEnd w:id="486"/>
    <w:bookmarkEnd w:id="487"/>
    <w:bookmarkEnd w:id="488"/>
    <w:bookmarkEnd w:id="489"/>
    <w:bookmarkEnd w:id="490"/>
    <w:bookmarkEnd w:id="491"/>
    <w:bookmarkEnd w:id="492"/>
    <w:p w14:paraId="205C067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 计量</w:t>
      </w:r>
    </w:p>
    <w:p w14:paraId="67B802E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12.3.1 计量原则</w:t>
      </w:r>
    </w:p>
    <w:p w14:paraId="65EF08C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工程量计算按照实际完成招标人预算书范围内和经发包人同意增加的施工内容按实计算，工程量计算规则按发包人提供的预算书说明的工程量计算规则计量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0E10666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12.3.2 计量周期</w:t>
      </w:r>
    </w:p>
    <w:p w14:paraId="206E246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关于计量周期的约定：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按月计量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F3875EF">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12.3.3 单价合同的计量</w:t>
      </w:r>
    </w:p>
    <w:p w14:paraId="6B7B6BA5">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关于单价合同计量的约定：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按合同通用条款执行，但确认的工程量和单价仅作为本期工程款支付的依据。</w:t>
      </w:r>
    </w:p>
    <w:p w14:paraId="3EBCD6A8">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12.3.4 总价合同的计量</w:t>
      </w:r>
    </w:p>
    <w:p w14:paraId="2DDCD37E">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关于总价合同计量的约定：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3F9CA2D">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12.3.5总价合同采用支付分解表计量支付的，是否适用第</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 xml:space="preserve">12.3.4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项</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〔总价合同的计量〕约定进行计量：</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B37205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12.3.6 其他价格形式合同的计量</w:t>
      </w:r>
    </w:p>
    <w:p w14:paraId="72FA411A">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其他价格形式的计量方式和程序：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工程变更按规定办理完毕的，计入当期工程价款。</w:t>
      </w:r>
    </w:p>
    <w:p w14:paraId="52E53F5C">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12.4 工程进度款支付</w:t>
      </w:r>
    </w:p>
    <w:p w14:paraId="587A3A9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493" w:name="_Toc292559921"/>
      <w:bookmarkStart w:id="494" w:name="_Toc297123556"/>
      <w:bookmarkStart w:id="495" w:name="_Toc297120511"/>
      <w:bookmarkStart w:id="496" w:name="_Toc296347210"/>
      <w:bookmarkStart w:id="497" w:name="_Toc296346712"/>
      <w:bookmarkStart w:id="498" w:name="_Toc296944550"/>
      <w:bookmarkStart w:id="499" w:name="_Toc292559416"/>
      <w:bookmarkStart w:id="500" w:name="_Toc297216215"/>
      <w:bookmarkStart w:id="501" w:name="_Toc297048397"/>
      <w:bookmarkStart w:id="502" w:name="_Toc300935006"/>
      <w:bookmarkStart w:id="503" w:name="_Toc296891251"/>
      <w:bookmarkStart w:id="504" w:name="_Toc303539163"/>
      <w:bookmarkStart w:id="505" w:name="_Toc296503211"/>
      <w:bookmarkStart w:id="506" w:name="_Toc296891039"/>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12.4.1 付款周期</w:t>
      </w:r>
    </w:p>
    <w:p w14:paraId="1945B254">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default"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关于付款周期的约定：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按季度支付</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Calibri" w:cs="宋体"/>
          <w:color w:val="000000" w:themeColor="text1"/>
          <w:kern w:val="2"/>
          <w:sz w:val="21"/>
          <w:szCs w:val="21"/>
          <w:highlight w:val="none"/>
          <w:lang w:val="en-US" w:eastAsia="zh-CN" w:bidi="ar"/>
          <w14:textFill>
            <w14:solidFill>
              <w14:schemeClr w14:val="tx1"/>
            </w14:solidFill>
          </w14:textFill>
        </w:rPr>
        <w:t>最终根据财政资金到账情况支付。</w:t>
      </w:r>
    </w:p>
    <w:p w14:paraId="58508C77">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12.4.2 进度付款申请单的编制</w:t>
      </w:r>
    </w:p>
    <w:p w14:paraId="66FCE410">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关于进度付款申请单编制的约定：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发包人向承包人支付当季按12.1、12.3款计量工程量价款的80%工程价款</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u w:val="single" w:color="auto"/>
          <w:lang w:val="en-US" w:eastAsia="zh-CN"/>
          <w14:textFill>
            <w14:solidFill>
              <w14:schemeClr w14:val="tx1"/>
            </w14:solidFill>
          </w14:textFill>
        </w:rPr>
        <w:t>发包人按审定的最终结算工程款完成对承包人的付款</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。其余</w:t>
      </w:r>
      <w:r>
        <w:rPr>
          <w:rFonts w:hint="eastAsia" w:ascii="宋体" w:hAnsi="宋体" w:eastAsia="宋体" w:cs="宋体"/>
          <w:color w:val="000000" w:themeColor="text1"/>
          <w:spacing w:val="0"/>
          <w:position w:val="0"/>
          <w:sz w:val="21"/>
          <w:szCs w:val="21"/>
          <w:highlight w:val="none"/>
          <w:u w:val="single" w:color="auto"/>
          <w:lang w:val="en-US" w:eastAsia="zh-CN"/>
          <w14:textFill>
            <w14:solidFill>
              <w14:schemeClr w14:val="tx1"/>
            </w14:solidFill>
          </w14:textFill>
        </w:rPr>
        <w:t>按通用合同条款。</w:t>
      </w:r>
    </w:p>
    <w:p w14:paraId="5A7865E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2.4.3 进度付款申请单的提交</w:t>
      </w:r>
    </w:p>
    <w:p w14:paraId="3C3E282B">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（1）单价合同进度付款申请单提交的约定：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按合同通用条款。</w:t>
      </w:r>
    </w:p>
    <w:p w14:paraId="78434301">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（2）总价合同进度付款申请单提交的约定：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D1CA8A3">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（3）其他价格形式合同进度付款申请单提交的约定：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425BFE2">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12.4.4 进度款审核和支付</w:t>
      </w:r>
    </w:p>
    <w:p w14:paraId="57108B1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u w:val="singl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（1）监理人审查并报送发包人的期限：</w:t>
      </w:r>
      <w:r>
        <w:rPr>
          <w:rFonts w:hint="eastAsia" w:hAnsi="仿宋"/>
          <w:color w:val="000000" w:themeColor="text1"/>
          <w:sz w:val="21"/>
          <w:szCs w:val="21"/>
          <w:highlight w:val="none"/>
          <w:u w:val="single"/>
          <w14:textFill>
            <w14:solidFill>
              <w14:schemeClr w14:val="tx1"/>
            </w14:solidFill>
          </w14:textFill>
        </w:rPr>
        <w:t xml:space="preserve">按通用合同条款 </w:t>
      </w:r>
      <w:r>
        <w:rPr>
          <w:rFonts w:hint="eastAsia" w:hAnsi="仿宋"/>
          <w:color w:val="000000" w:themeColor="text1"/>
          <w:sz w:val="21"/>
          <w:szCs w:val="21"/>
          <w:highlight w:val="none"/>
          <w14:textFill>
            <w14:solidFill>
              <w14:schemeClr w14:val="tx1"/>
            </w14:solidFill>
          </w14:textFill>
        </w:rPr>
        <w:t>。</w:t>
      </w:r>
    </w:p>
    <w:p w14:paraId="28B7A69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发包人完成审批并签发进度款支付证书的期限：</w:t>
      </w:r>
      <w:r>
        <w:rPr>
          <w:rFonts w:hint="eastAsia" w:hAnsi="仿宋"/>
          <w:color w:val="000000" w:themeColor="text1"/>
          <w:sz w:val="21"/>
          <w:szCs w:val="21"/>
          <w:highlight w:val="none"/>
          <w:u w:val="single"/>
          <w14:textFill>
            <w14:solidFill>
              <w14:schemeClr w14:val="tx1"/>
            </w14:solidFill>
          </w14:textFill>
        </w:rPr>
        <w:t>按通用合同条款</w:t>
      </w:r>
      <w:r>
        <w:rPr>
          <w:rFonts w:hint="eastAsia" w:hAnsi="仿宋"/>
          <w:color w:val="000000" w:themeColor="text1"/>
          <w:sz w:val="21"/>
          <w:szCs w:val="21"/>
          <w:highlight w:val="none"/>
          <w14:textFill>
            <w14:solidFill>
              <w14:schemeClr w14:val="tx1"/>
            </w14:solidFill>
          </w14:textFill>
        </w:rPr>
        <w:t>。</w:t>
      </w:r>
    </w:p>
    <w:p w14:paraId="4EA3B74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u w:val="single"/>
          <w14:textFill>
            <w14:solidFill>
              <w14:schemeClr w14:val="tx1"/>
            </w14:solidFill>
          </w14:textFill>
        </w:rPr>
      </w:pPr>
      <w:r>
        <w:rPr>
          <w:rFonts w:hint="eastAsia" w:hAnsi="仿宋"/>
          <w:color w:val="000000" w:themeColor="text1"/>
          <w:sz w:val="21"/>
          <w:szCs w:val="21"/>
          <w:highlight w:val="none"/>
          <w:lang w:eastAsia="zh-CN"/>
          <w14:textFill>
            <w14:solidFill>
              <w14:schemeClr w14:val="tx1"/>
            </w14:solidFill>
          </w14:textFill>
        </w:rPr>
        <w:t>（</w:t>
      </w:r>
      <w:r>
        <w:rPr>
          <w:rFonts w:hint="eastAsia" w:hAnsi="仿宋"/>
          <w:color w:val="000000" w:themeColor="text1"/>
          <w:sz w:val="21"/>
          <w:szCs w:val="21"/>
          <w:highlight w:val="none"/>
          <w:lang w:val="en-US" w:eastAsia="zh-CN"/>
          <w14:textFill>
            <w14:solidFill>
              <w14:schemeClr w14:val="tx1"/>
            </w14:solidFill>
          </w14:textFill>
        </w:rPr>
        <w:t>2</w:t>
      </w:r>
      <w:r>
        <w:rPr>
          <w:rFonts w:hint="eastAsia" w:hAnsi="仿宋"/>
          <w:color w:val="000000" w:themeColor="text1"/>
          <w:sz w:val="21"/>
          <w:szCs w:val="21"/>
          <w:highlight w:val="none"/>
          <w:lang w:eastAsia="zh-CN"/>
          <w14:textFill>
            <w14:solidFill>
              <w14:schemeClr w14:val="tx1"/>
            </w14:solidFill>
          </w14:textFill>
        </w:rPr>
        <w:t>）</w:t>
      </w:r>
      <w:r>
        <w:rPr>
          <w:rFonts w:hint="eastAsia" w:hAnsi="仿宋"/>
          <w:color w:val="000000" w:themeColor="text1"/>
          <w:sz w:val="21"/>
          <w:szCs w:val="21"/>
          <w:highlight w:val="none"/>
          <w14:textFill>
            <w14:solidFill>
              <w14:schemeClr w14:val="tx1"/>
            </w14:solidFill>
          </w14:textFill>
        </w:rPr>
        <w:t>发包人支付进度款的期限：</w:t>
      </w:r>
      <w:r>
        <w:rPr>
          <w:rFonts w:hint="eastAsia" w:hAnsi="仿宋"/>
          <w:color w:val="000000" w:themeColor="text1"/>
          <w:sz w:val="21"/>
          <w:szCs w:val="21"/>
          <w:highlight w:val="none"/>
          <w:u w:val="single"/>
          <w14:textFill>
            <w14:solidFill>
              <w14:schemeClr w14:val="tx1"/>
            </w14:solidFill>
          </w14:textFill>
        </w:rPr>
        <w:t>在发包人确认计量结果后14天内完成支付。</w:t>
      </w:r>
    </w:p>
    <w:p w14:paraId="20C0F5C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发包人逾期支付进度款的违约金的计算方式：</w:t>
      </w:r>
      <w:r>
        <w:rPr>
          <w:rFonts w:hint="eastAsia" w:hAnsi="仿宋"/>
          <w:color w:val="000000" w:themeColor="text1"/>
          <w:sz w:val="21"/>
          <w:szCs w:val="21"/>
          <w:highlight w:val="none"/>
          <w:u w:val="single"/>
          <w14:textFill>
            <w14:solidFill>
              <w14:schemeClr w14:val="tx1"/>
            </w14:solidFill>
          </w14:textFill>
        </w:rPr>
        <w:t>支付应付工程进度款的利息，利率按同期全国银行间同业拆借中心公布的贷款市场报价利率，时间为从约定应付之日起至支付之日止计算利息</w:t>
      </w:r>
      <w:r>
        <w:rPr>
          <w:rFonts w:hint="eastAsia" w:hAnsi="仿宋"/>
          <w:color w:val="000000" w:themeColor="text1"/>
          <w:sz w:val="21"/>
          <w:szCs w:val="21"/>
          <w:highlight w:val="none"/>
          <w14:textFill>
            <w14:solidFill>
              <w14:schemeClr w14:val="tx1"/>
            </w14:solidFill>
          </w14:textFill>
        </w:rPr>
        <w:t>。</w:t>
      </w:r>
    </w:p>
    <w:p w14:paraId="7042B88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（3）</w:t>
      </w:r>
      <w:r>
        <w:rPr>
          <w:rFonts w:hint="eastAsia" w:hAnsi="仿宋"/>
          <w:color w:val="000000" w:themeColor="text1"/>
          <w:sz w:val="21"/>
          <w:szCs w:val="21"/>
          <w:highlight w:val="none"/>
          <w:u w:val="single"/>
          <w14:textFill>
            <w14:solidFill>
              <w14:schemeClr w14:val="tx1"/>
            </w14:solidFill>
          </w14:textFill>
        </w:rPr>
        <w:t>发包人每月签发的工程量审核报告、进度款支付证书或临时进度款支付证书，仅为本期工程进度款支付依据，不作为发包人已同意、批准或接受了承包人完成的相应部分工作或已确认计量结果。</w:t>
      </w:r>
    </w:p>
    <w:p w14:paraId="17D9F2DF">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12.4.6 支付分解表的编制</w:t>
      </w:r>
    </w:p>
    <w:p w14:paraId="66A8CA01">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2、总价合同支付分解表的编制与审批：</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2EFAB0F9">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3、单价合同的总价项目支付分解表的编制与审批：</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3E7F711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12.5 支付帐户：</w:t>
      </w:r>
    </w:p>
    <w:p w14:paraId="6D07E8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Ansi="仿宋"/>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发包人将</w:t>
      </w:r>
      <w:r>
        <w:rPr>
          <w:rFonts w:hint="eastAsia" w:ascii="宋体" w:hAnsi="宋体" w:eastAsia="宋体" w:cs="宋体"/>
          <w:color w:val="000000" w:themeColor="text1"/>
          <w:sz w:val="21"/>
          <w:szCs w:val="21"/>
          <w:highlight w:val="none"/>
          <w14:textFill>
            <w14:solidFill>
              <w14:schemeClr w14:val="tx1"/>
            </w14:solidFill>
          </w14:textFill>
        </w:rPr>
        <w:t>合同价款支付至合同协议书中约定的承包人</w:t>
      </w:r>
      <w:r>
        <w:rPr>
          <w:rFonts w:hint="eastAsia" w:ascii="宋体" w:hAnsi="宋体" w:eastAsia="宋体" w:cs="宋体"/>
          <w:color w:val="000000" w:themeColor="text1"/>
          <w:sz w:val="21"/>
          <w:szCs w:val="21"/>
          <w:highlight w:val="none"/>
          <w:lang w:eastAsia="zh-CN"/>
          <w14:textFill>
            <w14:solidFill>
              <w14:schemeClr w14:val="tx1"/>
            </w14:solidFill>
          </w14:textFill>
        </w:rPr>
        <w:t>账户</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开户：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none"/>
          <w:lang w:val="en-US" w:eastAsia="zh-CN" w:bidi="ar"/>
          <w14:textFill>
            <w14:solidFill>
              <w14:schemeClr w14:val="tx1"/>
            </w14:solidFill>
          </w14:textFill>
        </w:rPr>
        <w:t>；</w:t>
      </w:r>
      <w:r>
        <w:rPr>
          <w:rFonts w:hint="eastAsia" w:ascii="宋体" w:hAnsi="Calibri" w:eastAsia="宋体" w:cs="宋体"/>
          <w:color w:val="000000" w:themeColor="text1"/>
          <w:kern w:val="2"/>
          <w:sz w:val="21"/>
          <w:szCs w:val="21"/>
          <w:highlight w:val="none"/>
          <w:u w:val="none"/>
          <w:lang w:val="en-US" w:eastAsia="zh-CN" w:bidi="ar"/>
          <w14:textFill>
            <w14:solidFill>
              <w14:schemeClr w14:val="tx1"/>
            </w14:solidFill>
          </w14:textFill>
        </w:rPr>
        <w:t>帐号：</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hAnsi="仿宋"/>
          <w:color w:val="000000" w:themeColor="text1"/>
          <w:sz w:val="21"/>
          <w:szCs w:val="21"/>
          <w:highlight w:val="none"/>
          <w14:textFill>
            <w14:solidFill>
              <w14:schemeClr w14:val="tx1"/>
            </w14:solidFill>
          </w14:textFill>
        </w:rPr>
        <w:t>。</w:t>
      </w:r>
    </w:p>
    <w:p w14:paraId="59FD1D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sz w:val="21"/>
          <w:szCs w:val="21"/>
          <w:highlight w:val="none"/>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如承包人因经营需要将工程款支付至其他指定帐户时，应向发包人书面申请，并由承包人法定代表人或授权代表签字、盖章。</w:t>
      </w:r>
    </w:p>
    <w:bookmarkEnd w:id="175"/>
    <w:p w14:paraId="1A298017">
      <w:pPr>
        <w:pStyle w:val="5"/>
        <w:pageBreakBefore w:val="0"/>
        <w:widowControl/>
        <w:kinsoku/>
        <w:wordWrap/>
        <w:overflowPunct/>
        <w:topLinePunct w:val="0"/>
        <w:bidi w:val="0"/>
        <w:snapToGrid/>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507" w:name="_Toc351203645"/>
      <w:bookmarkStart w:id="508" w:name="_Toc296503219"/>
      <w:bookmarkStart w:id="509" w:name="_Toc312678053"/>
      <w:bookmarkStart w:id="510" w:name="_Toc304295593"/>
      <w:bookmarkStart w:id="511" w:name="_Toc297216223"/>
      <w:bookmarkStart w:id="512" w:name="_Toc296346720"/>
      <w:bookmarkStart w:id="513" w:name="_Toc296891259"/>
      <w:bookmarkStart w:id="514" w:name="_Toc300935015"/>
      <w:bookmarkStart w:id="515" w:name="_Toc296944558"/>
      <w:bookmarkStart w:id="516" w:name="_Toc297123564"/>
      <w:bookmarkStart w:id="517" w:name="_Toc297120519"/>
      <w:bookmarkStart w:id="518" w:name="_Toc296347218"/>
      <w:bookmarkStart w:id="519" w:name="_Toc297048405"/>
      <w:bookmarkStart w:id="520" w:name="_Toc292559424"/>
      <w:bookmarkStart w:id="521" w:name="_Toc303539172"/>
      <w:bookmarkStart w:id="522" w:name="_Toc296891047"/>
      <w:bookmarkStart w:id="523" w:name="_Toc292559929"/>
      <w:r>
        <w:rPr>
          <w:rFonts w:hint="eastAsia" w:ascii="宋体" w:hAnsi="Arial" w:eastAsia="宋体" w:cs="宋体"/>
          <w:color w:val="000000" w:themeColor="text1"/>
          <w:sz w:val="21"/>
          <w:szCs w:val="21"/>
          <w:highlight w:val="none"/>
          <w:lang w:val="en-US"/>
          <w14:textFill>
            <w14:solidFill>
              <w14:schemeClr w14:val="tx1"/>
            </w14:solidFill>
          </w14:textFill>
        </w:rPr>
        <w:t xml:space="preserve">13. </w:t>
      </w:r>
      <w:r>
        <w:rPr>
          <w:rFonts w:hint="eastAsia" w:ascii="宋体" w:hAnsi="Arial" w:eastAsia="宋体" w:cs="宋体"/>
          <w:color w:val="000000" w:themeColor="text1"/>
          <w:sz w:val="21"/>
          <w:szCs w:val="21"/>
          <w:highlight w:val="none"/>
          <w:lang w:eastAsia="zh-CN"/>
          <w14:textFill>
            <w14:solidFill>
              <w14:schemeClr w14:val="tx1"/>
            </w14:solidFill>
          </w14:textFill>
        </w:rPr>
        <w:t>验收和工程试车</w:t>
      </w:r>
      <w:bookmarkEnd w:id="507"/>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65C68FF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13.1 分部分项工程验收</w:t>
      </w:r>
    </w:p>
    <w:p w14:paraId="04B9C2D9">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13.1.2监理人不能按时进行验收时，应提前</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24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小时提交书面延期要求。</w:t>
      </w:r>
    </w:p>
    <w:p w14:paraId="145FB75F">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关于延期最长不得超过：</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24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小时。</w:t>
      </w:r>
    </w:p>
    <w:p w14:paraId="68733D82">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b/>
          <w:bCs w:val="0"/>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工程验收过程、验收部位除办理纸质验收记录，还应留置验收部位、验收过程、主要验收人员相片、影像等资料。</w:t>
      </w:r>
    </w:p>
    <w:p w14:paraId="24CCCCA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524" w:name="_Toc296891051"/>
      <w:bookmarkStart w:id="525" w:name="_Toc303539173"/>
      <w:bookmarkStart w:id="526" w:name="_Toc296503223"/>
      <w:bookmarkStart w:id="527" w:name="_Toc297216224"/>
      <w:bookmarkStart w:id="528" w:name="_Toc296944562"/>
      <w:bookmarkStart w:id="529" w:name="_Toc297048409"/>
      <w:bookmarkStart w:id="530" w:name="_Toc304295596"/>
      <w:bookmarkStart w:id="531" w:name="_Toc300935016"/>
      <w:bookmarkStart w:id="532" w:name="_Toc292559933"/>
      <w:bookmarkStart w:id="533" w:name="_Toc297120523"/>
      <w:bookmarkStart w:id="534" w:name="_Toc296346724"/>
      <w:bookmarkStart w:id="535" w:name="_Toc297123565"/>
      <w:bookmarkStart w:id="536" w:name="_Toc292559428"/>
      <w:bookmarkStart w:id="537" w:name="_Toc296891263"/>
      <w:bookmarkStart w:id="538" w:name="_Toc296347222"/>
      <w:bookmarkStart w:id="539" w:name="_Toc312678056"/>
      <w:bookmarkStart w:id="540" w:name="_Toc267251472"/>
      <w:bookmarkStart w:id="541" w:name="_Toc267251470"/>
      <w:bookmarkStart w:id="542" w:name="_Toc267251471"/>
      <w:bookmarkStart w:id="543" w:name="_Toc267251473"/>
      <w:bookmarkStart w:id="544" w:name="_Toc267251476"/>
      <w:bookmarkStart w:id="545" w:name="_Toc267251475"/>
      <w:bookmarkStart w:id="546" w:name="_Toc267251474"/>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13.2 竣工验收</w:t>
      </w: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5FA5F672">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bookmarkStart w:id="547" w:name="_Toc280868704"/>
      <w:bookmarkStart w:id="548" w:name="_Toc280868705"/>
      <w:bookmarkStart w:id="549" w:name="_Toc280868706"/>
      <w:bookmarkStart w:id="550" w:name="_Toc280868707"/>
      <w:bookmarkStart w:id="551" w:name="_Toc280868708"/>
      <w:bookmarkStart w:id="552" w:name="_Toc280868709"/>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13.2.2竣工验收程序</w:t>
      </w:r>
    </w:p>
    <w:bookmarkEnd w:id="547"/>
    <w:p w14:paraId="0B001729">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关于竣工验收程序的约定：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按通用条款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24E24190">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color w:val="000000" w:themeColor="text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F2DF554">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发包人不按照本项约定组织竣工验收、颁发工程接收证书的违约金的计算方法：</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不计违约金。</w:t>
      </w:r>
    </w:p>
    <w:p w14:paraId="6283FCC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因发包人原因，未在监理人接收到承包人提交的竣工验收申请报告42天内完成验收，或完成验收不予签发工程接收证书的，以提交竣工验收申请报告的日期为实际竣工日期。</w:t>
      </w:r>
    </w:p>
    <w:p w14:paraId="6A92624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13.2.3竣工日期</w:t>
      </w:r>
    </w:p>
    <w:p w14:paraId="4E5DD69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（1）承包人完成合同范围内的全部工程以及有关工作，工程经验收合格的，以承包人提交验收申请报告之日为合同工期计算终止日。</w:t>
      </w:r>
    </w:p>
    <w:p w14:paraId="3AAC87AB">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color w:val="000000" w:themeColor="text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（2）其余按通用合同条款。</w:t>
      </w:r>
    </w:p>
    <w:bookmarkEnd w:id="548"/>
    <w:p w14:paraId="28FD76B1">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13.2.5移交、接收全部与部分工程</w:t>
      </w:r>
    </w:p>
    <w:bookmarkEnd w:id="549"/>
    <w:p w14:paraId="009A69DE">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承包人向发包人移交工程的期限：</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按通用条款执行。</w:t>
      </w:r>
    </w:p>
    <w:p w14:paraId="3F2E9CA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发包人未按本合同约定接收全部或部分工程的，违约金的计算方法为：</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550"/>
    <w:p w14:paraId="29AC6CC0">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承包人未按时移交工程的，违约金的计算方法为：</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0"/>
          <w:sz w:val="21"/>
          <w:szCs w:val="21"/>
          <w:highlight w:val="none"/>
          <w:u w:val="single"/>
          <w:lang w:val="en-US" w:eastAsia="zh-CN" w:bidi="ar"/>
          <w14:textFill>
            <w14:solidFill>
              <w14:schemeClr w14:val="tx1"/>
            </w14:solidFill>
          </w14:textFill>
        </w:rPr>
        <w:t>每天500元</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9CE617E">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13.3 工程试车</w:t>
      </w:r>
    </w:p>
    <w:bookmarkEnd w:id="551"/>
    <w:p w14:paraId="0A39D10E">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13.3.1 试车程序</w:t>
      </w:r>
    </w:p>
    <w:p w14:paraId="30CF9E94">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工程试车内容：</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EA84D9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（1）单机无负荷试车费用由</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承担；</w:t>
      </w:r>
    </w:p>
    <w:p w14:paraId="4555BE49">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（2）无负荷联动试车费用由</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承担。</w:t>
      </w:r>
    </w:p>
    <w:p w14:paraId="240C2B2B">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13.3.3 投料试车</w:t>
      </w:r>
    </w:p>
    <w:p w14:paraId="26BBC7E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关于投料试车相关事项的约定：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DCC490C">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13.6 竣工退场</w:t>
      </w:r>
    </w:p>
    <w:p w14:paraId="1F07025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13.6.1 竣工退场</w:t>
      </w:r>
    </w:p>
    <w:p w14:paraId="2A2D1BC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承包人完成竣工退场的期限：</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颁发工程接收证书后7天内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1767B6A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13.6.2地表还原</w:t>
      </w:r>
    </w:p>
    <w:p w14:paraId="462D4E0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1D29D0C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本工程场地恢复的要求：</w:t>
      </w:r>
    </w:p>
    <w:p w14:paraId="54EEAC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（1）清理完成施工现场垃圾，临建的拆除与场地复原；</w:t>
      </w:r>
    </w:p>
    <w:p w14:paraId="167527E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（2）施工后废弃材料、设备清理撤离；</w:t>
      </w:r>
    </w:p>
    <w:p w14:paraId="2F394FF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（3）承包人造成的施工现场周边施工堆积物及场地清理。</w:t>
      </w:r>
    </w:p>
    <w:p w14:paraId="011E976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000000" w:themeColor="text1"/>
          <w:sz w:val="21"/>
          <w:szCs w:val="21"/>
          <w:highlight w:val="none"/>
          <w:lang w:val="en-US"/>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（4）其它要求：</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u w:val="single"/>
          <w:lang w:val="en-US" w:eastAsia="zh-CN"/>
          <w14:textFill>
            <w14:solidFill>
              <w14:schemeClr w14:val="tx1"/>
            </w14:solidFill>
          </w14:textFill>
        </w:rPr>
        <w:t>/</w:t>
      </w:r>
      <w:r>
        <w:rPr>
          <w:rFonts w:hint="eastAsia" w:hAnsi="仿宋"/>
          <w:color w:val="000000" w:themeColor="text1"/>
          <w:kern w:val="0"/>
          <w:sz w:val="21"/>
          <w:szCs w:val="21"/>
          <w:highlight w:val="none"/>
          <w:u w:val="single"/>
          <w14:textFill>
            <w14:solidFill>
              <w14:schemeClr w14:val="tx1"/>
            </w14:solidFill>
          </w14:textFill>
        </w:rPr>
        <w:t xml:space="preserve">                     </w:t>
      </w:r>
      <w:r>
        <w:rPr>
          <w:rFonts w:hint="eastAsia" w:hAnsi="仿宋"/>
          <w:color w:val="000000" w:themeColor="text1"/>
          <w:kern w:val="0"/>
          <w:sz w:val="21"/>
          <w:szCs w:val="21"/>
          <w:highlight w:val="none"/>
          <w14:textFill>
            <w14:solidFill>
              <w14:schemeClr w14:val="tx1"/>
            </w14:solidFill>
          </w14:textFill>
        </w:rPr>
        <w:t>。</w:t>
      </w:r>
    </w:p>
    <w:p w14:paraId="2E18D495">
      <w:pPr>
        <w:pStyle w:val="5"/>
        <w:pageBreakBefore w:val="0"/>
        <w:widowControl/>
        <w:kinsoku/>
        <w:wordWrap/>
        <w:overflowPunct/>
        <w:topLinePunct w:val="0"/>
        <w:bidi w:val="0"/>
        <w:snapToGrid/>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eastAsia="zh-CN"/>
          <w14:textFill>
            <w14:solidFill>
              <w14:schemeClr w14:val="tx1"/>
            </w14:solidFill>
          </w14:textFill>
        </w:rPr>
      </w:pPr>
      <w:bookmarkStart w:id="553" w:name="_Toc351203646"/>
      <w:r>
        <w:rPr>
          <w:rFonts w:hint="eastAsia" w:ascii="宋体" w:hAnsi="Arial" w:eastAsia="宋体" w:cs="宋体"/>
          <w:color w:val="000000" w:themeColor="text1"/>
          <w:sz w:val="21"/>
          <w:szCs w:val="21"/>
          <w:highlight w:val="none"/>
          <w:lang w:val="en-US"/>
          <w14:textFill>
            <w14:solidFill>
              <w14:schemeClr w14:val="tx1"/>
            </w14:solidFill>
          </w14:textFill>
        </w:rPr>
        <w:t xml:space="preserve">14. </w:t>
      </w:r>
      <w:r>
        <w:rPr>
          <w:rFonts w:hint="eastAsia" w:ascii="宋体" w:hAnsi="Arial" w:eastAsia="宋体" w:cs="宋体"/>
          <w:color w:val="000000" w:themeColor="text1"/>
          <w:sz w:val="21"/>
          <w:szCs w:val="21"/>
          <w:highlight w:val="none"/>
          <w:lang w:eastAsia="zh-CN"/>
          <w14:textFill>
            <w14:solidFill>
              <w14:schemeClr w14:val="tx1"/>
            </w14:solidFill>
          </w14:textFill>
        </w:rPr>
        <w:t>竣工结算</w:t>
      </w:r>
      <w:bookmarkEnd w:id="553"/>
    </w:p>
    <w:p w14:paraId="15A68F91">
      <w:pPr>
        <w:keepNext w:val="0"/>
        <w:keepLines w:val="0"/>
        <w:pageBreakBefore w:val="0"/>
        <w:widowControl w:val="0"/>
        <w:suppressLineNumbers w:val="0"/>
        <w:kinsoku/>
        <w:wordWrap/>
        <w:overflowPunct/>
        <w:topLinePunct w:val="0"/>
        <w:bidi w:val="0"/>
        <w:snapToGrid/>
        <w:spacing w:before="0" w:beforeAutospacing="0" w:after="120" w:afterAutospacing="0" w:line="340" w:lineRule="exact"/>
        <w:ind w:left="0" w:right="0" w:firstLine="420" w:firstLineChars="200"/>
        <w:jc w:val="both"/>
        <w:textAlignment w:val="auto"/>
        <w:rPr>
          <w:rFonts w:hint="eastAsia"/>
          <w:color w:val="000000" w:themeColor="text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14.1竣工付款申请</w:t>
      </w:r>
    </w:p>
    <w:p w14:paraId="31873975">
      <w:pPr>
        <w:keepNext w:val="0"/>
        <w:keepLines w:val="0"/>
        <w:pageBreakBefore w:val="0"/>
        <w:widowControl w:val="0"/>
        <w:suppressLineNumbers w:val="0"/>
        <w:kinsoku/>
        <w:wordWrap/>
        <w:overflowPunct/>
        <w:topLinePunct w:val="0"/>
        <w:bidi w:val="0"/>
        <w:snapToGrid/>
        <w:spacing w:before="0" w:beforeAutospacing="0" w:after="120" w:afterAutospacing="0" w:line="340" w:lineRule="exact"/>
        <w:ind w:left="0" w:right="0" w:firstLine="420" w:firstLineChars="200"/>
        <w:jc w:val="both"/>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1.承包人提交竣工结算申请的期限：</w:t>
      </w:r>
    </w:p>
    <w:p w14:paraId="79F317C9">
      <w:pPr>
        <w:pageBreakBefore w:val="0"/>
        <w:kinsoku/>
        <w:wordWrap/>
        <w:overflowPunct/>
        <w:topLinePunct w:val="0"/>
        <w:bidi w:val="0"/>
        <w:snapToGrid/>
        <w:spacing w:line="340" w:lineRule="exact"/>
        <w:ind w:firstLine="420" w:firstLineChars="200"/>
        <w:textAlignment w:val="auto"/>
        <w:rPr>
          <w:rFonts w:hint="eastAsia"/>
          <w:color w:val="000000" w:themeColor="text1"/>
          <w:szCs w:val="21"/>
          <w:highlight w:val="none"/>
          <w:u w:val="single"/>
          <w:lang w:val="en-US"/>
          <w14:textFill>
            <w14:solidFill>
              <w14:schemeClr w14:val="tx1"/>
            </w14:solidFill>
          </w14:textFill>
        </w:rPr>
      </w:pPr>
      <w:r>
        <w:rPr>
          <w:rFonts w:hint="eastAsia"/>
          <w:color w:val="000000" w:themeColor="text1"/>
          <w:szCs w:val="21"/>
          <w:highlight w:val="none"/>
          <w:u w:val="single"/>
          <w14:textFill>
            <w14:solidFill>
              <w14:schemeClr w14:val="tx1"/>
            </w14:solidFill>
          </w14:textFill>
        </w:rPr>
        <w:t>承包人应在完成合同范围内施工内容，参建各方对工程验收并签署工程质量合格文件后可在28天内，向发包人或监理人、发包人委托的中介机构提交最终工程结算申请，并提交完整的工程结算资料一套。工程验收后，承包人超过90天未提交最终工程结算资料，经发包人催告后28天，承包人还不提交工程结算资料的，发包人可根据自己资料办理工程结算，且视为承包人认可工程结算结果</w:t>
      </w:r>
      <w:r>
        <w:rPr>
          <w:rFonts w:hint="eastAsia"/>
          <w:color w:val="000000" w:themeColor="text1"/>
          <w:szCs w:val="21"/>
          <w:highlight w:val="none"/>
          <w:u w:val="single"/>
          <w:lang w:val="en-US" w:eastAsia="zh-CN"/>
          <w14:textFill>
            <w14:solidFill>
              <w14:schemeClr w14:val="tx1"/>
            </w14:solidFill>
          </w14:textFill>
        </w:rPr>
        <w:t>。</w:t>
      </w:r>
    </w:p>
    <w:p w14:paraId="2CE7DA3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hAnsi="仿宋"/>
          <w:color w:val="000000" w:themeColor="text1"/>
          <w:sz w:val="21"/>
          <w:szCs w:val="21"/>
          <w:highlight w:val="none"/>
          <w14:textFill>
            <w14:solidFill>
              <w14:schemeClr w14:val="tx1"/>
            </w14:solidFill>
          </w14:textFill>
        </w:rPr>
        <w:t>2.竣工结算申请单应包括的内容：</w:t>
      </w:r>
      <w:r>
        <w:rPr>
          <w:rFonts w:hint="eastAsia" w:hAnsi="仿宋"/>
          <w:color w:val="000000" w:themeColor="text1"/>
          <w:sz w:val="21"/>
          <w:szCs w:val="21"/>
          <w:highlight w:val="none"/>
          <w:u w:val="single"/>
          <w14:textFill>
            <w14:solidFill>
              <w14:schemeClr w14:val="tx1"/>
            </w14:solidFill>
          </w14:textFill>
        </w:rPr>
        <w:t>包括但不限于施工合同、补充协议、招标文件、投标文件、施工方案以及经确认的工程变更、工程索赔、现场签证，相关施工记录，工程款收款证明、逾期付款利息计算书等相关资料。</w:t>
      </w:r>
    </w:p>
    <w:p w14:paraId="167C4D4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14.2 竣工结算审核</w:t>
      </w:r>
    </w:p>
    <w:p w14:paraId="3D4C187B">
      <w:pPr>
        <w:pageBreakBefore w:val="0"/>
        <w:kinsoku/>
        <w:wordWrap/>
        <w:overflowPunct/>
        <w:topLinePunct w:val="0"/>
        <w:bidi w:val="0"/>
        <w:snapToGrid/>
        <w:spacing w:line="340" w:lineRule="exact"/>
        <w:ind w:firstLine="420" w:firstLineChars="200"/>
        <w:textAlignment w:val="auto"/>
        <w:rPr>
          <w:rFonts w:hint="eastAsia"/>
          <w:color w:val="000000" w:themeColor="text1"/>
          <w:szCs w:val="21"/>
          <w:highlight w:val="none"/>
          <w:u w:val="single"/>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（1）发包人结算审核时间：</w:t>
      </w:r>
      <w:r>
        <w:rPr>
          <w:rFonts w:hint="eastAsia"/>
          <w:color w:val="000000" w:themeColor="text1"/>
          <w:szCs w:val="21"/>
          <w:highlight w:val="none"/>
          <w:u w:val="single"/>
          <w14:textFill>
            <w14:solidFill>
              <w14:schemeClr w14:val="tx1"/>
            </w14:solidFill>
          </w14:textFill>
        </w:rPr>
        <w:t>发包人收到承包人递交的</w:t>
      </w:r>
      <w:r>
        <w:rPr>
          <w:rFonts w:hint="eastAsia"/>
          <w:color w:val="000000" w:themeColor="text1"/>
          <w:szCs w:val="21"/>
          <w:highlight w:val="none"/>
          <w:u w:val="single"/>
          <w:lang w:eastAsia="zh-CN"/>
          <w14:textFill>
            <w14:solidFill>
              <w14:schemeClr w14:val="tx1"/>
            </w14:solidFill>
          </w14:textFill>
        </w:rPr>
        <w:t>最终工程</w:t>
      </w:r>
      <w:r>
        <w:rPr>
          <w:rFonts w:hint="eastAsia"/>
          <w:color w:val="000000" w:themeColor="text1"/>
          <w:szCs w:val="21"/>
          <w:highlight w:val="none"/>
          <w:u w:val="single"/>
          <w14:textFill>
            <w14:solidFill>
              <w14:schemeClr w14:val="tx1"/>
            </w14:solidFill>
          </w14:textFill>
        </w:rPr>
        <w:t>结算报告及结算资料后，在</w:t>
      </w:r>
      <w:r>
        <w:rPr>
          <w:rFonts w:hint="eastAsia"/>
          <w:color w:val="000000" w:themeColor="text1"/>
          <w:szCs w:val="21"/>
          <w:highlight w:val="none"/>
          <w:u w:val="single"/>
          <w:lang w:val="en-US" w:eastAsia="zh-CN"/>
          <w14:textFill>
            <w14:solidFill>
              <w14:schemeClr w14:val="tx1"/>
            </w14:solidFill>
          </w14:textFill>
        </w:rPr>
        <w:t>6</w:t>
      </w:r>
      <w:r>
        <w:rPr>
          <w:rFonts w:hint="eastAsia"/>
          <w:color w:val="000000" w:themeColor="text1"/>
          <w:szCs w:val="21"/>
          <w:highlight w:val="none"/>
          <w:u w:val="single"/>
          <w14:textFill>
            <w14:solidFill>
              <w14:schemeClr w14:val="tx1"/>
            </w14:solidFill>
          </w14:textFill>
        </w:rPr>
        <w:t>个月内审核完毕，并签发</w:t>
      </w:r>
      <w:r>
        <w:rPr>
          <w:rFonts w:hint="eastAsia"/>
          <w:color w:val="000000" w:themeColor="text1"/>
          <w:szCs w:val="21"/>
          <w:highlight w:val="none"/>
          <w:u w:val="single"/>
          <w:lang w:eastAsia="zh-CN"/>
          <w14:textFill>
            <w14:solidFill>
              <w14:schemeClr w14:val="tx1"/>
            </w14:solidFill>
          </w14:textFill>
        </w:rPr>
        <w:t>最终工程</w:t>
      </w:r>
      <w:r>
        <w:rPr>
          <w:rFonts w:hint="eastAsia"/>
          <w:color w:val="000000" w:themeColor="text1"/>
          <w:szCs w:val="21"/>
          <w:highlight w:val="none"/>
          <w:u w:val="single"/>
          <w14:textFill>
            <w14:solidFill>
              <w14:schemeClr w14:val="tx1"/>
            </w14:solidFill>
          </w14:textFill>
        </w:rPr>
        <w:t>结算证书</w:t>
      </w:r>
      <w:r>
        <w:rPr>
          <w:rFonts w:hint="eastAsia"/>
          <w:color w:val="000000" w:themeColor="text1"/>
          <w:szCs w:val="21"/>
          <w:highlight w:val="none"/>
          <w14:textFill>
            <w14:solidFill>
              <w14:schemeClr w14:val="tx1"/>
            </w14:solidFill>
          </w14:textFill>
        </w:rPr>
        <w:t>。</w:t>
      </w:r>
    </w:p>
    <w:p w14:paraId="5D99B51C">
      <w:pPr>
        <w:pageBreakBefore w:val="0"/>
        <w:kinsoku/>
        <w:wordWrap/>
        <w:overflowPunct/>
        <w:topLinePunct w:val="0"/>
        <w:bidi w:val="0"/>
        <w:snapToGrid/>
        <w:spacing w:line="340" w:lineRule="exact"/>
        <w:ind w:firstLine="420" w:firstLineChars="200"/>
        <w:textAlignment w:val="auto"/>
        <w:rPr>
          <w:rFonts w:hint="eastAsia" w:eastAsia="宋体"/>
          <w:color w:val="000000" w:themeColor="text1"/>
          <w:szCs w:val="21"/>
          <w:highlight w:val="none"/>
          <w:u w:val="single"/>
          <w:lang w:eastAsia="zh-CN"/>
          <w14:textFill>
            <w14:solidFill>
              <w14:schemeClr w14:val="tx1"/>
            </w14:solidFill>
          </w14:textFill>
        </w:rPr>
      </w:pPr>
      <w:r>
        <w:rPr>
          <w:rFonts w:hint="eastAsia"/>
          <w:color w:val="000000" w:themeColor="text1"/>
          <w:szCs w:val="21"/>
          <w:highlight w:val="none"/>
          <w:u w:val="single"/>
          <w14:textFill>
            <w14:solidFill>
              <w14:schemeClr w14:val="tx1"/>
            </w14:solidFill>
          </w14:textFill>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r>
        <w:rPr>
          <w:rFonts w:hint="eastAsia"/>
          <w:color w:val="000000" w:themeColor="text1"/>
          <w:szCs w:val="21"/>
          <w:highlight w:val="none"/>
          <w:u w:val="single"/>
          <w:lang w:eastAsia="zh-CN"/>
          <w14:textFill>
            <w14:solidFill>
              <w14:schemeClr w14:val="tx1"/>
            </w14:solidFill>
          </w14:textFill>
        </w:rPr>
        <w:t>。</w:t>
      </w:r>
    </w:p>
    <w:p w14:paraId="17A93EF8">
      <w:pPr>
        <w:pageBreakBefore w:val="0"/>
        <w:kinsoku/>
        <w:wordWrap/>
        <w:overflowPunct/>
        <w:topLinePunct w:val="0"/>
        <w:bidi w:val="0"/>
        <w:snapToGrid/>
        <w:spacing w:line="340" w:lineRule="exact"/>
        <w:ind w:firstLine="420" w:firstLineChars="200"/>
        <w:textAlignment w:val="auto"/>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（2）发包人在签署最终工程结算证书后14天内完成对承包人的</w:t>
      </w:r>
      <w:r>
        <w:rPr>
          <w:rFonts w:hint="eastAsia"/>
          <w:color w:val="000000" w:themeColor="text1"/>
          <w:szCs w:val="21"/>
          <w:highlight w:val="none"/>
          <w:u w:val="single"/>
          <w:lang w:eastAsia="zh-CN"/>
          <w14:textFill>
            <w14:solidFill>
              <w14:schemeClr w14:val="tx1"/>
            </w14:solidFill>
          </w14:textFill>
        </w:rPr>
        <w:t>竣工</w:t>
      </w:r>
      <w:r>
        <w:rPr>
          <w:rFonts w:hint="eastAsia"/>
          <w:color w:val="000000" w:themeColor="text1"/>
          <w:szCs w:val="21"/>
          <w:highlight w:val="none"/>
          <w:u w:val="single"/>
          <w14:textFill>
            <w14:solidFill>
              <w14:schemeClr w14:val="tx1"/>
            </w14:solidFill>
          </w14:textFill>
        </w:rPr>
        <w:t>付款。逾期支付按同期全国银行间同业拆借中心公布的贷款市场报价利率支付违约金；逾期超过56天，按同期全国银行间同业拆借中心公布的贷款市场报价利率的2倍支付违约金。</w:t>
      </w:r>
    </w:p>
    <w:p w14:paraId="072C724B">
      <w:pPr>
        <w:pageBreakBefore w:val="0"/>
        <w:kinsoku/>
        <w:wordWrap/>
        <w:overflowPunct/>
        <w:topLinePunct w:val="0"/>
        <w:bidi w:val="0"/>
        <w:snapToGrid/>
        <w:spacing w:line="340" w:lineRule="exact"/>
        <w:ind w:firstLine="420" w:firstLineChars="200"/>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color w:val="000000" w:themeColor="text1"/>
          <w:szCs w:val="21"/>
          <w:highlight w:val="none"/>
          <w:u w:val="single"/>
          <w14:textFill>
            <w14:solidFill>
              <w14:schemeClr w14:val="tx1"/>
            </w14:solidFill>
          </w14:textFill>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211FC506">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（4）结算特殊要求：</w:t>
      </w:r>
      <w:r>
        <w:rPr>
          <w:rFonts w:hint="eastAsia" w:ascii="宋体" w:hAnsi="宋体"/>
          <w:b/>
          <w:bCs/>
          <w:color w:val="000000" w:themeColor="text1"/>
          <w:highlight w:val="none"/>
          <w:u w:val="single"/>
          <w14:textFill>
            <w14:solidFill>
              <w14:schemeClr w14:val="tx1"/>
            </w14:solidFill>
          </w14:textFill>
        </w:rPr>
        <w:t>工程结算按政府有关管理规定，由相关部门审核（有资质的中介机构的审核），最后的工程款结算以（有资质的中介机构）的审计结果为最终支付依据。审核费按《浙江省物价局关于进一步完善工程造价咨询服务收费的通知》（浙价服[2009]84号计算，其中结算超过5%核减率（超过送审造价5%以外的核减额）和核增造价引起的追加收费（核增、核减不互相抵扣），费用由承包人承担</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75D3FC5E">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14.4 最终结清</w:t>
      </w:r>
    </w:p>
    <w:p w14:paraId="00FA0A70">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14.4.1 最终结清申请单</w:t>
      </w:r>
    </w:p>
    <w:p w14:paraId="036E8D97">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承包人提交最终结清申请单的份数：</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三</w:t>
      </w:r>
      <w:r>
        <w:rPr>
          <w:rFonts w:hint="eastAsia"/>
          <w:color w:val="000000" w:themeColor="text1"/>
          <w:szCs w:val="21"/>
          <w:highlight w:val="none"/>
          <w:u w:val="single"/>
          <w14:textFill>
            <w14:solidFill>
              <w14:schemeClr w14:val="tx1"/>
            </w14:solidFill>
          </w14:textFill>
        </w:rPr>
        <w:t>份</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7E63D9B2">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承包人提交最终结算申请单的期限：</w:t>
      </w:r>
      <w:r>
        <w:rPr>
          <w:rFonts w:hint="eastAsia"/>
          <w:color w:val="000000" w:themeColor="text1"/>
          <w:szCs w:val="21"/>
          <w:highlight w:val="none"/>
          <w:u w:val="single"/>
          <w14:textFill>
            <w14:solidFill>
              <w14:schemeClr w14:val="tx1"/>
            </w14:solidFill>
          </w14:textFill>
        </w:rPr>
        <w:t>缺陷责任期终止后7天内</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 xml:space="preserve">。 </w:t>
      </w:r>
    </w:p>
    <w:p w14:paraId="0D8452E6">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14.4.2 最终结清证书和支付</w:t>
      </w:r>
    </w:p>
    <w:p w14:paraId="13A95DA6">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（1）发包人完成最终结清申请单的审批并颁发最终结清证书的期限：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按通用条款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12C4A06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（2）发包人完成支付的期限：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按通用条款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bookmarkEnd w:id="540"/>
    <w:bookmarkEnd w:id="541"/>
    <w:bookmarkEnd w:id="542"/>
    <w:bookmarkEnd w:id="543"/>
    <w:bookmarkEnd w:id="544"/>
    <w:bookmarkEnd w:id="545"/>
    <w:bookmarkEnd w:id="546"/>
    <w:bookmarkEnd w:id="552"/>
    <w:p w14:paraId="1D4A501C">
      <w:pPr>
        <w:pStyle w:val="5"/>
        <w:pageBreakBefore w:val="0"/>
        <w:widowControl/>
        <w:kinsoku/>
        <w:wordWrap/>
        <w:overflowPunct/>
        <w:topLinePunct w:val="0"/>
        <w:bidi w:val="0"/>
        <w:snapToGrid/>
        <w:spacing w:before="0" w:beforeAutospacing="0" w:after="0" w:afterAutospacing="0" w:line="340" w:lineRule="exact"/>
        <w:ind w:left="0" w:right="0" w:firstLine="422" w:firstLineChars="200"/>
        <w:textAlignment w:val="auto"/>
        <w:rPr>
          <w:rFonts w:hint="eastAsia" w:ascii="宋体" w:hAnsi="Arial" w:eastAsia="宋体" w:cs="宋体"/>
          <w:b w:val="0"/>
          <w:bCs/>
          <w:color w:val="000000" w:themeColor="text1"/>
          <w:sz w:val="21"/>
          <w:szCs w:val="21"/>
          <w:highlight w:val="none"/>
          <w:lang w:val="en-US"/>
          <w14:textFill>
            <w14:solidFill>
              <w14:schemeClr w14:val="tx1"/>
            </w14:solidFill>
          </w14:textFill>
        </w:rPr>
      </w:pPr>
      <w:bookmarkStart w:id="554" w:name="_Toc351203647"/>
      <w:bookmarkStart w:id="555" w:name="_Toc267251483"/>
      <w:bookmarkStart w:id="556" w:name="_Toc267251482"/>
      <w:bookmarkStart w:id="557" w:name="_Toc267251484"/>
      <w:bookmarkStart w:id="558" w:name="_Toc267251485"/>
      <w:bookmarkStart w:id="559" w:name="_Toc267251490"/>
      <w:bookmarkStart w:id="560" w:name="_Toc267251486"/>
      <w:bookmarkStart w:id="561" w:name="_Toc267251489"/>
      <w:bookmarkStart w:id="562" w:name="_Toc267251488"/>
      <w:bookmarkStart w:id="563" w:name="_Toc267251491"/>
      <w:bookmarkStart w:id="564" w:name="_Toc267251493"/>
      <w:bookmarkStart w:id="565" w:name="_Toc267251494"/>
      <w:bookmarkStart w:id="566" w:name="_Toc267251492"/>
      <w:bookmarkStart w:id="567" w:name="_Toc267251499"/>
      <w:bookmarkStart w:id="568" w:name="_Toc267251503"/>
      <w:bookmarkStart w:id="569" w:name="_Toc267251506"/>
      <w:bookmarkStart w:id="570" w:name="_Toc267251501"/>
      <w:bookmarkStart w:id="571" w:name="_Toc267251509"/>
      <w:bookmarkStart w:id="572" w:name="_Toc267251495"/>
      <w:bookmarkStart w:id="573" w:name="_Toc267251497"/>
      <w:bookmarkStart w:id="574" w:name="_Toc267251511"/>
      <w:bookmarkStart w:id="575" w:name="_Toc267251510"/>
      <w:bookmarkStart w:id="576" w:name="_Toc267251504"/>
      <w:bookmarkStart w:id="577" w:name="_Toc267251507"/>
      <w:bookmarkStart w:id="578" w:name="_Toc267251508"/>
      <w:bookmarkStart w:id="579" w:name="_Toc267251515"/>
      <w:bookmarkStart w:id="580" w:name="_Toc267251496"/>
      <w:bookmarkStart w:id="581" w:name="_Toc267251502"/>
      <w:bookmarkStart w:id="582" w:name="_Toc267251514"/>
      <w:bookmarkStart w:id="583" w:name="_Toc267251513"/>
      <w:bookmarkStart w:id="584" w:name="_Toc267251498"/>
      <w:r>
        <w:rPr>
          <w:rFonts w:hint="eastAsia" w:ascii="宋体" w:hAnsi="Arial" w:eastAsia="宋体" w:cs="宋体"/>
          <w:color w:val="000000" w:themeColor="text1"/>
          <w:sz w:val="21"/>
          <w:szCs w:val="21"/>
          <w:highlight w:val="none"/>
          <w:lang w:val="en-US"/>
          <w14:textFill>
            <w14:solidFill>
              <w14:schemeClr w14:val="tx1"/>
            </w14:solidFill>
          </w14:textFill>
        </w:rPr>
        <w:t xml:space="preserve">15. </w:t>
      </w:r>
      <w:r>
        <w:rPr>
          <w:rFonts w:hint="eastAsia" w:ascii="宋体" w:hAnsi="Arial" w:eastAsia="宋体" w:cs="宋体"/>
          <w:color w:val="000000" w:themeColor="text1"/>
          <w:sz w:val="21"/>
          <w:szCs w:val="21"/>
          <w:highlight w:val="none"/>
          <w:lang w:eastAsia="zh-CN"/>
          <w14:textFill>
            <w14:solidFill>
              <w14:schemeClr w14:val="tx1"/>
            </w14:solidFill>
          </w14:textFill>
        </w:rPr>
        <w:t>缺陷责任期与保修</w:t>
      </w:r>
      <w:bookmarkEnd w:id="554"/>
    </w:p>
    <w:p w14:paraId="06C7CF58">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15.2缺陷责任期</w:t>
      </w:r>
      <w:bookmarkEnd w:id="555"/>
    </w:p>
    <w:p w14:paraId="3F59A8C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缺陷责任期的具体期限：</w:t>
      </w:r>
      <w:r>
        <w:rPr>
          <w:rFonts w:hint="eastAsia" w:eastAsia="宋体"/>
          <w:color w:val="000000" w:themeColor="text1"/>
          <w:szCs w:val="21"/>
          <w:highlight w:val="none"/>
          <w:u w:val="single"/>
          <w:lang w:val="en-US" w:eastAsia="zh-CN"/>
          <w14:textFill>
            <w14:solidFill>
              <w14:schemeClr w14:val="tx1"/>
            </w14:solidFill>
          </w14:textFill>
        </w:rPr>
        <w:t>/</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p>
    <w:p w14:paraId="609FA2FA">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15.3 质量保证金</w:t>
      </w:r>
    </w:p>
    <w:p w14:paraId="27C17F41">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关于是否扣留质量保证金的约定：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不扣留质量保证金  。</w:t>
      </w:r>
    </w:p>
    <w:bookmarkEnd w:id="556"/>
    <w:bookmarkEnd w:id="557"/>
    <w:p w14:paraId="3AF5F810">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15.4保修</w:t>
      </w:r>
    </w:p>
    <w:bookmarkEnd w:id="558"/>
    <w:p w14:paraId="17E55BCA">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15.4.1 保修责任</w:t>
      </w:r>
    </w:p>
    <w:p w14:paraId="3B770BCB">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工程保修期为：</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52418F36">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15.4.3 修复通知</w:t>
      </w:r>
    </w:p>
    <w:p w14:paraId="7427876F">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承包人收到保修通知并到达工程现场的合理时间：</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按通用条款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bookmarkEnd w:id="559"/>
    <w:bookmarkEnd w:id="560"/>
    <w:bookmarkEnd w:id="561"/>
    <w:bookmarkEnd w:id="562"/>
    <w:p w14:paraId="564ABED9">
      <w:pPr>
        <w:pStyle w:val="5"/>
        <w:pageBreakBefore w:val="0"/>
        <w:widowControl/>
        <w:kinsoku/>
        <w:wordWrap/>
        <w:overflowPunct/>
        <w:topLinePunct w:val="0"/>
        <w:bidi w:val="0"/>
        <w:snapToGrid/>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585" w:name="_Toc351203648"/>
      <w:bookmarkStart w:id="586" w:name="_Toc280868717"/>
      <w:bookmarkStart w:id="587" w:name="_Toc280868718"/>
      <w:r>
        <w:rPr>
          <w:rFonts w:hint="eastAsia" w:ascii="宋体" w:hAnsi="Arial" w:eastAsia="宋体" w:cs="宋体"/>
          <w:color w:val="000000" w:themeColor="text1"/>
          <w:sz w:val="21"/>
          <w:szCs w:val="21"/>
          <w:highlight w:val="none"/>
          <w:lang w:val="en-US"/>
          <w14:textFill>
            <w14:solidFill>
              <w14:schemeClr w14:val="tx1"/>
            </w14:solidFill>
          </w14:textFill>
        </w:rPr>
        <w:t xml:space="preserve">16. </w:t>
      </w:r>
      <w:r>
        <w:rPr>
          <w:rFonts w:hint="eastAsia" w:ascii="宋体" w:hAnsi="Arial" w:eastAsia="宋体" w:cs="宋体"/>
          <w:color w:val="000000" w:themeColor="text1"/>
          <w:sz w:val="21"/>
          <w:szCs w:val="21"/>
          <w:highlight w:val="none"/>
          <w:lang w:eastAsia="zh-CN"/>
          <w14:textFill>
            <w14:solidFill>
              <w14:schemeClr w14:val="tx1"/>
            </w14:solidFill>
          </w14:textFill>
        </w:rPr>
        <w:t>违约</w:t>
      </w:r>
      <w:bookmarkEnd w:id="585"/>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6"/>
    <w:bookmarkEnd w:id="587"/>
    <w:p w14:paraId="682090F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16.1 发包人违约</w:t>
      </w:r>
    </w:p>
    <w:p w14:paraId="10F0426F">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16.1.1发包人违约的情形</w:t>
      </w:r>
    </w:p>
    <w:p w14:paraId="4AA53A11">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发包人违约的其他情形：</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bCs/>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734D1D8F">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16.2 承包人违约</w:t>
      </w:r>
    </w:p>
    <w:p w14:paraId="307D17F9">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16.2.1 承包人违约的情形</w:t>
      </w:r>
    </w:p>
    <w:p w14:paraId="75BA5929">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left"/>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承包人违约的其他情形：</w:t>
      </w:r>
    </w:p>
    <w:p w14:paraId="7A8AE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none"/>
          <w:lang w:val="en-US" w:eastAsia="zh-CN" w:bidi="ar"/>
          <w14:textFill>
            <w14:solidFill>
              <w14:schemeClr w14:val="tx1"/>
            </w14:solidFill>
          </w14:textFill>
        </w:rPr>
        <w:t>（1）</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机械设备、施工项目班子未按投标承诺及时到位；</w:t>
      </w:r>
    </w:p>
    <w:p w14:paraId="5E913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none"/>
          <w:lang w:val="en-US" w:eastAsia="zh-CN" w:bidi="ar"/>
          <w14:textFill>
            <w14:solidFill>
              <w14:schemeClr w14:val="tx1"/>
            </w14:solidFill>
          </w14:textFill>
        </w:rPr>
        <w:t>（2）</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本工程在实施过程中，承包人的施工队伍素质、施工力量、现场安全文明施工不符合投标书的承诺，造成现场管理混乱、工程质量和进度达不到投标所承诺的要求；</w:t>
      </w:r>
    </w:p>
    <w:p w14:paraId="7D065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none"/>
          <w:lang w:val="en-US" w:eastAsia="zh-CN" w:bidi="ar"/>
          <w14:textFill>
            <w14:solidFill>
              <w14:schemeClr w14:val="tx1"/>
            </w14:solidFill>
          </w14:textFill>
        </w:rPr>
        <w:t>（3）</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承包人允许其他人挂靠经营、私自转包；</w:t>
      </w:r>
    </w:p>
    <w:p w14:paraId="27E4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eastAsia="宋体" w:cs="宋体"/>
          <w:color w:val="000000" w:themeColor="text1"/>
          <w:kern w:val="0"/>
          <w:sz w:val="21"/>
          <w:szCs w:val="21"/>
          <w:highlight w:val="none"/>
          <w:u w:val="none"/>
          <w:lang w:val="en-US" w:eastAsia="zh-CN" w:bidi="ar"/>
          <w14:textFill>
            <w14:solidFill>
              <w14:schemeClr w14:val="tx1"/>
            </w14:solidFill>
          </w14:textFill>
        </w:rPr>
        <w:t>（4）</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承包人未达到投标时所承诺的诚信、技术标准及创优、创标化工程目标</w:t>
      </w:r>
      <w:r>
        <w:rPr>
          <w:rFonts w:hint="eastAsia" w:ascii="宋体" w:hAnsi="Calibri" w:cs="宋体"/>
          <w:color w:val="000000" w:themeColor="text1"/>
          <w:kern w:val="0"/>
          <w:sz w:val="21"/>
          <w:szCs w:val="21"/>
          <w:highlight w:val="none"/>
          <w:u w:val="single"/>
          <w:lang w:val="en-US" w:eastAsia="zh-CN" w:bidi="ar"/>
          <w14:textFill>
            <w14:solidFill>
              <w14:schemeClr w14:val="tx1"/>
            </w14:solidFill>
          </w14:textFill>
        </w:rPr>
        <w:t>；</w:t>
      </w:r>
    </w:p>
    <w:p w14:paraId="19E61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cs="宋体"/>
          <w:color w:val="000000" w:themeColor="text1"/>
          <w:kern w:val="0"/>
          <w:sz w:val="21"/>
          <w:szCs w:val="21"/>
          <w:highlight w:val="none"/>
          <w:u w:val="none"/>
          <w:lang w:val="en-US" w:eastAsia="zh-CN" w:bidi="ar"/>
          <w14:textFill>
            <w14:solidFill>
              <w14:schemeClr w14:val="tx1"/>
            </w14:solidFill>
          </w14:textFill>
        </w:rPr>
        <w:t>（5</w:t>
      </w:r>
      <w:r>
        <w:rPr>
          <w:rFonts w:hint="eastAsia" w:ascii="宋体" w:hAnsi="Calibri" w:eastAsia="宋体" w:cs="宋体"/>
          <w:color w:val="000000" w:themeColor="text1"/>
          <w:kern w:val="0"/>
          <w:sz w:val="21"/>
          <w:szCs w:val="21"/>
          <w:highlight w:val="none"/>
          <w:u w:val="none"/>
          <w:lang w:val="en-US" w:eastAsia="zh-CN" w:bidi="ar"/>
          <w14:textFill>
            <w14:solidFill>
              <w14:schemeClr w14:val="tx1"/>
            </w14:solidFill>
          </w14:textFill>
        </w:rPr>
        <w:t>）</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承包人急件单（完成时间按采购人要求）延迟处理的，每项扣除1500元</w:t>
      </w:r>
      <w:r>
        <w:rPr>
          <w:rFonts w:hint="eastAsia" w:ascii="宋体" w:hAnsi="Calibri" w:cs="宋体"/>
          <w:color w:val="000000" w:themeColor="text1"/>
          <w:kern w:val="0"/>
          <w:sz w:val="21"/>
          <w:szCs w:val="21"/>
          <w:highlight w:val="none"/>
          <w:u w:val="single"/>
          <w:lang w:val="en-US" w:eastAsia="zh-CN" w:bidi="ar"/>
          <w14:textFill>
            <w14:solidFill>
              <w14:schemeClr w14:val="tx1"/>
            </w14:solidFill>
          </w14:textFill>
        </w:rPr>
        <w:t>；</w:t>
      </w:r>
    </w:p>
    <w:p w14:paraId="0D6A3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cs="宋体"/>
          <w:color w:val="000000" w:themeColor="text1"/>
          <w:kern w:val="0"/>
          <w:sz w:val="21"/>
          <w:szCs w:val="21"/>
          <w:highlight w:val="none"/>
          <w:u w:val="none"/>
          <w:lang w:val="en-US" w:eastAsia="zh-CN" w:bidi="ar"/>
          <w14:textFill>
            <w14:solidFill>
              <w14:schemeClr w14:val="tx1"/>
            </w14:solidFill>
          </w14:textFill>
        </w:rPr>
        <w:t>（6）</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承包人非急件单（不标注急件的单）48小时延迟处理的，每项扣除500元</w:t>
      </w:r>
      <w:r>
        <w:rPr>
          <w:rFonts w:hint="eastAsia" w:ascii="宋体" w:hAnsi="Calibri" w:cs="宋体"/>
          <w:color w:val="000000" w:themeColor="text1"/>
          <w:kern w:val="0"/>
          <w:sz w:val="21"/>
          <w:szCs w:val="21"/>
          <w:highlight w:val="none"/>
          <w:u w:val="single"/>
          <w:lang w:val="en-US" w:eastAsia="zh-CN" w:bidi="ar"/>
          <w14:textFill>
            <w14:solidFill>
              <w14:schemeClr w14:val="tx1"/>
            </w14:solidFill>
          </w14:textFill>
        </w:rPr>
        <w:t>；</w:t>
      </w:r>
    </w:p>
    <w:p w14:paraId="4ABDA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pPr>
      <w:r>
        <w:rPr>
          <w:rFonts w:hint="eastAsia" w:ascii="宋体" w:hAnsi="Calibri" w:cs="宋体"/>
          <w:color w:val="000000" w:themeColor="text1"/>
          <w:kern w:val="0"/>
          <w:sz w:val="21"/>
          <w:szCs w:val="21"/>
          <w:highlight w:val="none"/>
          <w:u w:val="none"/>
          <w:lang w:val="en-US" w:eastAsia="zh-CN" w:bidi="ar"/>
          <w14:textFill>
            <w14:solidFill>
              <w14:schemeClr w14:val="tx1"/>
            </w14:solidFill>
          </w14:textFill>
        </w:rPr>
        <w:t>（7）</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每季度至少完成派单总数的95%，整数四舍五入，每单按500扣除。</w:t>
      </w:r>
    </w:p>
    <w:p w14:paraId="44CAB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16.2.2承包人违约的责任</w:t>
      </w:r>
    </w:p>
    <w:p w14:paraId="1AA4A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25" w:firstLineChars="25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承包人违约责任的承担方式和计算方法：</w:t>
      </w:r>
    </w:p>
    <w:p w14:paraId="171E694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u w:val="single"/>
          <w14:textFill>
            <w14:solidFill>
              <w14:schemeClr w14:val="tx1"/>
            </w14:solidFill>
          </w14:textFill>
        </w:rPr>
        <w:t>机械设备未按投标承诺到位，每项扣除履约担保金2%；</w:t>
      </w:r>
    </w:p>
    <w:p w14:paraId="6CC351C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现场安全文明施工不符合投标书承诺，扣减相应安全文明施工费用；</w:t>
      </w:r>
      <w:r>
        <w:rPr>
          <w:rFonts w:hint="eastAsia" w:ascii="宋体" w:hAnsi="宋体" w:eastAsia="宋体" w:cs="宋体"/>
          <w:color w:val="000000" w:themeColor="text1"/>
          <w:kern w:val="0"/>
          <w:sz w:val="21"/>
          <w:szCs w:val="21"/>
          <w:highlight w:val="none"/>
          <w:u w:val="single"/>
          <w14:textFill>
            <w14:solidFill>
              <w14:schemeClr w14:val="tx1"/>
            </w14:solidFill>
          </w14:textFill>
        </w:rPr>
        <w:t>承包人原因造成现场管理混乱、</w:t>
      </w:r>
      <w:r>
        <w:rPr>
          <w:rFonts w:hint="eastAsia" w:ascii="宋体" w:hAnsi="宋体" w:eastAsia="宋体" w:cs="宋体"/>
          <w:color w:val="000000" w:themeColor="text1"/>
          <w:sz w:val="21"/>
          <w:szCs w:val="21"/>
          <w:highlight w:val="none"/>
          <w:u w:val="single"/>
          <w14:textFill>
            <w14:solidFill>
              <w14:schemeClr w14:val="tx1"/>
            </w14:solidFill>
          </w14:textFill>
        </w:rPr>
        <w:t>工程质量和进度达不到投标承诺的要求，发包人有权要求承包人调整充实施工力量、更换项目班子，及至解除施工合同，所有履约担保金归发包人，并赔偿发包人损失。</w:t>
      </w:r>
    </w:p>
    <w:p w14:paraId="09CDF24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u w:val="single"/>
          <w14:textFill>
            <w14:solidFill>
              <w14:schemeClr w14:val="tx1"/>
            </w14:solidFill>
          </w14:textFill>
        </w:rPr>
        <w:t>发现承包人允许其他人挂靠经营、私自转包，所有履约担保归发包人，同时赔偿发包人损失，并责令退出工地。</w:t>
      </w:r>
    </w:p>
    <w:p w14:paraId="7F87D52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u w:val="single"/>
          <w14:textFill>
            <w14:solidFill>
              <w14:schemeClr w14:val="tx1"/>
            </w14:solidFill>
          </w14:textFill>
        </w:rPr>
        <w:t>未达到投标所承诺的诚信</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及</w:t>
      </w:r>
      <w:r>
        <w:rPr>
          <w:rFonts w:hint="eastAsia" w:ascii="宋体" w:hAnsi="宋体" w:eastAsia="宋体" w:cs="宋体"/>
          <w:color w:val="000000" w:themeColor="text1"/>
          <w:kern w:val="0"/>
          <w:sz w:val="21"/>
          <w:szCs w:val="21"/>
          <w:highlight w:val="none"/>
          <w:u w:val="single"/>
          <w14:textFill>
            <w14:solidFill>
              <w14:schemeClr w14:val="tx1"/>
            </w14:solidFill>
          </w14:textFill>
        </w:rPr>
        <w:t>技术标准目标，按每一项扣减履约担保金的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u w:val="single"/>
          <w14:textFill>
            <w14:solidFill>
              <w14:schemeClr w14:val="tx1"/>
            </w14:solidFill>
          </w14:textFill>
        </w:rPr>
        <w:t>%。</w:t>
      </w:r>
    </w:p>
    <w:p w14:paraId="3637FDD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以上时，可解除施工合同。</w:t>
      </w:r>
    </w:p>
    <w:p w14:paraId="0F1EFC7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u w:val="single"/>
          <w14:textFill>
            <w14:solidFill>
              <w14:schemeClr w14:val="tx1"/>
            </w14:solidFill>
          </w14:textFill>
        </w:rPr>
        <w:t>承包人无法继续履行、明确表示不履行或实质上已停止履行合同，发包人可通知承包人全部解除合同，所有履约担保归发包人，同时赔偿发包人损失。</w:t>
      </w:r>
    </w:p>
    <w:p w14:paraId="7E52C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16.2.3 因承包人违约解除合同</w:t>
      </w:r>
    </w:p>
    <w:p w14:paraId="59B07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关于承包人违约解除合同的特别约定：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按通用条款执行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32FEB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使用施工现场的材料、设备按实结算，使用施工机械、器具按租赁费结算，临时工程折算成费用按完成造价比例计算，无偿使用承包人为本工程施工所编制的相应文件等。</w:t>
      </w:r>
    </w:p>
    <w:p w14:paraId="00958E14">
      <w:pPr>
        <w:pageBreakBefore w:val="0"/>
        <w:kinsoku/>
        <w:wordWrap/>
        <w:overflowPunct/>
        <w:topLinePunct w:val="0"/>
        <w:autoSpaceDE/>
        <w:autoSpaceDN/>
        <w:bidi w:val="0"/>
        <w:adjustRightInd/>
        <w:snapToGrid/>
        <w:spacing w:before="120" w:after="120" w:line="340" w:lineRule="exact"/>
        <w:ind w:firstLine="420" w:firstLineChars="200"/>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16.2.4 因承包人违约解除合同后的处理：</w:t>
      </w:r>
      <w:r>
        <w:rPr>
          <w:rFonts w:hint="eastAsia"/>
          <w:color w:val="000000" w:themeColor="text1"/>
          <w:kern w:val="0"/>
          <w:szCs w:val="21"/>
          <w:highlight w:val="none"/>
          <w:u w:val="single"/>
          <w:lang w:eastAsia="zh-CN"/>
          <w14:textFill>
            <w14:solidFill>
              <w14:schemeClr w14:val="tx1"/>
            </w14:solidFill>
          </w14:textFill>
        </w:rPr>
        <w:t>按通用条款执行。</w:t>
      </w:r>
    </w:p>
    <w:p w14:paraId="5C37DF36">
      <w:pPr>
        <w:pStyle w:val="5"/>
        <w:pageBreakBefore w:val="0"/>
        <w:widowControl/>
        <w:kinsoku/>
        <w:wordWrap/>
        <w:overflowPunct/>
        <w:topLinePunct w:val="0"/>
        <w:autoSpaceDE/>
        <w:autoSpaceDN/>
        <w:bidi w:val="0"/>
        <w:adjustRightInd/>
        <w:snapToGrid/>
        <w:spacing w:before="0" w:beforeAutospacing="0" w:after="0" w:afterAutospacing="0" w:line="340" w:lineRule="exact"/>
        <w:ind w:left="0" w:right="0" w:firstLine="422" w:firstLineChars="200"/>
        <w:textAlignment w:val="auto"/>
        <w:rPr>
          <w:rFonts w:hint="eastAsia" w:ascii="宋体" w:hAnsi="Arial" w:eastAsia="宋体" w:cs="宋体"/>
          <w:b w:val="0"/>
          <w:bCs/>
          <w:color w:val="000000" w:themeColor="text1"/>
          <w:sz w:val="21"/>
          <w:szCs w:val="21"/>
          <w:highlight w:val="none"/>
          <w:lang w:val="en-US"/>
          <w14:textFill>
            <w14:solidFill>
              <w14:schemeClr w14:val="tx1"/>
            </w14:solidFill>
          </w14:textFill>
        </w:rPr>
      </w:pPr>
      <w:bookmarkStart w:id="588" w:name="_Toc351203649"/>
      <w:r>
        <w:rPr>
          <w:rFonts w:hint="eastAsia" w:ascii="宋体" w:hAnsi="Arial" w:eastAsia="宋体" w:cs="宋体"/>
          <w:color w:val="000000" w:themeColor="text1"/>
          <w:sz w:val="21"/>
          <w:szCs w:val="21"/>
          <w:highlight w:val="none"/>
          <w:lang w:val="en-US"/>
          <w14:textFill>
            <w14:solidFill>
              <w14:schemeClr w14:val="tx1"/>
            </w14:solidFill>
          </w14:textFill>
        </w:rPr>
        <w:t xml:space="preserve">17. </w:t>
      </w:r>
      <w:r>
        <w:rPr>
          <w:rFonts w:hint="eastAsia" w:ascii="宋体" w:hAnsi="Arial" w:eastAsia="宋体" w:cs="宋体"/>
          <w:color w:val="000000" w:themeColor="text1"/>
          <w:sz w:val="21"/>
          <w:szCs w:val="21"/>
          <w:highlight w:val="none"/>
          <w:lang w:eastAsia="zh-CN"/>
          <w14:textFill>
            <w14:solidFill>
              <w14:schemeClr w14:val="tx1"/>
            </w14:solidFill>
          </w14:textFill>
        </w:rPr>
        <w:t>不可抗力</w:t>
      </w:r>
      <w:bookmarkEnd w:id="588"/>
      <w:r>
        <w:rPr>
          <w:rFonts w:hint="eastAsia" w:ascii="宋体" w:hAnsi="Arial" w:eastAsia="宋体" w:cs="宋体"/>
          <w:b w:val="0"/>
          <w:bCs/>
          <w:color w:val="000000" w:themeColor="text1"/>
          <w:sz w:val="21"/>
          <w:szCs w:val="21"/>
          <w:highlight w:val="none"/>
          <w:lang w:eastAsia="zh-CN"/>
          <w14:textFill>
            <w14:solidFill>
              <w14:schemeClr w14:val="tx1"/>
            </w14:solidFill>
          </w14:textFill>
        </w:rPr>
        <w:t xml:space="preserve"> </w:t>
      </w:r>
    </w:p>
    <w:p w14:paraId="3F312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17.1 不可抗力的确认</w:t>
      </w:r>
    </w:p>
    <w:p w14:paraId="26A5F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除通用合同条款约定的不可抗力事件之外，视为不可抗力的其他情形：</w:t>
      </w:r>
      <w:r>
        <w:rPr>
          <w:rFonts w:hint="eastAsia"/>
          <w:color w:val="000000" w:themeColor="text1"/>
          <w:kern w:val="0"/>
          <w:szCs w:val="21"/>
          <w:highlight w:val="none"/>
          <w:u w:val="single"/>
          <w:lang w:val="en-US" w:eastAsia="zh-CN"/>
          <w14:textFill>
            <w14:solidFill>
              <w14:schemeClr w14:val="tx1"/>
            </w14:solidFill>
          </w14:textFill>
        </w:rPr>
        <w:t xml:space="preserve"> </w:t>
      </w:r>
      <w:r>
        <w:rPr>
          <w:rFonts w:hint="eastAsia"/>
          <w:color w:val="000000" w:themeColor="text1"/>
          <w:kern w:val="0"/>
          <w:szCs w:val="21"/>
          <w:highlight w:val="none"/>
          <w:u w:val="single"/>
          <w:lang w:eastAsia="zh-CN"/>
          <w14:textFill>
            <w14:solidFill>
              <w14:schemeClr w14:val="tx1"/>
            </w14:solidFill>
          </w14:textFill>
        </w:rPr>
        <w:t>10级（不含10级）以上台风、10年一遇洪水、暴风雪、干旱、罢工、政府禁令</w:t>
      </w:r>
      <w:r>
        <w:rPr>
          <w:rFonts w:hint="eastAsia"/>
          <w:color w:val="000000" w:themeColor="text1"/>
          <w:kern w:val="0"/>
          <w:szCs w:val="21"/>
          <w:highlight w:val="none"/>
          <w:u w:val="single"/>
          <w:lang w:val="en-US" w:eastAsia="zh-CN"/>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6F9113A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17.2 不可抗力的通知</w:t>
      </w:r>
    </w:p>
    <w:p w14:paraId="16ABFB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u w:val="single"/>
          <w14:textFill>
            <w14:solidFill>
              <w14:schemeClr w14:val="tx1"/>
            </w14:solidFill>
          </w14:textFill>
        </w:rPr>
      </w:pPr>
      <w:r>
        <w:rPr>
          <w:rFonts w:hint="eastAsia" w:hAnsi="仿宋"/>
          <w:color w:val="000000" w:themeColor="text1"/>
          <w:kern w:val="0"/>
          <w:sz w:val="21"/>
          <w:szCs w:val="21"/>
          <w:highlight w:val="none"/>
          <w:u w:val="single"/>
          <w14:textFill>
            <w14:solidFill>
              <w14:schemeClr w14:val="tx1"/>
            </w14:solidFill>
          </w14:textFill>
        </w:rPr>
        <w:t>按</w:t>
      </w:r>
      <w:r>
        <w:rPr>
          <w:rFonts w:hint="eastAsia" w:hAnsi="仿宋"/>
          <w:color w:val="000000" w:themeColor="text1"/>
          <w:kern w:val="0"/>
          <w:sz w:val="21"/>
          <w:szCs w:val="21"/>
          <w:highlight w:val="none"/>
          <w:u w:val="single"/>
          <w:lang w:eastAsia="zh-CN"/>
          <w14:textFill>
            <w14:solidFill>
              <w14:schemeClr w14:val="tx1"/>
            </w14:solidFill>
          </w14:textFill>
        </w:rPr>
        <w:t>合同</w:t>
      </w:r>
      <w:r>
        <w:rPr>
          <w:rFonts w:hint="eastAsia" w:hAnsi="仿宋"/>
          <w:color w:val="000000" w:themeColor="text1"/>
          <w:kern w:val="0"/>
          <w:sz w:val="21"/>
          <w:szCs w:val="21"/>
          <w:highlight w:val="none"/>
          <w:u w:val="single"/>
          <w14:textFill>
            <w14:solidFill>
              <w14:schemeClr w14:val="tx1"/>
            </w14:solidFill>
          </w14:textFill>
        </w:rPr>
        <w:t>通用条款；另在遭遇不可抗力事件时，为避免不可抗力事件造成更大的损失，承包人采取合理的措施而增加的费用由发包人承担，在向发包人和监理人报告不可抗力事件时</w:t>
      </w:r>
      <w:r>
        <w:rPr>
          <w:rFonts w:hint="eastAsia" w:hAnsi="仿宋"/>
          <w:color w:val="000000" w:themeColor="text1"/>
          <w:kern w:val="0"/>
          <w:sz w:val="21"/>
          <w:szCs w:val="21"/>
          <w:highlight w:val="none"/>
          <w:u w:val="single"/>
          <w:lang w:eastAsia="zh-CN"/>
          <w14:textFill>
            <w14:solidFill>
              <w14:schemeClr w14:val="tx1"/>
            </w14:solidFill>
          </w14:textFill>
        </w:rPr>
        <w:t>应</w:t>
      </w:r>
      <w:r>
        <w:rPr>
          <w:rFonts w:hint="eastAsia" w:hAnsi="仿宋"/>
          <w:color w:val="000000" w:themeColor="text1"/>
          <w:kern w:val="0"/>
          <w:sz w:val="21"/>
          <w:szCs w:val="21"/>
          <w:highlight w:val="none"/>
          <w:u w:val="single"/>
          <w14:textFill>
            <w14:solidFill>
              <w14:schemeClr w14:val="tx1"/>
            </w14:solidFill>
          </w14:textFill>
        </w:rPr>
        <w:t>一并提交所采取的合理措施内容。</w:t>
      </w:r>
    </w:p>
    <w:p w14:paraId="603A7A6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仿宋"/>
          <w:color w:val="000000" w:themeColor="text1"/>
          <w:kern w:val="0"/>
          <w:sz w:val="21"/>
          <w:szCs w:val="21"/>
          <w:highlight w:val="none"/>
          <w14:textFill>
            <w14:solidFill>
              <w14:schemeClr w14:val="tx1"/>
            </w14:solidFill>
          </w14:textFill>
        </w:rPr>
      </w:pPr>
      <w:r>
        <w:rPr>
          <w:rFonts w:hint="eastAsia" w:hAnsi="仿宋"/>
          <w:color w:val="000000" w:themeColor="text1"/>
          <w:kern w:val="0"/>
          <w:sz w:val="21"/>
          <w:szCs w:val="21"/>
          <w:highlight w:val="none"/>
          <w14:textFill>
            <w14:solidFill>
              <w14:schemeClr w14:val="tx1"/>
            </w14:solidFill>
          </w14:textFill>
        </w:rPr>
        <w:t>17.3 不可抗力后果的承担</w:t>
      </w:r>
    </w:p>
    <w:p w14:paraId="3DD5668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000000" w:themeColor="text1"/>
          <w:highlight w:val="none"/>
          <w:lang w:val="en-US"/>
          <w14:textFill>
            <w14:solidFill>
              <w14:schemeClr w14:val="tx1"/>
            </w14:solidFill>
          </w14:textFill>
        </w:rPr>
      </w:pPr>
      <w:r>
        <w:rPr>
          <w:rFonts w:hint="eastAsia" w:hAnsi="仿宋"/>
          <w:color w:val="000000" w:themeColor="text1"/>
          <w:kern w:val="0"/>
          <w:sz w:val="21"/>
          <w:szCs w:val="21"/>
          <w:highlight w:val="none"/>
          <w:u w:val="single"/>
          <w14:textFill>
            <w14:solidFill>
              <w14:schemeClr w14:val="tx1"/>
            </w14:solidFill>
          </w14:textFill>
        </w:rPr>
        <w:t>按</w:t>
      </w:r>
      <w:r>
        <w:rPr>
          <w:rFonts w:hint="eastAsia" w:hAnsi="仿宋"/>
          <w:color w:val="000000" w:themeColor="text1"/>
          <w:kern w:val="0"/>
          <w:sz w:val="21"/>
          <w:szCs w:val="21"/>
          <w:highlight w:val="none"/>
          <w:u w:val="single"/>
          <w:lang w:eastAsia="zh-CN"/>
          <w14:textFill>
            <w14:solidFill>
              <w14:schemeClr w14:val="tx1"/>
            </w14:solidFill>
          </w14:textFill>
        </w:rPr>
        <w:t>合同</w:t>
      </w:r>
      <w:r>
        <w:rPr>
          <w:rFonts w:hint="eastAsia" w:hAnsi="仿宋"/>
          <w:color w:val="000000" w:themeColor="text1"/>
          <w:kern w:val="0"/>
          <w:sz w:val="21"/>
          <w:szCs w:val="21"/>
          <w:highlight w:val="none"/>
          <w:u w:val="single"/>
          <w14:textFill>
            <w14:solidFill>
              <w14:schemeClr w14:val="tx1"/>
            </w14:solidFill>
          </w14:textFill>
        </w:rPr>
        <w:t>通用条款。</w:t>
      </w:r>
    </w:p>
    <w:p w14:paraId="6C535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17.4 因不可抗力解除合同</w:t>
      </w:r>
    </w:p>
    <w:p w14:paraId="61A57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合同解除后，发包人应在商定或确定发包人应支付款项后</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28</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天内完成款项的支付。</w:t>
      </w:r>
    </w:p>
    <w:p w14:paraId="1DAA067F">
      <w:pPr>
        <w:pStyle w:val="5"/>
        <w:pageBreakBefore w:val="0"/>
        <w:widowControl/>
        <w:kinsoku/>
        <w:wordWrap/>
        <w:overflowPunct/>
        <w:topLinePunct w:val="0"/>
        <w:autoSpaceDE/>
        <w:autoSpaceDN/>
        <w:bidi w:val="0"/>
        <w:adjustRightInd/>
        <w:snapToGrid/>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589" w:name="_Toc351203650"/>
      <w:r>
        <w:rPr>
          <w:rFonts w:hint="eastAsia" w:ascii="宋体" w:hAnsi="Arial" w:eastAsia="宋体" w:cs="宋体"/>
          <w:color w:val="000000" w:themeColor="text1"/>
          <w:sz w:val="21"/>
          <w:szCs w:val="21"/>
          <w:highlight w:val="none"/>
          <w:lang w:val="en-US"/>
          <w14:textFill>
            <w14:solidFill>
              <w14:schemeClr w14:val="tx1"/>
            </w14:solidFill>
          </w14:textFill>
        </w:rPr>
        <w:t xml:space="preserve">18. </w:t>
      </w:r>
      <w:r>
        <w:rPr>
          <w:rFonts w:hint="eastAsia" w:ascii="宋体" w:hAnsi="Arial" w:eastAsia="宋体" w:cs="宋体"/>
          <w:color w:val="000000" w:themeColor="text1"/>
          <w:sz w:val="21"/>
          <w:szCs w:val="21"/>
          <w:highlight w:val="none"/>
          <w:lang w:eastAsia="zh-CN"/>
          <w14:textFill>
            <w14:solidFill>
              <w14:schemeClr w14:val="tx1"/>
            </w14:solidFill>
          </w14:textFill>
        </w:rPr>
        <w:t>保险</w:t>
      </w:r>
      <w:bookmarkEnd w:id="589"/>
    </w:p>
    <w:p w14:paraId="4D41A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18.1 工程保险</w:t>
      </w:r>
    </w:p>
    <w:p w14:paraId="2E1E9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关于工程保险的特别约定：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无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687B2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18.3 其他保险</w:t>
      </w:r>
    </w:p>
    <w:p w14:paraId="2D46F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关于其他保险的约定：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由承包人负责办理，费用由承包人负责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2D0FF0E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承包人是否应为其施工设备等办理财产保险：</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由承包人负责办理，费用由承包人负责</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750290E7">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18.7 通知义务</w:t>
      </w:r>
    </w:p>
    <w:p w14:paraId="169F7836">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u w:val="singl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关于变更保险合同时的通知义务的约定：</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无   </w:t>
      </w: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w:t>
      </w:r>
    </w:p>
    <w:p w14:paraId="246AF960">
      <w:pPr>
        <w:pStyle w:val="5"/>
        <w:pageBreakBefore w:val="0"/>
        <w:widowControl/>
        <w:kinsoku/>
        <w:wordWrap/>
        <w:overflowPunct/>
        <w:topLinePunct w:val="0"/>
        <w:bidi w:val="0"/>
        <w:snapToGrid/>
        <w:spacing w:before="0" w:beforeAutospacing="0" w:after="0" w:afterAutospacing="0" w:line="340" w:lineRule="exact"/>
        <w:ind w:left="0" w:right="0" w:firstLine="422" w:firstLineChars="200"/>
        <w:textAlignment w:val="auto"/>
        <w:rPr>
          <w:rFonts w:hint="eastAsia" w:ascii="宋体" w:hAnsi="Arial" w:eastAsia="宋体" w:cs="宋体"/>
          <w:color w:val="000000" w:themeColor="text1"/>
          <w:sz w:val="21"/>
          <w:szCs w:val="21"/>
          <w:highlight w:val="none"/>
          <w:lang w:val="en-US"/>
          <w14:textFill>
            <w14:solidFill>
              <w14:schemeClr w14:val="tx1"/>
            </w14:solidFill>
          </w14:textFill>
        </w:rPr>
      </w:pPr>
      <w:bookmarkStart w:id="590" w:name="_Toc351203651"/>
      <w:r>
        <w:rPr>
          <w:rFonts w:hint="eastAsia" w:ascii="宋体" w:hAnsi="Arial" w:eastAsia="宋体" w:cs="宋体"/>
          <w:color w:val="000000" w:themeColor="text1"/>
          <w:sz w:val="21"/>
          <w:szCs w:val="21"/>
          <w:highlight w:val="none"/>
          <w:lang w:val="en-US"/>
          <w14:textFill>
            <w14:solidFill>
              <w14:schemeClr w14:val="tx1"/>
            </w14:solidFill>
          </w14:textFill>
        </w:rPr>
        <w:t xml:space="preserve">20. </w:t>
      </w:r>
      <w:r>
        <w:rPr>
          <w:rFonts w:hint="eastAsia" w:ascii="宋体" w:hAnsi="Arial" w:eastAsia="宋体" w:cs="宋体"/>
          <w:color w:val="000000" w:themeColor="text1"/>
          <w:sz w:val="21"/>
          <w:szCs w:val="21"/>
          <w:highlight w:val="none"/>
          <w:lang w:eastAsia="zh-CN"/>
          <w14:textFill>
            <w14:solidFill>
              <w14:schemeClr w14:val="tx1"/>
            </w14:solidFill>
          </w14:textFill>
        </w:rPr>
        <w:t>争议解决</w:t>
      </w:r>
      <w:bookmarkEnd w:id="590"/>
    </w:p>
    <w:p w14:paraId="04D9519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20.3 争议评审</w:t>
      </w:r>
    </w:p>
    <w:p w14:paraId="5975F388">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合同当事人是否同意将工程争议提交争议评审小组决定：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提交争议评审时再选定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p>
    <w:p w14:paraId="58896CF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20.3.1 争议评审小组的确定</w:t>
      </w:r>
    </w:p>
    <w:p w14:paraId="090A1D0B">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u w:val="singl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争议评审小组成员的确定：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588933A3">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选定争议评审员的期限：</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60D8784E">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争议评审小组成员的报酬承担方式：</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71FF11D">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其他事项的约定：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4E420E8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kern w:val="0"/>
          <w:szCs w:val="21"/>
          <w:highlight w:val="none"/>
          <w:lang w:val="en-US"/>
          <w14:textFill>
            <w14:solidFill>
              <w14:schemeClr w14:val="tx1"/>
            </w14:solidFill>
          </w14:textFill>
        </w:rPr>
      </w:pPr>
      <w:r>
        <w:rPr>
          <w:rFonts w:hint="eastAsia" w:ascii="宋体" w:hAnsi="Calibri" w:eastAsia="宋体" w:cs="宋体"/>
          <w:color w:val="000000" w:themeColor="text1"/>
          <w:kern w:val="0"/>
          <w:sz w:val="21"/>
          <w:szCs w:val="21"/>
          <w:highlight w:val="none"/>
          <w:lang w:val="en-US" w:eastAsia="zh-CN" w:bidi="ar"/>
          <w14:textFill>
            <w14:solidFill>
              <w14:schemeClr w14:val="tx1"/>
            </w14:solidFill>
          </w14:textFill>
        </w:rPr>
        <w:t>20.3.2 争议评审小组的决定</w:t>
      </w:r>
    </w:p>
    <w:p w14:paraId="09C4196A">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合同当事人关于本项的约定：</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按通用条款</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w:t>
      </w:r>
    </w:p>
    <w:p w14:paraId="0BB9EF3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20.3.3 争议评审小组决定的效力</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：按通用条款执行。</w:t>
      </w:r>
    </w:p>
    <w:p w14:paraId="2AA24D44">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20.4仲裁或诉讼</w:t>
      </w:r>
    </w:p>
    <w:p w14:paraId="50D89877">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因合同及合同有关事项发生的争议，按下列第</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1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种方式解决：</w:t>
      </w:r>
    </w:p>
    <w:p w14:paraId="44061405">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（1）向</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台州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仲裁委员会申请仲裁；</w:t>
      </w:r>
    </w:p>
    <w:p w14:paraId="2812E6E1">
      <w:pPr>
        <w:keepNext w:val="0"/>
        <w:keepLines w:val="0"/>
        <w:pageBreakBefore w:val="0"/>
        <w:widowControl w:val="0"/>
        <w:suppressLineNumbers w:val="0"/>
        <w:kinsoku/>
        <w:wordWrap/>
        <w:overflowPunct/>
        <w:topLinePunct w:val="0"/>
        <w:bidi w:val="0"/>
        <w:snapToGrid/>
        <w:spacing w:before="0" w:beforeAutospacing="0" w:after="0" w:afterAutospacing="0" w:line="340" w:lineRule="exact"/>
        <w:ind w:left="0" w:right="0" w:firstLine="420" w:firstLineChars="200"/>
        <w:jc w:val="both"/>
        <w:textAlignment w:val="auto"/>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（2）向</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人民法院起诉。</w:t>
      </w:r>
    </w:p>
    <w:p w14:paraId="42C955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firstLine="210" w:firstLineChars="100"/>
        <w:jc w:val="left"/>
        <w:textAlignment w:val="auto"/>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21、补充条款：</w:t>
      </w:r>
    </w:p>
    <w:p w14:paraId="55A9185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210" w:firstLineChars="100"/>
        <w:jc w:val="left"/>
        <w:textAlignment w:val="auto"/>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t>21.</w:t>
      </w:r>
      <w:r>
        <w:rPr>
          <w:rFonts w:hint="eastAsia" w:ascii="宋体" w:hAnsi="Calibri" w:cs="宋体"/>
          <w:bCs/>
          <w:color w:val="000000" w:themeColor="text1"/>
          <w:kern w:val="2"/>
          <w:sz w:val="21"/>
          <w:szCs w:val="21"/>
          <w:highlight w:val="none"/>
          <w:lang w:val="en-US" w:eastAsia="zh-CN" w:bidi="ar"/>
          <w14:textFill>
            <w14:solidFill>
              <w14:schemeClr w14:val="tx1"/>
            </w14:solidFill>
          </w14:textFill>
        </w:rPr>
        <w:t>1</w:t>
      </w:r>
      <w:r>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t>施工单位必须确保道路通畅，场地整洁，不得乱放施工材料。</w:t>
      </w:r>
    </w:p>
    <w:p w14:paraId="359F1B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firstLine="210" w:firstLineChars="100"/>
        <w:jc w:val="left"/>
        <w:textAlignment w:val="auto"/>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t>21.2如因承包人原因造成第三方伤亡事故，由承包人承担全部责任。</w:t>
      </w:r>
    </w:p>
    <w:p w14:paraId="77C51A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firstLine="210" w:firstLineChars="100"/>
        <w:jc w:val="left"/>
        <w:textAlignment w:val="auto"/>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t>21.3施工过程中造成道路、绿化、官网线路及其它构筑物破坏的，均须予以修复。</w:t>
      </w:r>
    </w:p>
    <w:p w14:paraId="2E2E846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firstLine="210" w:firstLineChars="100"/>
        <w:jc w:val="left"/>
        <w:textAlignment w:val="auto"/>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pPr>
      <w:r>
        <w:rPr>
          <w:rFonts w:hint="eastAsia" w:ascii="宋体" w:hAnsi="Calibri" w:eastAsia="宋体" w:cs="宋体"/>
          <w:bCs/>
          <w:color w:val="000000" w:themeColor="text1"/>
          <w:kern w:val="2"/>
          <w:sz w:val="21"/>
          <w:szCs w:val="21"/>
          <w:highlight w:val="none"/>
          <w:lang w:val="en-US" w:eastAsia="zh-CN" w:bidi="ar"/>
          <w14:textFill>
            <w14:solidFill>
              <w14:schemeClr w14:val="tx1"/>
            </w14:solidFill>
          </w14:textFill>
        </w:rPr>
        <w:t>21.4本工程完成的工程价款达到签约合同价时，须停止施工承包人不得再承接新的零星修复，根据已完成的工程量报相关部门审核（有资质的中介机构审核），最后的工程款结算价不得超过签约合同价*110%。</w:t>
      </w:r>
    </w:p>
    <w:p w14:paraId="71AE7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pPr>
    </w:p>
    <w:p w14:paraId="27B1E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发包人(公章)：</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承包人(公章)：</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p>
    <w:p w14:paraId="01232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地  址：</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地  址：</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p>
    <w:p w14:paraId="72BE9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Calibri" w:hAnsi="Calibri" w:cs="Times New Roman"/>
          <w:color w:val="000000" w:themeColor="text1"/>
          <w:kern w:val="2"/>
          <w:sz w:val="21"/>
          <w:szCs w:val="21"/>
          <w:highlight w:val="none"/>
          <w:lang w:val="en-US" w:eastAsia="zh-CN" w:bidi="ar"/>
          <w14:textFill>
            <w14:solidFill>
              <w14:schemeClr w14:val="tx1"/>
            </w14:solidFill>
          </w14:textFill>
        </w:rPr>
      </w:pPr>
      <w:r>
        <w:rPr>
          <w:rFonts w:hint="eastAsia" w:ascii="Calibri" w:hAnsi="Calibri" w:eastAsia="宋体" w:cs="宋体"/>
          <w:color w:val="000000" w:themeColor="text1"/>
          <w:kern w:val="2"/>
          <w:sz w:val="21"/>
          <w:szCs w:val="21"/>
          <w:highlight w:val="none"/>
          <w:lang w:val="en-US" w:eastAsia="zh-CN" w:bidi="ar"/>
          <w14:textFill>
            <w14:solidFill>
              <w14:schemeClr w14:val="tx1"/>
            </w14:solidFill>
          </w14:textFill>
        </w:rPr>
        <w:t>法定代表人</w:t>
      </w:r>
      <w:r>
        <w:rPr>
          <w:rFonts w:hint="default"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eastAsia" w:ascii="Calibri" w:hAnsi="Calibri" w:cs="Times New Roman"/>
          <w:color w:val="000000" w:themeColor="text1"/>
          <w:kern w:val="2"/>
          <w:sz w:val="21"/>
          <w:szCs w:val="21"/>
          <w:highlight w:val="none"/>
          <w:lang w:val="en-US" w:eastAsia="zh-CN" w:bidi="ar"/>
          <w14:textFill>
            <w14:solidFill>
              <w14:schemeClr w14:val="tx1"/>
            </w14:solidFill>
          </w14:textFill>
        </w:rPr>
        <w:t xml:space="preserve">                    </w:t>
      </w:r>
      <w:r>
        <w:rPr>
          <w:rFonts w:hint="eastAsia" w:ascii="Calibri" w:hAnsi="Calibri" w:eastAsia="宋体" w:cs="宋体"/>
          <w:color w:val="000000" w:themeColor="text1"/>
          <w:kern w:val="2"/>
          <w:sz w:val="21"/>
          <w:szCs w:val="21"/>
          <w:highlight w:val="none"/>
          <w:lang w:val="en-US" w:eastAsia="zh-CN" w:bidi="ar"/>
          <w14:textFill>
            <w14:solidFill>
              <w14:schemeClr w14:val="tx1"/>
            </w14:solidFill>
          </w14:textFill>
        </w:rPr>
        <w:t>法定代表人</w:t>
      </w:r>
    </w:p>
    <w:p w14:paraId="01701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default" w:ascii="Calibri" w:hAnsi="Calibri" w:eastAsia="宋体" w:cs="Times New Roman"/>
          <w:color w:val="000000" w:themeColor="text1"/>
          <w:kern w:val="2"/>
          <w:sz w:val="21"/>
          <w:szCs w:val="21"/>
          <w:highlight w:val="none"/>
          <w:u w:val="single"/>
          <w:lang w:val="en-US" w:eastAsia="zh-CN" w:bidi="ar"/>
          <w14:textFill>
            <w14:solidFill>
              <w14:schemeClr w14:val="tx1"/>
            </w14:solidFill>
          </w14:textFill>
        </w:rPr>
      </w:pPr>
      <w:r>
        <w:rPr>
          <w:rFonts w:hint="eastAsia" w:ascii="Calibri" w:hAnsi="Calibri" w:cs="宋体"/>
          <w:color w:val="000000" w:themeColor="text1"/>
          <w:kern w:val="2"/>
          <w:sz w:val="21"/>
          <w:szCs w:val="21"/>
          <w:highlight w:val="none"/>
          <w:lang w:val="en-US" w:eastAsia="zh-CN" w:bidi="ar"/>
          <w14:textFill>
            <w14:solidFill>
              <w14:schemeClr w14:val="tx1"/>
            </w14:solidFill>
          </w14:textFill>
        </w:rPr>
        <w:t>或其</w:t>
      </w:r>
      <w:r>
        <w:rPr>
          <w:rFonts w:hint="eastAsia" w:ascii="Calibri" w:hAnsi="Calibri" w:eastAsia="宋体" w:cs="宋体"/>
          <w:color w:val="000000" w:themeColor="text1"/>
          <w:kern w:val="2"/>
          <w:sz w:val="21"/>
          <w:szCs w:val="21"/>
          <w:highlight w:val="none"/>
          <w:lang w:val="en-US" w:eastAsia="zh-CN" w:bidi="ar"/>
          <w14:textFill>
            <w14:solidFill>
              <w14:schemeClr w14:val="tx1"/>
            </w14:solidFill>
          </w14:textFill>
        </w:rPr>
        <w:t>委托代理人</w:t>
      </w:r>
      <w:r>
        <w:rPr>
          <w:rFonts w:hint="default" w:ascii="Calibri" w:hAnsi="Calibri" w:eastAsia="宋体" w:cs="Times New Roman"/>
          <w:color w:val="000000" w:themeColor="text1"/>
          <w:kern w:val="2"/>
          <w:sz w:val="21"/>
          <w:szCs w:val="21"/>
          <w:highlight w:val="none"/>
          <w:lang w:val="en-US" w:eastAsia="zh-CN" w:bidi="ar"/>
          <w14:textFill>
            <w14:solidFill>
              <w14:schemeClr w14:val="tx1"/>
            </w14:solidFill>
          </w14:textFill>
        </w:rPr>
        <w:t>(</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签字或盖章</w:t>
      </w:r>
      <w:r>
        <w:rPr>
          <w:rFonts w:hint="default" w:ascii="Calibri" w:hAnsi="Calibri" w:eastAsia="宋体" w:cs="Times New Roman"/>
          <w:color w:val="000000" w:themeColor="text1"/>
          <w:kern w:val="2"/>
          <w:sz w:val="21"/>
          <w:szCs w:val="21"/>
          <w:highlight w:val="none"/>
          <w:lang w:val="en-US" w:eastAsia="zh-CN" w:bidi="ar"/>
          <w14:textFill>
            <w14:solidFill>
              <w14:schemeClr w14:val="tx1"/>
            </w14:solidFill>
          </w14:textFill>
        </w:rPr>
        <w:t>)</w:t>
      </w:r>
      <w:r>
        <w:rPr>
          <w:rFonts w:hint="eastAsia" w:ascii="Calibri" w:hAnsi="Calibri" w:eastAsia="宋体" w:cs="宋体"/>
          <w:color w:val="000000" w:themeColor="text1"/>
          <w:kern w:val="2"/>
          <w:sz w:val="21"/>
          <w:szCs w:val="21"/>
          <w:highlight w:val="none"/>
          <w:lang w:val="en-US" w:eastAsia="zh-CN" w:bidi="ar"/>
          <w14:textFill>
            <w14:solidFill>
              <w14:schemeClr w14:val="tx1"/>
            </w14:solidFill>
          </w14:textFill>
        </w:rPr>
        <w:t>：</w:t>
      </w:r>
      <w:r>
        <w:rPr>
          <w:rFonts w:hint="default" w:ascii="Calibri" w:hAnsi="Calibri"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Calibri" w:hAnsi="Calibri"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Calibri" w:hAnsi="Calibri" w:cs="Times New Roman"/>
          <w:color w:val="000000" w:themeColor="text1"/>
          <w:kern w:val="2"/>
          <w:sz w:val="21"/>
          <w:szCs w:val="21"/>
          <w:highlight w:val="none"/>
          <w:lang w:val="en-US" w:eastAsia="zh-CN" w:bidi="ar"/>
          <w14:textFill>
            <w14:solidFill>
              <w14:schemeClr w14:val="tx1"/>
            </w14:solidFill>
          </w14:textFill>
        </w:rPr>
        <w:t>或其</w:t>
      </w:r>
      <w:r>
        <w:rPr>
          <w:rFonts w:hint="eastAsia" w:ascii="Calibri" w:hAnsi="Calibri" w:eastAsia="宋体" w:cs="宋体"/>
          <w:color w:val="000000" w:themeColor="text1"/>
          <w:kern w:val="2"/>
          <w:sz w:val="21"/>
          <w:szCs w:val="21"/>
          <w:highlight w:val="none"/>
          <w:lang w:val="en-US" w:eastAsia="zh-CN" w:bidi="ar"/>
          <w14:textFill>
            <w14:solidFill>
              <w14:schemeClr w14:val="tx1"/>
            </w14:solidFill>
          </w14:textFill>
        </w:rPr>
        <w:t>委托代理人</w:t>
      </w:r>
      <w:r>
        <w:rPr>
          <w:rFonts w:hint="default" w:ascii="Calibri" w:hAnsi="Calibri" w:eastAsia="宋体" w:cs="Times New Roman"/>
          <w:color w:val="000000" w:themeColor="text1"/>
          <w:kern w:val="2"/>
          <w:sz w:val="21"/>
          <w:szCs w:val="21"/>
          <w:highlight w:val="none"/>
          <w:lang w:val="en-US" w:eastAsia="zh-CN" w:bidi="ar"/>
          <w14:textFill>
            <w14:solidFill>
              <w14:schemeClr w14:val="tx1"/>
            </w14:solidFill>
          </w14:textFill>
        </w:rPr>
        <w:t>(</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签字或盖章</w:t>
      </w:r>
      <w:r>
        <w:rPr>
          <w:rFonts w:hint="default" w:ascii="Calibri" w:hAnsi="Calibri" w:eastAsia="宋体" w:cs="Times New Roman"/>
          <w:color w:val="000000" w:themeColor="text1"/>
          <w:kern w:val="2"/>
          <w:sz w:val="21"/>
          <w:szCs w:val="21"/>
          <w:highlight w:val="none"/>
          <w:lang w:val="en-US" w:eastAsia="zh-CN" w:bidi="ar"/>
          <w14:textFill>
            <w14:solidFill>
              <w14:schemeClr w14:val="tx1"/>
            </w14:solidFill>
          </w14:textFill>
        </w:rPr>
        <w:t>)</w:t>
      </w:r>
      <w:r>
        <w:rPr>
          <w:rFonts w:hint="eastAsia" w:ascii="Calibri" w:hAnsi="Calibri" w:eastAsia="宋体" w:cs="宋体"/>
          <w:color w:val="000000" w:themeColor="text1"/>
          <w:kern w:val="2"/>
          <w:sz w:val="21"/>
          <w:szCs w:val="21"/>
          <w:highlight w:val="none"/>
          <w:lang w:val="en-US" w:eastAsia="zh-CN" w:bidi="ar"/>
          <w14:textFill>
            <w14:solidFill>
              <w14:schemeClr w14:val="tx1"/>
            </w14:solidFill>
          </w14:textFill>
        </w:rPr>
        <w:t>：</w:t>
      </w:r>
      <w:r>
        <w:rPr>
          <w:rFonts w:hint="default" w:ascii="Calibri" w:hAnsi="Calibri"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Calibri" w:hAnsi="Calibri"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Calibri" w:hAnsi="Calibri" w:cs="Times New Roman"/>
          <w:color w:val="000000" w:themeColor="text1"/>
          <w:kern w:val="2"/>
          <w:sz w:val="21"/>
          <w:szCs w:val="21"/>
          <w:highlight w:val="none"/>
          <w:u w:val="single"/>
          <w:lang w:val="en-US" w:eastAsia="zh-CN" w:bidi="ar"/>
          <w14:textFill>
            <w14:solidFill>
              <w14:schemeClr w14:val="tx1"/>
            </w14:solidFill>
          </w14:textFill>
        </w:rPr>
        <w:t xml:space="preserve"> </w:t>
      </w:r>
      <w:r>
        <w:rPr>
          <w:rFonts w:hint="default" w:ascii="Calibri" w:hAnsi="Calibri"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p>
    <w:p w14:paraId="74AB9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Calibri" w:eastAsia="宋体" w:cs="宋体"/>
          <w:color w:val="000000" w:themeColor="text1"/>
          <w:szCs w:val="21"/>
          <w:highlight w:val="none"/>
          <w:lang w:val="en-US"/>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电  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电  话：</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p>
    <w:p w14:paraId="33F83FB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olor w:val="000000" w:themeColor="text1"/>
          <w:highlight w:val="none"/>
          <w14:textFill>
            <w14:solidFill>
              <w14:schemeClr w14:val="tx1"/>
            </w14:solidFill>
          </w14:textFill>
        </w:rPr>
      </w:pP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传  真：</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lang w:val="en-US" w:eastAsia="zh-CN" w:bidi="ar"/>
          <w14:textFill>
            <w14:solidFill>
              <w14:schemeClr w14:val="tx1"/>
            </w14:solidFill>
          </w14:textFill>
        </w:rPr>
        <w:t>传  真：</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Calibri" w:eastAsia="宋体" w:cs="宋体"/>
          <w:color w:val="000000" w:themeColor="text1"/>
          <w:kern w:val="2"/>
          <w:sz w:val="21"/>
          <w:szCs w:val="21"/>
          <w:highlight w:val="none"/>
          <w:u w:val="single"/>
          <w:lang w:val="en-US" w:eastAsia="zh-CN" w:bidi="ar"/>
          <w14:textFill>
            <w14:solidFill>
              <w14:schemeClr w14:val="tx1"/>
            </w14:solidFill>
          </w14:textFill>
        </w:rPr>
        <w:t xml:space="preserve"> </w:t>
      </w:r>
    </w:p>
    <w:p w14:paraId="44C5D74B">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附件1-1：</w:t>
      </w:r>
    </w:p>
    <w:p w14:paraId="334F32CE">
      <w:pPr>
        <w:jc w:val="center"/>
        <w:rPr>
          <w:rFonts w:hint="eastAsia"/>
          <w:b/>
          <w:bCs/>
          <w:color w:val="000000" w:themeColor="text1"/>
          <w:sz w:val="30"/>
          <w:szCs w:val="30"/>
          <w:highlight w:val="none"/>
          <w:lang w:eastAsia="zh-CN"/>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玉环市玉城、坎门、大麦屿街道市政道路和桥梁日常养护工程</w:t>
      </w:r>
    </w:p>
    <w:p w14:paraId="5FB10E73">
      <w:pPr>
        <w:jc w:val="center"/>
        <w:rPr>
          <w:rFonts w:hint="eastAsia" w:eastAsia="方正小标宋_GBK"/>
          <w:b/>
          <w:bCs/>
          <w:color w:val="000000" w:themeColor="text1"/>
          <w:sz w:val="44"/>
          <w:szCs w:val="44"/>
          <w:highlight w:val="none"/>
          <w:lang w:eastAsia="zh-CN"/>
          <w14:textFill>
            <w14:solidFill>
              <w14:schemeClr w14:val="tx1"/>
            </w14:solidFill>
          </w14:textFill>
        </w:rPr>
      </w:pPr>
      <w:r>
        <w:rPr>
          <w:rFonts w:hint="eastAsia" w:eastAsia="方正小标宋_GBK"/>
          <w:b/>
          <w:bCs/>
          <w:color w:val="000000" w:themeColor="text1"/>
          <w:sz w:val="44"/>
          <w:szCs w:val="44"/>
          <w:highlight w:val="none"/>
          <w:lang w:eastAsia="zh-CN"/>
          <w14:textFill>
            <w14:solidFill>
              <w14:schemeClr w14:val="tx1"/>
            </w14:solidFill>
          </w14:textFill>
        </w:rPr>
        <w:t>交办单</w:t>
      </w:r>
    </w:p>
    <w:p w14:paraId="6101A377">
      <w:pPr>
        <w:tabs>
          <w:tab w:val="left" w:pos="1656"/>
        </w:tabs>
        <w:spacing w:line="440" w:lineRule="exact"/>
        <w:rPr>
          <w:rFonts w:eastAsia="仿宋_GB2312"/>
          <w:color w:val="000000" w:themeColor="text1"/>
          <w:sz w:val="30"/>
          <w:szCs w:val="30"/>
          <w:highlight w:val="none"/>
          <w14:textFill>
            <w14:solidFill>
              <w14:schemeClr w14:val="tx1"/>
            </w14:solidFill>
          </w14:textFill>
        </w:rPr>
      </w:pPr>
      <w:r>
        <w:rPr>
          <w:rFonts w:eastAsia="方正小标宋简体"/>
          <w:color w:val="000000" w:themeColor="text1"/>
          <w:sz w:val="44"/>
          <w:szCs w:val="44"/>
          <w:highlight w:val="none"/>
          <w14:textFill>
            <w14:solidFill>
              <w14:schemeClr w14:val="tx1"/>
            </w14:solidFill>
          </w14:textFill>
        </w:rPr>
        <w:tab/>
      </w:r>
      <w:r>
        <w:rPr>
          <w:rFonts w:eastAsia="仿宋_GB2312"/>
          <w:color w:val="000000" w:themeColor="text1"/>
          <w:sz w:val="32"/>
          <w:szCs w:val="32"/>
          <w:highlight w:val="none"/>
          <w14:textFill>
            <w14:solidFill>
              <w14:schemeClr w14:val="tx1"/>
            </w14:solidFill>
          </w14:textFill>
        </w:rPr>
        <w:t xml:space="preserve">                  </w:t>
      </w:r>
      <w:r>
        <w:rPr>
          <w:rFonts w:eastAsia="仿宋_GB2312"/>
          <w:color w:val="000000" w:themeColor="text1"/>
          <w:sz w:val="30"/>
          <w:szCs w:val="30"/>
          <w:highlight w:val="none"/>
          <w14:textFill>
            <w14:solidFill>
              <w14:schemeClr w14:val="tx1"/>
            </w14:solidFill>
          </w14:textFill>
        </w:rPr>
        <w:t xml:space="preserve"> </w:t>
      </w:r>
      <w:r>
        <w:rPr>
          <w:rFonts w:hint="eastAsia" w:eastAsia="仿宋_GB2312"/>
          <w:color w:val="000000" w:themeColor="text1"/>
          <w:sz w:val="30"/>
          <w:szCs w:val="30"/>
          <w:highlight w:val="none"/>
          <w:lang w:val="en-US" w:eastAsia="zh-CN"/>
          <w14:textFill>
            <w14:solidFill>
              <w14:schemeClr w14:val="tx1"/>
            </w14:solidFill>
          </w14:textFill>
        </w:rPr>
        <w:t xml:space="preserve">              </w:t>
      </w:r>
      <w:r>
        <w:rPr>
          <w:rFonts w:eastAsia="仿宋_GB2312"/>
          <w:color w:val="000000" w:themeColor="text1"/>
          <w:sz w:val="30"/>
          <w:szCs w:val="30"/>
          <w:highlight w:val="none"/>
          <w14:textFill>
            <w14:solidFill>
              <w14:schemeClr w14:val="tx1"/>
            </w14:solidFill>
          </w14:textFill>
        </w:rPr>
        <w:t>第</w:t>
      </w:r>
      <w:r>
        <w:rPr>
          <w:rFonts w:hint="eastAsia" w:eastAsia="仿宋_GB2312"/>
          <w:color w:val="000000" w:themeColor="text1"/>
          <w:sz w:val="30"/>
          <w:szCs w:val="30"/>
          <w:highlight w:val="none"/>
          <w14:textFill>
            <w14:solidFill>
              <w14:schemeClr w14:val="tx1"/>
            </w14:solidFill>
          </w14:textFill>
        </w:rPr>
        <w:t>0</w:t>
      </w:r>
      <w:r>
        <w:rPr>
          <w:rFonts w:hint="eastAsia" w:eastAsia="仿宋_GB2312"/>
          <w:color w:val="000000" w:themeColor="text1"/>
          <w:sz w:val="30"/>
          <w:szCs w:val="30"/>
          <w:highlight w:val="none"/>
          <w:lang w:val="en-US" w:eastAsia="zh-CN"/>
          <w14:textFill>
            <w14:solidFill>
              <w14:schemeClr w14:val="tx1"/>
            </w14:solidFill>
          </w14:textFill>
        </w:rPr>
        <w:t>01</w:t>
      </w:r>
      <w:r>
        <w:rPr>
          <w:rFonts w:eastAsia="仿宋_GB2312"/>
          <w:color w:val="000000" w:themeColor="text1"/>
          <w:sz w:val="30"/>
          <w:szCs w:val="30"/>
          <w:highlight w:val="none"/>
          <w14:textFill>
            <w14:solidFill>
              <w14:schemeClr w14:val="tx1"/>
            </w14:solidFill>
          </w14:textFill>
        </w:rPr>
        <w:t>号</w:t>
      </w:r>
    </w:p>
    <w:tbl>
      <w:tblPr>
        <w:tblStyle w:val="28"/>
        <w:tblpPr w:leftFromText="180" w:rightFromText="180" w:vertAnchor="text" w:horzAnchor="page" w:tblpX="1371" w:tblpY="264"/>
        <w:tblOverlap w:val="never"/>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630"/>
        <w:gridCol w:w="1778"/>
        <w:gridCol w:w="5048"/>
      </w:tblGrid>
      <w:tr w14:paraId="238E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870" w:type="dxa"/>
            <w:gridSpan w:val="2"/>
            <w:tcBorders>
              <w:top w:val="single" w:color="auto" w:sz="12" w:space="0"/>
              <w:left w:val="single" w:color="auto" w:sz="12" w:space="0"/>
            </w:tcBorders>
            <w:noWrap w:val="0"/>
            <w:vAlign w:val="center"/>
          </w:tcPr>
          <w:p w14:paraId="3366124A">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施工</w:t>
            </w:r>
            <w:r>
              <w:rPr>
                <w:rFonts w:hint="eastAsia" w:ascii="宋体" w:hAnsi="宋体" w:eastAsia="宋体" w:cs="宋体"/>
                <w:color w:val="000000" w:themeColor="text1"/>
                <w:sz w:val="21"/>
                <w:szCs w:val="21"/>
                <w:highlight w:val="none"/>
                <w14:textFill>
                  <w14:solidFill>
                    <w14:schemeClr w14:val="tx1"/>
                  </w14:solidFill>
                </w14:textFill>
              </w:rPr>
              <w:t>单位</w:t>
            </w:r>
          </w:p>
        </w:tc>
        <w:tc>
          <w:tcPr>
            <w:tcW w:w="6826" w:type="dxa"/>
            <w:gridSpan w:val="2"/>
            <w:tcBorders>
              <w:top w:val="single" w:color="auto" w:sz="12" w:space="0"/>
              <w:right w:val="single" w:color="auto" w:sz="12" w:space="0"/>
            </w:tcBorders>
            <w:noWrap w:val="0"/>
            <w:vAlign w:val="center"/>
          </w:tcPr>
          <w:p w14:paraId="12AF7CD8">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w:t>
            </w:r>
          </w:p>
        </w:tc>
      </w:tr>
      <w:tr w14:paraId="6785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0" w:type="dxa"/>
            <w:gridSpan w:val="2"/>
            <w:tcBorders>
              <w:left w:val="single" w:color="auto" w:sz="12" w:space="0"/>
            </w:tcBorders>
            <w:noWrap w:val="0"/>
            <w:vAlign w:val="center"/>
          </w:tcPr>
          <w:p w14:paraId="7DC189D0">
            <w:pP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项目负责人</w:t>
            </w:r>
          </w:p>
        </w:tc>
        <w:tc>
          <w:tcPr>
            <w:tcW w:w="6826" w:type="dxa"/>
            <w:gridSpan w:val="2"/>
            <w:tcBorders>
              <w:right w:val="single" w:color="auto" w:sz="12" w:space="0"/>
            </w:tcBorders>
            <w:noWrap w:val="0"/>
            <w:vAlign w:val="center"/>
          </w:tcPr>
          <w:p w14:paraId="5EC28FD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ED9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0" w:type="dxa"/>
            <w:gridSpan w:val="2"/>
            <w:tcBorders>
              <w:left w:val="single" w:color="auto" w:sz="12" w:space="0"/>
            </w:tcBorders>
            <w:noWrap w:val="0"/>
            <w:vAlign w:val="center"/>
          </w:tcPr>
          <w:p w14:paraId="00AF5170">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监理</w:t>
            </w:r>
            <w:r>
              <w:rPr>
                <w:rFonts w:hint="eastAsia" w:ascii="宋体" w:hAnsi="宋体" w:eastAsia="宋体" w:cs="宋体"/>
                <w:color w:val="000000" w:themeColor="text1"/>
                <w:sz w:val="21"/>
                <w:szCs w:val="21"/>
                <w:highlight w:val="none"/>
                <w14:textFill>
                  <w14:solidFill>
                    <w14:schemeClr w14:val="tx1"/>
                  </w14:solidFill>
                </w14:textFill>
              </w:rPr>
              <w:t>单位</w:t>
            </w:r>
          </w:p>
        </w:tc>
        <w:tc>
          <w:tcPr>
            <w:tcW w:w="6826" w:type="dxa"/>
            <w:gridSpan w:val="2"/>
            <w:tcBorders>
              <w:right w:val="single" w:color="auto" w:sz="12" w:space="0"/>
            </w:tcBorders>
            <w:noWrap w:val="0"/>
            <w:vAlign w:val="center"/>
          </w:tcPr>
          <w:p w14:paraId="66269FE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249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70" w:type="dxa"/>
            <w:gridSpan w:val="2"/>
            <w:tcBorders>
              <w:left w:val="single" w:color="auto" w:sz="12" w:space="0"/>
            </w:tcBorders>
            <w:noWrap w:val="0"/>
            <w:vAlign w:val="center"/>
          </w:tcPr>
          <w:p w14:paraId="19373EFE">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p>
        </w:tc>
        <w:tc>
          <w:tcPr>
            <w:tcW w:w="6826" w:type="dxa"/>
            <w:gridSpan w:val="2"/>
            <w:tcBorders>
              <w:right w:val="single" w:color="auto" w:sz="12" w:space="0"/>
            </w:tcBorders>
            <w:noWrap w:val="0"/>
            <w:vAlign w:val="center"/>
          </w:tcPr>
          <w:p w14:paraId="6ECA33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eastAsia="zh-CN"/>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日</w:t>
            </w:r>
          </w:p>
        </w:tc>
      </w:tr>
      <w:tr w14:paraId="2638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0" w:type="dxa"/>
            <w:tcBorders>
              <w:left w:val="single" w:color="auto" w:sz="12" w:space="0"/>
              <w:right w:val="nil"/>
            </w:tcBorders>
            <w:noWrap w:val="0"/>
            <w:vAlign w:val="center"/>
          </w:tcPr>
          <w:p w14:paraId="73F6EC3B">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408" w:type="dxa"/>
            <w:gridSpan w:val="2"/>
            <w:tcBorders>
              <w:left w:val="nil"/>
            </w:tcBorders>
            <w:noWrap w:val="0"/>
            <w:vAlign w:val="center"/>
          </w:tcPr>
          <w:p w14:paraId="7216D491">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问题情况</w:t>
            </w:r>
          </w:p>
        </w:tc>
        <w:tc>
          <w:tcPr>
            <w:tcW w:w="5048" w:type="dxa"/>
            <w:tcBorders>
              <w:right w:val="single" w:color="auto" w:sz="12" w:space="0"/>
            </w:tcBorders>
            <w:noWrap w:val="0"/>
            <w:vAlign w:val="center"/>
          </w:tcPr>
          <w:p w14:paraId="4429FED4">
            <w:pPr>
              <w:spacing w:line="44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现场</w:t>
            </w:r>
            <w:r>
              <w:rPr>
                <w:rFonts w:hint="eastAsia" w:ascii="宋体" w:hAnsi="宋体" w:eastAsia="宋体" w:cs="宋体"/>
                <w:color w:val="000000" w:themeColor="text1"/>
                <w:sz w:val="21"/>
                <w:szCs w:val="21"/>
                <w:highlight w:val="none"/>
                <w14:textFill>
                  <w14:solidFill>
                    <w14:schemeClr w14:val="tx1"/>
                  </w14:solidFill>
                </w14:textFill>
              </w:rPr>
              <w:t>图片</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或施工图</w:t>
            </w:r>
          </w:p>
        </w:tc>
      </w:tr>
      <w:tr w14:paraId="0DCA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9" w:hRule="atLeast"/>
        </w:trPr>
        <w:tc>
          <w:tcPr>
            <w:tcW w:w="240" w:type="dxa"/>
            <w:tcBorders>
              <w:left w:val="single" w:color="auto" w:sz="12" w:space="0"/>
              <w:right w:val="nil"/>
            </w:tcBorders>
            <w:noWrap w:val="0"/>
            <w:vAlign w:val="center"/>
          </w:tcPr>
          <w:p w14:paraId="7A04C2F9">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408" w:type="dxa"/>
            <w:gridSpan w:val="2"/>
            <w:tcBorders>
              <w:left w:val="nil"/>
            </w:tcBorders>
            <w:noWrap w:val="0"/>
            <w:vAlign w:val="top"/>
          </w:tcPr>
          <w:p w14:paraId="74FFCE49">
            <w:pPr>
              <w:spacing w:line="58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存在问题：</w:t>
            </w:r>
          </w:p>
        </w:tc>
        <w:tc>
          <w:tcPr>
            <w:tcW w:w="5048" w:type="dxa"/>
            <w:tcBorders>
              <w:right w:val="single" w:color="auto" w:sz="12" w:space="0"/>
            </w:tcBorders>
            <w:noWrap w:val="0"/>
            <w:vAlign w:val="top"/>
          </w:tcPr>
          <w:p w14:paraId="1AFC6559">
            <w:pPr>
              <w:rPr>
                <w:rFonts w:hint="eastAsia" w:ascii="宋体" w:hAnsi="宋体" w:eastAsia="宋体" w:cs="宋体"/>
                <w:color w:val="000000" w:themeColor="text1"/>
                <w:sz w:val="21"/>
                <w:szCs w:val="21"/>
                <w:highlight w:val="none"/>
                <w14:textFill>
                  <w14:solidFill>
                    <w14:schemeClr w14:val="tx1"/>
                  </w14:solidFill>
                </w14:textFill>
              </w:rPr>
            </w:pPr>
          </w:p>
          <w:p w14:paraId="01E81D5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可附页：</w:t>
            </w:r>
          </w:p>
          <w:p w14:paraId="12F16B56">
            <w:pPr>
              <w:rPr>
                <w:rFonts w:hint="eastAsia" w:ascii="宋体" w:hAnsi="宋体" w:eastAsia="宋体" w:cs="宋体"/>
                <w:color w:val="000000" w:themeColor="text1"/>
                <w:sz w:val="21"/>
                <w:szCs w:val="21"/>
                <w:highlight w:val="none"/>
                <w14:textFill>
                  <w14:solidFill>
                    <w14:schemeClr w14:val="tx1"/>
                  </w14:solidFill>
                </w14:textFill>
              </w:rPr>
            </w:pPr>
          </w:p>
          <w:p w14:paraId="4997A625">
            <w:pPr>
              <w:rPr>
                <w:rFonts w:hint="eastAsia" w:ascii="宋体" w:hAnsi="宋体" w:eastAsia="宋体" w:cs="宋体"/>
                <w:color w:val="000000" w:themeColor="text1"/>
                <w:sz w:val="21"/>
                <w:szCs w:val="21"/>
                <w:highlight w:val="none"/>
                <w14:textFill>
                  <w14:solidFill>
                    <w14:schemeClr w14:val="tx1"/>
                  </w14:solidFill>
                </w14:textFill>
              </w:rPr>
            </w:pPr>
          </w:p>
          <w:p w14:paraId="7D8A52F4">
            <w:pPr>
              <w:rPr>
                <w:rFonts w:hint="eastAsia" w:ascii="宋体" w:hAnsi="宋体" w:eastAsia="宋体" w:cs="宋体"/>
                <w:color w:val="000000" w:themeColor="text1"/>
                <w:sz w:val="21"/>
                <w:szCs w:val="21"/>
                <w:highlight w:val="none"/>
                <w14:textFill>
                  <w14:solidFill>
                    <w14:schemeClr w14:val="tx1"/>
                  </w14:solidFill>
                </w14:textFill>
              </w:rPr>
            </w:pPr>
          </w:p>
          <w:p w14:paraId="1FCBBA80">
            <w:pPr>
              <w:rPr>
                <w:rFonts w:hint="eastAsia" w:ascii="宋体" w:hAnsi="宋体" w:eastAsia="宋体" w:cs="宋体"/>
                <w:color w:val="000000" w:themeColor="text1"/>
                <w:sz w:val="21"/>
                <w:szCs w:val="21"/>
                <w:highlight w:val="none"/>
                <w14:textFill>
                  <w14:solidFill>
                    <w14:schemeClr w14:val="tx1"/>
                  </w14:solidFill>
                </w14:textFill>
              </w:rPr>
            </w:pPr>
          </w:p>
          <w:p w14:paraId="2D431850">
            <w:pPr>
              <w:rPr>
                <w:rFonts w:hint="eastAsia" w:ascii="宋体" w:hAnsi="宋体" w:eastAsia="宋体" w:cs="宋体"/>
                <w:color w:val="000000" w:themeColor="text1"/>
                <w:sz w:val="21"/>
                <w:szCs w:val="21"/>
                <w:highlight w:val="none"/>
                <w14:textFill>
                  <w14:solidFill>
                    <w14:schemeClr w14:val="tx1"/>
                  </w14:solidFill>
                </w14:textFill>
              </w:rPr>
            </w:pPr>
          </w:p>
          <w:p w14:paraId="4C469702">
            <w:pPr>
              <w:rPr>
                <w:rFonts w:hint="eastAsia" w:ascii="宋体" w:hAnsi="宋体" w:eastAsia="宋体" w:cs="宋体"/>
                <w:color w:val="000000" w:themeColor="text1"/>
                <w:sz w:val="21"/>
                <w:szCs w:val="21"/>
                <w:highlight w:val="none"/>
                <w14:textFill>
                  <w14:solidFill>
                    <w14:schemeClr w14:val="tx1"/>
                  </w14:solidFill>
                </w14:textFill>
              </w:rPr>
            </w:pPr>
          </w:p>
          <w:p w14:paraId="4769FC28">
            <w:pPr>
              <w:rPr>
                <w:rFonts w:hint="eastAsia" w:ascii="宋体" w:hAnsi="宋体" w:eastAsia="宋体" w:cs="宋体"/>
                <w:color w:val="000000" w:themeColor="text1"/>
                <w:sz w:val="21"/>
                <w:szCs w:val="21"/>
                <w:highlight w:val="none"/>
                <w14:textFill>
                  <w14:solidFill>
                    <w14:schemeClr w14:val="tx1"/>
                  </w14:solidFill>
                </w14:textFill>
              </w:rPr>
            </w:pPr>
          </w:p>
          <w:p w14:paraId="1B17A8BA">
            <w:pPr>
              <w:rPr>
                <w:rFonts w:hint="eastAsia" w:ascii="宋体" w:hAnsi="宋体" w:eastAsia="宋体" w:cs="宋体"/>
                <w:color w:val="000000" w:themeColor="text1"/>
                <w:sz w:val="21"/>
                <w:szCs w:val="21"/>
                <w:highlight w:val="none"/>
                <w14:textFill>
                  <w14:solidFill>
                    <w14:schemeClr w14:val="tx1"/>
                  </w14:solidFill>
                </w14:textFill>
              </w:rPr>
            </w:pPr>
          </w:p>
          <w:p w14:paraId="43207EE7">
            <w:pPr>
              <w:rPr>
                <w:rFonts w:hint="eastAsia" w:ascii="宋体" w:hAnsi="宋体" w:eastAsia="宋体" w:cs="宋体"/>
                <w:color w:val="000000" w:themeColor="text1"/>
                <w:sz w:val="21"/>
                <w:szCs w:val="21"/>
                <w:highlight w:val="none"/>
                <w14:textFill>
                  <w14:solidFill>
                    <w14:schemeClr w14:val="tx1"/>
                  </w14:solidFill>
                </w14:textFill>
              </w:rPr>
            </w:pPr>
          </w:p>
        </w:tc>
      </w:tr>
      <w:tr w14:paraId="1F46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0" w:type="dxa"/>
            <w:gridSpan w:val="2"/>
            <w:tcBorders>
              <w:left w:val="single" w:color="auto" w:sz="12" w:space="0"/>
            </w:tcBorders>
            <w:noWrap w:val="0"/>
            <w:vAlign w:val="center"/>
          </w:tcPr>
          <w:p w14:paraId="4BB43061">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处理时限及要求</w:t>
            </w:r>
          </w:p>
        </w:tc>
        <w:tc>
          <w:tcPr>
            <w:tcW w:w="6826" w:type="dxa"/>
            <w:gridSpan w:val="2"/>
            <w:tcBorders>
              <w:right w:val="single" w:color="auto" w:sz="12" w:space="0"/>
            </w:tcBorders>
            <w:noWrap w:val="0"/>
            <w:vAlign w:val="center"/>
          </w:tcPr>
          <w:p w14:paraId="04B2B7F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要求在</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个工作日</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内完成，并将完成</w:t>
            </w:r>
            <w:r>
              <w:rPr>
                <w:rFonts w:hint="eastAsia" w:ascii="宋体" w:hAnsi="宋体" w:eastAsia="宋体" w:cs="宋体"/>
                <w:color w:val="000000" w:themeColor="text1"/>
                <w:sz w:val="21"/>
                <w:szCs w:val="21"/>
                <w:highlight w:val="none"/>
                <w14:textFill>
                  <w14:solidFill>
                    <w14:schemeClr w14:val="tx1"/>
                  </w14:solidFill>
                </w14:textFill>
              </w:rPr>
              <w:t>情况以《</w:t>
            </w:r>
            <w:r>
              <w:rPr>
                <w:rFonts w:hint="eastAsia" w:ascii="宋体" w:hAnsi="宋体" w:eastAsia="宋体" w:cs="宋体"/>
                <w:color w:val="000000" w:themeColor="text1"/>
                <w:sz w:val="21"/>
                <w:szCs w:val="21"/>
                <w:highlight w:val="none"/>
                <w:lang w:eastAsia="zh-CN"/>
                <w14:textFill>
                  <w14:solidFill>
                    <w14:schemeClr w14:val="tx1"/>
                  </w14:solidFill>
                </w14:textFill>
              </w:rPr>
              <w:t>反馈确认单</w:t>
            </w:r>
            <w:r>
              <w:rPr>
                <w:rFonts w:hint="eastAsia" w:ascii="宋体" w:hAnsi="宋体" w:eastAsia="宋体" w:cs="宋体"/>
                <w:color w:val="000000" w:themeColor="text1"/>
                <w:sz w:val="21"/>
                <w:szCs w:val="21"/>
                <w:highlight w:val="none"/>
                <w14:textFill>
                  <w14:solidFill>
                    <w14:schemeClr w14:val="tx1"/>
                  </w14:solidFill>
                </w14:textFill>
              </w:rPr>
              <w:t>》形式上报</w:t>
            </w:r>
            <w:r>
              <w:rPr>
                <w:rFonts w:hint="eastAsia" w:ascii="宋体" w:hAnsi="宋体" w:eastAsia="宋体" w:cs="宋体"/>
                <w:color w:val="000000" w:themeColor="text1"/>
                <w:sz w:val="21"/>
                <w:szCs w:val="21"/>
                <w:highlight w:val="none"/>
                <w:lang w:val="en-US" w:eastAsia="zh-CN"/>
                <w14:textFill>
                  <w14:solidFill>
                    <w14:schemeClr w14:val="tx1"/>
                  </w14:solidFill>
                </w14:textFill>
              </w:rPr>
              <w:t>监理单位及建设单位确认</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；联系方式</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44D2225C">
            <w:pPr>
              <w:jc w:val="left"/>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邮箱</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tc>
      </w:tr>
      <w:tr w14:paraId="7A15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70" w:type="dxa"/>
            <w:gridSpan w:val="2"/>
            <w:tcBorders>
              <w:left w:val="single" w:color="auto" w:sz="12" w:space="0"/>
              <w:bottom w:val="single" w:color="auto" w:sz="12" w:space="0"/>
            </w:tcBorders>
            <w:noWrap w:val="0"/>
            <w:vAlign w:val="center"/>
          </w:tcPr>
          <w:p w14:paraId="02724ED6">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c>
          <w:tcPr>
            <w:tcW w:w="6826" w:type="dxa"/>
            <w:gridSpan w:val="2"/>
            <w:tcBorders>
              <w:bottom w:val="single" w:color="auto" w:sz="12" w:space="0"/>
              <w:right w:val="single" w:color="auto" w:sz="12" w:space="0"/>
            </w:tcBorders>
            <w:noWrap w:val="0"/>
            <w:vAlign w:val="center"/>
          </w:tcPr>
          <w:p w14:paraId="34215F62">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tc>
      </w:tr>
    </w:tbl>
    <w:p w14:paraId="4DAE951A">
      <w:pPr>
        <w:spacing w:line="440" w:lineRule="exact"/>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建设单位(盖章）：  </w:t>
      </w:r>
    </w:p>
    <w:p w14:paraId="31745455">
      <w:pPr>
        <w:spacing w:line="440" w:lineRule="exact"/>
        <w:rPr>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监理单位（盖章）</w:t>
      </w:r>
      <w:r>
        <w:rPr>
          <w:rFonts w:hint="eastAsia"/>
          <w:color w:val="000000" w:themeColor="text1"/>
          <w:sz w:val="21"/>
          <w:szCs w:val="21"/>
          <w:highlight w:val="none"/>
          <w:lang w:val="en-US" w:eastAsia="zh-CN"/>
          <w14:textFill>
            <w14:solidFill>
              <w14:schemeClr w14:val="tx1"/>
            </w14:solidFill>
          </w14:textFill>
        </w:rPr>
        <w:t>：</w:t>
      </w:r>
      <w:r>
        <w:rPr>
          <w:color w:val="000000" w:themeColor="text1"/>
          <w:sz w:val="21"/>
          <w:szCs w:val="21"/>
          <w:highlight w:val="none"/>
          <w14:textFill>
            <w14:solidFill>
              <w14:schemeClr w14:val="tx1"/>
            </w14:solidFill>
          </w14:textFill>
        </w:rPr>
        <w:t xml:space="preserve"> </w:t>
      </w:r>
    </w:p>
    <w:p w14:paraId="7B37666B">
      <w:pPr>
        <w:spacing w:line="440" w:lineRule="exact"/>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时间：</w:t>
      </w:r>
      <w:r>
        <w:rPr>
          <w:rFonts w:hint="eastAsia"/>
          <w:color w:val="000000" w:themeColor="text1"/>
          <w:sz w:val="21"/>
          <w:szCs w:val="21"/>
          <w:highlight w:val="none"/>
          <w:lang w:eastAsia="zh-CN"/>
          <w14:textFill>
            <w14:solidFill>
              <w14:schemeClr w14:val="tx1"/>
            </w14:solidFill>
          </w14:textFill>
        </w:rPr>
        <w:t>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eastAsia="zh-CN"/>
          <w14:textFill>
            <w14:solidFill>
              <w14:schemeClr w14:val="tx1"/>
            </w14:solidFill>
          </w14:textFill>
        </w:rPr>
        <w:t>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eastAsia="zh-CN"/>
          <w14:textFill>
            <w14:solidFill>
              <w14:schemeClr w14:val="tx1"/>
            </w14:solidFill>
          </w14:textFill>
        </w:rPr>
        <w:t>　　</w:t>
      </w:r>
      <w:r>
        <w:rPr>
          <w:color w:val="000000" w:themeColor="text1"/>
          <w:sz w:val="21"/>
          <w:szCs w:val="21"/>
          <w:highlight w:val="none"/>
          <w14:textFill>
            <w14:solidFill>
              <w14:schemeClr w14:val="tx1"/>
            </w14:solidFill>
          </w14:textFill>
        </w:rPr>
        <w:t xml:space="preserve">日   </w:t>
      </w:r>
    </w:p>
    <w:p w14:paraId="2E81BA7C">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附件1-2：</w:t>
      </w:r>
    </w:p>
    <w:p w14:paraId="06B8E67B">
      <w:pPr>
        <w:tabs>
          <w:tab w:val="left" w:pos="1656"/>
        </w:tabs>
        <w:spacing w:line="440" w:lineRule="exact"/>
        <w:jc w:val="center"/>
        <w:rPr>
          <w:rFonts w:hint="eastAsia"/>
          <w:b/>
          <w:bCs/>
          <w:color w:val="000000" w:themeColor="text1"/>
          <w:sz w:val="30"/>
          <w:szCs w:val="30"/>
          <w:highlight w:val="none"/>
          <w:lang w:eastAsia="zh-CN"/>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玉环市玉城、坎门、大麦屿街道市政道路和桥梁日常养护工程</w:t>
      </w:r>
    </w:p>
    <w:p w14:paraId="2E25EC99">
      <w:pPr>
        <w:tabs>
          <w:tab w:val="left" w:pos="1656"/>
        </w:tabs>
        <w:spacing w:line="440" w:lineRule="exact"/>
        <w:jc w:val="center"/>
        <w:rPr>
          <w:rFonts w:hint="eastAsia"/>
          <w:b/>
          <w:bCs/>
          <w:color w:val="000000" w:themeColor="text1"/>
          <w:sz w:val="30"/>
          <w:szCs w:val="30"/>
          <w:highlight w:val="none"/>
          <w:lang w:eastAsia="zh-CN"/>
          <w14:textFill>
            <w14:solidFill>
              <w14:schemeClr w14:val="tx1"/>
            </w14:solidFill>
          </w14:textFill>
        </w:rPr>
      </w:pPr>
    </w:p>
    <w:p w14:paraId="7FCA86A4">
      <w:pPr>
        <w:tabs>
          <w:tab w:val="left" w:pos="1656"/>
        </w:tabs>
        <w:spacing w:line="440" w:lineRule="exact"/>
        <w:jc w:val="center"/>
        <w:rPr>
          <w:rFonts w:hint="eastAsia" w:eastAsia="方正小标宋_GBK"/>
          <w:b/>
          <w:bCs/>
          <w:color w:val="000000" w:themeColor="text1"/>
          <w:sz w:val="44"/>
          <w:szCs w:val="44"/>
          <w:highlight w:val="none"/>
          <w:lang w:eastAsia="zh-CN"/>
          <w14:textFill>
            <w14:solidFill>
              <w14:schemeClr w14:val="tx1"/>
            </w14:solidFill>
          </w14:textFill>
        </w:rPr>
      </w:pPr>
      <w:r>
        <w:rPr>
          <w:rFonts w:hint="eastAsia" w:eastAsia="方正小标宋_GBK"/>
          <w:b/>
          <w:bCs/>
          <w:color w:val="000000" w:themeColor="text1"/>
          <w:sz w:val="44"/>
          <w:szCs w:val="44"/>
          <w:highlight w:val="none"/>
          <w:lang w:eastAsia="zh-CN"/>
          <w14:textFill>
            <w14:solidFill>
              <w14:schemeClr w14:val="tx1"/>
            </w14:solidFill>
          </w14:textFill>
        </w:rPr>
        <w:t>反馈确认单</w:t>
      </w:r>
    </w:p>
    <w:p w14:paraId="42BFAB87">
      <w:pPr>
        <w:tabs>
          <w:tab w:val="left" w:pos="1656"/>
        </w:tabs>
        <w:spacing w:line="440" w:lineRule="exact"/>
        <w:jc w:val="right"/>
        <w:rPr>
          <w:rFonts w:eastAsia="仿宋_GB2312"/>
          <w:color w:val="000000" w:themeColor="text1"/>
          <w:sz w:val="30"/>
          <w:szCs w:val="30"/>
          <w:highlight w:val="none"/>
          <w14:textFill>
            <w14:solidFill>
              <w14:schemeClr w14:val="tx1"/>
            </w14:solidFill>
          </w14:textFill>
        </w:rPr>
      </w:pPr>
      <w:r>
        <w:rPr>
          <w:rFonts w:eastAsia="仿宋_GB2312"/>
          <w:color w:val="000000" w:themeColor="text1"/>
          <w:sz w:val="30"/>
          <w:szCs w:val="30"/>
          <w:highlight w:val="none"/>
          <w14:textFill>
            <w14:solidFill>
              <w14:schemeClr w14:val="tx1"/>
            </w14:solidFill>
          </w14:textFill>
        </w:rPr>
        <w:t>第</w:t>
      </w:r>
      <w:r>
        <w:rPr>
          <w:rFonts w:hint="eastAsia" w:eastAsia="仿宋_GB2312"/>
          <w:color w:val="000000" w:themeColor="text1"/>
          <w:sz w:val="30"/>
          <w:szCs w:val="30"/>
          <w:highlight w:val="none"/>
          <w14:textFill>
            <w14:solidFill>
              <w14:schemeClr w14:val="tx1"/>
            </w14:solidFill>
          </w14:textFill>
        </w:rPr>
        <w:t>0</w:t>
      </w:r>
      <w:r>
        <w:rPr>
          <w:rFonts w:hint="eastAsia" w:eastAsia="仿宋_GB2312"/>
          <w:color w:val="000000" w:themeColor="text1"/>
          <w:sz w:val="30"/>
          <w:szCs w:val="30"/>
          <w:highlight w:val="none"/>
          <w:lang w:val="en-US" w:eastAsia="zh-CN"/>
          <w14:textFill>
            <w14:solidFill>
              <w14:schemeClr w14:val="tx1"/>
            </w14:solidFill>
          </w14:textFill>
        </w:rPr>
        <w:t>01</w:t>
      </w:r>
      <w:r>
        <w:rPr>
          <w:rFonts w:eastAsia="仿宋_GB2312"/>
          <w:color w:val="000000" w:themeColor="text1"/>
          <w:sz w:val="30"/>
          <w:szCs w:val="30"/>
          <w:highlight w:val="none"/>
          <w14:textFill>
            <w14:solidFill>
              <w14:schemeClr w14:val="tx1"/>
            </w14:solidFill>
          </w14:textFill>
        </w:rPr>
        <w:t>号</w:t>
      </w:r>
    </w:p>
    <w:tbl>
      <w:tblPr>
        <w:tblStyle w:val="28"/>
        <w:tblpPr w:leftFromText="180" w:rightFromText="180" w:vertAnchor="page" w:horzAnchor="page" w:tblpX="1596" w:tblpY="3400"/>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79"/>
        <w:gridCol w:w="6481"/>
      </w:tblGrid>
      <w:tr w14:paraId="1695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739" w:type="dxa"/>
            <w:gridSpan w:val="2"/>
            <w:tcBorders>
              <w:top w:val="single" w:color="auto" w:sz="12" w:space="0"/>
              <w:left w:val="single" w:color="auto" w:sz="12" w:space="0"/>
            </w:tcBorders>
            <w:noWrap w:val="0"/>
            <w:vAlign w:val="center"/>
          </w:tcPr>
          <w:p w14:paraId="5821683B">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施工</w:t>
            </w:r>
            <w:r>
              <w:rPr>
                <w:color w:val="000000" w:themeColor="text1"/>
                <w:sz w:val="21"/>
                <w:szCs w:val="21"/>
                <w:highlight w:val="none"/>
                <w14:textFill>
                  <w14:solidFill>
                    <w14:schemeClr w14:val="tx1"/>
                  </w14:solidFill>
                </w14:textFill>
              </w:rPr>
              <w:t>单位　　　　　　　　　　　　</w:t>
            </w:r>
          </w:p>
        </w:tc>
        <w:tc>
          <w:tcPr>
            <w:tcW w:w="6481" w:type="dxa"/>
            <w:tcBorders>
              <w:top w:val="single" w:color="auto" w:sz="12" w:space="0"/>
              <w:right w:val="single" w:color="auto" w:sz="12" w:space="0"/>
            </w:tcBorders>
            <w:noWrap w:val="0"/>
            <w:vAlign w:val="center"/>
          </w:tcPr>
          <w:p w14:paraId="32D64A3A">
            <w:pPr>
              <w:jc w:val="center"/>
              <w:rPr>
                <w:color w:val="000000" w:themeColor="text1"/>
                <w:sz w:val="21"/>
                <w:szCs w:val="21"/>
                <w:highlight w:val="none"/>
                <w14:textFill>
                  <w14:solidFill>
                    <w14:schemeClr w14:val="tx1"/>
                  </w14:solidFill>
                </w14:textFill>
              </w:rPr>
            </w:pPr>
          </w:p>
        </w:tc>
      </w:tr>
      <w:tr w14:paraId="7A6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739" w:type="dxa"/>
            <w:gridSpan w:val="2"/>
            <w:tcBorders>
              <w:left w:val="single" w:color="auto" w:sz="12" w:space="0"/>
            </w:tcBorders>
            <w:noWrap w:val="0"/>
            <w:vAlign w:val="center"/>
          </w:tcPr>
          <w:p w14:paraId="52E7EBD8">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抄告内容</w:t>
            </w:r>
          </w:p>
        </w:tc>
        <w:tc>
          <w:tcPr>
            <w:tcW w:w="6481" w:type="dxa"/>
            <w:tcBorders>
              <w:right w:val="single" w:color="auto" w:sz="12" w:space="0"/>
            </w:tcBorders>
            <w:noWrap w:val="0"/>
            <w:vAlign w:val="center"/>
          </w:tcPr>
          <w:p w14:paraId="2FFE464A">
            <w:pPr>
              <w:jc w:val="center"/>
              <w:rPr>
                <w:color w:val="000000" w:themeColor="text1"/>
                <w:sz w:val="21"/>
                <w:szCs w:val="21"/>
                <w:highlight w:val="none"/>
                <w14:textFill>
                  <w14:solidFill>
                    <w14:schemeClr w14:val="tx1"/>
                  </w14:solidFill>
                </w14:textFill>
              </w:rPr>
            </w:pPr>
          </w:p>
        </w:tc>
      </w:tr>
      <w:tr w14:paraId="6A2A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360" w:type="dxa"/>
            <w:vMerge w:val="restart"/>
            <w:tcBorders>
              <w:left w:val="single" w:color="auto" w:sz="12" w:space="0"/>
            </w:tcBorders>
            <w:noWrap w:val="0"/>
            <w:vAlign w:val="center"/>
          </w:tcPr>
          <w:p w14:paraId="2350137E">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完成</w:t>
            </w:r>
            <w:r>
              <w:rPr>
                <w:color w:val="000000" w:themeColor="text1"/>
                <w:sz w:val="21"/>
                <w:szCs w:val="21"/>
                <w:highlight w:val="none"/>
                <w14:textFill>
                  <w14:solidFill>
                    <w14:schemeClr w14:val="tx1"/>
                  </w14:solidFill>
                </w14:textFill>
              </w:rPr>
              <w:t>情况</w:t>
            </w:r>
          </w:p>
        </w:tc>
        <w:tc>
          <w:tcPr>
            <w:tcW w:w="7860" w:type="dxa"/>
            <w:gridSpan w:val="2"/>
            <w:tcBorders>
              <w:right w:val="single" w:color="auto" w:sz="12" w:space="0"/>
            </w:tcBorders>
            <w:noWrap w:val="0"/>
            <w:vAlign w:val="center"/>
          </w:tcPr>
          <w:p w14:paraId="380059E8">
            <w:pPr>
              <w:jc w:val="center"/>
              <w:rPr>
                <w:rFonts w:hint="default" w:eastAsia="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说明</w:t>
            </w:r>
          </w:p>
        </w:tc>
      </w:tr>
      <w:tr w14:paraId="4B5E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6" w:hRule="atLeast"/>
        </w:trPr>
        <w:tc>
          <w:tcPr>
            <w:tcW w:w="1360" w:type="dxa"/>
            <w:vMerge w:val="continue"/>
            <w:tcBorders>
              <w:left w:val="single" w:color="auto" w:sz="12" w:space="0"/>
            </w:tcBorders>
            <w:noWrap w:val="0"/>
            <w:vAlign w:val="center"/>
          </w:tcPr>
          <w:p w14:paraId="710ADC85">
            <w:pPr>
              <w:jc w:val="center"/>
              <w:rPr>
                <w:color w:val="000000" w:themeColor="text1"/>
                <w:sz w:val="21"/>
                <w:szCs w:val="21"/>
                <w:highlight w:val="none"/>
                <w14:textFill>
                  <w14:solidFill>
                    <w14:schemeClr w14:val="tx1"/>
                  </w14:solidFill>
                </w14:textFill>
              </w:rPr>
            </w:pPr>
          </w:p>
        </w:tc>
        <w:tc>
          <w:tcPr>
            <w:tcW w:w="7860" w:type="dxa"/>
            <w:gridSpan w:val="2"/>
            <w:tcBorders>
              <w:right w:val="single" w:color="auto" w:sz="12" w:space="0"/>
            </w:tcBorders>
            <w:noWrap w:val="0"/>
            <w:vAlign w:val="center"/>
          </w:tcPr>
          <w:p w14:paraId="2F4B5A91">
            <w:pP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说明时间、地点、完成工程量等情况</w:t>
            </w:r>
          </w:p>
          <w:p w14:paraId="170126B0">
            <w:pPr>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可附页：</w:t>
            </w:r>
            <w:r>
              <w:rPr>
                <w:rFonts w:hint="eastAsia"/>
                <w:color w:val="000000" w:themeColor="text1"/>
                <w:sz w:val="21"/>
                <w:szCs w:val="21"/>
                <w:highlight w:val="none"/>
                <w:lang w:eastAsia="zh-CN"/>
                <w14:textFill>
                  <w14:solidFill>
                    <w14:schemeClr w14:val="tx1"/>
                  </w14:solidFill>
                </w14:textFill>
              </w:rPr>
              <w:t>现场照片、竣工图等</w:t>
            </w:r>
          </w:p>
        </w:tc>
      </w:tr>
      <w:tr w14:paraId="5E13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1360" w:type="dxa"/>
            <w:tcBorders>
              <w:left w:val="single" w:color="auto" w:sz="12" w:space="0"/>
            </w:tcBorders>
            <w:noWrap w:val="0"/>
            <w:vAlign w:val="center"/>
          </w:tcPr>
          <w:p w14:paraId="26A1B372">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施工单位</w:t>
            </w:r>
          </w:p>
        </w:tc>
        <w:tc>
          <w:tcPr>
            <w:tcW w:w="7860" w:type="dxa"/>
            <w:gridSpan w:val="2"/>
            <w:tcBorders>
              <w:right w:val="single" w:color="auto" w:sz="12" w:space="0"/>
            </w:tcBorders>
            <w:noWrap w:val="0"/>
            <w:vAlign w:val="center"/>
          </w:tcPr>
          <w:p w14:paraId="6D645733">
            <w:pPr>
              <w:ind w:left="6960" w:hanging="6090" w:hangingChars="29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项目负责人（签字）：                                     </w:t>
            </w:r>
          </w:p>
          <w:p w14:paraId="2E6E8A8C">
            <w:pPr>
              <w:ind w:left="6960" w:hanging="6090" w:hangingChars="29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（盖章）</w:t>
            </w:r>
            <w:r>
              <w:rPr>
                <w:color w:val="000000" w:themeColor="text1"/>
                <w:sz w:val="21"/>
                <w:szCs w:val="21"/>
                <w:highlight w:val="none"/>
                <w14:textFill>
                  <w14:solidFill>
                    <w14:schemeClr w14:val="tx1"/>
                  </w14:solidFill>
                </w14:textFill>
              </w:rPr>
              <w:t xml:space="preserve"> </w:t>
            </w:r>
          </w:p>
          <w:p w14:paraId="5E985C1C">
            <w:pPr>
              <w:jc w:val="right"/>
              <w:rPr>
                <w:rFonts w:hint="default" w:eastAsia="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年  月   日</w:t>
            </w:r>
          </w:p>
        </w:tc>
      </w:tr>
      <w:tr w14:paraId="40A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1360" w:type="dxa"/>
            <w:tcBorders>
              <w:left w:val="single" w:color="auto" w:sz="12" w:space="0"/>
            </w:tcBorders>
            <w:noWrap w:val="0"/>
            <w:vAlign w:val="center"/>
          </w:tcPr>
          <w:p w14:paraId="41A4B6C6">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监理单位</w:t>
            </w:r>
          </w:p>
          <w:p w14:paraId="09BE58FA">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确认意见</w:t>
            </w:r>
          </w:p>
        </w:tc>
        <w:tc>
          <w:tcPr>
            <w:tcW w:w="7860" w:type="dxa"/>
            <w:gridSpan w:val="2"/>
            <w:tcBorders>
              <w:right w:val="single" w:color="auto" w:sz="12" w:space="0"/>
            </w:tcBorders>
            <w:noWrap w:val="0"/>
            <w:vAlign w:val="center"/>
          </w:tcPr>
          <w:p w14:paraId="45E8379E">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监理（签字）：</w:t>
            </w:r>
          </w:p>
          <w:p w14:paraId="33FDF316">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（盖章）</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p>
          <w:p w14:paraId="5A04F4D5">
            <w:pPr>
              <w:jc w:val="righ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年  月   日</w:t>
            </w:r>
          </w:p>
        </w:tc>
      </w:tr>
      <w:tr w14:paraId="6AC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1360" w:type="dxa"/>
            <w:tcBorders>
              <w:left w:val="single" w:color="auto" w:sz="12" w:space="0"/>
            </w:tcBorders>
            <w:noWrap w:val="0"/>
            <w:vAlign w:val="center"/>
          </w:tcPr>
          <w:p w14:paraId="17A44D34">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建设单位</w:t>
            </w:r>
          </w:p>
          <w:p w14:paraId="789E6076">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确认意见</w:t>
            </w:r>
          </w:p>
        </w:tc>
        <w:tc>
          <w:tcPr>
            <w:tcW w:w="7860" w:type="dxa"/>
            <w:gridSpan w:val="2"/>
            <w:tcBorders>
              <w:right w:val="single" w:color="auto" w:sz="12" w:space="0"/>
            </w:tcBorders>
            <w:noWrap w:val="0"/>
            <w:vAlign w:val="center"/>
          </w:tcPr>
          <w:p w14:paraId="3B368245">
            <w:pPr>
              <w:jc w:val="right"/>
              <w:rPr>
                <w:rFonts w:hint="eastAsia"/>
                <w:color w:val="000000" w:themeColor="text1"/>
                <w:sz w:val="21"/>
                <w:szCs w:val="21"/>
                <w:highlight w:val="none"/>
                <w:lang w:val="en-US" w:eastAsia="zh-CN"/>
                <w14:textFill>
                  <w14:solidFill>
                    <w14:schemeClr w14:val="tx1"/>
                  </w14:solidFill>
                </w14:textFill>
              </w:rPr>
            </w:pPr>
          </w:p>
          <w:p w14:paraId="3B6D51FF">
            <w:pPr>
              <w:jc w:val="right"/>
              <w:rPr>
                <w:rFonts w:hint="eastAsia"/>
                <w:color w:val="000000" w:themeColor="text1"/>
                <w:sz w:val="21"/>
                <w:szCs w:val="21"/>
                <w:highlight w:val="none"/>
                <w:lang w:val="en-US" w:eastAsia="zh-CN"/>
                <w14:textFill>
                  <w14:solidFill>
                    <w14:schemeClr w14:val="tx1"/>
                  </w14:solidFill>
                </w14:textFill>
              </w:rPr>
            </w:pPr>
          </w:p>
          <w:p w14:paraId="7C01ED5E">
            <w:pPr>
              <w:jc w:val="right"/>
              <w:rPr>
                <w:rFonts w:hint="eastAsia"/>
                <w:color w:val="000000" w:themeColor="text1"/>
                <w:sz w:val="21"/>
                <w:szCs w:val="21"/>
                <w:highlight w:val="none"/>
                <w:lang w:val="en-US" w:eastAsia="zh-CN"/>
                <w14:textFill>
                  <w14:solidFill>
                    <w14:schemeClr w14:val="tx1"/>
                  </w14:solidFill>
                </w14:textFill>
              </w:rPr>
            </w:pPr>
          </w:p>
          <w:p w14:paraId="1F7A0BE1">
            <w:pPr>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（盖章）</w:t>
            </w:r>
            <w:r>
              <w:rPr>
                <w:color w:val="000000" w:themeColor="text1"/>
                <w:sz w:val="21"/>
                <w:szCs w:val="21"/>
                <w:highlight w:val="none"/>
                <w14:textFill>
                  <w14:solidFill>
                    <w14:schemeClr w14:val="tx1"/>
                  </w14:solidFill>
                </w14:textFill>
              </w:rPr>
              <w:t xml:space="preserve"> </w:t>
            </w:r>
          </w:p>
          <w:p w14:paraId="7A03C82F">
            <w:pPr>
              <w:jc w:val="righ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年  月   日  </w:t>
            </w:r>
          </w:p>
        </w:tc>
      </w:tr>
    </w:tbl>
    <w:p w14:paraId="77D1EFEF">
      <w:pPr>
        <w:jc w:val="both"/>
        <w:rPr>
          <w:rFonts w:hint="eastAsia" w:eastAsia="方正小标宋_GBK"/>
          <w:b/>
          <w:bCs/>
          <w:color w:val="000000" w:themeColor="text1"/>
          <w:sz w:val="24"/>
          <w:szCs w:val="24"/>
          <w:highlight w:val="none"/>
          <w:lang w:eastAsia="zh-CN"/>
          <w14:textFill>
            <w14:solidFill>
              <w14:schemeClr w14:val="tx1"/>
            </w14:solidFill>
          </w14:textFill>
        </w:rPr>
      </w:pPr>
      <w:r>
        <w:rPr>
          <w:rFonts w:hint="eastAsia" w:eastAsia="方正小标宋_GBK"/>
          <w:b/>
          <w:bCs/>
          <w:color w:val="000000" w:themeColor="text1"/>
          <w:sz w:val="21"/>
          <w:szCs w:val="21"/>
          <w:highlight w:val="none"/>
          <w:lang w:eastAsia="zh-CN"/>
          <w14:textFill>
            <w14:solidFill>
              <w14:schemeClr w14:val="tx1"/>
            </w14:solidFill>
          </w14:textFill>
        </w:rPr>
        <w:t>注：本表一式三份建设单位、监理单位、施工单位各一份</w:t>
      </w:r>
      <w:r>
        <w:rPr>
          <w:rFonts w:hint="eastAsia" w:eastAsia="方正小标宋_GBK"/>
          <w:b/>
          <w:bCs/>
          <w:color w:val="000000" w:themeColor="text1"/>
          <w:sz w:val="24"/>
          <w:szCs w:val="24"/>
          <w:highlight w:val="none"/>
          <w:lang w:eastAsia="zh-CN"/>
          <w14:textFill>
            <w14:solidFill>
              <w14:schemeClr w14:val="tx1"/>
            </w14:solidFill>
          </w14:textFill>
        </w:rPr>
        <w:t>。</w:t>
      </w:r>
    </w:p>
    <w:p w14:paraId="29085278">
      <w:pPr>
        <w:pStyle w:val="24"/>
        <w:pageBreakBefore/>
        <w:spacing w:before="0" w:beforeAutospacing="0" w:after="0" w:afterAutospacing="0" w:line="300" w:lineRule="auto"/>
        <w:jc w:val="both"/>
        <w:rPr>
          <w:rFonts w:ascii="Times New Roman" w:hAnsi="Times New Roman" w:eastAsia="黑体"/>
          <w:color w:val="000000" w:themeColor="text1"/>
          <w:sz w:val="28"/>
          <w:szCs w:val="28"/>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附件</w:t>
      </w:r>
      <w:r>
        <w:rPr>
          <w:rFonts w:hint="eastAsia" w:ascii="Times New Roman" w:hAnsi="Times New Roman"/>
          <w:color w:val="000000" w:themeColor="text1"/>
          <w:sz w:val="21"/>
          <w:szCs w:val="21"/>
          <w:highlight w:val="none"/>
          <w:lang w:val="en-US" w:eastAsia="zh-CN"/>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w:t>
      </w:r>
    </w:p>
    <w:p w14:paraId="4EBE023F">
      <w:pPr>
        <w:pStyle w:val="24"/>
        <w:keepNext/>
        <w:keepLines/>
        <w:widowControl w:val="0"/>
        <w:spacing w:beforeAutospacing="0" w:after="0" w:afterAutospacing="0" w:line="360" w:lineRule="exact"/>
        <w:jc w:val="center"/>
        <w:outlineLvl w:val="1"/>
        <w:rPr>
          <w:color w:val="000000" w:themeColor="text1"/>
          <w:sz w:val="30"/>
          <w:szCs w:val="30"/>
          <w:highlight w:val="none"/>
          <w14:textFill>
            <w14:solidFill>
              <w14:schemeClr w14:val="tx1"/>
            </w14:solidFill>
          </w14:textFill>
        </w:rPr>
      </w:pPr>
      <w:bookmarkStart w:id="591" w:name="_Toc3274"/>
      <w:bookmarkStart w:id="592" w:name="_Toc27927"/>
      <w:bookmarkStart w:id="593" w:name="_Toc19793"/>
      <w:r>
        <w:rPr>
          <w:rFonts w:hint="eastAsia" w:ascii="Times New Roman" w:hAnsi="Times New Roman" w:eastAsia="黑体" w:cs="黑体"/>
          <w:color w:val="000000" w:themeColor="text1"/>
          <w:kern w:val="2"/>
          <w:sz w:val="30"/>
          <w:szCs w:val="30"/>
          <w:highlight w:val="none"/>
          <w:lang w:bidi="ar"/>
          <w14:textFill>
            <w14:solidFill>
              <w14:schemeClr w14:val="tx1"/>
            </w14:solidFill>
          </w14:textFill>
        </w:rPr>
        <w:t>工程建设项目廉政责任书</w:t>
      </w:r>
      <w:bookmarkEnd w:id="591"/>
      <w:bookmarkEnd w:id="592"/>
      <w:bookmarkEnd w:id="593"/>
    </w:p>
    <w:p w14:paraId="447F03CB">
      <w:pPr>
        <w:autoSpaceDE w:val="0"/>
        <w:autoSpaceDN w:val="0"/>
        <w:spacing w:line="360" w:lineRule="exact"/>
        <w:ind w:firstLine="482"/>
        <w:rPr>
          <w:color w:val="000000" w:themeColor="text1"/>
          <w:szCs w:val="21"/>
          <w:highlight w:val="none"/>
          <w14:textFill>
            <w14:solidFill>
              <w14:schemeClr w14:val="tx1"/>
            </w14:solidFill>
          </w14:textFill>
        </w:rPr>
      </w:pPr>
    </w:p>
    <w:p w14:paraId="6A007781">
      <w:pPr>
        <w:autoSpaceDE w:val="0"/>
        <w:autoSpaceDN w:val="0"/>
        <w:spacing w:line="360" w:lineRule="exact"/>
        <w:rPr>
          <w:rFonts w:hint="eastAsia" w:ascii="宋体" w:hAnsi="宋体" w:eastAsia="宋体" w:cs="宋体"/>
          <w:color w:val="000000" w:themeColor="text1"/>
          <w:szCs w:val="21"/>
          <w:highlight w:val="none"/>
          <w:u w:val="single"/>
          <w:lang w:eastAsia="zh-CN" w:bidi="ar"/>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工程项目名称：</w:t>
      </w:r>
      <w:r>
        <w:rPr>
          <w:rFonts w:hint="eastAsia" w:ascii="宋体" w:hAnsi="宋体" w:eastAsia="宋体" w:cs="宋体"/>
          <w:color w:val="000000" w:themeColor="text1"/>
          <w:szCs w:val="21"/>
          <w:highlight w:val="none"/>
          <w:u w:val="single"/>
          <w:lang w:eastAsia="zh-CN" w:bidi="ar"/>
          <w14:textFill>
            <w14:solidFill>
              <w14:schemeClr w14:val="tx1"/>
            </w14:solidFill>
          </w14:textFill>
        </w:rPr>
        <w:t>玉环市玉城、坎门、大麦屿街道市政道路和桥梁日常养护工程</w:t>
      </w:r>
    </w:p>
    <w:p w14:paraId="3384CC7E">
      <w:pPr>
        <w:autoSpaceDE w:val="0"/>
        <w:autoSpaceDN w:val="0"/>
        <w:spacing w:line="360" w:lineRule="exact"/>
        <w:ind w:firstLine="1260" w:firstLineChars="6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bidi="ar"/>
          <w14:textFill>
            <w14:solidFill>
              <w14:schemeClr w14:val="tx1"/>
            </w14:solidFill>
          </w14:textFill>
        </w:rPr>
        <w:t>（2022年7月-2022年12月）</w:t>
      </w:r>
    </w:p>
    <w:p w14:paraId="7A0ABAF7">
      <w:pPr>
        <w:autoSpaceDE w:val="0"/>
        <w:autoSpaceDN w:val="0"/>
        <w:spacing w:line="360" w:lineRule="exact"/>
        <w:rPr>
          <w:rFonts w:hint="eastAsia" w:eastAsia="宋体"/>
          <w:color w:val="000000" w:themeColor="text1"/>
          <w:szCs w:val="21"/>
          <w:highlight w:val="none"/>
          <w:u w:val="single"/>
          <w:lang w:eastAsia="zh-CN"/>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工程项目地址：</w:t>
      </w:r>
      <w:r>
        <w:rPr>
          <w:rFonts w:hint="eastAsia" w:ascii="宋体" w:hAnsi="宋体" w:eastAsia="宋体" w:cs="宋体"/>
          <w:color w:val="000000" w:themeColor="text1"/>
          <w:szCs w:val="21"/>
          <w:highlight w:val="none"/>
          <w:u w:val="single"/>
          <w:lang w:eastAsia="zh-CN" w:bidi="ar"/>
          <w14:textFill>
            <w14:solidFill>
              <w14:schemeClr w14:val="tx1"/>
            </w14:solidFill>
          </w14:textFill>
        </w:rPr>
        <w:t>位于玉城、坎门、大麦屿街道</w:t>
      </w:r>
    </w:p>
    <w:p w14:paraId="14A37619">
      <w:pPr>
        <w:autoSpaceDE w:val="0"/>
        <w:autoSpaceDN w:val="0"/>
        <w:spacing w:line="360" w:lineRule="exac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建设单位（甲方）：</w:t>
      </w:r>
      <w:r>
        <w:rPr>
          <w:rFonts w:hint="eastAsia" w:ascii="宋体" w:hAnsi="宋体" w:cs="宋体"/>
          <w:color w:val="000000" w:themeColor="text1"/>
          <w:szCs w:val="21"/>
          <w:highlight w:val="none"/>
          <w:u w:val="single"/>
          <w:lang w:eastAsia="zh-CN" w:bidi="ar"/>
          <w14:textFill>
            <w14:solidFill>
              <w14:schemeClr w14:val="tx1"/>
            </w14:solidFill>
          </w14:textFill>
        </w:rPr>
        <w:t>玉环市市政公用事业服务中心</w:t>
      </w:r>
    </w:p>
    <w:p w14:paraId="4C85C240">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施工单位（乙方）：</w:t>
      </w:r>
      <w:r>
        <w:rPr>
          <w:rFonts w:ascii="Calibri" w:hAnsi="Calibri"/>
          <w:color w:val="000000" w:themeColor="text1"/>
          <w:szCs w:val="21"/>
          <w:highlight w:val="none"/>
          <w:u w:val="single"/>
          <w:lang w:bidi="ar"/>
          <w14:textFill>
            <w14:solidFill>
              <w14:schemeClr w14:val="tx1"/>
            </w14:solidFill>
          </w14:textFill>
        </w:rPr>
        <w:t xml:space="preserve">                        </w:t>
      </w:r>
    </w:p>
    <w:p w14:paraId="70DF9329">
      <w:pPr>
        <w:autoSpaceDE w:val="0"/>
        <w:autoSpaceDN w:val="0"/>
        <w:spacing w:line="360" w:lineRule="exact"/>
        <w:ind w:firstLine="482"/>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A199EFE">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第一条</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甲乙双方的责任</w:t>
      </w:r>
    </w:p>
    <w:p w14:paraId="3B96F3CC">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（一）应严格遵守国家关于市场准入、项目招标投标、工程建设、施工安装和市场活动等有关法律、法规，相关政策，以及廉政建设的各项规定。</w:t>
      </w:r>
    </w:p>
    <w:p w14:paraId="3C51D640">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（二）严格执行建设工程项目承发包合同文件，自觉按合同办事。</w:t>
      </w:r>
    </w:p>
    <w:p w14:paraId="38350B0B">
      <w:pPr>
        <w:pStyle w:val="24"/>
        <w:widowControl w:val="0"/>
        <w:spacing w:before="0" w:beforeAutospacing="0" w:after="0" w:afterAutospacing="0" w:line="360" w:lineRule="exact"/>
        <w:jc w:val="both"/>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78AD5339">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（四）发现对方在业务活动中有违规、违纪、违法行为的，应及时提醒对方，情节严重的，应向其上级主管部门或纪检监察、司法等有关机关举报。</w:t>
      </w:r>
    </w:p>
    <w:p w14:paraId="6E28C06E">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第二条</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甲方的责任</w:t>
      </w:r>
    </w:p>
    <w:p w14:paraId="6F90652E">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甲方的领导和从事该建设工程项目的工作人员，在工程建设的事前、事中、事后应遵守以下规定：</w:t>
      </w:r>
    </w:p>
    <w:p w14:paraId="4458AB5A">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（一）不准向乙方和相关单位索要或接受回扣、礼金、有价证券、贵重物品和好处费、感谢费等。</w:t>
      </w:r>
    </w:p>
    <w:p w14:paraId="7E82E500">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（二）不准在乙方和相关单位报销任何应由甲方或个人支付的费用。</w:t>
      </w:r>
    </w:p>
    <w:p w14:paraId="5212D541">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（三）不准要求、暗示和接受乙方和相关单位为个人装修住房、婚丧嫁娶、配偶子女的工作安排以及出国（境）、旅游等提供方便。</w:t>
      </w:r>
    </w:p>
    <w:p w14:paraId="2619005D">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（四）不准参加有可能影响公正执行公务的乙方和相关单位的宴请和健身、娱乐等活动。</w:t>
      </w:r>
    </w:p>
    <w:p w14:paraId="68CA2BC0">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AE8A995">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第三条</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乙方的责任</w:t>
      </w:r>
    </w:p>
    <w:p w14:paraId="4AACA154">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5E1D50A2">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（一）不准以任何理由向甲方、相关单位及其工作人员索要、接受或赠送礼金、有价证券、贵重物品和回扣、好处费、感谢费等。</w:t>
      </w:r>
    </w:p>
    <w:p w14:paraId="52B72635">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（二）不准以任何理由为甲方和相关单位报销应由对方或个人支付的费用。</w:t>
      </w:r>
    </w:p>
    <w:p w14:paraId="66E031EA">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（三）不准接受或暗示为甲方、相关单位或个人装修住房、婚丧嫁娶、配偶子女的工作安排以及出国（境）、旅游等提供方便。</w:t>
      </w:r>
    </w:p>
    <w:p w14:paraId="431CA478">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（四）不准以任何理由为甲方、相关单位或个人组织有可能影响公正执行公务的宴请、健身、娱乐等活动。</w:t>
      </w:r>
    </w:p>
    <w:p w14:paraId="51C797D0">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第四条</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违约责任</w:t>
      </w:r>
    </w:p>
    <w:p w14:paraId="4D37DF7F">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2EDF9DB">
      <w:pPr>
        <w:pStyle w:val="24"/>
        <w:widowControl w:val="0"/>
        <w:spacing w:before="0" w:beforeAutospacing="0" w:after="0" w:afterAutospacing="0" w:line="360" w:lineRule="exact"/>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bidi="ar"/>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4328737">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第五条</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本责任书作为工程施工合同的附件，与工程施工合同具有同等法律效力。经双方签署后立即生效。</w:t>
      </w:r>
    </w:p>
    <w:p w14:paraId="0EE53091">
      <w:pPr>
        <w:autoSpaceDE w:val="0"/>
        <w:autoSpaceDN w:val="0"/>
        <w:spacing w:line="360" w:lineRule="exact"/>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第六条</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本责任书的有效期为双方签署之日起至该工程项目竣工验收合格时止。</w:t>
      </w:r>
    </w:p>
    <w:p w14:paraId="7C09373C">
      <w:pPr>
        <w:autoSpaceDE w:val="0"/>
        <w:autoSpaceDN w:val="0"/>
        <w:spacing w:line="36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第七条 本责任书一式</w:t>
      </w:r>
      <w:r>
        <w:rPr>
          <w:rFonts w:hint="eastAsia"/>
          <w:color w:val="000000" w:themeColor="text1"/>
          <w:szCs w:val="21"/>
          <w:highlight w:val="none"/>
          <w:lang w:eastAsia="zh-CN"/>
          <w14:textFill>
            <w14:solidFill>
              <w14:schemeClr w14:val="tx1"/>
            </w14:solidFill>
          </w14:textFill>
        </w:rPr>
        <w:t>八</w:t>
      </w:r>
      <w:r>
        <w:rPr>
          <w:rFonts w:hint="eastAsia"/>
          <w:color w:val="000000" w:themeColor="text1"/>
          <w:szCs w:val="21"/>
          <w:highlight w:val="none"/>
          <w14:textFill>
            <w14:solidFill>
              <w14:schemeClr w14:val="tx1"/>
            </w14:solidFill>
          </w14:textFill>
        </w:rPr>
        <w:t>份，由甲乙双方各执</w:t>
      </w:r>
      <w:r>
        <w:rPr>
          <w:rFonts w:hint="eastAsia"/>
          <w:color w:val="000000" w:themeColor="text1"/>
          <w:szCs w:val="21"/>
          <w:highlight w:val="none"/>
          <w:lang w:eastAsia="zh-CN"/>
          <w14:textFill>
            <w14:solidFill>
              <w14:schemeClr w14:val="tx1"/>
            </w14:solidFill>
          </w14:textFill>
        </w:rPr>
        <w:t>四</w:t>
      </w:r>
      <w:r>
        <w:rPr>
          <w:rFonts w:hint="eastAsia"/>
          <w:color w:val="000000" w:themeColor="text1"/>
          <w:szCs w:val="21"/>
          <w:highlight w:val="none"/>
          <w14:textFill>
            <w14:solidFill>
              <w14:schemeClr w14:val="tx1"/>
            </w14:solidFill>
          </w14:textFill>
        </w:rPr>
        <w:t>份。</w:t>
      </w:r>
    </w:p>
    <w:p w14:paraId="1F6B972C">
      <w:pPr>
        <w:autoSpaceDE w:val="0"/>
        <w:autoSpaceDN w:val="0"/>
        <w:spacing w:line="360" w:lineRule="exact"/>
        <w:rPr>
          <w:color w:val="000000" w:themeColor="text1"/>
          <w:szCs w:val="21"/>
          <w:highlight w:val="none"/>
          <w14:textFill>
            <w14:solidFill>
              <w14:schemeClr w14:val="tx1"/>
            </w14:solidFill>
          </w14:textFill>
        </w:rPr>
      </w:pPr>
    </w:p>
    <w:p w14:paraId="4917D365">
      <w:pPr>
        <w:autoSpaceDE w:val="0"/>
        <w:autoSpaceDN w:val="0"/>
        <w:spacing w:line="360" w:lineRule="exact"/>
        <w:ind w:firstLine="482"/>
        <w:rPr>
          <w:color w:val="000000" w:themeColor="text1"/>
          <w:szCs w:val="21"/>
          <w:highlight w:val="none"/>
          <w14:textFill>
            <w14:solidFill>
              <w14:schemeClr w14:val="tx1"/>
            </w14:solidFill>
          </w14:textFill>
        </w:rPr>
      </w:pPr>
    </w:p>
    <w:p w14:paraId="3F2AAC9F">
      <w:pPr>
        <w:autoSpaceDE w:val="0"/>
        <w:autoSpaceDN w:val="0"/>
        <w:spacing w:line="360" w:lineRule="exact"/>
        <w:ind w:firstLine="482"/>
        <w:rPr>
          <w:color w:val="000000" w:themeColor="text1"/>
          <w:szCs w:val="21"/>
          <w:highlight w:val="none"/>
          <w14:textFill>
            <w14:solidFill>
              <w14:schemeClr w14:val="tx1"/>
            </w14:solidFill>
          </w14:textFill>
        </w:rPr>
      </w:pPr>
    </w:p>
    <w:p w14:paraId="607E23AA">
      <w:pPr>
        <w:autoSpaceDE w:val="0"/>
        <w:autoSpaceDN w:val="0"/>
        <w:spacing w:line="360" w:lineRule="auto"/>
        <w:ind w:firstLine="482"/>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甲方单位：（盖章）　　　　　　　　</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乙方单位：（盖章）</w:t>
      </w:r>
    </w:p>
    <w:p w14:paraId="450EB938">
      <w:pPr>
        <w:spacing w:line="360" w:lineRule="auto"/>
        <w:ind w:firstLine="420" w:firstLineChars="200"/>
        <w:rPr>
          <w:rFonts w:hint="eastAsia" w:ascii="Calibri" w:hAnsi="Calibri"/>
          <w:color w:val="000000" w:themeColor="text1"/>
          <w:szCs w:val="21"/>
          <w:highlight w:val="none"/>
          <w:lang w:bidi="ar"/>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法定代表人</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法定代表人</w:t>
      </w:r>
    </w:p>
    <w:p w14:paraId="2661E0F0">
      <w:pPr>
        <w:spacing w:line="360" w:lineRule="auto"/>
        <w:ind w:firstLine="420" w:firstLineChars="200"/>
        <w:rPr>
          <w:rFonts w:ascii="Calibri" w:hAnsi="Calibri"/>
          <w:color w:val="000000" w:themeColor="text1"/>
          <w:szCs w:val="21"/>
          <w:highlight w:val="none"/>
          <w:lang w:bidi="ar"/>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或其委托代理人</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eastAsia="zh-CN" w:bidi="ar"/>
          <w14:textFill>
            <w14:solidFill>
              <w14:schemeClr w14:val="tx1"/>
            </w14:solidFill>
          </w14:textFill>
        </w:rPr>
        <w:t>签字或盖章</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bidi="ar"/>
          <w14:textFill>
            <w14:solidFill>
              <w14:schemeClr w14:val="tx1"/>
            </w14:solidFill>
          </w14:textFill>
        </w:rPr>
        <w:t>：</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olor w:val="000000" w:themeColor="text1"/>
          <w:szCs w:val="21"/>
          <w:highlight w:val="none"/>
          <w:lang w:bidi="ar"/>
          <w14:textFill>
            <w14:solidFill>
              <w14:schemeClr w14:val="tx1"/>
            </w14:solidFill>
          </w14:textFill>
        </w:rPr>
        <w:t>或其</w:t>
      </w:r>
      <w:r>
        <w:rPr>
          <w:rFonts w:hint="eastAsia" w:ascii="Calibri" w:hAnsi="Calibri" w:cs="宋体"/>
          <w:color w:val="000000" w:themeColor="text1"/>
          <w:szCs w:val="21"/>
          <w:highlight w:val="none"/>
          <w:lang w:bidi="ar"/>
          <w14:textFill>
            <w14:solidFill>
              <w14:schemeClr w14:val="tx1"/>
            </w14:solidFill>
          </w14:textFill>
        </w:rPr>
        <w:t>委托代理人</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eastAsia="zh-CN" w:bidi="ar"/>
          <w14:textFill>
            <w14:solidFill>
              <w14:schemeClr w14:val="tx1"/>
            </w14:solidFill>
          </w14:textFill>
        </w:rPr>
        <w:t>签字或盖章</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bidi="ar"/>
          <w14:textFill>
            <w14:solidFill>
              <w14:schemeClr w14:val="tx1"/>
            </w14:solidFill>
          </w14:textFill>
        </w:rPr>
        <w:t>：</w:t>
      </w:r>
      <w:r>
        <w:rPr>
          <w:rFonts w:ascii="Calibri" w:hAnsi="Calibri"/>
          <w:color w:val="000000" w:themeColor="text1"/>
          <w:szCs w:val="21"/>
          <w:highlight w:val="none"/>
          <w:lang w:bidi="ar"/>
          <w14:textFill>
            <w14:solidFill>
              <w14:schemeClr w14:val="tx1"/>
            </w14:solidFill>
          </w14:textFill>
        </w:rPr>
        <w:t xml:space="preserve">       </w:t>
      </w:r>
    </w:p>
    <w:p w14:paraId="1F9FE8A7">
      <w:pPr>
        <w:autoSpaceDE w:val="0"/>
        <w:autoSpaceDN w:val="0"/>
        <w:spacing w:line="360" w:lineRule="auto"/>
        <w:ind w:firstLine="482"/>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地址：　　　　　　　　　　　　　</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地址：</w:t>
      </w:r>
    </w:p>
    <w:p w14:paraId="26A3865F">
      <w:pPr>
        <w:autoSpaceDE w:val="0"/>
        <w:autoSpaceDN w:val="0"/>
        <w:spacing w:line="360" w:lineRule="auto"/>
        <w:ind w:firstLine="482"/>
        <w:rPr>
          <w:color w:val="000000" w:themeColor="text1"/>
          <w:szCs w:val="21"/>
          <w:highlight w:val="none"/>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电话：　　　　　　　　　　　　　　　</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电话：</w:t>
      </w:r>
    </w:p>
    <w:p w14:paraId="26B0BF9B">
      <w:pPr>
        <w:autoSpaceDE w:val="0"/>
        <w:autoSpaceDN w:val="0"/>
        <w:spacing w:line="360" w:lineRule="auto"/>
        <w:ind w:firstLine="2156" w:firstLineChars="1027"/>
        <w:rPr>
          <w:rFonts w:hint="eastAsia" w:ascii="Calibri" w:hAnsi="Calibri" w:cs="宋体"/>
          <w:color w:val="000000" w:themeColor="text1"/>
          <w:szCs w:val="21"/>
          <w:highlight w:val="none"/>
          <w:lang w:bidi="ar"/>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 xml:space="preserve">年　月　日　　　　　　　　　　　　  </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年　月　日</w:t>
      </w:r>
    </w:p>
    <w:p w14:paraId="31D289AC">
      <w:pPr>
        <w:autoSpaceDE w:val="0"/>
        <w:autoSpaceDN w:val="0"/>
        <w:spacing w:line="360" w:lineRule="auto"/>
        <w:ind w:firstLine="900" w:firstLineChars="429"/>
        <w:rPr>
          <w:rFonts w:hint="eastAsia" w:ascii="Calibri" w:hAnsi="Calibri" w:cs="宋体"/>
          <w:color w:val="000000" w:themeColor="text1"/>
          <w:szCs w:val="21"/>
          <w:highlight w:val="none"/>
          <w:lang w:bidi="ar"/>
          <w14:textFill>
            <w14:solidFill>
              <w14:schemeClr w14:val="tx1"/>
            </w14:solidFill>
          </w14:textFill>
        </w:rPr>
      </w:pPr>
    </w:p>
    <w:p w14:paraId="66FB874E">
      <w:pPr>
        <w:pStyle w:val="10"/>
        <w:jc w:val="left"/>
        <w:rPr>
          <w:rFonts w:ascii="Times New Roman"/>
          <w:color w:val="000000" w:themeColor="text1"/>
          <w:highlight w:val="none"/>
          <w14:textFill>
            <w14:solidFill>
              <w14:schemeClr w14:val="tx1"/>
            </w14:solidFill>
          </w14:textFill>
        </w:rPr>
      </w:pPr>
    </w:p>
    <w:p w14:paraId="6C114D87">
      <w:pPr>
        <w:pStyle w:val="10"/>
        <w:pageBreakBefore/>
        <w:spacing w:line="360" w:lineRule="auto"/>
        <w:jc w:val="left"/>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附件</w:t>
      </w:r>
      <w:r>
        <w:rPr>
          <w:rFonts w:hint="eastAsia" w:ascii="Times New Roman"/>
          <w:color w:val="000000" w:themeColor="text1"/>
          <w:highlight w:val="none"/>
          <w:lang w:val="en-US" w:eastAsia="zh-CN"/>
          <w14:textFill>
            <w14:solidFill>
              <w14:schemeClr w14:val="tx1"/>
            </w14:solidFill>
          </w14:textFill>
        </w:rPr>
        <w:t>3</w:t>
      </w:r>
      <w:r>
        <w:rPr>
          <w:rFonts w:hint="eastAsia" w:ascii="Times New Roman"/>
          <w:color w:val="000000" w:themeColor="text1"/>
          <w:highlight w:val="none"/>
          <w14:textFill>
            <w14:solidFill>
              <w14:schemeClr w14:val="tx1"/>
            </w14:solidFill>
          </w14:textFill>
        </w:rPr>
        <w:t>：</w:t>
      </w:r>
    </w:p>
    <w:p w14:paraId="7C651E7D">
      <w:pPr>
        <w:shd w:val="solid" w:color="FFFFFF" w:fill="auto"/>
        <w:autoSpaceDN w:val="0"/>
        <w:spacing w:before="300"/>
        <w:jc w:val="center"/>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b/>
          <w:color w:val="000000" w:themeColor="text1"/>
          <w:sz w:val="36"/>
          <w:szCs w:val="20"/>
          <w:highlight w:val="none"/>
          <w:shd w:val="clear" w:color="auto" w:fill="FFFFFF"/>
          <w:lang w:bidi="ar"/>
          <w14:textFill>
            <w14:solidFill>
              <w14:schemeClr w14:val="tx1"/>
            </w14:solidFill>
          </w14:textFill>
        </w:rPr>
        <w:t>安全生产合同</w:t>
      </w:r>
    </w:p>
    <w:p w14:paraId="35EF3907">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为在</w:t>
      </w:r>
      <w:r>
        <w:rPr>
          <w:rFonts w:hint="eastAsia" w:ascii="宋体" w:cs="宋体"/>
          <w:color w:val="000000" w:themeColor="text1"/>
          <w:szCs w:val="20"/>
          <w:highlight w:val="none"/>
          <w:u w:val="single"/>
          <w:shd w:val="clear" w:color="auto" w:fill="FFFFFF"/>
          <w:lang w:eastAsia="zh-CN" w:bidi="ar"/>
          <w14:textFill>
            <w14:solidFill>
              <w14:schemeClr w14:val="tx1"/>
            </w14:solidFill>
          </w14:textFill>
        </w:rPr>
        <w:t>玉环市玉城、坎门、大麦屿街道2025-2026年度市政道路和桥梁日常养护（一期）项目</w:t>
      </w:r>
      <w:r>
        <w:rPr>
          <w:rFonts w:hint="eastAsia" w:ascii="宋体" w:cs="宋体"/>
          <w:color w:val="000000" w:themeColor="text1"/>
          <w:szCs w:val="20"/>
          <w:highlight w:val="none"/>
          <w:shd w:val="clear" w:color="auto" w:fill="FFFFFF"/>
          <w:lang w:bidi="ar"/>
          <w14:textFill>
            <w14:solidFill>
              <w14:schemeClr w14:val="tx1"/>
            </w14:solidFill>
          </w14:textFill>
        </w:rPr>
        <w:t>施工合同的实施过程中创造安全、高效的施工环境，切实搞好本项目的安全管理工作，本项目业主</w:t>
      </w:r>
      <w:r>
        <w:rPr>
          <w:rFonts w:hint="eastAsia" w:ascii="宋体" w:cs="宋体"/>
          <w:color w:val="000000" w:themeColor="text1"/>
          <w:szCs w:val="20"/>
          <w:highlight w:val="none"/>
          <w:u w:val="single"/>
          <w:shd w:val="clear" w:color="auto" w:fill="FFFFFF"/>
          <w:lang w:eastAsia="zh-CN" w:bidi="ar"/>
          <w14:textFill>
            <w14:solidFill>
              <w14:schemeClr w14:val="tx1"/>
            </w14:solidFill>
          </w14:textFill>
        </w:rPr>
        <w:t>玉环市市政公用事业服务中心</w:t>
      </w:r>
      <w:r>
        <w:rPr>
          <w:rFonts w:hint="eastAsia" w:ascii="宋体" w:cs="宋体"/>
          <w:color w:val="000000" w:themeColor="text1"/>
          <w:szCs w:val="20"/>
          <w:highlight w:val="none"/>
          <w:shd w:val="clear" w:color="auto" w:fill="FFFFFF"/>
          <w:lang w:bidi="ar"/>
          <w14:textFill>
            <w14:solidFill>
              <w14:schemeClr w14:val="tx1"/>
            </w14:solidFill>
          </w14:textFill>
        </w:rPr>
        <w:t>（以下简称“甲方”）与承包人</w:t>
      </w:r>
      <w:r>
        <w:rPr>
          <w:rFonts w:hint="eastAsia" w:ascii="宋体" w:cs="宋体"/>
          <w:color w:val="000000" w:themeColor="text1"/>
          <w:szCs w:val="20"/>
          <w:highlight w:val="none"/>
          <w:u w:val="single"/>
          <w:shd w:val="clear" w:color="auto" w:fill="FFFFFF"/>
          <w:lang w:bidi="ar"/>
          <w14:textFill>
            <w14:solidFill>
              <w14:schemeClr w14:val="tx1"/>
            </w14:solidFill>
          </w14:textFill>
        </w:rPr>
        <w:t xml:space="preserve">                       </w:t>
      </w:r>
      <w:r>
        <w:rPr>
          <w:rFonts w:hint="eastAsia" w:ascii="宋体" w:cs="宋体"/>
          <w:color w:val="000000" w:themeColor="text1"/>
          <w:szCs w:val="20"/>
          <w:highlight w:val="none"/>
          <w:shd w:val="clear" w:color="auto" w:fill="FFFFFF"/>
          <w:lang w:bidi="ar"/>
          <w14:textFill>
            <w14:solidFill>
              <w14:schemeClr w14:val="tx1"/>
            </w14:solidFill>
          </w14:textFill>
        </w:rPr>
        <w:t>（全称） （以下简称“乙方”）特此签订安全生产合同：</w:t>
      </w:r>
    </w:p>
    <w:p w14:paraId="5E054654">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一、甲方职责</w:t>
      </w:r>
    </w:p>
    <w:p w14:paraId="3F174951">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1、严格遵守国家有关安全生产的法律法规，认真执行工程承包合同中的有关安全要求。</w:t>
      </w:r>
    </w:p>
    <w:p w14:paraId="413FD5C4">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2、按照“安全第一、预防为主”和坚持“管生产必须管安全”的原则进行安全生产管理，做到生产与安全工作同时计划、布置、检查、总结和评比。</w:t>
      </w:r>
    </w:p>
    <w:p w14:paraId="5AAA6CD5">
      <w:pPr>
        <w:shd w:val="solid" w:color="FFFFFF" w:fill="auto"/>
        <w:autoSpaceDN w:val="0"/>
        <w:spacing w:before="195" w:after="195" w:line="360" w:lineRule="atLeast"/>
        <w:ind w:firstLine="420"/>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3、重要的安全设施必须坚持与主体工程“三同时”的原则，即：同时设计、审批，同时施工，同时验收，投入使用。 </w:t>
      </w:r>
    </w:p>
    <w:p w14:paraId="35339C29">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4、定期召开安全生产调度会，及时</w:t>
      </w:r>
      <w:r>
        <w:rPr>
          <w:rFonts w:hint="eastAsia" w:ascii="宋体" w:cs="宋体"/>
          <w:color w:val="000000" w:themeColor="text1"/>
          <w:szCs w:val="20"/>
          <w:highlight w:val="none"/>
          <w:shd w:val="clear" w:color="auto" w:fill="FFFFFF"/>
          <w:lang w:eastAsia="zh-CN" w:bidi="ar"/>
          <w14:textFill>
            <w14:solidFill>
              <w14:schemeClr w14:val="tx1"/>
            </w14:solidFill>
          </w14:textFill>
        </w:rPr>
        <w:t>传达</w:t>
      </w:r>
      <w:r>
        <w:rPr>
          <w:rFonts w:hint="eastAsia" w:ascii="宋体" w:cs="宋体"/>
          <w:color w:val="000000" w:themeColor="text1"/>
          <w:szCs w:val="20"/>
          <w:highlight w:val="none"/>
          <w:shd w:val="clear" w:color="auto" w:fill="FFFFFF"/>
          <w:lang w:bidi="ar"/>
          <w14:textFill>
            <w14:solidFill>
              <w14:schemeClr w14:val="tx1"/>
            </w14:solidFill>
          </w14:textFill>
        </w:rPr>
        <w:t>中央及地方有关安全生产的精神。</w:t>
      </w:r>
    </w:p>
    <w:p w14:paraId="4339FC88">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5、组织对乙方施工现场安全生产检查，监督乙方及时处理发现的各种安全隐患。</w:t>
      </w:r>
    </w:p>
    <w:p w14:paraId="6968DB02">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二、乙方职责</w:t>
      </w:r>
    </w:p>
    <w:p w14:paraId="139391D8">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1、严格遵守国家有关安全生产的法律法规有关安全生产的规定，认真执行工程承包合同中的有关安全要求。</w:t>
      </w:r>
    </w:p>
    <w:p w14:paraId="34608694">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14:paraId="14C96A1D">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EF44DC3">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4、乙方在任何时候都应采取各种合理的预防措施，防止其员工发生任何违法、违禁、暴力或妨碍治安的行为。</w:t>
      </w:r>
    </w:p>
    <w:p w14:paraId="39190751">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14:paraId="317A052B">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14:paraId="14DDF88B">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7、操作人员上岗，必须按规定穿戴防护用品。施工负责人和安全检查员应随时检查劳动防护用品的穿戴情况，不按规定穿戴防护用品的人员不得上岗。</w:t>
      </w:r>
    </w:p>
    <w:p w14:paraId="54F45615">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8、所有施工机具设备和高空作业的设备均应定期检查，并有安全员的签字记录，保证其经常处于完好状态；不合格的机具、设备和劳动保护用品严禁使用。</w:t>
      </w:r>
    </w:p>
    <w:p w14:paraId="41CB6F53">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9、施工中采用新技术、新工艺、新设备、新材料时，必须制定相应的安全技术措施，施工现场必须具有相关的安全标志牌。</w:t>
      </w:r>
    </w:p>
    <w:p w14:paraId="3C57EB8F">
      <w:pPr>
        <w:shd w:val="solid" w:color="FFFFFF" w:fill="auto"/>
        <w:autoSpaceDN w:val="0"/>
        <w:spacing w:before="195" w:after="195" w:line="360" w:lineRule="atLeast"/>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7C0BC6E">
      <w:pPr>
        <w:shd w:val="solid" w:color="FFFFFF" w:fill="auto"/>
        <w:autoSpaceDN w:val="0"/>
        <w:spacing w:before="195" w:after="195" w:line="360" w:lineRule="atLeast"/>
        <w:ind w:firstLine="420" w:firstLineChars="200"/>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三、违约责任</w:t>
      </w:r>
    </w:p>
    <w:p w14:paraId="08674D6D">
      <w:pPr>
        <w:shd w:val="solid" w:color="FFFFFF" w:fill="auto"/>
        <w:autoSpaceDN w:val="0"/>
        <w:spacing w:before="195" w:after="195" w:line="360" w:lineRule="atLeast"/>
        <w:ind w:firstLine="420" w:firstLineChars="200"/>
        <w:rPr>
          <w:rFonts w:hint="eastAsia" w:ascii="宋体" w:cs="宋体"/>
          <w:color w:val="000000" w:themeColor="text1"/>
          <w:highlight w:val="none"/>
          <w:shd w:val="clear" w:color="auto" w:fill="FFFFFF"/>
          <w14:textFill>
            <w14:solidFill>
              <w14:schemeClr w14:val="tx1"/>
            </w14:solidFill>
          </w14:textFill>
        </w:rPr>
      </w:pPr>
      <w:r>
        <w:rPr>
          <w:rFonts w:hint="eastAsia" w:ascii="宋体" w:cs="宋体"/>
          <w:color w:val="000000" w:themeColor="text1"/>
          <w:szCs w:val="20"/>
          <w:highlight w:val="none"/>
          <w:shd w:val="clear" w:color="auto" w:fill="FFFFFF"/>
          <w:lang w:bidi="ar"/>
          <w14:textFill>
            <w14:solidFill>
              <w14:schemeClr w14:val="tx1"/>
            </w14:solidFill>
          </w14:textFill>
        </w:rPr>
        <w:t>如因甲方或乙方违约造成安全事故，将依法追究责任。本合同正本二份，副本六份，合同双方各执正本一份，副本</w:t>
      </w:r>
      <w:r>
        <w:rPr>
          <w:rFonts w:hint="eastAsia" w:ascii="宋体" w:cs="宋体"/>
          <w:color w:val="000000" w:themeColor="text1"/>
          <w:szCs w:val="20"/>
          <w:highlight w:val="none"/>
          <w:shd w:val="clear" w:color="auto" w:fill="FFFFFF"/>
          <w:lang w:eastAsia="zh-CN" w:bidi="ar"/>
          <w14:textFill>
            <w14:solidFill>
              <w14:schemeClr w14:val="tx1"/>
            </w14:solidFill>
          </w14:textFill>
        </w:rPr>
        <w:t>三</w:t>
      </w:r>
      <w:r>
        <w:rPr>
          <w:rFonts w:hint="eastAsia" w:ascii="宋体" w:cs="宋体"/>
          <w:color w:val="000000" w:themeColor="text1"/>
          <w:szCs w:val="20"/>
          <w:highlight w:val="none"/>
          <w:shd w:val="clear" w:color="auto" w:fill="FFFFFF"/>
          <w:lang w:bidi="ar"/>
          <w14:textFill>
            <w14:solidFill>
              <w14:schemeClr w14:val="tx1"/>
            </w14:solidFill>
          </w14:textFill>
        </w:rPr>
        <w:t>份。由双方法定代表人或其授权的代理人签署与加盖公章后生效，全部工程竣工验收后失效。</w:t>
      </w:r>
    </w:p>
    <w:p w14:paraId="56EE19DD">
      <w:pPr>
        <w:autoSpaceDE w:val="0"/>
        <w:autoSpaceDN w:val="0"/>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bidi="ar"/>
          <w14:textFill>
            <w14:solidFill>
              <w14:schemeClr w14:val="tx1"/>
            </w14:solidFill>
          </w14:textFill>
        </w:rPr>
        <w:t>甲方单位：（盖章）　　　　　　　　           乙方单位：（盖章）</w:t>
      </w:r>
    </w:p>
    <w:p w14:paraId="4CB1A5BC">
      <w:pPr>
        <w:spacing w:line="360" w:lineRule="auto"/>
        <w:ind w:firstLine="420" w:firstLineChars="200"/>
        <w:rPr>
          <w:rFonts w:hint="eastAsia" w:ascii="Calibri" w:hAnsi="Calibri"/>
          <w:color w:val="000000" w:themeColor="text1"/>
          <w:szCs w:val="21"/>
          <w:highlight w:val="none"/>
          <w:lang w:bidi="ar"/>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法定代表人</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olor w:val="000000" w:themeColor="text1"/>
          <w:szCs w:val="21"/>
          <w:highlight w:val="none"/>
          <w:lang w:bidi="ar"/>
          <w14:textFill>
            <w14:solidFill>
              <w14:schemeClr w14:val="tx1"/>
            </w14:solidFill>
          </w14:textFill>
        </w:rPr>
        <w:t xml:space="preserve">                       </w:t>
      </w:r>
      <w:r>
        <w:rPr>
          <w:rFonts w:hint="eastAsia" w:ascii="Calibri" w:hAnsi="Calibri" w:cs="宋体"/>
          <w:color w:val="000000" w:themeColor="text1"/>
          <w:szCs w:val="21"/>
          <w:highlight w:val="none"/>
          <w:lang w:bidi="ar"/>
          <w14:textFill>
            <w14:solidFill>
              <w14:schemeClr w14:val="tx1"/>
            </w14:solidFill>
          </w14:textFill>
        </w:rPr>
        <w:t>法定代表人</w:t>
      </w:r>
    </w:p>
    <w:p w14:paraId="6D40A9C1">
      <w:pPr>
        <w:spacing w:line="360" w:lineRule="auto"/>
        <w:ind w:firstLine="420" w:firstLineChars="200"/>
        <w:rPr>
          <w:rFonts w:ascii="Calibri" w:hAnsi="Calibri"/>
          <w:color w:val="000000" w:themeColor="text1"/>
          <w:szCs w:val="21"/>
          <w:highlight w:val="none"/>
          <w:lang w:bidi="ar"/>
          <w14:textFill>
            <w14:solidFill>
              <w14:schemeClr w14:val="tx1"/>
            </w14:solidFill>
          </w14:textFill>
        </w:rPr>
      </w:pPr>
      <w:r>
        <w:rPr>
          <w:rFonts w:hint="eastAsia" w:ascii="Calibri" w:hAnsi="Calibri" w:cs="宋体"/>
          <w:color w:val="000000" w:themeColor="text1"/>
          <w:szCs w:val="21"/>
          <w:highlight w:val="none"/>
          <w:lang w:bidi="ar"/>
          <w14:textFill>
            <w14:solidFill>
              <w14:schemeClr w14:val="tx1"/>
            </w14:solidFill>
          </w14:textFill>
        </w:rPr>
        <w:t>或其委托代理人</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eastAsia="zh-CN" w:bidi="ar"/>
          <w14:textFill>
            <w14:solidFill>
              <w14:schemeClr w14:val="tx1"/>
            </w14:solidFill>
          </w14:textFill>
        </w:rPr>
        <w:t>签字或盖章</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bidi="ar"/>
          <w14:textFill>
            <w14:solidFill>
              <w14:schemeClr w14:val="tx1"/>
            </w14:solidFill>
          </w14:textFill>
        </w:rPr>
        <w:t>：</w:t>
      </w:r>
      <w:r>
        <w:rPr>
          <w:rFonts w:ascii="Calibri" w:hAnsi="Calibri"/>
          <w:color w:val="000000" w:themeColor="text1"/>
          <w:szCs w:val="21"/>
          <w:highlight w:val="none"/>
          <w:lang w:bidi="ar"/>
          <w14:textFill>
            <w14:solidFill>
              <w14:schemeClr w14:val="tx1"/>
            </w14:solidFill>
          </w14:textFill>
        </w:rPr>
        <w:t xml:space="preserve">                </w:t>
      </w:r>
      <w:r>
        <w:rPr>
          <w:rFonts w:hint="eastAsia" w:ascii="Calibri" w:hAnsi="Calibri"/>
          <w:color w:val="000000" w:themeColor="text1"/>
          <w:szCs w:val="21"/>
          <w:highlight w:val="none"/>
          <w:lang w:bidi="ar"/>
          <w14:textFill>
            <w14:solidFill>
              <w14:schemeClr w14:val="tx1"/>
            </w14:solidFill>
          </w14:textFill>
        </w:rPr>
        <w:t xml:space="preserve"> </w:t>
      </w:r>
      <w:r>
        <w:rPr>
          <w:rFonts w:hint="eastAsia" w:ascii="Calibri" w:hAnsi="Calibri"/>
          <w:color w:val="000000" w:themeColor="text1"/>
          <w:szCs w:val="21"/>
          <w:highlight w:val="none"/>
          <w:lang w:val="en-US" w:eastAsia="zh-CN" w:bidi="ar"/>
          <w14:textFill>
            <w14:solidFill>
              <w14:schemeClr w14:val="tx1"/>
            </w14:solidFill>
          </w14:textFill>
        </w:rPr>
        <w:t xml:space="preserve"> </w:t>
      </w:r>
      <w:r>
        <w:rPr>
          <w:rFonts w:hint="eastAsia" w:ascii="Calibri" w:hAnsi="Calibri"/>
          <w:color w:val="000000" w:themeColor="text1"/>
          <w:szCs w:val="21"/>
          <w:highlight w:val="none"/>
          <w:lang w:bidi="ar"/>
          <w14:textFill>
            <w14:solidFill>
              <w14:schemeClr w14:val="tx1"/>
            </w14:solidFill>
          </w14:textFill>
        </w:rPr>
        <w:t>或其</w:t>
      </w:r>
      <w:r>
        <w:rPr>
          <w:rFonts w:hint="eastAsia" w:ascii="Calibri" w:hAnsi="Calibri" w:cs="宋体"/>
          <w:color w:val="000000" w:themeColor="text1"/>
          <w:szCs w:val="21"/>
          <w:highlight w:val="none"/>
          <w:lang w:bidi="ar"/>
          <w14:textFill>
            <w14:solidFill>
              <w14:schemeClr w14:val="tx1"/>
            </w14:solidFill>
          </w14:textFill>
        </w:rPr>
        <w:t>委托代理人</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eastAsia="zh-CN" w:bidi="ar"/>
          <w14:textFill>
            <w14:solidFill>
              <w14:schemeClr w14:val="tx1"/>
            </w14:solidFill>
          </w14:textFill>
        </w:rPr>
        <w:t>签字或盖章</w:t>
      </w:r>
      <w:r>
        <w:rPr>
          <w:rFonts w:ascii="Calibri" w:hAnsi="Calibri"/>
          <w:color w:val="000000" w:themeColor="text1"/>
          <w:szCs w:val="21"/>
          <w:highlight w:val="none"/>
          <w:lang w:bidi="ar"/>
          <w14:textFill>
            <w14:solidFill>
              <w14:schemeClr w14:val="tx1"/>
            </w14:solidFill>
          </w14:textFill>
        </w:rPr>
        <w:t>)</w:t>
      </w:r>
      <w:r>
        <w:rPr>
          <w:rFonts w:hint="eastAsia" w:ascii="Calibri" w:hAnsi="Calibri" w:cs="宋体"/>
          <w:color w:val="000000" w:themeColor="text1"/>
          <w:szCs w:val="21"/>
          <w:highlight w:val="none"/>
          <w:lang w:bidi="ar"/>
          <w14:textFill>
            <w14:solidFill>
              <w14:schemeClr w14:val="tx1"/>
            </w14:solidFill>
          </w14:textFill>
        </w:rPr>
        <w:t>：</w:t>
      </w:r>
      <w:r>
        <w:rPr>
          <w:rFonts w:ascii="Calibri" w:hAnsi="Calibri"/>
          <w:color w:val="000000" w:themeColor="text1"/>
          <w:szCs w:val="21"/>
          <w:highlight w:val="none"/>
          <w:lang w:bidi="ar"/>
          <w14:textFill>
            <w14:solidFill>
              <w14:schemeClr w14:val="tx1"/>
            </w14:solidFill>
          </w14:textFill>
        </w:rPr>
        <w:t xml:space="preserve">       </w:t>
      </w:r>
    </w:p>
    <w:p w14:paraId="5223E3ED">
      <w:pPr>
        <w:autoSpaceDE w:val="0"/>
        <w:autoSpaceDN w:val="0"/>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bidi="ar"/>
          <w14:textFill>
            <w14:solidFill>
              <w14:schemeClr w14:val="tx1"/>
            </w14:solidFill>
          </w14:textFill>
        </w:rPr>
        <w:t>地址：　　　　　　　　　　　　　             地址：</w:t>
      </w:r>
    </w:p>
    <w:p w14:paraId="6579FEE3">
      <w:pPr>
        <w:autoSpaceDE w:val="0"/>
        <w:autoSpaceDN w:val="0"/>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bidi="ar"/>
          <w14:textFill>
            <w14:solidFill>
              <w14:schemeClr w14:val="tx1"/>
            </w14:solidFill>
          </w14:textFill>
        </w:rPr>
        <w:t>电话：　　　　　　　　　　　　　　　         电话：</w:t>
      </w:r>
    </w:p>
    <w:p w14:paraId="309540D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1528" w:firstLineChars="728"/>
        <w:jc w:val="both"/>
        <w:textAlignment w:val="auto"/>
        <w:rPr>
          <w:rFonts w:hint="eastAsia" w:ascii="宋体" w:hAnsi="Times New Roman" w:eastAsia="宋体" w:cs="宋体"/>
          <w:color w:val="000000" w:themeColor="text1"/>
          <w:szCs w:val="21"/>
          <w:highlight w:val="none"/>
          <w:lang w:val="en-US"/>
          <w14:textFill>
            <w14:solidFill>
              <w14:schemeClr w14:val="tx1"/>
            </w14:solidFill>
          </w14:textFill>
        </w:rPr>
      </w:pPr>
      <w:r>
        <w:rPr>
          <w:rFonts w:hint="eastAsia" w:ascii="宋体" w:cs="宋体"/>
          <w:color w:val="000000" w:themeColor="text1"/>
          <w:szCs w:val="21"/>
          <w:highlight w:val="none"/>
          <w:lang w:bidi="ar"/>
          <w14:textFill>
            <w14:solidFill>
              <w14:schemeClr w14:val="tx1"/>
            </w14:solidFill>
          </w14:textFill>
        </w:rPr>
        <w:t>年　月　日　　　　　　　　　　　　　        　　年　月　日</w:t>
      </w:r>
    </w:p>
    <w:p w14:paraId="2692AA5F">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31E424D8">
      <w:pPr>
        <w:spacing w:line="360" w:lineRule="auto"/>
        <w:jc w:val="center"/>
        <w:rPr>
          <w:rFonts w:ascii="宋体" w:hAnsi="宋体"/>
          <w:color w:val="000000" w:themeColor="text1"/>
          <w:sz w:val="36"/>
          <w:highlight w:val="none"/>
          <w14:textFill>
            <w14:solidFill>
              <w14:schemeClr w14:val="tx1"/>
            </w14:solidFill>
          </w14:textFill>
        </w:rPr>
      </w:pPr>
    </w:p>
    <w:p w14:paraId="6E0EBAB9">
      <w:pP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14:paraId="16562325">
      <w:pPr>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第五章  谈判响应文件格式附件</w:t>
      </w:r>
    </w:p>
    <w:p w14:paraId="371CB489">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 xml:space="preserve">附件1                              　　　         </w:t>
      </w:r>
    </w:p>
    <w:p w14:paraId="35DC4DB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olor w:val="000000" w:themeColor="text1"/>
          <w:spacing w:val="40"/>
          <w:sz w:val="52"/>
          <w:szCs w:val="52"/>
          <w:highlight w:val="none"/>
          <w:u w:val="single"/>
          <w:lang w:eastAsia="zh-CN"/>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r>
        <w:rPr>
          <w:rFonts w:hint="eastAsia" w:ascii="宋体" w:hAnsi="宋体"/>
          <w:color w:val="000000" w:themeColor="text1"/>
          <w:spacing w:val="40"/>
          <w:sz w:val="52"/>
          <w:szCs w:val="52"/>
          <w:highlight w:val="none"/>
          <w:u w:val="single"/>
          <w:lang w:eastAsia="zh-CN"/>
          <w14:textFill>
            <w14:solidFill>
              <w14:schemeClr w14:val="tx1"/>
            </w14:solidFill>
          </w14:textFill>
        </w:rPr>
        <w:t>玉环市玉城、坎门、大麦屿街道2025-2026年度市政道路和桥梁日常养护（一期）项目</w:t>
      </w:r>
    </w:p>
    <w:p w14:paraId="250D519A">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TZJY-YHZFCG-2025-0605</w:t>
      </w:r>
    </w:p>
    <w:p w14:paraId="58B277FE">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谈</w:t>
      </w:r>
    </w:p>
    <w:p w14:paraId="08FE347D">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判</w:t>
      </w:r>
    </w:p>
    <w:p w14:paraId="623F8891">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14:paraId="7FF79E02">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14:paraId="36EB7EA8">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14:paraId="4FD5F3FF">
      <w:pPr>
        <w:spacing w:after="100" w:afterAutospacing="1"/>
        <w:ind w:right="-108"/>
        <w:jc w:val="center"/>
        <w:rPr>
          <w:rFonts w:ascii="宋体" w:hAnsi="宋体"/>
          <w:b/>
          <w:color w:val="000000" w:themeColor="text1"/>
          <w:spacing w:val="40"/>
          <w:sz w:val="48"/>
          <w:szCs w:val="48"/>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14:paraId="4852CE27">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14:paraId="3A154F9F">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14:paraId="5042D4DB">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14:paraId="3DC2F9E7">
      <w:pPr>
        <w:snapToGrid w:val="0"/>
        <w:spacing w:before="50" w:after="50"/>
        <w:jc w:val="center"/>
        <w:rPr>
          <w:rFonts w:ascii="宋体" w:hAnsi="宋体"/>
          <w:b/>
          <w:bCs/>
          <w:color w:val="000000" w:themeColor="text1"/>
          <w:sz w:val="36"/>
          <w:szCs w:val="36"/>
          <w:highlight w:val="none"/>
          <w14:textFill>
            <w14:solidFill>
              <w14:schemeClr w14:val="tx1"/>
            </w14:solidFill>
          </w14:textFill>
        </w:rPr>
      </w:pPr>
    </w:p>
    <w:p w14:paraId="492B67A8">
      <w:pPr>
        <w:snapToGrid w:val="0"/>
        <w:spacing w:before="50" w:after="50"/>
        <w:jc w:val="center"/>
        <w:rPr>
          <w:rFonts w:hint="eastAsia" w:ascii="宋体" w:hAnsi="宋体"/>
          <w:b/>
          <w:bCs/>
          <w:color w:val="000000" w:themeColor="text1"/>
          <w:sz w:val="36"/>
          <w:szCs w:val="36"/>
          <w:highlight w:val="none"/>
          <w14:textFill>
            <w14:solidFill>
              <w14:schemeClr w14:val="tx1"/>
            </w14:solidFill>
          </w14:textFill>
        </w:rPr>
      </w:pPr>
    </w:p>
    <w:p w14:paraId="5A69FD2C">
      <w:pPr>
        <w:snapToGrid w:val="0"/>
        <w:spacing w:before="50" w:after="50"/>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谈判响应文件目录</w:t>
      </w:r>
    </w:p>
    <w:p w14:paraId="45219859">
      <w:pPr>
        <w:snapToGrid w:val="0"/>
        <w:spacing w:before="50" w:after="50"/>
        <w:jc w:val="center"/>
        <w:rPr>
          <w:rFonts w:ascii="宋体" w:hAnsi="宋体"/>
          <w:b/>
          <w:bCs/>
          <w:color w:val="000000" w:themeColor="text1"/>
          <w:sz w:val="32"/>
          <w:szCs w:val="32"/>
          <w:highlight w:val="none"/>
          <w14:textFill>
            <w14:solidFill>
              <w14:schemeClr w14:val="tx1"/>
            </w14:solidFill>
          </w14:textFill>
        </w:rPr>
      </w:pPr>
    </w:p>
    <w:p w14:paraId="5755395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第一部分：资格证明部分</w:t>
      </w:r>
    </w:p>
    <w:p w14:paraId="446F7D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谈判声明书（附件2）</w:t>
      </w:r>
      <w:r>
        <w:rPr>
          <w:rFonts w:hint="eastAsia" w:ascii="宋体" w:hAnsi="宋体" w:cs="宋体"/>
          <w:color w:val="000000" w:themeColor="text1"/>
          <w:sz w:val="24"/>
          <w:highlight w:val="none"/>
          <w:lang w:eastAsia="zh-CN"/>
          <w14:textFill>
            <w14:solidFill>
              <w14:schemeClr w14:val="tx1"/>
            </w14:solidFill>
          </w14:textFill>
        </w:rPr>
        <w:t>；</w:t>
      </w:r>
    </w:p>
    <w:p w14:paraId="6E3BD6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bCs/>
          <w:color w:val="000000" w:themeColor="text1"/>
          <w:sz w:val="24"/>
          <w:highlight w:val="none"/>
          <w14:textFill>
            <w14:solidFill>
              <w14:schemeClr w14:val="tx1"/>
            </w14:solidFill>
          </w14:textFill>
        </w:rPr>
      </w:pPr>
      <w: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授权委托书（附件3）</w:t>
      </w:r>
      <w:r>
        <w:rPr>
          <w:rFonts w:hint="eastAsia" w:ascii="宋体" w:hAnsi="宋体" w:cs="宋体"/>
          <w:bCs/>
          <w:color w:val="000000" w:themeColor="text1"/>
          <w:sz w:val="24"/>
          <w:highlight w:val="none"/>
          <w:lang w:eastAsia="zh-CN"/>
          <w14:textFill>
            <w14:solidFill>
              <w14:schemeClr w14:val="tx1"/>
            </w14:solidFill>
          </w14:textFill>
        </w:rPr>
        <w:t>；</w:t>
      </w:r>
    </w:p>
    <w:p w14:paraId="5A29029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r>
        <w:rPr>
          <w:rFonts w:hint="eastAsia"/>
          <w:color w:val="000000" w:themeColor="text1"/>
          <w:sz w:val="24"/>
          <w:highlight w:val="none"/>
          <w:lang w:eastAsia="zh-CN"/>
          <w14:textFill>
            <w14:solidFill>
              <w14:schemeClr w14:val="tx1"/>
            </w14:solidFill>
          </w14:textFill>
        </w:rPr>
        <w:t>；</w:t>
      </w:r>
    </w:p>
    <w:p w14:paraId="1B1A831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允许采用承诺函形式</w:t>
      </w:r>
      <w:r>
        <w:rPr>
          <w:rFonts w:hint="eastAsia"/>
          <w:color w:val="000000" w:themeColor="text1"/>
          <w:sz w:val="24"/>
          <w:highlight w:val="none"/>
          <w:lang w:eastAsia="zh-CN"/>
          <w14:textFill>
            <w14:solidFill>
              <w14:schemeClr w14:val="tx1"/>
            </w14:solidFill>
          </w14:textFill>
        </w:rPr>
        <w:t>）；</w:t>
      </w:r>
    </w:p>
    <w:p w14:paraId="3CB760D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允许采购承诺函形式</w:t>
      </w:r>
      <w:r>
        <w:rPr>
          <w:rFonts w:hint="eastAsia"/>
          <w:color w:val="000000" w:themeColor="text1"/>
          <w:sz w:val="24"/>
          <w:highlight w:val="none"/>
          <w:lang w:eastAsia="zh-CN"/>
          <w14:textFill>
            <w14:solidFill>
              <w14:schemeClr w14:val="tx1"/>
            </w14:solidFill>
          </w14:textFill>
        </w:rPr>
        <w:t>）；</w:t>
      </w:r>
    </w:p>
    <w:p w14:paraId="7101C57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r>
        <w:rPr>
          <w:rFonts w:hint="eastAsia" w:ascii="宋体" w:hAnsi="宋体"/>
          <w:color w:val="000000" w:themeColor="text1"/>
          <w:kern w:val="0"/>
          <w:sz w:val="24"/>
          <w:highlight w:val="none"/>
          <w:lang w:eastAsia="zh-CN"/>
          <w14:textFill>
            <w14:solidFill>
              <w14:schemeClr w14:val="tx1"/>
            </w14:solidFill>
          </w14:textFill>
        </w:rPr>
        <w:t>。</w:t>
      </w:r>
    </w:p>
    <w:p w14:paraId="0361A82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cs="宋体"/>
          <w:b/>
          <w:bCs/>
          <w:color w:val="000000" w:themeColor="text1"/>
          <w:sz w:val="28"/>
          <w:szCs w:val="28"/>
          <w:highlight w:val="none"/>
          <w14:textFill>
            <w14:solidFill>
              <w14:schemeClr w14:val="tx1"/>
            </w14:solidFill>
          </w14:textFill>
        </w:rPr>
        <w:t>部分</w:t>
      </w:r>
    </w:p>
    <w:p w14:paraId="49E8BE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r>
        <w:rPr>
          <w:rFonts w:hint="eastAsia" w:ascii="宋体" w:hAnsi="宋体" w:cs="宋体"/>
          <w:color w:val="000000" w:themeColor="text1"/>
          <w:kern w:val="0"/>
          <w:sz w:val="24"/>
          <w:highlight w:val="none"/>
          <w:lang w:eastAsia="zh-CN"/>
          <w14:textFill>
            <w14:solidFill>
              <w14:schemeClr w14:val="tx1"/>
            </w14:solidFill>
          </w14:textFill>
        </w:rPr>
        <w:t>；</w:t>
      </w:r>
    </w:p>
    <w:p w14:paraId="0C334B1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2、项目组织实施方案(可视情选用附件5、附件6)； </w:t>
      </w:r>
    </w:p>
    <w:p w14:paraId="6A5AC82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3、主要施工机械设备表（可视情选用附件7）；</w:t>
      </w:r>
    </w:p>
    <w:p w14:paraId="7D459D0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4、商务及技术响应表</w:t>
      </w:r>
      <w:r>
        <w:rPr>
          <w:rFonts w:hint="eastAsia" w:ascii="宋体" w:hAnsi="宋体" w:cs="宋体"/>
          <w:color w:val="000000" w:themeColor="text1"/>
          <w:sz w:val="24"/>
          <w:highlight w:val="none"/>
          <w14:textFill>
            <w14:solidFill>
              <w14:schemeClr w14:val="tx1"/>
            </w14:solidFill>
          </w14:textFill>
        </w:rPr>
        <w:t>（可视情选用附件8）</w:t>
      </w:r>
    </w:p>
    <w:p w14:paraId="52966F9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5、证书一览表（附件9）；</w:t>
      </w:r>
    </w:p>
    <w:p w14:paraId="0B9B691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（附件10）</w:t>
      </w:r>
    </w:p>
    <w:p w14:paraId="497520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（可视情选用附件11）；</w:t>
      </w:r>
    </w:p>
    <w:p w14:paraId="58C740D6">
      <w:pPr>
        <w:keepNext w:val="0"/>
        <w:keepLines w:val="0"/>
        <w:pageBreakBefore w:val="0"/>
        <w:widowControl w:val="0"/>
        <w:kinsoku/>
        <w:wordWrap/>
        <w:overflowPunct/>
        <w:topLinePunct w:val="0"/>
        <w:autoSpaceDE/>
        <w:autoSpaceDN/>
        <w:bidi w:val="0"/>
        <w:adjustRightInd/>
        <w:spacing w:line="360" w:lineRule="auto"/>
        <w:ind w:left="0" w:leftChars="0" w:right="0"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第三部分 ：</w:t>
      </w:r>
      <w:r>
        <w:rPr>
          <w:rFonts w:hint="eastAsia" w:ascii="宋体" w:hAnsi="宋体" w:cs="宋体"/>
          <w:b/>
          <w:color w:val="000000" w:themeColor="text1"/>
          <w:sz w:val="28"/>
          <w:szCs w:val="28"/>
          <w:highlight w:val="none"/>
          <w14:textFill>
            <w14:solidFill>
              <w14:schemeClr w14:val="tx1"/>
            </w14:solidFill>
          </w14:textFill>
        </w:rPr>
        <w:t>报价</w:t>
      </w:r>
      <w:r>
        <w:rPr>
          <w:rFonts w:hint="eastAsia" w:ascii="宋体" w:hAnsi="宋体" w:cs="宋体"/>
          <w:b/>
          <w:bCs/>
          <w:color w:val="000000" w:themeColor="text1"/>
          <w:sz w:val="28"/>
          <w:szCs w:val="28"/>
          <w:highlight w:val="none"/>
          <w14:textFill>
            <w14:solidFill>
              <w14:schemeClr w14:val="tx1"/>
            </w14:solidFill>
          </w14:textFill>
        </w:rPr>
        <w:t>部分</w:t>
      </w:r>
    </w:p>
    <w:p w14:paraId="12E4B23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首次报价一览表</w:t>
      </w:r>
      <w:r>
        <w:rPr>
          <w:rFonts w:hint="eastAsia" w:ascii="宋体" w:hAnsi="宋体"/>
          <w:color w:val="000000" w:themeColor="text1"/>
          <w:sz w:val="24"/>
          <w:highlight w:val="none"/>
          <w14:textFill>
            <w14:solidFill>
              <w14:schemeClr w14:val="tx1"/>
            </w14:solidFill>
          </w14:textFill>
        </w:rPr>
        <w:t>（附件12）；</w:t>
      </w:r>
    </w:p>
    <w:p w14:paraId="5F43FE5C">
      <w:pPr>
        <w:pStyle w:val="16"/>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2、报价明细表（附件13）；</w:t>
      </w:r>
    </w:p>
    <w:p w14:paraId="7A81692A">
      <w:pPr>
        <w:keepNext w:val="0"/>
        <w:keepLines w:val="0"/>
        <w:pageBreakBefore w:val="0"/>
        <w:widowControl w:val="0"/>
        <w:kinsoku/>
        <w:wordWrap/>
        <w:overflowPunct/>
        <w:topLinePunct w:val="0"/>
        <w:autoSpaceDE/>
        <w:autoSpaceDN/>
        <w:bidi w:val="0"/>
        <w:adjustRightInd/>
        <w:spacing w:line="360" w:lineRule="auto"/>
        <w:ind w:left="0" w:leftChars="0" w:right="0"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第四部分 ：</w:t>
      </w:r>
      <w:r>
        <w:rPr>
          <w:rFonts w:hint="eastAsia" w:ascii="宋体" w:hAnsi="宋体" w:cs="宋体"/>
          <w:b/>
          <w:color w:val="000000" w:themeColor="text1"/>
          <w:sz w:val="28"/>
          <w:szCs w:val="28"/>
          <w:highlight w:val="none"/>
          <w14:textFill>
            <w14:solidFill>
              <w14:schemeClr w14:val="tx1"/>
            </w14:solidFill>
          </w14:textFill>
        </w:rPr>
        <w:t>其他</w:t>
      </w:r>
      <w:r>
        <w:rPr>
          <w:rFonts w:hint="eastAsia" w:ascii="宋体" w:hAnsi="宋体" w:cs="宋体"/>
          <w:b/>
          <w:bCs/>
          <w:color w:val="000000" w:themeColor="text1"/>
          <w:sz w:val="28"/>
          <w:szCs w:val="28"/>
          <w:highlight w:val="none"/>
          <w14:textFill>
            <w14:solidFill>
              <w14:schemeClr w14:val="tx1"/>
            </w14:solidFill>
          </w14:textFill>
        </w:rPr>
        <w:t>部分</w:t>
      </w:r>
    </w:p>
    <w:p w14:paraId="1D71596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1、针对竞争性谈判，响应供应商认为其他需要说明的；</w:t>
      </w:r>
    </w:p>
    <w:p w14:paraId="0198088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（以上内容具体描述详见“第二章供应商须知”中“二、谈判响应文件”的组成说明）</w:t>
      </w:r>
    </w:p>
    <w:p w14:paraId="2E84DDD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textAlignment w:val="auto"/>
        <w:rPr>
          <w:rFonts w:ascii="宋体" w:hAnsi="宋体"/>
          <w:color w:val="000000" w:themeColor="text1"/>
          <w:kern w:val="0"/>
          <w:sz w:val="24"/>
          <w:highlight w:val="none"/>
          <w14:textFill>
            <w14:solidFill>
              <w14:schemeClr w14:val="tx1"/>
            </w14:solidFill>
          </w14:textFill>
        </w:rPr>
      </w:pPr>
    </w:p>
    <w:p w14:paraId="2BECB35B">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14:paraId="0B656368">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谈判声明书</w:t>
      </w:r>
    </w:p>
    <w:p w14:paraId="563B136A">
      <w:pPr>
        <w:keepNext w:val="0"/>
        <w:keepLines w:val="0"/>
        <w:pageBreakBefore w:val="0"/>
        <w:widowControl w:val="0"/>
        <w:kinsoku/>
        <w:wordWrap/>
        <w:overflowPunct/>
        <w:topLinePunct w:val="0"/>
        <w:autoSpaceDE/>
        <w:autoSpaceDN/>
        <w:bidi w:val="0"/>
        <w:snapToGrid w:val="0"/>
        <w:spacing w:line="440" w:lineRule="exact"/>
        <w:ind w:right="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台州嘉亿招标代理有限责任公司</w:t>
      </w:r>
      <w:r>
        <w:rPr>
          <w:rFonts w:hint="eastAsia" w:ascii="宋体" w:hAnsi="宋体" w:cs="宋体"/>
          <w:color w:val="000000" w:themeColor="text1"/>
          <w:kern w:val="0"/>
          <w:sz w:val="24"/>
          <w:highlight w:val="none"/>
          <w14:textFill>
            <w14:solidFill>
              <w14:schemeClr w14:val="tx1"/>
            </w14:solidFill>
          </w14:textFill>
        </w:rPr>
        <w:t>：</w:t>
      </w:r>
    </w:p>
    <w:p w14:paraId="20603868">
      <w:pPr>
        <w:keepNext w:val="0"/>
        <w:keepLines w:val="0"/>
        <w:pageBreakBefore w:val="0"/>
        <w:widowControl w:val="0"/>
        <w:kinsoku/>
        <w:wordWrap/>
        <w:overflowPunct/>
        <w:topLinePunct w:val="0"/>
        <w:autoSpaceDE/>
        <w:autoSpaceDN/>
        <w:bidi w:val="0"/>
        <w:snapToGrid w:val="0"/>
        <w:spacing w:line="440" w:lineRule="exact"/>
        <w:ind w:right="0"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D987B39">
      <w:pPr>
        <w:keepNext w:val="0"/>
        <w:keepLines w:val="0"/>
        <w:pageBreakBefore w:val="0"/>
        <w:widowControl w:val="0"/>
        <w:kinsoku/>
        <w:wordWrap/>
        <w:overflowPunct/>
        <w:topLinePunct w:val="0"/>
        <w:autoSpaceDE/>
        <w:autoSpaceDN/>
        <w:bidi w:val="0"/>
        <w:snapToGrid w:val="0"/>
        <w:spacing w:line="440" w:lineRule="exact"/>
        <w:ind w:right="0"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玉环市玉城、坎门、大麦屿街道2025-2026年度市政道路和桥梁日常养护（一期）项目</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TZJY-YHZFCG-2025-0605</w:t>
      </w:r>
      <w:r>
        <w:rPr>
          <w:rFonts w:hint="eastAsia" w:ascii="宋体" w:hAnsi="宋体" w:cs="宋体"/>
          <w:color w:val="000000" w:themeColor="text1"/>
          <w:kern w:val="0"/>
          <w:sz w:val="24"/>
          <w:highlight w:val="none"/>
          <w14:textFill>
            <w14:solidFill>
              <w14:schemeClr w14:val="tx1"/>
            </w14:solidFill>
          </w14:textFill>
        </w:rPr>
        <w:t>）的谈判，为此，我公司就本次谈判有关事项郑重声明如下：</w:t>
      </w:r>
    </w:p>
    <w:p w14:paraId="423CB8F0">
      <w:pPr>
        <w:keepNext w:val="0"/>
        <w:keepLines w:val="0"/>
        <w:pageBreakBefore w:val="0"/>
        <w:widowControl w:val="0"/>
        <w:numPr>
          <w:ilvl w:val="0"/>
          <w:numId w:val="0"/>
        </w:numPr>
        <w:kinsoku/>
        <w:wordWrap/>
        <w:overflowPunct/>
        <w:topLinePunct w:val="0"/>
        <w:autoSpaceDE/>
        <w:autoSpaceDN/>
        <w:bidi w:val="0"/>
        <w:snapToGrid w:val="0"/>
        <w:spacing w:line="440" w:lineRule="exact"/>
        <w:ind w:right="0" w:firstLine="480" w:firstLineChars="200"/>
        <w:textAlignment w:val="auto"/>
        <w:rPr>
          <w:rFonts w:ascii="宋体" w:hAnsi="宋体" w:cs="宋体"/>
          <w:b w:val="0"/>
          <w:bCs/>
          <w:color w:val="000000" w:themeColor="text1"/>
          <w:kern w:val="0"/>
          <w:sz w:val="24"/>
          <w:highlight w:val="none"/>
          <w14:textFill>
            <w14:solidFill>
              <w14:schemeClr w14:val="tx1"/>
            </w14:solidFill>
          </w14:textFill>
        </w:rPr>
      </w:pPr>
      <w:r>
        <w:rPr>
          <w:rFonts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Arial" w:hAnsi="Arial" w:cs="Arial"/>
          <w:b w:val="0"/>
          <w:bCs/>
          <w:color w:val="000000" w:themeColor="text1"/>
          <w:sz w:val="24"/>
          <w:highlight w:val="none"/>
          <w14:textFill>
            <w14:solidFill>
              <w14:schemeClr w14:val="tx1"/>
            </w14:solidFill>
          </w14:textFill>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14:paraId="43818816">
      <w:pPr>
        <w:keepNext w:val="0"/>
        <w:keepLines w:val="0"/>
        <w:pageBreakBefore w:val="0"/>
        <w:widowControl w:val="0"/>
        <w:numPr>
          <w:ilvl w:val="0"/>
          <w:numId w:val="0"/>
        </w:numPr>
        <w:kinsoku/>
        <w:wordWrap/>
        <w:overflowPunct/>
        <w:topLinePunct w:val="0"/>
        <w:autoSpaceDE/>
        <w:autoSpaceDN/>
        <w:bidi w:val="0"/>
        <w:snapToGrid w:val="0"/>
        <w:spacing w:line="440" w:lineRule="exact"/>
        <w:ind w:right="0" w:firstLine="480" w:firstLineChars="200"/>
        <w:textAlignment w:val="auto"/>
        <w:rPr>
          <w:rFonts w:ascii="宋体" w:hAnsi="宋体" w:cs="宋体"/>
          <w:b w:val="0"/>
          <w:bCs/>
          <w:color w:val="000000" w:themeColor="text1"/>
          <w:kern w:val="0"/>
          <w:sz w:val="24"/>
          <w:highlight w:val="none"/>
          <w14:textFill>
            <w14:solidFill>
              <w14:schemeClr w14:val="tx1"/>
            </w14:solidFill>
          </w14:textFill>
        </w:rPr>
      </w:pPr>
      <w:r>
        <w:rPr>
          <w:rFonts w:ascii="宋体" w:hAnsi="宋体" w:eastAsia="宋体" w:cs="宋体"/>
          <w:b w:val="0"/>
          <w:bCs/>
          <w:color w:val="000000" w:themeColor="text1"/>
          <w:kern w:val="0"/>
          <w:sz w:val="24"/>
          <w:szCs w:val="24"/>
          <w:highlight w:val="none"/>
          <w:lang w:val="en-US" w:eastAsia="zh-CN" w:bidi="ar-SA"/>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我公司</w:t>
      </w:r>
      <w:r>
        <w:rPr>
          <w:rFonts w:ascii="宋体" w:hAnsi="宋体" w:cs="宋体"/>
          <w:b w:val="0"/>
          <w:bCs/>
          <w:color w:val="000000" w:themeColor="text1"/>
          <w:kern w:val="0"/>
          <w:sz w:val="24"/>
          <w:highlight w:val="none"/>
          <w14:textFill>
            <w14:solidFill>
              <w14:schemeClr w14:val="tx1"/>
            </w14:solidFill>
          </w14:textFill>
        </w:rPr>
        <w:t>在参与</w:t>
      </w:r>
      <w:r>
        <w:rPr>
          <w:rFonts w:hint="eastAsia" w:ascii="宋体" w:hAnsi="宋体" w:cs="宋体"/>
          <w:b w:val="0"/>
          <w:bCs/>
          <w:color w:val="000000" w:themeColor="text1"/>
          <w:kern w:val="0"/>
          <w:sz w:val="24"/>
          <w:highlight w:val="none"/>
          <w14:textFill>
            <w14:solidFill>
              <w14:schemeClr w14:val="tx1"/>
            </w14:solidFill>
          </w14:textFill>
        </w:rPr>
        <w:t>谈判响应</w:t>
      </w:r>
      <w:r>
        <w:rPr>
          <w:rFonts w:ascii="宋体" w:hAnsi="宋体" w:cs="宋体"/>
          <w:b w:val="0"/>
          <w:bCs/>
          <w:color w:val="000000" w:themeColor="text1"/>
          <w:kern w:val="0"/>
          <w:sz w:val="24"/>
          <w:highlight w:val="none"/>
          <w14:textFill>
            <w14:solidFill>
              <w14:schemeClr w14:val="tx1"/>
            </w14:solidFill>
          </w14:textFill>
        </w:rPr>
        <w:t>前已</w:t>
      </w:r>
      <w:r>
        <w:rPr>
          <w:rFonts w:hint="eastAsia" w:ascii="宋体" w:hAnsi="宋体" w:cs="宋体"/>
          <w:b w:val="0"/>
          <w:bCs/>
          <w:color w:val="000000" w:themeColor="text1"/>
          <w:kern w:val="0"/>
          <w:sz w:val="24"/>
          <w:highlight w:val="none"/>
          <w14:textFill>
            <w14:solidFill>
              <w14:schemeClr w14:val="tx1"/>
            </w14:solidFill>
          </w14:textFill>
        </w:rPr>
        <w:t>详细审查</w:t>
      </w:r>
      <w:r>
        <w:rPr>
          <w:rFonts w:ascii="宋体" w:hAnsi="宋体" w:cs="宋体"/>
          <w:b w:val="0"/>
          <w:bCs/>
          <w:color w:val="000000" w:themeColor="text1"/>
          <w:kern w:val="0"/>
          <w:sz w:val="24"/>
          <w:highlight w:val="none"/>
          <w14:textFill>
            <w14:solidFill>
              <w14:schemeClr w14:val="tx1"/>
            </w14:solidFill>
          </w14:textFill>
        </w:rPr>
        <w:t>了</w:t>
      </w:r>
      <w:r>
        <w:rPr>
          <w:rFonts w:hint="eastAsia" w:ascii="宋体" w:hAnsi="宋体" w:cs="宋体"/>
          <w:b w:val="0"/>
          <w:bCs/>
          <w:color w:val="000000" w:themeColor="text1"/>
          <w:kern w:val="0"/>
          <w:sz w:val="24"/>
          <w:highlight w:val="none"/>
          <w14:textFill>
            <w14:solidFill>
              <w14:schemeClr w14:val="tx1"/>
            </w14:solidFill>
          </w14:textFill>
        </w:rPr>
        <w:t>谈判</w:t>
      </w:r>
      <w:r>
        <w:rPr>
          <w:rFonts w:ascii="宋体" w:hAnsi="宋体" w:cs="宋体"/>
          <w:b w:val="0"/>
          <w:bCs/>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宋体"/>
          <w:b w:val="0"/>
          <w:bCs/>
          <w:color w:val="000000" w:themeColor="text1"/>
          <w:kern w:val="0"/>
          <w:sz w:val="24"/>
          <w:highlight w:val="none"/>
          <w14:textFill>
            <w14:solidFill>
              <w14:schemeClr w14:val="tx1"/>
            </w14:solidFill>
          </w14:textFill>
        </w:rPr>
        <w:t>谈判采购</w:t>
      </w:r>
      <w:r>
        <w:rPr>
          <w:rFonts w:ascii="宋体" w:hAnsi="宋体" w:cs="宋体"/>
          <w:b w:val="0"/>
          <w:bCs/>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b w:val="0"/>
          <w:bCs/>
          <w:color w:val="000000" w:themeColor="text1"/>
          <w:kern w:val="0"/>
          <w:sz w:val="24"/>
          <w:highlight w:val="none"/>
          <w14:textFill>
            <w14:solidFill>
              <w14:schemeClr w14:val="tx1"/>
            </w14:solidFill>
          </w14:textFill>
        </w:rPr>
        <w:t>供应商</w:t>
      </w:r>
      <w:r>
        <w:rPr>
          <w:rFonts w:ascii="宋体" w:hAnsi="宋体" w:cs="宋体"/>
          <w:b w:val="0"/>
          <w:bCs/>
          <w:color w:val="000000" w:themeColor="text1"/>
          <w:kern w:val="0"/>
          <w:sz w:val="24"/>
          <w:highlight w:val="none"/>
          <w14:textFill>
            <w14:solidFill>
              <w14:schemeClr w14:val="tx1"/>
            </w14:solidFill>
          </w14:textFill>
        </w:rPr>
        <w:t>的内容，我方同意</w:t>
      </w:r>
      <w:r>
        <w:rPr>
          <w:rFonts w:hint="eastAsia" w:ascii="宋体" w:hAnsi="宋体" w:cs="宋体"/>
          <w:b w:val="0"/>
          <w:bCs/>
          <w:color w:val="000000" w:themeColor="text1"/>
          <w:kern w:val="0"/>
          <w:sz w:val="24"/>
          <w:highlight w:val="none"/>
          <w14:textFill>
            <w14:solidFill>
              <w14:schemeClr w14:val="tx1"/>
            </w14:solidFill>
          </w14:textFill>
        </w:rPr>
        <w:t>谈判采购</w:t>
      </w:r>
      <w:r>
        <w:rPr>
          <w:rFonts w:ascii="宋体" w:hAnsi="宋体" w:cs="宋体"/>
          <w:b w:val="0"/>
          <w:bCs/>
          <w:color w:val="000000" w:themeColor="text1"/>
          <w:kern w:val="0"/>
          <w:sz w:val="24"/>
          <w:highlight w:val="none"/>
          <w14:textFill>
            <w14:solidFill>
              <w14:schemeClr w14:val="tx1"/>
            </w14:solidFill>
          </w14:textFill>
        </w:rPr>
        <w:t>文件的相关条款，放弃对</w:t>
      </w:r>
      <w:r>
        <w:rPr>
          <w:rFonts w:hint="eastAsia" w:ascii="宋体" w:hAnsi="宋体" w:cs="宋体"/>
          <w:b w:val="0"/>
          <w:bCs/>
          <w:color w:val="000000" w:themeColor="text1"/>
          <w:kern w:val="0"/>
          <w:sz w:val="24"/>
          <w:highlight w:val="none"/>
          <w14:textFill>
            <w14:solidFill>
              <w14:schemeClr w14:val="tx1"/>
            </w14:solidFill>
          </w14:textFill>
        </w:rPr>
        <w:t>谈判采购</w:t>
      </w:r>
      <w:r>
        <w:rPr>
          <w:rFonts w:ascii="宋体" w:hAnsi="宋体" w:cs="宋体"/>
          <w:b w:val="0"/>
          <w:bCs/>
          <w:color w:val="000000" w:themeColor="text1"/>
          <w:kern w:val="0"/>
          <w:sz w:val="24"/>
          <w:highlight w:val="none"/>
          <w14:textFill>
            <w14:solidFill>
              <w14:schemeClr w14:val="tx1"/>
            </w14:solidFill>
          </w14:textFill>
        </w:rPr>
        <w:t>文件提出误解和质疑的一切权</w:t>
      </w:r>
      <w:r>
        <w:rPr>
          <w:rFonts w:hint="eastAsia" w:ascii="宋体" w:hAnsi="宋体" w:cs="宋体"/>
          <w:b w:val="0"/>
          <w:bCs/>
          <w:color w:val="000000" w:themeColor="text1"/>
          <w:kern w:val="0"/>
          <w:sz w:val="24"/>
          <w:highlight w:val="none"/>
          <w14:textFill>
            <w14:solidFill>
              <w14:schemeClr w14:val="tx1"/>
            </w14:solidFill>
          </w14:textFill>
        </w:rPr>
        <w:t>利。</w:t>
      </w:r>
    </w:p>
    <w:p w14:paraId="520E5712">
      <w:pPr>
        <w:keepNext w:val="0"/>
        <w:keepLines w:val="0"/>
        <w:pageBreakBefore w:val="0"/>
        <w:widowControl w:val="0"/>
        <w:numPr>
          <w:ilvl w:val="255"/>
          <w:numId w:val="0"/>
        </w:numPr>
        <w:kinsoku/>
        <w:wordWrap/>
        <w:overflowPunct/>
        <w:topLinePunct w:val="0"/>
        <w:autoSpaceDE/>
        <w:autoSpaceDN/>
        <w:bidi w:val="0"/>
        <w:snapToGrid w:val="0"/>
        <w:spacing w:line="440" w:lineRule="exact"/>
        <w:ind w:right="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11A24B17">
      <w:pPr>
        <w:keepNext w:val="0"/>
        <w:keepLines w:val="0"/>
        <w:pageBreakBefore w:val="0"/>
        <w:widowControl w:val="0"/>
        <w:kinsoku/>
        <w:wordWrap/>
        <w:overflowPunct/>
        <w:topLinePunct w:val="0"/>
        <w:autoSpaceDE/>
        <w:autoSpaceDN/>
        <w:bidi w:val="0"/>
        <w:snapToGrid w:val="0"/>
        <w:spacing w:line="440" w:lineRule="exact"/>
        <w:ind w:right="0" w:firstLine="480" w:firstLineChars="200"/>
        <w:textAlignment w:val="auto"/>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公司谈判响应的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我方的总</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020338C5">
      <w:pPr>
        <w:keepNext w:val="0"/>
        <w:keepLines w:val="0"/>
        <w:pageBreakBefore w:val="0"/>
        <w:widowControl w:val="0"/>
        <w:kinsoku/>
        <w:wordWrap/>
        <w:overflowPunct/>
        <w:topLinePunct w:val="0"/>
        <w:autoSpaceDE/>
        <w:autoSpaceDN/>
        <w:bidi w:val="0"/>
        <w:snapToGrid w:val="0"/>
        <w:spacing w:line="440" w:lineRule="exact"/>
        <w:ind w:right="0" w:firstLine="480" w:firstLineChars="20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92C3A88">
      <w:pPr>
        <w:keepNext w:val="0"/>
        <w:keepLines w:val="0"/>
        <w:pageBreakBefore w:val="0"/>
        <w:widowControl w:val="0"/>
        <w:kinsoku/>
        <w:wordWrap/>
        <w:overflowPunct/>
        <w:topLinePunct w:val="0"/>
        <w:autoSpaceDE/>
        <w:autoSpaceDN/>
        <w:bidi w:val="0"/>
        <w:snapToGrid w:val="0"/>
        <w:spacing w:line="440" w:lineRule="exact"/>
        <w:ind w:right="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28A22407">
      <w:pPr>
        <w:keepNext w:val="0"/>
        <w:keepLines w:val="0"/>
        <w:pageBreakBefore w:val="0"/>
        <w:widowControl w:val="0"/>
        <w:kinsoku/>
        <w:wordWrap/>
        <w:overflowPunct/>
        <w:topLinePunct w:val="0"/>
        <w:autoSpaceDE/>
        <w:autoSpaceDN/>
        <w:bidi w:val="0"/>
        <w:adjustRightInd w:val="0"/>
        <w:snapToGrid w:val="0"/>
        <w:spacing w:line="440" w:lineRule="exact"/>
        <w:ind w:right="0" w:firstLine="4680" w:firstLineChars="1950"/>
        <w:textAlignment w:val="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14:paraId="31E29BC1">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14:paraId="650D55BA">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14:paraId="3442C04C">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pPr>
    </w:p>
    <w:p w14:paraId="41F34D74">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r>
        <w:rPr>
          <w:rFonts w:hint="eastAsia" w:ascii="宋体" w:hAnsi="宋体"/>
          <w:b/>
          <w:color w:val="000000" w:themeColor="text1"/>
          <w:sz w:val="28"/>
          <w:highlight w:val="none"/>
          <w:lang w:eastAsia="zh-CN"/>
          <w14:textFill>
            <w14:solidFill>
              <w14:schemeClr w14:val="tx1"/>
            </w14:solidFill>
          </w14:textFill>
        </w:rPr>
        <w:t>（</w:t>
      </w:r>
      <w:r>
        <w:rPr>
          <w:rFonts w:hint="eastAsia" w:ascii="宋体" w:hAnsi="宋体"/>
          <w:b/>
          <w:color w:val="000000" w:themeColor="text1"/>
          <w:sz w:val="28"/>
          <w:highlight w:val="none"/>
          <w:lang w:val="en-US" w:eastAsia="zh-CN"/>
          <w14:textFill>
            <w14:solidFill>
              <w14:schemeClr w14:val="tx1"/>
            </w14:solidFill>
          </w14:textFill>
        </w:rPr>
        <w:t>1</w:t>
      </w:r>
      <w:r>
        <w:rPr>
          <w:rFonts w:hint="eastAsia" w:ascii="宋体" w:hAnsi="宋体"/>
          <w:b/>
          <w:color w:val="000000" w:themeColor="text1"/>
          <w:sz w:val="28"/>
          <w:highlight w:val="none"/>
          <w:lang w:eastAsia="zh-CN"/>
          <w14:textFill>
            <w14:solidFill>
              <w14:schemeClr w14:val="tx1"/>
            </w14:solidFill>
          </w14:textFill>
        </w:rPr>
        <w:t>）</w:t>
      </w:r>
    </w:p>
    <w:p w14:paraId="28406468">
      <w:pPr>
        <w:spacing w:line="360" w:lineRule="auto"/>
        <w:ind w:firstLine="321" w:firstLineChars="100"/>
        <w:jc w:val="center"/>
        <w:rPr>
          <w:rFonts w:ascii="Calibri" w:hAnsi="Calibri"/>
          <w:b/>
          <w:color w:val="000000" w:themeColor="text1"/>
          <w:sz w:val="32"/>
          <w:szCs w:val="32"/>
          <w:highlight w:val="none"/>
          <w:lang w:val="zh-CN"/>
          <w14:textFill>
            <w14:solidFill>
              <w14:schemeClr w14:val="tx1"/>
            </w14:solidFill>
          </w14:textFill>
        </w:rPr>
      </w:pPr>
      <w:r>
        <w:rPr>
          <w:rFonts w:hint="eastAsia" w:ascii="Calibri" w:hAnsi="Calibri"/>
          <w:b/>
          <w:color w:val="000000" w:themeColor="text1"/>
          <w:sz w:val="32"/>
          <w:szCs w:val="32"/>
          <w:highlight w:val="none"/>
          <w:lang w:val="zh-CN"/>
          <w14:textFill>
            <w14:solidFill>
              <w14:schemeClr w14:val="tx1"/>
            </w14:solidFill>
          </w14:textFill>
        </w:rPr>
        <w:t>授权委托书</w:t>
      </w:r>
    </w:p>
    <w:p w14:paraId="6CFAC580">
      <w:pPr>
        <w:pStyle w:val="15"/>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lang w:eastAsia="zh-CN"/>
          <w14:textFill>
            <w14:solidFill>
              <w14:schemeClr w14:val="tx1"/>
            </w14:solidFill>
          </w14:textFill>
        </w:rPr>
        <w:t>台州嘉亿招标代理有限责任公司</w:t>
      </w:r>
      <w:r>
        <w:rPr>
          <w:rFonts w:hAnsi="宋体"/>
          <w:b/>
          <w:color w:val="000000" w:themeColor="text1"/>
          <w:sz w:val="24"/>
          <w:highlight w:val="none"/>
          <w14:textFill>
            <w14:solidFill>
              <w14:schemeClr w14:val="tx1"/>
            </w14:solidFill>
          </w14:textFill>
        </w:rPr>
        <w:t>：</w:t>
      </w:r>
    </w:p>
    <w:p w14:paraId="08CBB2EB">
      <w:pPr>
        <w:pStyle w:val="15"/>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14:textFill>
            <w14:solidFill>
              <w14:schemeClr w14:val="tx1"/>
            </w14:solidFill>
          </w14:textFill>
        </w:rPr>
        <w:t>谈判</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14:paraId="1EEBA9C1">
      <w:pPr>
        <w:pStyle w:val="15"/>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5D8BC9BA">
      <w:pPr>
        <w:pStyle w:val="15"/>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14:paraId="7D1AD33C">
      <w:pPr>
        <w:spacing w:line="360" w:lineRule="auto"/>
        <w:rPr>
          <w:color w:val="000000" w:themeColor="text1"/>
          <w:sz w:val="24"/>
          <w:highlight w:val="none"/>
          <w14:textFill>
            <w14:solidFill>
              <w14:schemeClr w14:val="tx1"/>
            </w14:solidFill>
          </w14:textFill>
        </w:rPr>
      </w:pPr>
    </w:p>
    <w:p w14:paraId="5FD5DF11">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14:paraId="77FD3B53">
      <w:pPr>
        <w:spacing w:line="360" w:lineRule="auto"/>
        <w:rPr>
          <w:color w:val="000000" w:themeColor="text1"/>
          <w:sz w:val="24"/>
          <w:highlight w:val="none"/>
          <w14:textFill>
            <w14:solidFill>
              <w14:schemeClr w14:val="tx1"/>
            </w14:solidFill>
          </w14:textFill>
        </w:rPr>
      </w:pPr>
    </w:p>
    <w:p w14:paraId="2F4E3015">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供应商全称（公章）：                              日期：</w:t>
      </w:r>
    </w:p>
    <w:p w14:paraId="673AECDC">
      <w:pPr>
        <w:spacing w:line="360" w:lineRule="auto"/>
        <w:rPr>
          <w:color w:val="000000" w:themeColor="text1"/>
          <w:sz w:val="24"/>
          <w:highlight w:val="none"/>
          <w14:textFill>
            <w14:solidFill>
              <w14:schemeClr w14:val="tx1"/>
            </w14:solidFill>
          </w14:textFill>
        </w:rPr>
      </w:pPr>
    </w:p>
    <w:p w14:paraId="3151D345">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A4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430057">
            <w:pPr>
              <w:spacing w:line="360" w:lineRule="auto"/>
              <w:rPr>
                <w:rFonts w:ascii="宋体"/>
                <w:b/>
                <w:color w:val="000000" w:themeColor="text1"/>
                <w:sz w:val="24"/>
                <w:highlight w:val="none"/>
                <w14:textFill>
                  <w14:solidFill>
                    <w14:schemeClr w14:val="tx1"/>
                  </w14:solidFill>
                </w14:textFill>
              </w:rPr>
            </w:pPr>
          </w:p>
          <w:p w14:paraId="36296C0E">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14:paraId="1E8F09A2">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14:paraId="546CBC92">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14:paraId="5C298381">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23A80CAE">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342FBD5B">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BCD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661497">
            <w:pPr>
              <w:spacing w:line="360" w:lineRule="auto"/>
              <w:rPr>
                <w:rFonts w:ascii="宋体"/>
                <w:b/>
                <w:color w:val="000000" w:themeColor="text1"/>
                <w:sz w:val="24"/>
                <w:highlight w:val="none"/>
                <w14:textFill>
                  <w14:solidFill>
                    <w14:schemeClr w14:val="tx1"/>
                  </w14:solidFill>
                </w14:textFill>
              </w:rPr>
            </w:pPr>
          </w:p>
          <w:p w14:paraId="68A34B0A">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14:paraId="3B285E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14:paraId="2958129A">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14:paraId="555694A4">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14:paraId="5555942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2E8D3ACD">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3BC3A2A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6E922989">
      <w:pPr>
        <w:snapToGrid w:val="0"/>
        <w:spacing w:line="360" w:lineRule="auto"/>
        <w:rPr>
          <w:rFonts w:ascii="宋体" w:hAnsi="宋体"/>
          <w:color w:val="000000" w:themeColor="text1"/>
          <w:kern w:val="0"/>
          <w:sz w:val="24"/>
          <w:highlight w:val="none"/>
          <w14:textFill>
            <w14:solidFill>
              <w14:schemeClr w14:val="tx1"/>
            </w14:solidFill>
          </w14:textFill>
        </w:rPr>
      </w:pPr>
    </w:p>
    <w:p w14:paraId="79D0693D">
      <w:pPr>
        <w:pStyle w:val="11"/>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14:paraId="160756FC">
      <w:pPr>
        <w:pStyle w:val="11"/>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附件3（2）</w:t>
      </w:r>
    </w:p>
    <w:p w14:paraId="6E19FEC6">
      <w:pPr>
        <w:ind w:firstLine="643" w:firstLineChars="200"/>
        <w:rPr>
          <w:rFonts w:hint="eastAsia" w:ascii="宋体" w:hAnsi="宋体" w:eastAsia="宋体" w:cs="宋体"/>
          <w:b/>
          <w:bCs/>
          <w:color w:val="000000" w:themeColor="text1"/>
          <w:kern w:val="0"/>
          <w:sz w:val="32"/>
          <w:szCs w:val="32"/>
          <w:highlight w:val="none"/>
          <w:lang w:val="zh-CN"/>
          <w14:textFill>
            <w14:solidFill>
              <w14:schemeClr w14:val="tx1"/>
            </w14:solidFill>
          </w14:textFill>
        </w:rPr>
      </w:pPr>
    </w:p>
    <w:p w14:paraId="2AC0E3E9">
      <w:pPr>
        <w:ind w:firstLine="643" w:firstLineChars="200"/>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1C4978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14:paraId="131FB1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台州嘉亿招标代理有限责任公司</w:t>
      </w:r>
      <w:r>
        <w:rPr>
          <w:rFonts w:hint="eastAsia" w:ascii="宋体" w:hAnsi="宋体" w:cs="宋体"/>
          <w:color w:val="000000" w:themeColor="text1"/>
          <w:kern w:val="0"/>
          <w:sz w:val="24"/>
          <w:highlight w:val="none"/>
          <w:lang w:val="zh-CN"/>
          <w14:textFill>
            <w14:solidFill>
              <w14:schemeClr w14:val="tx1"/>
            </w14:solidFill>
          </w14:textFill>
        </w:rPr>
        <w:t>：</w:t>
      </w:r>
    </w:p>
    <w:p w14:paraId="16FCB2EC">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24FB32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00B849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422C8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66A8A0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2AF998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55E8FF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63BA58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1135AF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32E95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14:paraId="0EC203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14:paraId="412CC7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14:paraId="559176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270A74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12ADAA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14:paraId="4D07F5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14:paraId="1A864ED4">
      <w:pPr>
        <w:rPr>
          <w:rFonts w:hint="eastAsia"/>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7C8D0D4">
      <w:pPr>
        <w:pStyle w:val="38"/>
        <w:shd w:val="clear" w:color="auto" w:fill="FFFFFF"/>
        <w:spacing w:before="0" w:beforeAutospacing="0" w:after="0" w:afterAutospacing="0" w:line="360" w:lineRule="auto"/>
        <w:rPr>
          <w:rFonts w:hint="eastAsia"/>
          <w:b/>
          <w:color w:val="000000" w:themeColor="text1"/>
          <w:sz w:val="28"/>
          <w:highlight w:val="none"/>
          <w14:textFill>
            <w14:solidFill>
              <w14:schemeClr w14:val="tx1"/>
            </w14:solidFill>
          </w14:textFill>
        </w:rPr>
      </w:pPr>
    </w:p>
    <w:p w14:paraId="51A2C00A">
      <w:pPr>
        <w:pStyle w:val="38"/>
        <w:shd w:val="clear" w:color="auto" w:fill="FFFFFF"/>
        <w:spacing w:before="0" w:beforeAutospacing="0" w:after="0" w:afterAutospacing="0" w:line="360" w:lineRule="auto"/>
        <w:rPr>
          <w:rFonts w:hint="eastAsia"/>
          <w:b/>
          <w:color w:val="000000" w:themeColor="text1"/>
          <w:sz w:val="28"/>
          <w:highlight w:val="none"/>
          <w14:textFill>
            <w14:solidFill>
              <w14:schemeClr w14:val="tx1"/>
            </w14:solidFill>
          </w14:textFill>
        </w:rPr>
      </w:pPr>
    </w:p>
    <w:p w14:paraId="2E544991">
      <w:pPr>
        <w:pStyle w:val="38"/>
        <w:shd w:val="clear" w:color="auto" w:fill="FFFFFF"/>
        <w:spacing w:before="0" w:beforeAutospacing="0" w:after="0" w:afterAutospacing="0" w:line="360" w:lineRule="auto"/>
        <w:rPr>
          <w:rFonts w:hint="eastAsia"/>
          <w:b/>
          <w:color w:val="000000" w:themeColor="text1"/>
          <w:sz w:val="28"/>
          <w:highlight w:val="none"/>
          <w14:textFill>
            <w14:solidFill>
              <w14:schemeClr w14:val="tx1"/>
            </w14:solidFill>
          </w14:textFill>
        </w:rPr>
      </w:pPr>
    </w:p>
    <w:p w14:paraId="0ABDC3BF">
      <w:pPr>
        <w:pStyle w:val="38"/>
        <w:shd w:val="clear" w:color="auto" w:fill="FFFFFF"/>
        <w:spacing w:before="0" w:beforeAutospacing="0" w:after="0" w:afterAutospacing="0" w:line="360" w:lineRule="auto"/>
        <w:rPr>
          <w:rFonts w:hint="eastAsia"/>
          <w:b/>
          <w:color w:val="000000" w:themeColor="text1"/>
          <w:sz w:val="28"/>
          <w:highlight w:val="none"/>
          <w14:textFill>
            <w14:solidFill>
              <w14:schemeClr w14:val="tx1"/>
            </w14:solidFill>
          </w14:textFill>
        </w:rPr>
      </w:pPr>
    </w:p>
    <w:p w14:paraId="7761C563">
      <w:pPr>
        <w:pStyle w:val="38"/>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 xml:space="preserve">附件4：       </w:t>
      </w:r>
    </w:p>
    <w:p w14:paraId="76873590">
      <w:pPr>
        <w:pStyle w:val="38"/>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14:paraId="00E627AB">
      <w:pPr>
        <w:pStyle w:val="38"/>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274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6F69514F">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7D6F4B5E">
            <w:pPr>
              <w:pStyle w:val="38"/>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14:paraId="61409ED0">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14:paraId="47EED8B5">
            <w:pPr>
              <w:pStyle w:val="38"/>
              <w:shd w:val="clear" w:color="auto" w:fill="FFFFFF"/>
              <w:spacing w:line="360" w:lineRule="auto"/>
              <w:rPr>
                <w:bCs/>
                <w:color w:val="000000" w:themeColor="text1"/>
                <w:highlight w:val="none"/>
                <w14:textFill>
                  <w14:solidFill>
                    <w14:schemeClr w14:val="tx1"/>
                  </w14:solidFill>
                </w14:textFill>
              </w:rPr>
            </w:pPr>
          </w:p>
        </w:tc>
      </w:tr>
      <w:tr w14:paraId="10BB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272C02ED">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2A4A0BE8">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14:paraId="582F5EB3">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14:paraId="3B6DEA01">
            <w:pPr>
              <w:pStyle w:val="38"/>
              <w:shd w:val="clear" w:color="auto" w:fill="FFFFFF"/>
              <w:spacing w:line="360" w:lineRule="auto"/>
              <w:rPr>
                <w:bCs/>
                <w:color w:val="000000" w:themeColor="text1"/>
                <w:spacing w:val="16"/>
                <w:highlight w:val="none"/>
                <w14:textFill>
                  <w14:solidFill>
                    <w14:schemeClr w14:val="tx1"/>
                  </w14:solidFill>
                </w14:textFill>
              </w:rPr>
            </w:pPr>
          </w:p>
        </w:tc>
      </w:tr>
      <w:tr w14:paraId="26DC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750530A1">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2FCCF7DF">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FCF3CC8">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1DBAB7F9">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70844011">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14:paraId="4F5A930A">
            <w:pPr>
              <w:pStyle w:val="38"/>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14:paraId="4AB08143">
            <w:pPr>
              <w:pStyle w:val="38"/>
              <w:shd w:val="clear" w:color="auto" w:fill="FFFFFF"/>
              <w:spacing w:line="360" w:lineRule="auto"/>
              <w:ind w:left="107"/>
              <w:rPr>
                <w:bCs/>
                <w:color w:val="000000" w:themeColor="text1"/>
                <w:spacing w:val="16"/>
                <w:highlight w:val="none"/>
                <w14:textFill>
                  <w14:solidFill>
                    <w14:schemeClr w14:val="tx1"/>
                  </w14:solidFill>
                </w14:textFill>
              </w:rPr>
            </w:pPr>
          </w:p>
        </w:tc>
      </w:tr>
      <w:tr w14:paraId="4FB4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274C9D56">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07FB314C">
            <w:pPr>
              <w:pStyle w:val="38"/>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1A8EA5D2">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7A46ADC5">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1C8254C">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14:paraId="175A4C8D">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14:paraId="68FDEB0A">
            <w:pPr>
              <w:pStyle w:val="38"/>
              <w:shd w:val="clear" w:color="auto" w:fill="FFFFFF"/>
              <w:spacing w:line="360" w:lineRule="auto"/>
              <w:rPr>
                <w:bCs/>
                <w:color w:val="000000" w:themeColor="text1"/>
                <w:spacing w:val="16"/>
                <w:highlight w:val="none"/>
                <w14:textFill>
                  <w14:solidFill>
                    <w14:schemeClr w14:val="tx1"/>
                  </w14:solidFill>
                </w14:textFill>
              </w:rPr>
            </w:pPr>
          </w:p>
        </w:tc>
      </w:tr>
      <w:tr w14:paraId="50C5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1032D9A5">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6E778BF3">
            <w:pPr>
              <w:pStyle w:val="38"/>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2C77847F">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7060AFFD">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14:paraId="21089497">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14:paraId="27CAEEB0">
            <w:pPr>
              <w:pStyle w:val="38"/>
              <w:shd w:val="clear" w:color="auto" w:fill="FFFFFF"/>
              <w:spacing w:line="360" w:lineRule="auto"/>
              <w:rPr>
                <w:bCs/>
                <w:color w:val="000000" w:themeColor="text1"/>
                <w:spacing w:val="16"/>
                <w:highlight w:val="none"/>
                <w14:textFill>
                  <w14:solidFill>
                    <w14:schemeClr w14:val="tx1"/>
                  </w14:solidFill>
                </w14:textFill>
              </w:rPr>
            </w:pPr>
          </w:p>
        </w:tc>
      </w:tr>
      <w:tr w14:paraId="7850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47C37C80">
            <w:pPr>
              <w:pStyle w:val="38"/>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14:paraId="0C642C15">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63E8A00C">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7B52EBBA">
            <w:pPr>
              <w:pStyle w:val="38"/>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3288D943">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tcPr>
          <w:p w14:paraId="24FEEC99">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14:paraId="54DD636B">
            <w:pPr>
              <w:pStyle w:val="38"/>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tcPr>
          <w:p w14:paraId="48A379EC">
            <w:pPr>
              <w:pStyle w:val="38"/>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14:paraId="4EA576AC">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0756667F">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28A9604B">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14:paraId="302F1F3E">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14:paraId="6054DC2D">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619ABE3E">
            <w:pPr>
              <w:pStyle w:val="38"/>
              <w:shd w:val="clear" w:color="auto" w:fill="FFFFFF"/>
              <w:spacing w:line="360" w:lineRule="auto"/>
              <w:rPr>
                <w:bCs/>
                <w:color w:val="000000" w:themeColor="text1"/>
                <w:spacing w:val="16"/>
                <w:highlight w:val="none"/>
                <w14:textFill>
                  <w14:solidFill>
                    <w14:schemeClr w14:val="tx1"/>
                  </w14:solidFill>
                </w14:textFill>
              </w:rPr>
            </w:pPr>
          </w:p>
        </w:tc>
      </w:tr>
      <w:tr w14:paraId="0AAC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2F2CE02F">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380EFC07">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14:paraId="2919A937">
            <w:pPr>
              <w:pStyle w:val="38"/>
              <w:shd w:val="clear" w:color="auto" w:fill="FFFFFF"/>
              <w:spacing w:line="360" w:lineRule="auto"/>
              <w:rPr>
                <w:bCs/>
                <w:color w:val="000000" w:themeColor="text1"/>
                <w:highlight w:val="none"/>
                <w14:textFill>
                  <w14:solidFill>
                    <w14:schemeClr w14:val="tx1"/>
                  </w14:solidFill>
                </w14:textFill>
              </w:rPr>
            </w:pPr>
          </w:p>
        </w:tc>
        <w:tc>
          <w:tcPr>
            <w:tcW w:w="1163" w:type="dxa"/>
          </w:tcPr>
          <w:p w14:paraId="042B1C49">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14:paraId="0EF10D13">
            <w:pPr>
              <w:pStyle w:val="38"/>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14:paraId="2BD4C012">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14:paraId="176B9A29">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14:paraId="07A85CF7">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14:paraId="4A9A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02E0087D">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3DB825A2">
            <w:pPr>
              <w:pStyle w:val="38"/>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7A783528">
            <w:pPr>
              <w:pStyle w:val="38"/>
              <w:shd w:val="clear" w:color="auto" w:fill="FFFFFF"/>
              <w:spacing w:line="360" w:lineRule="auto"/>
              <w:ind w:left="2"/>
              <w:rPr>
                <w:bCs/>
                <w:color w:val="000000" w:themeColor="text1"/>
                <w:highlight w:val="none"/>
                <w14:textFill>
                  <w14:solidFill>
                    <w14:schemeClr w14:val="tx1"/>
                  </w14:solidFill>
                </w14:textFill>
              </w:rPr>
            </w:pPr>
          </w:p>
        </w:tc>
        <w:tc>
          <w:tcPr>
            <w:tcW w:w="1163" w:type="dxa"/>
          </w:tcPr>
          <w:p w14:paraId="290BF965">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14:paraId="080DE80B">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6121CEE2">
            <w:pPr>
              <w:pStyle w:val="38"/>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14:paraId="1B8E9470">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14:paraId="66078A97">
            <w:pPr>
              <w:pStyle w:val="38"/>
              <w:shd w:val="clear" w:color="auto" w:fill="FFFFFF"/>
              <w:spacing w:line="360" w:lineRule="auto"/>
              <w:ind w:left="107"/>
              <w:rPr>
                <w:bCs/>
                <w:color w:val="000000" w:themeColor="text1"/>
                <w:highlight w:val="none"/>
                <w14:textFill>
                  <w14:solidFill>
                    <w14:schemeClr w14:val="tx1"/>
                  </w14:solidFill>
                </w14:textFill>
              </w:rPr>
            </w:pPr>
          </w:p>
        </w:tc>
      </w:tr>
      <w:tr w14:paraId="2619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2F3FF760">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430E26B7">
            <w:pPr>
              <w:pStyle w:val="38"/>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14:paraId="37AE0E86">
            <w:pPr>
              <w:pStyle w:val="38"/>
              <w:shd w:val="clear" w:color="auto" w:fill="FFFFFF"/>
              <w:spacing w:line="360" w:lineRule="auto"/>
              <w:ind w:left="107"/>
              <w:rPr>
                <w:bCs/>
                <w:color w:val="000000" w:themeColor="text1"/>
                <w:highlight w:val="none"/>
                <w14:textFill>
                  <w14:solidFill>
                    <w14:schemeClr w14:val="tx1"/>
                  </w14:solidFill>
                </w14:textFill>
              </w:rPr>
            </w:pPr>
          </w:p>
        </w:tc>
      </w:tr>
      <w:tr w14:paraId="364E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38BC79D2">
            <w:pPr>
              <w:pStyle w:val="38"/>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14:paraId="350216FF">
            <w:pPr>
              <w:pStyle w:val="38"/>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755E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09D3CCCC">
            <w:pPr>
              <w:pStyle w:val="38"/>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14:paraId="0257980C">
            <w:pPr>
              <w:pStyle w:val="38"/>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3777A4AB">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08BEE6B8">
            <w:pPr>
              <w:pStyle w:val="38"/>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695DCFF2">
            <w:pPr>
              <w:pStyle w:val="38"/>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14:paraId="629F835E">
            <w:pPr>
              <w:pStyle w:val="38"/>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14:paraId="61D9BC12">
            <w:pPr>
              <w:pStyle w:val="38"/>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14:paraId="036E4B3E">
            <w:pPr>
              <w:pStyle w:val="38"/>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7F6F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632797DF">
            <w:pPr>
              <w:pStyle w:val="38"/>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14:paraId="756D03F9">
            <w:pPr>
              <w:pStyle w:val="38"/>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14:paraId="5931E1F1">
            <w:pPr>
              <w:pStyle w:val="38"/>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14:paraId="4ACF5F3D">
            <w:pPr>
              <w:pStyle w:val="38"/>
              <w:shd w:val="clear" w:color="auto" w:fill="FFFFFF"/>
              <w:spacing w:line="360" w:lineRule="auto"/>
              <w:rPr>
                <w:bCs/>
                <w:color w:val="000000" w:themeColor="text1"/>
                <w:highlight w:val="none"/>
                <w14:textFill>
                  <w14:solidFill>
                    <w14:schemeClr w14:val="tx1"/>
                  </w14:solidFill>
                </w14:textFill>
              </w:rPr>
            </w:pPr>
          </w:p>
        </w:tc>
        <w:tc>
          <w:tcPr>
            <w:tcW w:w="1276" w:type="dxa"/>
          </w:tcPr>
          <w:p w14:paraId="3DB7A19B">
            <w:pPr>
              <w:pStyle w:val="38"/>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14:paraId="1DD3E1A5">
            <w:pPr>
              <w:pStyle w:val="38"/>
              <w:shd w:val="clear" w:color="auto" w:fill="FFFFFF"/>
              <w:spacing w:line="360" w:lineRule="auto"/>
              <w:rPr>
                <w:bCs/>
                <w:color w:val="000000" w:themeColor="text1"/>
                <w:highlight w:val="none"/>
                <w14:textFill>
                  <w14:solidFill>
                    <w14:schemeClr w14:val="tx1"/>
                  </w14:solidFill>
                </w14:textFill>
              </w:rPr>
            </w:pPr>
          </w:p>
        </w:tc>
      </w:tr>
      <w:tr w14:paraId="3CE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226DD137">
            <w:pPr>
              <w:pStyle w:val="38"/>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14:paraId="7486F59D">
            <w:pPr>
              <w:pStyle w:val="38"/>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14:paraId="0C60677C">
            <w:pPr>
              <w:pStyle w:val="38"/>
              <w:shd w:val="clear" w:color="auto" w:fill="FFFFFF"/>
              <w:spacing w:line="360" w:lineRule="auto"/>
              <w:rPr>
                <w:bCs/>
                <w:color w:val="000000" w:themeColor="text1"/>
                <w:spacing w:val="16"/>
                <w:highlight w:val="none"/>
                <w14:textFill>
                  <w14:solidFill>
                    <w14:schemeClr w14:val="tx1"/>
                  </w14:solidFill>
                </w14:textFill>
              </w:rPr>
            </w:pPr>
          </w:p>
        </w:tc>
      </w:tr>
      <w:tr w14:paraId="5964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023FDD05">
            <w:pPr>
              <w:pStyle w:val="38"/>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14:paraId="1AE252BA">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14:paraId="4BB5E0D9">
            <w:pPr>
              <w:pStyle w:val="38"/>
              <w:shd w:val="clear" w:color="auto" w:fill="FFFFFF"/>
              <w:spacing w:line="360" w:lineRule="auto"/>
              <w:rPr>
                <w:bCs/>
                <w:color w:val="000000" w:themeColor="text1"/>
                <w:spacing w:val="16"/>
                <w:highlight w:val="none"/>
                <w14:textFill>
                  <w14:solidFill>
                    <w14:schemeClr w14:val="tx1"/>
                  </w14:solidFill>
                </w14:textFill>
              </w:rPr>
            </w:pPr>
          </w:p>
        </w:tc>
      </w:tr>
    </w:tbl>
    <w:p w14:paraId="7B1B2995">
      <w:pPr>
        <w:pStyle w:val="38"/>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7CE0DF29">
      <w:pPr>
        <w:pStyle w:val="38"/>
        <w:shd w:val="clear" w:color="auto" w:fill="FFFFFF"/>
        <w:spacing w:before="0" w:beforeAutospacing="0" w:after="0" w:afterAutospacing="0" w:line="360" w:lineRule="auto"/>
        <w:ind w:firstLine="424" w:firstLineChars="202"/>
        <w:rPr>
          <w:color w:val="000000" w:themeColor="text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14:paraId="357C44C1">
      <w:pPr>
        <w:rPr>
          <w:rFonts w:ascii="宋体" w:hAnsi="宋体"/>
          <w:color w:val="000000" w:themeColor="text1"/>
          <w:sz w:val="24"/>
          <w:highlight w:val="none"/>
          <w14:textFill>
            <w14:solidFill>
              <w14:schemeClr w14:val="tx1"/>
            </w14:solidFill>
          </w14:textFill>
        </w:rPr>
      </w:pPr>
    </w:p>
    <w:p w14:paraId="371E8019">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25F542F3">
      <w:pPr>
        <w:ind w:left="420"/>
        <w:rPr>
          <w:rFonts w:ascii="宋体" w:hAnsi="宋体"/>
          <w:color w:val="000000" w:themeColor="text1"/>
          <w:sz w:val="24"/>
          <w:highlight w:val="none"/>
          <w14:textFill>
            <w14:solidFill>
              <w14:schemeClr w14:val="tx1"/>
            </w14:solidFill>
          </w14:textFill>
        </w:rPr>
      </w:pPr>
    </w:p>
    <w:p w14:paraId="6DE720CF">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1D12043C">
      <w:pPr>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236C2A7">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67DD67FD">
      <w:pPr>
        <w:rPr>
          <w:rFonts w:ascii="宋体" w:hAnsi="宋体"/>
          <w:color w:val="000000" w:themeColor="text1"/>
          <w:sz w:val="24"/>
          <w:highlight w:val="none"/>
          <w14:textFill>
            <w14:solidFill>
              <w14:schemeClr w14:val="tx1"/>
            </w14:solidFill>
          </w14:textFill>
        </w:rPr>
      </w:pPr>
    </w:p>
    <w:p w14:paraId="596C8E27">
      <w:pPr>
        <w:pStyle w:val="38"/>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0B425418">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14:paraId="309AADB1">
      <w:pPr>
        <w:snapToGrid w:val="0"/>
        <w:spacing w:before="50" w:after="50"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附件5：</w:t>
      </w:r>
    </w:p>
    <w:p w14:paraId="3341F1C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项目负责人简历表</w:t>
      </w:r>
    </w:p>
    <w:tbl>
      <w:tblPr>
        <w:tblStyle w:val="28"/>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1401"/>
      </w:tblGrid>
      <w:tr w14:paraId="3F83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969" w:type="dxa"/>
            <w:noWrap w:val="0"/>
            <w:vAlign w:val="center"/>
          </w:tcPr>
          <w:p w14:paraId="31C7F796">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姓名</w:t>
            </w:r>
          </w:p>
        </w:tc>
        <w:tc>
          <w:tcPr>
            <w:tcW w:w="1435" w:type="dxa"/>
            <w:gridSpan w:val="2"/>
            <w:noWrap w:val="0"/>
            <w:vAlign w:val="center"/>
          </w:tcPr>
          <w:p w14:paraId="520BFEF2">
            <w:pPr>
              <w:jc w:val="center"/>
              <w:rPr>
                <w:rFonts w:hint="eastAsia" w:ascii="宋体" w:eastAsia="宋体"/>
                <w:color w:val="000000" w:themeColor="text1"/>
                <w:sz w:val="24"/>
                <w:szCs w:val="24"/>
                <w:highlight w:val="none"/>
                <w14:textFill>
                  <w14:solidFill>
                    <w14:schemeClr w14:val="tx1"/>
                  </w14:solidFill>
                </w14:textFill>
              </w:rPr>
            </w:pPr>
          </w:p>
        </w:tc>
        <w:tc>
          <w:tcPr>
            <w:tcW w:w="861" w:type="dxa"/>
            <w:noWrap w:val="0"/>
            <w:vAlign w:val="center"/>
          </w:tcPr>
          <w:p w14:paraId="65D92270">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性别</w:t>
            </w:r>
          </w:p>
        </w:tc>
        <w:tc>
          <w:tcPr>
            <w:tcW w:w="1096" w:type="dxa"/>
            <w:noWrap w:val="0"/>
            <w:vAlign w:val="center"/>
          </w:tcPr>
          <w:p w14:paraId="13465449">
            <w:pPr>
              <w:jc w:val="center"/>
              <w:rPr>
                <w:rFonts w:hint="eastAsia" w:ascii="宋体" w:eastAsia="宋体"/>
                <w:color w:val="000000" w:themeColor="text1"/>
                <w:sz w:val="24"/>
                <w:szCs w:val="24"/>
                <w:highlight w:val="none"/>
                <w14:textFill>
                  <w14:solidFill>
                    <w14:schemeClr w14:val="tx1"/>
                  </w14:solidFill>
                </w14:textFill>
              </w:rPr>
            </w:pPr>
          </w:p>
        </w:tc>
        <w:tc>
          <w:tcPr>
            <w:tcW w:w="913" w:type="dxa"/>
            <w:noWrap w:val="0"/>
            <w:vAlign w:val="center"/>
          </w:tcPr>
          <w:p w14:paraId="11EAB490">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年龄</w:t>
            </w:r>
          </w:p>
        </w:tc>
        <w:tc>
          <w:tcPr>
            <w:tcW w:w="1435" w:type="dxa"/>
            <w:noWrap w:val="0"/>
            <w:vAlign w:val="center"/>
          </w:tcPr>
          <w:p w14:paraId="437FE934">
            <w:pPr>
              <w:jc w:val="center"/>
              <w:rPr>
                <w:rFonts w:hint="eastAsia" w:ascii="宋体" w:eastAsia="宋体"/>
                <w:color w:val="000000" w:themeColor="text1"/>
                <w:sz w:val="24"/>
                <w:szCs w:val="24"/>
                <w:highlight w:val="none"/>
                <w14:textFill>
                  <w14:solidFill>
                    <w14:schemeClr w14:val="tx1"/>
                  </w14:solidFill>
                </w14:textFill>
              </w:rPr>
            </w:pPr>
          </w:p>
        </w:tc>
        <w:tc>
          <w:tcPr>
            <w:tcW w:w="861" w:type="dxa"/>
            <w:noWrap w:val="0"/>
            <w:vAlign w:val="center"/>
          </w:tcPr>
          <w:p w14:paraId="6DE9C02D">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专业</w:t>
            </w:r>
          </w:p>
        </w:tc>
        <w:tc>
          <w:tcPr>
            <w:tcW w:w="1401" w:type="dxa"/>
            <w:noWrap w:val="0"/>
            <w:vAlign w:val="center"/>
          </w:tcPr>
          <w:p w14:paraId="0A5D65FD">
            <w:pPr>
              <w:jc w:val="center"/>
              <w:rPr>
                <w:rFonts w:hint="eastAsia" w:ascii="宋体" w:eastAsia="宋体"/>
                <w:color w:val="000000" w:themeColor="text1"/>
                <w:sz w:val="24"/>
                <w:szCs w:val="24"/>
                <w:highlight w:val="none"/>
                <w14:textFill>
                  <w14:solidFill>
                    <w14:schemeClr w14:val="tx1"/>
                  </w14:solidFill>
                </w14:textFill>
              </w:rPr>
            </w:pPr>
          </w:p>
        </w:tc>
      </w:tr>
      <w:tr w14:paraId="69D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543" w:type="dxa"/>
            <w:gridSpan w:val="2"/>
            <w:noWrap w:val="0"/>
            <w:vAlign w:val="center"/>
          </w:tcPr>
          <w:p w14:paraId="6646E199">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资质等级</w:t>
            </w:r>
          </w:p>
        </w:tc>
        <w:tc>
          <w:tcPr>
            <w:tcW w:w="1722" w:type="dxa"/>
            <w:gridSpan w:val="2"/>
            <w:noWrap w:val="0"/>
            <w:vAlign w:val="center"/>
          </w:tcPr>
          <w:p w14:paraId="1C76F04B">
            <w:pPr>
              <w:jc w:val="center"/>
              <w:rPr>
                <w:rFonts w:hint="eastAsia" w:ascii="宋体" w:eastAsia="宋体"/>
                <w:color w:val="000000" w:themeColor="text1"/>
                <w:sz w:val="24"/>
                <w:szCs w:val="24"/>
                <w:highlight w:val="none"/>
                <w14:textFill>
                  <w14:solidFill>
                    <w14:schemeClr w14:val="tx1"/>
                  </w14:solidFill>
                </w14:textFill>
              </w:rPr>
            </w:pPr>
          </w:p>
        </w:tc>
        <w:tc>
          <w:tcPr>
            <w:tcW w:w="1096" w:type="dxa"/>
            <w:noWrap w:val="0"/>
            <w:vAlign w:val="center"/>
          </w:tcPr>
          <w:p w14:paraId="207F54B8">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职称</w:t>
            </w:r>
          </w:p>
        </w:tc>
        <w:tc>
          <w:tcPr>
            <w:tcW w:w="2348" w:type="dxa"/>
            <w:gridSpan w:val="2"/>
            <w:noWrap w:val="0"/>
            <w:vAlign w:val="center"/>
          </w:tcPr>
          <w:p w14:paraId="36E62D79">
            <w:pPr>
              <w:jc w:val="center"/>
              <w:rPr>
                <w:rFonts w:hint="eastAsia" w:ascii="宋体" w:eastAsia="宋体"/>
                <w:color w:val="000000" w:themeColor="text1"/>
                <w:sz w:val="24"/>
                <w:szCs w:val="24"/>
                <w:highlight w:val="none"/>
                <w14:textFill>
                  <w14:solidFill>
                    <w14:schemeClr w14:val="tx1"/>
                  </w14:solidFill>
                </w14:textFill>
              </w:rPr>
            </w:pPr>
          </w:p>
        </w:tc>
        <w:tc>
          <w:tcPr>
            <w:tcW w:w="861" w:type="dxa"/>
            <w:noWrap w:val="0"/>
            <w:vAlign w:val="center"/>
          </w:tcPr>
          <w:p w14:paraId="701ED92F">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学历</w:t>
            </w:r>
          </w:p>
        </w:tc>
        <w:tc>
          <w:tcPr>
            <w:tcW w:w="1401" w:type="dxa"/>
            <w:noWrap w:val="0"/>
            <w:vAlign w:val="center"/>
          </w:tcPr>
          <w:p w14:paraId="7E291DC8">
            <w:pPr>
              <w:jc w:val="center"/>
              <w:rPr>
                <w:rFonts w:hint="eastAsia" w:ascii="宋体" w:eastAsia="宋体"/>
                <w:color w:val="000000" w:themeColor="text1"/>
                <w:sz w:val="24"/>
                <w:szCs w:val="24"/>
                <w:highlight w:val="none"/>
                <w14:textFill>
                  <w14:solidFill>
                    <w14:schemeClr w14:val="tx1"/>
                  </w14:solidFill>
                </w14:textFill>
              </w:rPr>
            </w:pPr>
          </w:p>
        </w:tc>
      </w:tr>
      <w:tr w14:paraId="231F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404" w:type="dxa"/>
            <w:gridSpan w:val="3"/>
            <w:noWrap w:val="0"/>
            <w:vAlign w:val="center"/>
          </w:tcPr>
          <w:p w14:paraId="43C933DD">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参加工作时间</w:t>
            </w:r>
          </w:p>
        </w:tc>
        <w:tc>
          <w:tcPr>
            <w:tcW w:w="1957" w:type="dxa"/>
            <w:gridSpan w:val="2"/>
            <w:noWrap w:val="0"/>
            <w:vAlign w:val="center"/>
          </w:tcPr>
          <w:p w14:paraId="3756CC1E">
            <w:pPr>
              <w:jc w:val="center"/>
              <w:rPr>
                <w:rFonts w:hint="eastAsia" w:ascii="宋体" w:eastAsia="宋体"/>
                <w:color w:val="000000" w:themeColor="text1"/>
                <w:sz w:val="24"/>
                <w:szCs w:val="24"/>
                <w:highlight w:val="none"/>
                <w14:textFill>
                  <w14:solidFill>
                    <w14:schemeClr w14:val="tx1"/>
                  </w14:solidFill>
                </w14:textFill>
              </w:rPr>
            </w:pPr>
          </w:p>
        </w:tc>
        <w:tc>
          <w:tcPr>
            <w:tcW w:w="3209" w:type="dxa"/>
            <w:gridSpan w:val="3"/>
            <w:noWrap w:val="0"/>
            <w:vAlign w:val="center"/>
          </w:tcPr>
          <w:p w14:paraId="4D0E6F60">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从事项目负责人年限</w:t>
            </w:r>
          </w:p>
        </w:tc>
        <w:tc>
          <w:tcPr>
            <w:tcW w:w="1401" w:type="dxa"/>
            <w:noWrap w:val="0"/>
            <w:vAlign w:val="center"/>
          </w:tcPr>
          <w:p w14:paraId="40F5AC8A">
            <w:pPr>
              <w:jc w:val="center"/>
              <w:rPr>
                <w:rFonts w:hint="eastAsia" w:ascii="宋体" w:eastAsia="宋体"/>
                <w:color w:val="000000" w:themeColor="text1"/>
                <w:sz w:val="24"/>
                <w:szCs w:val="24"/>
                <w:highlight w:val="none"/>
                <w14:textFill>
                  <w14:solidFill>
                    <w14:schemeClr w14:val="tx1"/>
                  </w14:solidFill>
                </w14:textFill>
              </w:rPr>
            </w:pPr>
          </w:p>
        </w:tc>
      </w:tr>
      <w:tr w14:paraId="7E9E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969" w:type="dxa"/>
            <w:noWrap w:val="0"/>
            <w:vAlign w:val="center"/>
          </w:tcPr>
          <w:p w14:paraId="77ED8A2F">
            <w:pPr>
              <w:jc w:val="center"/>
              <w:rPr>
                <w:rFonts w:hint="eastAsia" w:ascii="宋体" w:eastAsia="宋体"/>
                <w:color w:val="000000" w:themeColor="text1"/>
                <w:sz w:val="24"/>
                <w:szCs w:val="24"/>
                <w:highlight w:val="none"/>
                <w14:textFill>
                  <w14:solidFill>
                    <w14:schemeClr w14:val="tx1"/>
                  </w14:solidFill>
                </w14:textFill>
              </w:rPr>
            </w:pPr>
          </w:p>
          <w:p w14:paraId="0B5DDDB5">
            <w:pPr>
              <w:jc w:val="center"/>
              <w:rPr>
                <w:rFonts w:hint="eastAsia" w:ascii="宋体" w:eastAsia="宋体"/>
                <w:color w:val="000000" w:themeColor="text1"/>
                <w:sz w:val="24"/>
                <w:szCs w:val="24"/>
                <w:highlight w:val="none"/>
                <w14:textFill>
                  <w14:solidFill>
                    <w14:schemeClr w14:val="tx1"/>
                  </w14:solidFill>
                </w14:textFill>
              </w:rPr>
            </w:pPr>
          </w:p>
          <w:p w14:paraId="093DA159">
            <w:pPr>
              <w:jc w:val="center"/>
              <w:rPr>
                <w:rFonts w:hint="eastAsia" w:ascii="宋体" w:eastAsia="宋体"/>
                <w:color w:val="000000" w:themeColor="text1"/>
                <w:sz w:val="24"/>
                <w:szCs w:val="24"/>
                <w:highlight w:val="none"/>
                <w14:textFill>
                  <w14:solidFill>
                    <w14:schemeClr w14:val="tx1"/>
                  </w14:solidFill>
                </w14:textFill>
              </w:rPr>
            </w:pPr>
          </w:p>
          <w:p w14:paraId="0AEC3AE5">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简</w:t>
            </w:r>
          </w:p>
          <w:p w14:paraId="232A11C4">
            <w:pPr>
              <w:jc w:val="center"/>
              <w:rPr>
                <w:rFonts w:hint="eastAsia" w:ascii="宋体" w:eastAsia="宋体"/>
                <w:color w:val="000000" w:themeColor="text1"/>
                <w:sz w:val="24"/>
                <w:szCs w:val="24"/>
                <w:highlight w:val="none"/>
                <w14:textFill>
                  <w14:solidFill>
                    <w14:schemeClr w14:val="tx1"/>
                  </w14:solidFill>
                </w14:textFill>
              </w:rPr>
            </w:pPr>
          </w:p>
          <w:p w14:paraId="52483B4D">
            <w:pPr>
              <w:jc w:val="center"/>
              <w:rPr>
                <w:rFonts w:hint="eastAsia" w:ascii="宋体" w:eastAsia="宋体"/>
                <w:color w:val="000000" w:themeColor="text1"/>
                <w:sz w:val="24"/>
                <w:szCs w:val="24"/>
                <w:highlight w:val="none"/>
                <w14:textFill>
                  <w14:solidFill>
                    <w14:schemeClr w14:val="tx1"/>
                  </w14:solidFill>
                </w14:textFill>
              </w:rPr>
            </w:pPr>
          </w:p>
          <w:p w14:paraId="4A203229">
            <w:pPr>
              <w:rPr>
                <w:rFonts w:hint="eastAsia" w:ascii="宋体" w:eastAsia="宋体"/>
                <w:color w:val="000000" w:themeColor="text1"/>
                <w:sz w:val="24"/>
                <w:szCs w:val="24"/>
                <w:highlight w:val="none"/>
                <w14:textFill>
                  <w14:solidFill>
                    <w14:schemeClr w14:val="tx1"/>
                  </w14:solidFill>
                </w14:textFill>
              </w:rPr>
            </w:pPr>
          </w:p>
          <w:p w14:paraId="462830D0">
            <w:pPr>
              <w:rPr>
                <w:rFonts w:hint="eastAsia" w:ascii="宋体" w:eastAsia="宋体"/>
                <w:color w:val="000000" w:themeColor="text1"/>
                <w:sz w:val="24"/>
                <w:szCs w:val="24"/>
                <w:highlight w:val="none"/>
                <w14:textFill>
                  <w14:solidFill>
                    <w14:schemeClr w14:val="tx1"/>
                  </w14:solidFill>
                </w14:textFill>
              </w:rPr>
            </w:pPr>
          </w:p>
          <w:p w14:paraId="3A7ED78B">
            <w:pPr>
              <w:jc w:val="center"/>
              <w:rPr>
                <w:rFonts w:hint="eastAsia" w:ascii="宋体" w:eastAsia="宋体"/>
                <w:color w:val="000000" w:themeColor="text1"/>
                <w:sz w:val="24"/>
                <w:szCs w:val="24"/>
                <w:highlight w:val="none"/>
                <w14:textFill>
                  <w14:solidFill>
                    <w14:schemeClr w14:val="tx1"/>
                  </w14:solidFill>
                </w14:textFill>
              </w:rPr>
            </w:pPr>
          </w:p>
          <w:p w14:paraId="5FD80CB6">
            <w:pPr>
              <w:jc w:val="center"/>
              <w:rPr>
                <w:rFonts w:hint="eastAsia" w:ascii="宋体" w:eastAsia="宋体"/>
                <w:color w:val="000000" w:themeColor="text1"/>
                <w:sz w:val="24"/>
                <w:szCs w:val="24"/>
                <w:highlight w:val="none"/>
                <w14:textFill>
                  <w14:solidFill>
                    <w14:schemeClr w14:val="tx1"/>
                  </w14:solidFill>
                </w14:textFill>
              </w:rPr>
            </w:pPr>
          </w:p>
          <w:p w14:paraId="45B0D0CD">
            <w:pPr>
              <w:jc w:val="cente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历</w:t>
            </w:r>
          </w:p>
          <w:p w14:paraId="1E3EAFB4">
            <w:pPr>
              <w:jc w:val="center"/>
              <w:rPr>
                <w:rFonts w:hint="eastAsia" w:ascii="宋体" w:eastAsia="宋体"/>
                <w:color w:val="000000" w:themeColor="text1"/>
                <w:sz w:val="24"/>
                <w:szCs w:val="24"/>
                <w:highlight w:val="none"/>
                <w14:textFill>
                  <w14:solidFill>
                    <w14:schemeClr w14:val="tx1"/>
                  </w14:solidFill>
                </w14:textFill>
              </w:rPr>
            </w:pPr>
          </w:p>
          <w:p w14:paraId="791880BA">
            <w:pPr>
              <w:jc w:val="center"/>
              <w:rPr>
                <w:rFonts w:hint="eastAsia" w:ascii="宋体" w:eastAsia="宋体"/>
                <w:color w:val="000000" w:themeColor="text1"/>
                <w:sz w:val="24"/>
                <w:szCs w:val="24"/>
                <w:highlight w:val="none"/>
                <w14:textFill>
                  <w14:solidFill>
                    <w14:schemeClr w14:val="tx1"/>
                  </w14:solidFill>
                </w14:textFill>
              </w:rPr>
            </w:pPr>
          </w:p>
          <w:p w14:paraId="7914ADF1">
            <w:pPr>
              <w:rPr>
                <w:rFonts w:hint="eastAsia" w:ascii="宋体" w:eastAsia="宋体"/>
                <w:color w:val="000000" w:themeColor="text1"/>
                <w:sz w:val="24"/>
                <w:szCs w:val="24"/>
                <w:highlight w:val="none"/>
                <w14:textFill>
                  <w14:solidFill>
                    <w14:schemeClr w14:val="tx1"/>
                  </w14:solidFill>
                </w14:textFill>
              </w:rPr>
            </w:pPr>
          </w:p>
        </w:tc>
        <w:tc>
          <w:tcPr>
            <w:tcW w:w="8002" w:type="dxa"/>
            <w:gridSpan w:val="8"/>
            <w:noWrap w:val="0"/>
            <w:vAlign w:val="top"/>
          </w:tcPr>
          <w:p w14:paraId="22AAAA09">
            <w:pPr>
              <w:rPr>
                <w:rFonts w:hint="eastAsia" w:ascii="宋体" w:eastAsia="宋体"/>
                <w:color w:val="000000" w:themeColor="text1"/>
                <w:sz w:val="24"/>
                <w:szCs w:val="24"/>
                <w:highlight w:val="none"/>
                <w14:textFill>
                  <w14:solidFill>
                    <w14:schemeClr w14:val="tx1"/>
                  </w14:solidFill>
                </w14:textFill>
              </w:rPr>
            </w:pPr>
          </w:p>
        </w:tc>
      </w:tr>
    </w:tbl>
    <w:p w14:paraId="1CB3710A">
      <w:pPr>
        <w:rPr>
          <w:rFonts w:hint="eastAsia" w:ascii="宋体" w:eastAsia="宋体"/>
          <w:color w:val="000000" w:themeColor="text1"/>
          <w:sz w:val="28"/>
          <w:highlight w:val="none"/>
          <w14:textFill>
            <w14:solidFill>
              <w14:schemeClr w14:val="tx1"/>
            </w14:solidFill>
          </w14:textFill>
        </w:rPr>
      </w:pPr>
    </w:p>
    <w:p w14:paraId="79CCE710">
      <w:pPr>
        <w:rPr>
          <w:rFonts w:hint="eastAsia" w:ascii="宋体" w:eastAsia="宋体"/>
          <w:color w:val="000000" w:themeColor="text1"/>
          <w:highlight w:val="none"/>
          <w14:textFill>
            <w14:solidFill>
              <w14:schemeClr w14:val="tx1"/>
            </w14:solidFill>
          </w14:textFill>
        </w:rPr>
      </w:pPr>
    </w:p>
    <w:p w14:paraId="4C1AC81F">
      <w:pPr>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法定代表人（签字或盖章）：                  投标人（盖章）：</w:t>
      </w:r>
    </w:p>
    <w:p w14:paraId="3F5B18FA">
      <w:pPr>
        <w:jc w:val="right"/>
        <w:rPr>
          <w:rFonts w:hint="eastAsia" w:ascii="宋体" w:eastAsia="宋体"/>
          <w:color w:val="000000" w:themeColor="text1"/>
          <w:sz w:val="24"/>
          <w:szCs w:val="24"/>
          <w:highlight w:val="none"/>
          <w14:textFill>
            <w14:solidFill>
              <w14:schemeClr w14:val="tx1"/>
            </w14:solidFill>
          </w14:textFill>
        </w:rPr>
      </w:pPr>
    </w:p>
    <w:p w14:paraId="285BBBDB">
      <w:pPr>
        <w:rPr>
          <w:rFonts w:hint="eastAsia"/>
          <w:color w:val="000000" w:themeColor="text1"/>
          <w:kern w:val="0"/>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 xml:space="preserve">                                    日期：   年   月   日</w:t>
      </w:r>
    </w:p>
    <w:p w14:paraId="4F8F6BD1">
      <w:pPr>
        <w:snapToGrid w:val="0"/>
        <w:spacing w:before="156" w:beforeLines="50" w:after="50" w:line="360" w:lineRule="auto"/>
        <w:jc w:val="center"/>
        <w:rPr>
          <w:rFonts w:hint="eastAsia" w:ascii="宋体" w:hAnsi="宋体"/>
          <w:b/>
          <w:color w:val="000000" w:themeColor="text1"/>
          <w:sz w:val="32"/>
          <w:szCs w:val="32"/>
          <w:highlight w:val="none"/>
          <w14:textFill>
            <w14:solidFill>
              <w14:schemeClr w14:val="tx1"/>
            </w14:solidFill>
          </w14:textFill>
        </w:rPr>
      </w:pPr>
    </w:p>
    <w:p w14:paraId="427BBE36">
      <w:pPr>
        <w:snapToGrid w:val="0"/>
        <w:spacing w:before="156" w:beforeLines="50" w:after="50" w:line="360" w:lineRule="auto"/>
        <w:jc w:val="center"/>
        <w:rPr>
          <w:rFonts w:hint="eastAsia" w:ascii="宋体" w:hAnsi="宋体"/>
          <w:b/>
          <w:color w:val="000000" w:themeColor="text1"/>
          <w:sz w:val="32"/>
          <w:szCs w:val="32"/>
          <w:highlight w:val="none"/>
          <w14:textFill>
            <w14:solidFill>
              <w14:schemeClr w14:val="tx1"/>
            </w14:solidFill>
          </w14:textFill>
        </w:rPr>
      </w:pPr>
    </w:p>
    <w:p w14:paraId="1DFFEEFE">
      <w:pPr>
        <w:snapToGrid w:val="0"/>
        <w:spacing w:before="156" w:beforeLines="50" w:after="50" w:line="360" w:lineRule="auto"/>
        <w:jc w:val="both"/>
        <w:rPr>
          <w:rFonts w:hint="default"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附件6</w:t>
      </w:r>
    </w:p>
    <w:p w14:paraId="1DB5E300">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14:paraId="2AA3CB49">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FCF6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2D4B0084">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2E7E602">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60A37B5">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45BE676">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3A6707E">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8A063EA">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6279420">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ECF2B4E">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14:paraId="0D5F4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8E1FB3B">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38A674C">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6BFB88B">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483754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602E93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8B9C727">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D88EC2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8C5F2F6">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628E3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1C8C87">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93B0AD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B95BBD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E1ECEE5">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1898D62">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295786F">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096654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7AA12D9">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7D008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E82A3D0">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5F3E7F3">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02BD68">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CFA569C">
            <w:pPr>
              <w:pStyle w:val="16"/>
              <w:snapToGrid w:val="0"/>
              <w:spacing w:before="156" w:beforeLines="50" w:after="50" w:line="360" w:lineRule="auto"/>
              <w:ind w:left="5250"/>
              <w:rPr>
                <w:rFonts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635D8A8">
            <w:pPr>
              <w:pStyle w:val="16"/>
              <w:snapToGrid w:val="0"/>
              <w:spacing w:before="156" w:beforeLines="50" w:after="50" w:line="360" w:lineRule="auto"/>
              <w:ind w:left="5250"/>
              <w:rPr>
                <w:rFonts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D278AB7">
            <w:pPr>
              <w:pStyle w:val="16"/>
              <w:spacing w:line="360" w:lineRule="auto"/>
              <w:ind w:left="5250"/>
              <w:rPr>
                <w:rFonts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7022678">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231542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7DFBD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94663ED">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99D3C8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684F58B">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9471089">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FA8511C">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0F7794F">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66390B6">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2414B97">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4EA6D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3A3CB7C">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DF31325">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C29F8B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8364D08">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7A17F9F">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28F1FA0">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BF9E70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4A78E90">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645BA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BA2394E">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5F9CAF3">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8AF1538">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FBA3A7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10F9AF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5827E2B">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3989F90">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AF08D21">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14:paraId="04E35575">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1E06732F">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在填写时，如本表格不适合供应商的实际情况，可根据本表格式自行划表填写。</w:t>
      </w:r>
    </w:p>
    <w:p w14:paraId="623D7044">
      <w:pPr>
        <w:pStyle w:val="36"/>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14:paraId="39FBB7EB">
      <w:pPr>
        <w:pStyle w:val="36"/>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3.出具上述人员在本单位服务的外部证明，如：谈判</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14:paraId="21F01754">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14:paraId="10F0A461">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1DF5C0BF">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6391FC70">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134B9C4A">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0FB8A7BE">
      <w:pPr>
        <w:spacing w:line="360" w:lineRule="auto"/>
        <w:rPr>
          <w:rFonts w:hint="eastAsia" w:ascii="宋体" w:hAnsi="宋体"/>
          <w:b/>
          <w:color w:val="000000" w:themeColor="text1"/>
          <w:sz w:val="28"/>
          <w:highlight w:val="none"/>
          <w14:textFill>
            <w14:solidFill>
              <w14:schemeClr w14:val="tx1"/>
            </w14:solidFill>
          </w14:textFill>
        </w:rPr>
      </w:pPr>
    </w:p>
    <w:p w14:paraId="75629C93">
      <w:pPr>
        <w:pStyle w:val="11"/>
        <w:rPr>
          <w:rFonts w:hint="eastAsia" w:ascii="宋体" w:hAnsi="宋体"/>
          <w:b/>
          <w:color w:val="000000" w:themeColor="text1"/>
          <w:sz w:val="28"/>
          <w:highlight w:val="none"/>
          <w14:textFill>
            <w14:solidFill>
              <w14:schemeClr w14:val="tx1"/>
            </w14:solidFill>
          </w14:textFill>
        </w:rPr>
      </w:pPr>
    </w:p>
    <w:p w14:paraId="2DAF7B18">
      <w:pPr>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附件7</w:t>
      </w:r>
    </w:p>
    <w:p w14:paraId="676C4667">
      <w:pPr>
        <w:ind w:firstLine="2800" w:firstLineChars="10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主要施工机械设备表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14:paraId="6E4A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center"/>
          </w:tcPr>
          <w:p w14:paraId="7AECADD4">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525" w:type="dxa"/>
            <w:noWrap w:val="0"/>
            <w:vAlign w:val="center"/>
          </w:tcPr>
          <w:p w14:paraId="0D7A4E87">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设备名称</w:t>
            </w:r>
          </w:p>
        </w:tc>
        <w:tc>
          <w:tcPr>
            <w:tcW w:w="1635" w:type="dxa"/>
            <w:noWrap w:val="0"/>
            <w:vAlign w:val="center"/>
          </w:tcPr>
          <w:p w14:paraId="381E327D">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规格型号</w:t>
            </w:r>
          </w:p>
        </w:tc>
        <w:tc>
          <w:tcPr>
            <w:tcW w:w="859" w:type="dxa"/>
            <w:noWrap w:val="0"/>
            <w:vAlign w:val="center"/>
          </w:tcPr>
          <w:p w14:paraId="738142FC">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c>
          <w:tcPr>
            <w:tcW w:w="1582" w:type="dxa"/>
            <w:noWrap w:val="0"/>
            <w:vAlign w:val="center"/>
          </w:tcPr>
          <w:p w14:paraId="7F867183">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设备能力</w:t>
            </w:r>
          </w:p>
        </w:tc>
        <w:tc>
          <w:tcPr>
            <w:tcW w:w="1582" w:type="dxa"/>
            <w:noWrap w:val="0"/>
            <w:vAlign w:val="center"/>
          </w:tcPr>
          <w:p w14:paraId="6BC3DD4C">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进场时间</w:t>
            </w:r>
          </w:p>
        </w:tc>
        <w:tc>
          <w:tcPr>
            <w:tcW w:w="1437" w:type="dxa"/>
            <w:noWrap w:val="0"/>
            <w:vAlign w:val="center"/>
          </w:tcPr>
          <w:p w14:paraId="551DCCBC">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14:paraId="53B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14:paraId="1511A161">
            <w:pPr>
              <w:rPr>
                <w:rFonts w:hint="eastAsia"/>
                <w:color w:val="000000" w:themeColor="text1"/>
                <w:sz w:val="24"/>
                <w:szCs w:val="24"/>
                <w:highlight w:val="none"/>
                <w14:textFill>
                  <w14:solidFill>
                    <w14:schemeClr w14:val="tx1"/>
                  </w14:solidFill>
                </w14:textFill>
              </w:rPr>
            </w:pPr>
          </w:p>
        </w:tc>
        <w:tc>
          <w:tcPr>
            <w:tcW w:w="1525" w:type="dxa"/>
            <w:noWrap w:val="0"/>
            <w:vAlign w:val="top"/>
          </w:tcPr>
          <w:p w14:paraId="2858208B">
            <w:pPr>
              <w:rPr>
                <w:rFonts w:hint="eastAsia"/>
                <w:color w:val="000000" w:themeColor="text1"/>
                <w:sz w:val="24"/>
                <w:szCs w:val="24"/>
                <w:highlight w:val="none"/>
                <w14:textFill>
                  <w14:solidFill>
                    <w14:schemeClr w14:val="tx1"/>
                  </w14:solidFill>
                </w14:textFill>
              </w:rPr>
            </w:pPr>
          </w:p>
        </w:tc>
        <w:tc>
          <w:tcPr>
            <w:tcW w:w="1635" w:type="dxa"/>
            <w:noWrap w:val="0"/>
            <w:vAlign w:val="top"/>
          </w:tcPr>
          <w:p w14:paraId="06B52D29">
            <w:pPr>
              <w:rPr>
                <w:rFonts w:hint="eastAsia"/>
                <w:color w:val="000000" w:themeColor="text1"/>
                <w:sz w:val="24"/>
                <w:szCs w:val="24"/>
                <w:highlight w:val="none"/>
                <w14:textFill>
                  <w14:solidFill>
                    <w14:schemeClr w14:val="tx1"/>
                  </w14:solidFill>
                </w14:textFill>
              </w:rPr>
            </w:pPr>
          </w:p>
        </w:tc>
        <w:tc>
          <w:tcPr>
            <w:tcW w:w="859" w:type="dxa"/>
            <w:noWrap w:val="0"/>
            <w:vAlign w:val="top"/>
          </w:tcPr>
          <w:p w14:paraId="18BCF199">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3219AC5A">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723A14AD">
            <w:pPr>
              <w:rPr>
                <w:rFonts w:hint="eastAsia"/>
                <w:color w:val="000000" w:themeColor="text1"/>
                <w:sz w:val="24"/>
                <w:szCs w:val="24"/>
                <w:highlight w:val="none"/>
                <w14:textFill>
                  <w14:solidFill>
                    <w14:schemeClr w14:val="tx1"/>
                  </w14:solidFill>
                </w14:textFill>
              </w:rPr>
            </w:pPr>
          </w:p>
        </w:tc>
        <w:tc>
          <w:tcPr>
            <w:tcW w:w="1437" w:type="dxa"/>
            <w:noWrap w:val="0"/>
            <w:vAlign w:val="top"/>
          </w:tcPr>
          <w:p w14:paraId="65094C88">
            <w:pPr>
              <w:rPr>
                <w:rFonts w:hint="eastAsia"/>
                <w:color w:val="000000" w:themeColor="text1"/>
                <w:sz w:val="24"/>
                <w:szCs w:val="24"/>
                <w:highlight w:val="none"/>
                <w14:textFill>
                  <w14:solidFill>
                    <w14:schemeClr w14:val="tx1"/>
                  </w14:solidFill>
                </w14:textFill>
              </w:rPr>
            </w:pPr>
          </w:p>
        </w:tc>
      </w:tr>
      <w:tr w14:paraId="76AF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14:paraId="17C21440">
            <w:pPr>
              <w:rPr>
                <w:rFonts w:hint="eastAsia"/>
                <w:color w:val="000000" w:themeColor="text1"/>
                <w:sz w:val="24"/>
                <w:szCs w:val="24"/>
                <w:highlight w:val="none"/>
                <w14:textFill>
                  <w14:solidFill>
                    <w14:schemeClr w14:val="tx1"/>
                  </w14:solidFill>
                </w14:textFill>
              </w:rPr>
            </w:pPr>
          </w:p>
        </w:tc>
        <w:tc>
          <w:tcPr>
            <w:tcW w:w="1525" w:type="dxa"/>
            <w:noWrap w:val="0"/>
            <w:vAlign w:val="top"/>
          </w:tcPr>
          <w:p w14:paraId="1C37D1D6">
            <w:pPr>
              <w:rPr>
                <w:rFonts w:hint="eastAsia"/>
                <w:color w:val="000000" w:themeColor="text1"/>
                <w:sz w:val="24"/>
                <w:szCs w:val="24"/>
                <w:highlight w:val="none"/>
                <w14:textFill>
                  <w14:solidFill>
                    <w14:schemeClr w14:val="tx1"/>
                  </w14:solidFill>
                </w14:textFill>
              </w:rPr>
            </w:pPr>
          </w:p>
        </w:tc>
        <w:tc>
          <w:tcPr>
            <w:tcW w:w="1635" w:type="dxa"/>
            <w:noWrap w:val="0"/>
            <w:vAlign w:val="top"/>
          </w:tcPr>
          <w:p w14:paraId="6E42F864">
            <w:pPr>
              <w:rPr>
                <w:rFonts w:hint="eastAsia"/>
                <w:color w:val="000000" w:themeColor="text1"/>
                <w:sz w:val="24"/>
                <w:szCs w:val="24"/>
                <w:highlight w:val="none"/>
                <w14:textFill>
                  <w14:solidFill>
                    <w14:schemeClr w14:val="tx1"/>
                  </w14:solidFill>
                </w14:textFill>
              </w:rPr>
            </w:pPr>
          </w:p>
        </w:tc>
        <w:tc>
          <w:tcPr>
            <w:tcW w:w="859" w:type="dxa"/>
            <w:noWrap w:val="0"/>
            <w:vAlign w:val="top"/>
          </w:tcPr>
          <w:p w14:paraId="10F95D3B">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06646546">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2A583193">
            <w:pPr>
              <w:rPr>
                <w:rFonts w:hint="eastAsia"/>
                <w:color w:val="000000" w:themeColor="text1"/>
                <w:sz w:val="24"/>
                <w:szCs w:val="24"/>
                <w:highlight w:val="none"/>
                <w14:textFill>
                  <w14:solidFill>
                    <w14:schemeClr w14:val="tx1"/>
                  </w14:solidFill>
                </w14:textFill>
              </w:rPr>
            </w:pPr>
          </w:p>
        </w:tc>
        <w:tc>
          <w:tcPr>
            <w:tcW w:w="1437" w:type="dxa"/>
            <w:noWrap w:val="0"/>
            <w:vAlign w:val="top"/>
          </w:tcPr>
          <w:p w14:paraId="702EFBFD">
            <w:pPr>
              <w:rPr>
                <w:rFonts w:hint="eastAsia"/>
                <w:color w:val="000000" w:themeColor="text1"/>
                <w:sz w:val="24"/>
                <w:szCs w:val="24"/>
                <w:highlight w:val="none"/>
                <w14:textFill>
                  <w14:solidFill>
                    <w14:schemeClr w14:val="tx1"/>
                  </w14:solidFill>
                </w14:textFill>
              </w:rPr>
            </w:pPr>
          </w:p>
        </w:tc>
      </w:tr>
      <w:tr w14:paraId="7993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14:paraId="60C57750">
            <w:pPr>
              <w:rPr>
                <w:rFonts w:hint="eastAsia"/>
                <w:color w:val="000000" w:themeColor="text1"/>
                <w:sz w:val="24"/>
                <w:szCs w:val="24"/>
                <w:highlight w:val="none"/>
                <w14:textFill>
                  <w14:solidFill>
                    <w14:schemeClr w14:val="tx1"/>
                  </w14:solidFill>
                </w14:textFill>
              </w:rPr>
            </w:pPr>
          </w:p>
        </w:tc>
        <w:tc>
          <w:tcPr>
            <w:tcW w:w="1525" w:type="dxa"/>
            <w:noWrap w:val="0"/>
            <w:vAlign w:val="top"/>
          </w:tcPr>
          <w:p w14:paraId="4D5958AB">
            <w:pPr>
              <w:rPr>
                <w:rFonts w:hint="eastAsia"/>
                <w:color w:val="000000" w:themeColor="text1"/>
                <w:sz w:val="24"/>
                <w:szCs w:val="24"/>
                <w:highlight w:val="none"/>
                <w14:textFill>
                  <w14:solidFill>
                    <w14:schemeClr w14:val="tx1"/>
                  </w14:solidFill>
                </w14:textFill>
              </w:rPr>
            </w:pPr>
          </w:p>
        </w:tc>
        <w:tc>
          <w:tcPr>
            <w:tcW w:w="1635" w:type="dxa"/>
            <w:noWrap w:val="0"/>
            <w:vAlign w:val="top"/>
          </w:tcPr>
          <w:p w14:paraId="10F5584D">
            <w:pPr>
              <w:rPr>
                <w:rFonts w:hint="eastAsia"/>
                <w:color w:val="000000" w:themeColor="text1"/>
                <w:sz w:val="24"/>
                <w:szCs w:val="24"/>
                <w:highlight w:val="none"/>
                <w14:textFill>
                  <w14:solidFill>
                    <w14:schemeClr w14:val="tx1"/>
                  </w14:solidFill>
                </w14:textFill>
              </w:rPr>
            </w:pPr>
          </w:p>
        </w:tc>
        <w:tc>
          <w:tcPr>
            <w:tcW w:w="859" w:type="dxa"/>
            <w:noWrap w:val="0"/>
            <w:vAlign w:val="top"/>
          </w:tcPr>
          <w:p w14:paraId="41AFA1C3">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5CF4D7D5">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7D902860">
            <w:pPr>
              <w:rPr>
                <w:rFonts w:hint="eastAsia"/>
                <w:color w:val="000000" w:themeColor="text1"/>
                <w:sz w:val="24"/>
                <w:szCs w:val="24"/>
                <w:highlight w:val="none"/>
                <w14:textFill>
                  <w14:solidFill>
                    <w14:schemeClr w14:val="tx1"/>
                  </w14:solidFill>
                </w14:textFill>
              </w:rPr>
            </w:pPr>
          </w:p>
        </w:tc>
        <w:tc>
          <w:tcPr>
            <w:tcW w:w="1437" w:type="dxa"/>
            <w:noWrap w:val="0"/>
            <w:vAlign w:val="top"/>
          </w:tcPr>
          <w:p w14:paraId="5F66A008">
            <w:pPr>
              <w:rPr>
                <w:rFonts w:hint="eastAsia"/>
                <w:color w:val="000000" w:themeColor="text1"/>
                <w:sz w:val="24"/>
                <w:szCs w:val="24"/>
                <w:highlight w:val="none"/>
                <w14:textFill>
                  <w14:solidFill>
                    <w14:schemeClr w14:val="tx1"/>
                  </w14:solidFill>
                </w14:textFill>
              </w:rPr>
            </w:pPr>
          </w:p>
        </w:tc>
      </w:tr>
      <w:tr w14:paraId="672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14:paraId="63B21AD9">
            <w:pPr>
              <w:rPr>
                <w:rFonts w:hint="eastAsia"/>
                <w:color w:val="000000" w:themeColor="text1"/>
                <w:sz w:val="24"/>
                <w:szCs w:val="24"/>
                <w:highlight w:val="none"/>
                <w14:textFill>
                  <w14:solidFill>
                    <w14:schemeClr w14:val="tx1"/>
                  </w14:solidFill>
                </w14:textFill>
              </w:rPr>
            </w:pPr>
          </w:p>
        </w:tc>
        <w:tc>
          <w:tcPr>
            <w:tcW w:w="1525" w:type="dxa"/>
            <w:noWrap w:val="0"/>
            <w:vAlign w:val="top"/>
          </w:tcPr>
          <w:p w14:paraId="1271CD34">
            <w:pPr>
              <w:rPr>
                <w:rFonts w:hint="eastAsia"/>
                <w:color w:val="000000" w:themeColor="text1"/>
                <w:sz w:val="24"/>
                <w:szCs w:val="24"/>
                <w:highlight w:val="none"/>
                <w14:textFill>
                  <w14:solidFill>
                    <w14:schemeClr w14:val="tx1"/>
                  </w14:solidFill>
                </w14:textFill>
              </w:rPr>
            </w:pPr>
          </w:p>
        </w:tc>
        <w:tc>
          <w:tcPr>
            <w:tcW w:w="1635" w:type="dxa"/>
            <w:noWrap w:val="0"/>
            <w:vAlign w:val="top"/>
          </w:tcPr>
          <w:p w14:paraId="56DF0CAC">
            <w:pPr>
              <w:rPr>
                <w:rFonts w:hint="eastAsia"/>
                <w:color w:val="000000" w:themeColor="text1"/>
                <w:sz w:val="24"/>
                <w:szCs w:val="24"/>
                <w:highlight w:val="none"/>
                <w14:textFill>
                  <w14:solidFill>
                    <w14:schemeClr w14:val="tx1"/>
                  </w14:solidFill>
                </w14:textFill>
              </w:rPr>
            </w:pPr>
          </w:p>
        </w:tc>
        <w:tc>
          <w:tcPr>
            <w:tcW w:w="859" w:type="dxa"/>
            <w:noWrap w:val="0"/>
            <w:vAlign w:val="top"/>
          </w:tcPr>
          <w:p w14:paraId="18C72FE9">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34AC72B7">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6086C186">
            <w:pPr>
              <w:rPr>
                <w:rFonts w:hint="eastAsia"/>
                <w:color w:val="000000" w:themeColor="text1"/>
                <w:sz w:val="24"/>
                <w:szCs w:val="24"/>
                <w:highlight w:val="none"/>
                <w14:textFill>
                  <w14:solidFill>
                    <w14:schemeClr w14:val="tx1"/>
                  </w14:solidFill>
                </w14:textFill>
              </w:rPr>
            </w:pPr>
          </w:p>
        </w:tc>
        <w:tc>
          <w:tcPr>
            <w:tcW w:w="1437" w:type="dxa"/>
            <w:noWrap w:val="0"/>
            <w:vAlign w:val="top"/>
          </w:tcPr>
          <w:p w14:paraId="4C5F05FA">
            <w:pPr>
              <w:rPr>
                <w:rFonts w:hint="eastAsia"/>
                <w:color w:val="000000" w:themeColor="text1"/>
                <w:sz w:val="24"/>
                <w:szCs w:val="24"/>
                <w:highlight w:val="none"/>
                <w14:textFill>
                  <w14:solidFill>
                    <w14:schemeClr w14:val="tx1"/>
                  </w14:solidFill>
                </w14:textFill>
              </w:rPr>
            </w:pPr>
          </w:p>
        </w:tc>
      </w:tr>
      <w:tr w14:paraId="5A26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14:paraId="76F19B06">
            <w:pPr>
              <w:rPr>
                <w:rFonts w:hint="eastAsia"/>
                <w:color w:val="000000" w:themeColor="text1"/>
                <w:sz w:val="24"/>
                <w:szCs w:val="24"/>
                <w:highlight w:val="none"/>
                <w14:textFill>
                  <w14:solidFill>
                    <w14:schemeClr w14:val="tx1"/>
                  </w14:solidFill>
                </w14:textFill>
              </w:rPr>
            </w:pPr>
          </w:p>
        </w:tc>
        <w:tc>
          <w:tcPr>
            <w:tcW w:w="1525" w:type="dxa"/>
            <w:noWrap w:val="0"/>
            <w:vAlign w:val="top"/>
          </w:tcPr>
          <w:p w14:paraId="11A253E3">
            <w:pPr>
              <w:rPr>
                <w:rFonts w:hint="eastAsia"/>
                <w:color w:val="000000" w:themeColor="text1"/>
                <w:sz w:val="24"/>
                <w:szCs w:val="24"/>
                <w:highlight w:val="none"/>
                <w14:textFill>
                  <w14:solidFill>
                    <w14:schemeClr w14:val="tx1"/>
                  </w14:solidFill>
                </w14:textFill>
              </w:rPr>
            </w:pPr>
          </w:p>
        </w:tc>
        <w:tc>
          <w:tcPr>
            <w:tcW w:w="1635" w:type="dxa"/>
            <w:noWrap w:val="0"/>
            <w:vAlign w:val="top"/>
          </w:tcPr>
          <w:p w14:paraId="1AE6CF5D">
            <w:pPr>
              <w:rPr>
                <w:rFonts w:hint="eastAsia"/>
                <w:color w:val="000000" w:themeColor="text1"/>
                <w:sz w:val="24"/>
                <w:szCs w:val="24"/>
                <w:highlight w:val="none"/>
                <w14:textFill>
                  <w14:solidFill>
                    <w14:schemeClr w14:val="tx1"/>
                  </w14:solidFill>
                </w14:textFill>
              </w:rPr>
            </w:pPr>
          </w:p>
        </w:tc>
        <w:tc>
          <w:tcPr>
            <w:tcW w:w="859" w:type="dxa"/>
            <w:noWrap w:val="0"/>
            <w:vAlign w:val="top"/>
          </w:tcPr>
          <w:p w14:paraId="29A2FE85">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3B1C9A61">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1CA478A4">
            <w:pPr>
              <w:rPr>
                <w:rFonts w:hint="eastAsia"/>
                <w:color w:val="000000" w:themeColor="text1"/>
                <w:sz w:val="24"/>
                <w:szCs w:val="24"/>
                <w:highlight w:val="none"/>
                <w14:textFill>
                  <w14:solidFill>
                    <w14:schemeClr w14:val="tx1"/>
                  </w14:solidFill>
                </w14:textFill>
              </w:rPr>
            </w:pPr>
          </w:p>
        </w:tc>
        <w:tc>
          <w:tcPr>
            <w:tcW w:w="1437" w:type="dxa"/>
            <w:noWrap w:val="0"/>
            <w:vAlign w:val="top"/>
          </w:tcPr>
          <w:p w14:paraId="48595F85">
            <w:pPr>
              <w:rPr>
                <w:rFonts w:hint="eastAsia"/>
                <w:color w:val="000000" w:themeColor="text1"/>
                <w:sz w:val="24"/>
                <w:szCs w:val="24"/>
                <w:highlight w:val="none"/>
                <w14:textFill>
                  <w14:solidFill>
                    <w14:schemeClr w14:val="tx1"/>
                  </w14:solidFill>
                </w14:textFill>
              </w:rPr>
            </w:pPr>
          </w:p>
        </w:tc>
      </w:tr>
      <w:tr w14:paraId="5A6E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14:paraId="4FE28FC4">
            <w:pPr>
              <w:rPr>
                <w:rFonts w:hint="eastAsia"/>
                <w:color w:val="000000" w:themeColor="text1"/>
                <w:sz w:val="24"/>
                <w:szCs w:val="24"/>
                <w:highlight w:val="none"/>
                <w14:textFill>
                  <w14:solidFill>
                    <w14:schemeClr w14:val="tx1"/>
                  </w14:solidFill>
                </w14:textFill>
              </w:rPr>
            </w:pPr>
          </w:p>
        </w:tc>
        <w:tc>
          <w:tcPr>
            <w:tcW w:w="1525" w:type="dxa"/>
            <w:noWrap w:val="0"/>
            <w:vAlign w:val="top"/>
          </w:tcPr>
          <w:p w14:paraId="526241B4">
            <w:pPr>
              <w:rPr>
                <w:rFonts w:hint="eastAsia"/>
                <w:color w:val="000000" w:themeColor="text1"/>
                <w:sz w:val="24"/>
                <w:szCs w:val="24"/>
                <w:highlight w:val="none"/>
                <w14:textFill>
                  <w14:solidFill>
                    <w14:schemeClr w14:val="tx1"/>
                  </w14:solidFill>
                </w14:textFill>
              </w:rPr>
            </w:pPr>
          </w:p>
        </w:tc>
        <w:tc>
          <w:tcPr>
            <w:tcW w:w="1635" w:type="dxa"/>
            <w:noWrap w:val="0"/>
            <w:vAlign w:val="top"/>
          </w:tcPr>
          <w:p w14:paraId="1B18A909">
            <w:pPr>
              <w:rPr>
                <w:rFonts w:hint="eastAsia"/>
                <w:color w:val="000000" w:themeColor="text1"/>
                <w:sz w:val="24"/>
                <w:szCs w:val="24"/>
                <w:highlight w:val="none"/>
                <w14:textFill>
                  <w14:solidFill>
                    <w14:schemeClr w14:val="tx1"/>
                  </w14:solidFill>
                </w14:textFill>
              </w:rPr>
            </w:pPr>
          </w:p>
        </w:tc>
        <w:tc>
          <w:tcPr>
            <w:tcW w:w="859" w:type="dxa"/>
            <w:noWrap w:val="0"/>
            <w:vAlign w:val="top"/>
          </w:tcPr>
          <w:p w14:paraId="14E181E5">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441F76CE">
            <w:pPr>
              <w:rPr>
                <w:rFonts w:hint="eastAsia"/>
                <w:color w:val="000000" w:themeColor="text1"/>
                <w:sz w:val="24"/>
                <w:szCs w:val="24"/>
                <w:highlight w:val="none"/>
                <w14:textFill>
                  <w14:solidFill>
                    <w14:schemeClr w14:val="tx1"/>
                  </w14:solidFill>
                </w14:textFill>
              </w:rPr>
            </w:pPr>
          </w:p>
        </w:tc>
        <w:tc>
          <w:tcPr>
            <w:tcW w:w="1582" w:type="dxa"/>
            <w:noWrap w:val="0"/>
            <w:vAlign w:val="top"/>
          </w:tcPr>
          <w:p w14:paraId="1EA4C315">
            <w:pPr>
              <w:rPr>
                <w:rFonts w:hint="eastAsia"/>
                <w:color w:val="000000" w:themeColor="text1"/>
                <w:sz w:val="24"/>
                <w:szCs w:val="24"/>
                <w:highlight w:val="none"/>
                <w14:textFill>
                  <w14:solidFill>
                    <w14:schemeClr w14:val="tx1"/>
                  </w14:solidFill>
                </w14:textFill>
              </w:rPr>
            </w:pPr>
          </w:p>
        </w:tc>
        <w:tc>
          <w:tcPr>
            <w:tcW w:w="1437" w:type="dxa"/>
            <w:noWrap w:val="0"/>
            <w:vAlign w:val="top"/>
          </w:tcPr>
          <w:p w14:paraId="003C9314">
            <w:pPr>
              <w:rPr>
                <w:rFonts w:hint="eastAsia"/>
                <w:color w:val="000000" w:themeColor="text1"/>
                <w:sz w:val="24"/>
                <w:szCs w:val="24"/>
                <w:highlight w:val="none"/>
                <w14:textFill>
                  <w14:solidFill>
                    <w14:schemeClr w14:val="tx1"/>
                  </w14:solidFill>
                </w14:textFill>
              </w:rPr>
            </w:pPr>
          </w:p>
        </w:tc>
      </w:tr>
    </w:tbl>
    <w:p w14:paraId="7519DB07">
      <w:pPr>
        <w:pStyle w:val="27"/>
        <w:rPr>
          <w:rFonts w:hint="eastAsia"/>
          <w:color w:val="000000" w:themeColor="text1"/>
          <w:highlight w:val="none"/>
          <w14:textFill>
            <w14:solidFill>
              <w14:schemeClr w14:val="tx1"/>
            </w14:solidFill>
          </w14:textFill>
        </w:rPr>
      </w:pPr>
    </w:p>
    <w:p w14:paraId="2D0FE500">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7825FEFF">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045A8155">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06854B4E">
      <w:pPr>
        <w:spacing w:line="360" w:lineRule="auto"/>
        <w:ind w:firstLine="435"/>
        <w:rPr>
          <w:rFonts w:ascii="宋体" w:hAnsi="宋体"/>
          <w:color w:val="000000" w:themeColor="text1"/>
          <w:sz w:val="24"/>
          <w:highlight w:val="none"/>
          <w14:textFill>
            <w14:solidFill>
              <w14:schemeClr w14:val="tx1"/>
            </w14:solidFill>
          </w14:textFill>
        </w:rPr>
      </w:pPr>
    </w:p>
    <w:p w14:paraId="55597E24">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6B16614A">
      <w:pPr>
        <w:spacing w:line="360" w:lineRule="auto"/>
        <w:ind w:firstLine="435"/>
        <w:rPr>
          <w:rFonts w:ascii="宋体" w:hAnsi="宋体"/>
          <w:color w:val="000000" w:themeColor="text1"/>
          <w:sz w:val="24"/>
          <w:highlight w:val="none"/>
          <w14:textFill>
            <w14:solidFill>
              <w14:schemeClr w14:val="tx1"/>
            </w14:solidFill>
          </w14:textFill>
        </w:rPr>
      </w:pPr>
    </w:p>
    <w:p w14:paraId="3298ED73">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21D7CD71">
      <w:pPr>
        <w:pStyle w:val="22"/>
        <w:rPr>
          <w:rFonts w:hint="eastAsia"/>
          <w:color w:val="000000" w:themeColor="text1"/>
          <w:highlight w:val="none"/>
          <w14:textFill>
            <w14:solidFill>
              <w14:schemeClr w14:val="tx1"/>
            </w14:solidFill>
          </w14:textFill>
        </w:rPr>
      </w:pPr>
    </w:p>
    <w:p w14:paraId="4DF3994F">
      <w:pPr>
        <w:rPr>
          <w:rFonts w:hint="eastAsia"/>
          <w:color w:val="000000" w:themeColor="text1"/>
          <w:highlight w:val="none"/>
          <w14:textFill>
            <w14:solidFill>
              <w14:schemeClr w14:val="tx1"/>
            </w14:solidFill>
          </w14:textFill>
        </w:rPr>
      </w:pPr>
    </w:p>
    <w:p w14:paraId="329E3FD1">
      <w:pPr>
        <w:pStyle w:val="11"/>
        <w:rPr>
          <w:rFonts w:hint="eastAsia"/>
          <w:color w:val="000000" w:themeColor="text1"/>
          <w:highlight w:val="none"/>
          <w14:textFill>
            <w14:solidFill>
              <w14:schemeClr w14:val="tx1"/>
            </w14:solidFill>
          </w14:textFill>
        </w:rPr>
      </w:pPr>
    </w:p>
    <w:p w14:paraId="7BCCAD3D">
      <w:pPr>
        <w:pStyle w:val="27"/>
        <w:rPr>
          <w:rFonts w:hint="eastAsia"/>
          <w:color w:val="000000" w:themeColor="text1"/>
          <w:highlight w:val="none"/>
          <w14:textFill>
            <w14:solidFill>
              <w14:schemeClr w14:val="tx1"/>
            </w14:solidFill>
          </w14:textFill>
        </w:rPr>
      </w:pPr>
    </w:p>
    <w:p w14:paraId="172EBB7E">
      <w:pPr>
        <w:pStyle w:val="22"/>
        <w:rPr>
          <w:rFonts w:hint="eastAsia"/>
          <w:color w:val="000000" w:themeColor="text1"/>
          <w:highlight w:val="none"/>
          <w14:textFill>
            <w14:solidFill>
              <w14:schemeClr w14:val="tx1"/>
            </w14:solidFill>
          </w14:textFill>
        </w:rPr>
      </w:pPr>
    </w:p>
    <w:p w14:paraId="05DD6190">
      <w:pPr>
        <w:rPr>
          <w:rFonts w:hint="eastAsia"/>
          <w:color w:val="000000" w:themeColor="text1"/>
          <w:highlight w:val="none"/>
          <w14:textFill>
            <w14:solidFill>
              <w14:schemeClr w14:val="tx1"/>
            </w14:solidFill>
          </w14:textFill>
        </w:rPr>
      </w:pPr>
    </w:p>
    <w:p w14:paraId="0C8318B1">
      <w:pPr>
        <w:pStyle w:val="11"/>
        <w:rPr>
          <w:rFonts w:hint="eastAsia"/>
          <w:color w:val="000000" w:themeColor="text1"/>
          <w:highlight w:val="none"/>
          <w14:textFill>
            <w14:solidFill>
              <w14:schemeClr w14:val="tx1"/>
            </w14:solidFill>
          </w14:textFill>
        </w:rPr>
      </w:pPr>
    </w:p>
    <w:p w14:paraId="2D4C53F5">
      <w:pPr>
        <w:pStyle w:val="27"/>
        <w:rPr>
          <w:rFonts w:hint="eastAsia"/>
          <w:color w:val="000000" w:themeColor="text1"/>
          <w:highlight w:val="none"/>
          <w14:textFill>
            <w14:solidFill>
              <w14:schemeClr w14:val="tx1"/>
            </w14:solidFill>
          </w14:textFill>
        </w:rPr>
      </w:pPr>
    </w:p>
    <w:p w14:paraId="13321CFB">
      <w:pPr>
        <w:pStyle w:val="22"/>
        <w:rPr>
          <w:rFonts w:hint="eastAsia"/>
          <w:color w:val="000000" w:themeColor="text1"/>
          <w:highlight w:val="none"/>
          <w14:textFill>
            <w14:solidFill>
              <w14:schemeClr w14:val="tx1"/>
            </w14:solidFill>
          </w14:textFill>
        </w:rPr>
      </w:pPr>
    </w:p>
    <w:p w14:paraId="129695CD">
      <w:pPr>
        <w:rPr>
          <w:rFonts w:hint="eastAsia"/>
          <w:color w:val="000000" w:themeColor="text1"/>
          <w:highlight w:val="none"/>
          <w14:textFill>
            <w14:solidFill>
              <w14:schemeClr w14:val="tx1"/>
            </w14:solidFill>
          </w14:textFill>
        </w:rPr>
      </w:pPr>
    </w:p>
    <w:p w14:paraId="13A00A1A">
      <w:pPr>
        <w:pStyle w:val="11"/>
        <w:rPr>
          <w:rFonts w:hint="eastAsia"/>
          <w:color w:val="000000" w:themeColor="text1"/>
          <w:highlight w:val="none"/>
          <w14:textFill>
            <w14:solidFill>
              <w14:schemeClr w14:val="tx1"/>
            </w14:solidFill>
          </w14:textFill>
        </w:rPr>
      </w:pPr>
    </w:p>
    <w:p w14:paraId="576DFDD6">
      <w:pPr>
        <w:pStyle w:val="27"/>
        <w:rPr>
          <w:rFonts w:hint="eastAsia"/>
          <w:color w:val="000000" w:themeColor="text1"/>
          <w:highlight w:val="none"/>
          <w14:textFill>
            <w14:solidFill>
              <w14:schemeClr w14:val="tx1"/>
            </w14:solidFill>
          </w14:textFill>
        </w:rPr>
      </w:pPr>
    </w:p>
    <w:p w14:paraId="628542BA">
      <w:pPr>
        <w:pStyle w:val="22"/>
        <w:rPr>
          <w:rFonts w:hint="eastAsia"/>
          <w:color w:val="000000" w:themeColor="text1"/>
          <w:highlight w:val="none"/>
          <w14:textFill>
            <w14:solidFill>
              <w14:schemeClr w14:val="tx1"/>
            </w14:solidFill>
          </w14:textFill>
        </w:rPr>
      </w:pPr>
    </w:p>
    <w:p w14:paraId="04A71FAF">
      <w:pPr>
        <w:rPr>
          <w:rFonts w:hint="eastAsia"/>
          <w:color w:val="000000" w:themeColor="text1"/>
          <w:highlight w:val="none"/>
          <w14:textFill>
            <w14:solidFill>
              <w14:schemeClr w14:val="tx1"/>
            </w14:solidFill>
          </w14:textFill>
        </w:rPr>
      </w:pPr>
    </w:p>
    <w:p w14:paraId="7BDF7473">
      <w:pPr>
        <w:pStyle w:val="11"/>
        <w:rPr>
          <w:rFonts w:hint="eastAsia"/>
          <w:color w:val="000000" w:themeColor="text1"/>
          <w:highlight w:val="none"/>
          <w14:textFill>
            <w14:solidFill>
              <w14:schemeClr w14:val="tx1"/>
            </w14:solidFill>
          </w14:textFill>
        </w:rPr>
      </w:pPr>
    </w:p>
    <w:p w14:paraId="020D9A4A">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14:paraId="3074B241">
      <w:pPr>
        <w:pStyle w:val="15"/>
        <w:adjustRightInd w:val="0"/>
        <w:snapToGrid w:val="0"/>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14:paraId="27CDBEF5">
      <w:pPr>
        <w:pStyle w:val="15"/>
        <w:adjustRightInd w:val="0"/>
        <w:snapToGrid w:val="0"/>
        <w:spacing w:line="360" w:lineRule="auto"/>
        <w:jc w:val="left"/>
        <w:rPr>
          <w:rFonts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28"/>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3BD041D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685E2C3E">
            <w:pPr>
              <w:pStyle w:val="15"/>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08CD52C8">
            <w:pPr>
              <w:pStyle w:val="15"/>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369E8809">
            <w:pPr>
              <w:pStyle w:val="15"/>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36F2410B">
            <w:pPr>
              <w:pStyle w:val="15"/>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33BDED9">
            <w:pPr>
              <w:pStyle w:val="15"/>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2D62FED6">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1AF69CC">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32D4C8E">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000AF86">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06055C4">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C77C434">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8D26BC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1C9E2E6F">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AFC2588">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9A4095B">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51868FC">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AD9D2F7">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610C122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12BE82FC">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9E83573">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F02D5F9">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8211876">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DD07BCE">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6E9CBFF8">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0AD855BE">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DEA7C50">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B04D821">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02E1967">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500A2E5">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217DBCB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708AA284">
            <w:pPr>
              <w:pStyle w:val="15"/>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49293890">
            <w:pPr>
              <w:pStyle w:val="15"/>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17B40FB">
            <w:pPr>
              <w:pStyle w:val="15"/>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谈判文件技术要求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14F73029">
            <w:pPr>
              <w:pStyle w:val="15"/>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谈判响应文件技术响应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156D7E">
            <w:pPr>
              <w:pStyle w:val="15"/>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14:paraId="751A314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1AB1C562">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D2C91F3">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40F138C">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F66E903">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AF805EC">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2E75D6F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8555B9D">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4EEA3A3">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1080053">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D5E7C12">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06E2FB9">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6E3B610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7DB7650">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377B915">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81F59CC">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5279D05">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E2A7F36">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7BE483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8AB33E5">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BD417E5">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7F69C39">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3FA0515">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F2DF5D5">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28C647F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36CCB8A">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25BFFCE">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FAB7431">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68E892C">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FC681FE">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726E597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497C49C">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A2E7598">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41C2EBE">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E8E7050">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464897D">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2CC7712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14F033B">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DAC9FC4">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275A5E4">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64E68D7">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6A13B7F">
            <w:pPr>
              <w:pStyle w:val="15"/>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14:paraId="4DE25EBF">
      <w:pPr>
        <w:pStyle w:val="15"/>
        <w:adjustRightInd w:val="0"/>
        <w:snapToGrid w:val="0"/>
        <w:spacing w:line="360" w:lineRule="auto"/>
        <w:rPr>
          <w:rFonts w:hAnsi="宋体" w:cs="Times New Roman"/>
          <w:color w:val="000000" w:themeColor="text1"/>
          <w:sz w:val="24"/>
          <w:highlight w:val="none"/>
          <w14:textFill>
            <w14:solidFill>
              <w14:schemeClr w14:val="tx1"/>
            </w14:solidFill>
          </w14:textFill>
        </w:rPr>
      </w:pPr>
      <w:r>
        <w:rPr>
          <w:rFonts w:hint="eastAsia" w:hAnsi="宋体" w:cs="Times New Roman"/>
          <w:color w:val="000000" w:themeColor="text1"/>
          <w:sz w:val="24"/>
          <w:highlight w:val="none"/>
          <w14:textFill>
            <w14:solidFill>
              <w14:schemeClr w14:val="tx1"/>
            </w14:solidFill>
          </w14:textFill>
        </w:rPr>
        <w:t>备注：供应商在填写其中的“谈判响应文件产品技术响应”内容时，必须对照本谈判文件“产品技术要求”中各指标项逐条说明，写出各谈判产品的具体参数响应内容，不得以“符合”或“满足”等词语作简单回答或者完全复制本项目采购需求中参数内容，否则谈判小组有权视其谈判响应文件未响应谈判文件要求。</w:t>
      </w:r>
    </w:p>
    <w:p w14:paraId="14C4642C">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09D57A0C">
      <w:pPr>
        <w:ind w:left="420"/>
        <w:rPr>
          <w:rFonts w:ascii="宋体" w:hAnsi="宋体"/>
          <w:color w:val="000000" w:themeColor="text1"/>
          <w:sz w:val="24"/>
          <w:highlight w:val="none"/>
          <w14:textFill>
            <w14:solidFill>
              <w14:schemeClr w14:val="tx1"/>
            </w14:solidFill>
          </w14:textFill>
        </w:rPr>
      </w:pPr>
    </w:p>
    <w:p w14:paraId="3EE4524E">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3AFFCD3F">
      <w:pPr>
        <w:ind w:firstLine="435"/>
        <w:rPr>
          <w:rFonts w:ascii="宋体" w:hAnsi="宋体"/>
          <w:color w:val="000000" w:themeColor="text1"/>
          <w:sz w:val="24"/>
          <w:highlight w:val="none"/>
          <w14:textFill>
            <w14:solidFill>
              <w14:schemeClr w14:val="tx1"/>
            </w14:solidFill>
          </w14:textFill>
        </w:rPr>
      </w:pPr>
    </w:p>
    <w:p w14:paraId="7F07CEAD">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16D17AD7">
      <w:pPr>
        <w:rPr>
          <w:rFonts w:ascii="宋体" w:hAnsi="宋体"/>
          <w:color w:val="000000" w:themeColor="text1"/>
          <w:sz w:val="24"/>
          <w:highlight w:val="none"/>
          <w14:textFill>
            <w14:solidFill>
              <w14:schemeClr w14:val="tx1"/>
            </w14:solidFill>
          </w14:textFill>
        </w:rPr>
      </w:pPr>
    </w:p>
    <w:p w14:paraId="6F9E3799">
      <w:pPr>
        <w:pStyle w:val="38"/>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04721870">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14:paraId="568532E6">
      <w:pPr>
        <w:pStyle w:val="37"/>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14:paraId="71A4F4DA">
      <w:pPr>
        <w:pStyle w:val="37"/>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E2B4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10E1C53D">
            <w:pPr>
              <w:pStyle w:val="37"/>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1C32A126">
            <w:pPr>
              <w:pStyle w:val="37"/>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416EDFB7">
            <w:pPr>
              <w:pStyle w:val="37"/>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182E6B1C">
            <w:pPr>
              <w:pStyle w:val="37"/>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14:paraId="6EA04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48718088">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14:paraId="6BF59A17">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14:paraId="1ECBC46E">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566DA5D0">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r w14:paraId="202BD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C1564F2">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14:paraId="3CD8289A">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14:paraId="797A710D">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7032AE7B">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r w14:paraId="572F27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89FE8B">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14:paraId="1A77F083">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14:paraId="2D11B960">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37C484DF">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r w14:paraId="2840E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49DABAF">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14:paraId="5EC65E22">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14:paraId="66C20089">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7A1FB548">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r w14:paraId="06AD3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BB0B2">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14:paraId="4F679A32">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14:paraId="12209036">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1996B1D6">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r w14:paraId="2BE639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CE2E87">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14:paraId="1C72AC1E">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14:paraId="6590D8B9">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6AEC2831">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r w14:paraId="63101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3DB423DB">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14:paraId="2A49C61F">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14:paraId="4F0B69CD">
            <w:pPr>
              <w:pStyle w:val="37"/>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55B21409">
            <w:pPr>
              <w:pStyle w:val="37"/>
              <w:spacing w:line="360" w:lineRule="auto"/>
              <w:jc w:val="center"/>
              <w:rPr>
                <w:rFonts w:ascii="宋体" w:hAnsi="宋体" w:cs="Arial"/>
                <w:color w:val="000000" w:themeColor="text1"/>
                <w:szCs w:val="21"/>
                <w:highlight w:val="none"/>
                <w14:textFill>
                  <w14:solidFill>
                    <w14:schemeClr w14:val="tx1"/>
                  </w14:solidFill>
                </w14:textFill>
              </w:rPr>
            </w:pPr>
          </w:p>
        </w:tc>
      </w:tr>
    </w:tbl>
    <w:p w14:paraId="2B4FA1D4">
      <w:pPr>
        <w:pStyle w:val="37"/>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14:paraId="3EE729D9">
      <w:pPr>
        <w:pStyle w:val="37"/>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693983B4">
      <w:pPr>
        <w:pStyle w:val="37"/>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1.填写谈判供应商获得资质、认证或企业信誉证书。</w:t>
      </w:r>
    </w:p>
    <w:p w14:paraId="720AED8F">
      <w:pPr>
        <w:pStyle w:val="37"/>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14:paraId="0C7E9E59">
      <w:pPr>
        <w:pStyle w:val="37"/>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14:paraId="374C6966">
      <w:pPr>
        <w:pStyle w:val="37"/>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14:paraId="5768A357">
      <w:pPr>
        <w:pStyle w:val="37"/>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14:paraId="2A2BD35E">
      <w:pPr>
        <w:pStyle w:val="37"/>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14:paraId="2D21DE49">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32305597">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53A1FD4">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7FDD302B">
      <w:pPr>
        <w:spacing w:line="360" w:lineRule="auto"/>
        <w:ind w:firstLine="435"/>
        <w:rPr>
          <w:rFonts w:ascii="宋体" w:hAnsi="宋体"/>
          <w:color w:val="000000" w:themeColor="text1"/>
          <w:sz w:val="24"/>
          <w:highlight w:val="none"/>
          <w14:textFill>
            <w14:solidFill>
              <w14:schemeClr w14:val="tx1"/>
            </w14:solidFill>
          </w14:textFill>
        </w:rPr>
      </w:pPr>
    </w:p>
    <w:p w14:paraId="40618686">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D308BED">
      <w:pPr>
        <w:spacing w:line="360" w:lineRule="auto"/>
        <w:ind w:firstLine="435"/>
        <w:rPr>
          <w:rFonts w:ascii="宋体" w:hAnsi="宋体"/>
          <w:color w:val="000000" w:themeColor="text1"/>
          <w:sz w:val="24"/>
          <w:highlight w:val="none"/>
          <w14:textFill>
            <w14:solidFill>
              <w14:schemeClr w14:val="tx1"/>
            </w14:solidFill>
          </w14:textFill>
        </w:rPr>
      </w:pPr>
    </w:p>
    <w:p w14:paraId="1C3645F6">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64457904">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14:paraId="03AF1BE3">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14:paraId="217D0BF2">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14:paraId="1FC6CAAA">
      <w:pPr>
        <w:pStyle w:val="4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14:paraId="154D983E">
      <w:pPr>
        <w:pStyle w:val="40"/>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6BA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123552C">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5AB3DFA">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78C4A14">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901BDD5">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C5B2CFB">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D1FDA7B">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BA1F679">
            <w:pPr>
              <w:pStyle w:val="4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14:paraId="2050C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A3CA628">
            <w:pPr>
              <w:pStyle w:val="40"/>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3211D1C8">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997E855">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4E304D3">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E2F267D">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85FCF9F">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F068F27">
            <w:pPr>
              <w:pStyle w:val="40"/>
              <w:spacing w:line="360" w:lineRule="auto"/>
              <w:rPr>
                <w:rFonts w:ascii="宋体" w:hAnsi="宋体" w:cs="Arial"/>
                <w:color w:val="000000" w:themeColor="text1"/>
                <w:sz w:val="24"/>
                <w:highlight w:val="none"/>
                <w14:textFill>
                  <w14:solidFill>
                    <w14:schemeClr w14:val="tx1"/>
                  </w14:solidFill>
                </w14:textFill>
              </w:rPr>
            </w:pPr>
          </w:p>
        </w:tc>
      </w:tr>
      <w:tr w14:paraId="32B03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2330DDA">
            <w:pPr>
              <w:pStyle w:val="40"/>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79A0D631">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38E7742">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954053F">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C2A10C2">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3782E49">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68B9C20">
            <w:pPr>
              <w:pStyle w:val="40"/>
              <w:spacing w:line="360" w:lineRule="auto"/>
              <w:rPr>
                <w:rFonts w:ascii="宋体" w:hAnsi="宋体" w:cs="Arial"/>
                <w:color w:val="000000" w:themeColor="text1"/>
                <w:sz w:val="24"/>
                <w:highlight w:val="none"/>
                <w14:textFill>
                  <w14:solidFill>
                    <w14:schemeClr w14:val="tx1"/>
                  </w14:solidFill>
                </w14:textFill>
              </w:rPr>
            </w:pPr>
          </w:p>
        </w:tc>
      </w:tr>
      <w:tr w14:paraId="0FF9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9C5F698">
            <w:pPr>
              <w:pStyle w:val="40"/>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21409807">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9B91F2C">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63B248D">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FBBC6E9">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B7C476B">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90CBF94">
            <w:pPr>
              <w:pStyle w:val="40"/>
              <w:spacing w:line="360" w:lineRule="auto"/>
              <w:rPr>
                <w:rFonts w:ascii="宋体" w:hAnsi="宋体" w:cs="Arial"/>
                <w:color w:val="000000" w:themeColor="text1"/>
                <w:sz w:val="24"/>
                <w:highlight w:val="none"/>
                <w14:textFill>
                  <w14:solidFill>
                    <w14:schemeClr w14:val="tx1"/>
                  </w14:solidFill>
                </w14:textFill>
              </w:rPr>
            </w:pPr>
          </w:p>
        </w:tc>
      </w:tr>
      <w:tr w14:paraId="54169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F0DAA99">
            <w:pPr>
              <w:pStyle w:val="40"/>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6286E334">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B71FCE7">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1857CA5">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B9637F0">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EC9F21F">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0FFB042">
            <w:pPr>
              <w:pStyle w:val="40"/>
              <w:spacing w:line="360" w:lineRule="auto"/>
              <w:rPr>
                <w:rFonts w:ascii="宋体" w:hAnsi="宋体" w:cs="Arial"/>
                <w:color w:val="000000" w:themeColor="text1"/>
                <w:sz w:val="24"/>
                <w:highlight w:val="none"/>
                <w14:textFill>
                  <w14:solidFill>
                    <w14:schemeClr w14:val="tx1"/>
                  </w14:solidFill>
                </w14:textFill>
              </w:rPr>
            </w:pPr>
          </w:p>
        </w:tc>
      </w:tr>
      <w:tr w14:paraId="091E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A521ADA">
            <w:pPr>
              <w:pStyle w:val="40"/>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0E4DE7FF">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A633F79">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AAB9408">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CCA22A0">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0504EA5">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162CEEB">
            <w:pPr>
              <w:pStyle w:val="40"/>
              <w:spacing w:line="360" w:lineRule="auto"/>
              <w:rPr>
                <w:rFonts w:ascii="宋体" w:hAnsi="宋体" w:cs="Arial"/>
                <w:color w:val="000000" w:themeColor="text1"/>
                <w:sz w:val="24"/>
                <w:highlight w:val="none"/>
                <w14:textFill>
                  <w14:solidFill>
                    <w14:schemeClr w14:val="tx1"/>
                  </w14:solidFill>
                </w14:textFill>
              </w:rPr>
            </w:pPr>
          </w:p>
        </w:tc>
      </w:tr>
      <w:tr w14:paraId="170E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2464B6F">
            <w:pPr>
              <w:pStyle w:val="40"/>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D73AAC0">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CE33A0B">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B63FF29">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B53251C">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776E986">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25D8F15">
            <w:pPr>
              <w:pStyle w:val="40"/>
              <w:spacing w:line="360" w:lineRule="auto"/>
              <w:rPr>
                <w:rFonts w:ascii="宋体" w:hAnsi="宋体" w:cs="Arial"/>
                <w:color w:val="000000" w:themeColor="text1"/>
                <w:sz w:val="24"/>
                <w:highlight w:val="none"/>
                <w14:textFill>
                  <w14:solidFill>
                    <w14:schemeClr w14:val="tx1"/>
                  </w14:solidFill>
                </w14:textFill>
              </w:rPr>
            </w:pPr>
          </w:p>
        </w:tc>
      </w:tr>
      <w:tr w14:paraId="5B4E6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D5BBD46">
            <w:pPr>
              <w:pStyle w:val="40"/>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74A3F88">
            <w:pPr>
              <w:pStyle w:val="40"/>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E06D8C1">
            <w:pPr>
              <w:pStyle w:val="40"/>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A87595D">
            <w:pPr>
              <w:pStyle w:val="40"/>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C01A08F">
            <w:pPr>
              <w:pStyle w:val="40"/>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DA0F844">
            <w:pPr>
              <w:pStyle w:val="40"/>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C6CDBE4">
            <w:pPr>
              <w:pStyle w:val="40"/>
              <w:spacing w:line="360" w:lineRule="auto"/>
              <w:rPr>
                <w:rFonts w:ascii="宋体" w:hAnsi="宋体" w:cs="Arial"/>
                <w:color w:val="000000" w:themeColor="text1"/>
                <w:sz w:val="24"/>
                <w:highlight w:val="none"/>
                <w14:textFill>
                  <w14:solidFill>
                    <w14:schemeClr w14:val="tx1"/>
                  </w14:solidFill>
                </w14:textFill>
              </w:rPr>
            </w:pPr>
          </w:p>
        </w:tc>
      </w:tr>
    </w:tbl>
    <w:p w14:paraId="07C623C6">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14:paraId="5520FF61">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复印件可只提供首页、含金额页、盖章页并加盖谈判供应商公章</w:t>
      </w:r>
      <w:r>
        <w:rPr>
          <w:rFonts w:ascii="宋体" w:hAnsi="宋体" w:cs="Arial"/>
          <w:color w:val="000000" w:themeColor="text1"/>
          <w:szCs w:val="21"/>
          <w:highlight w:val="none"/>
          <w14:textFill>
            <w14:solidFill>
              <w14:schemeClr w14:val="tx1"/>
            </w14:solidFill>
          </w14:textFill>
        </w:rPr>
        <w:t>）；</w:t>
      </w:r>
    </w:p>
    <w:p w14:paraId="73F41354">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.谈判供应商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14:paraId="33ED745D">
      <w:pPr>
        <w:spacing w:line="360" w:lineRule="auto"/>
        <w:rPr>
          <w:rFonts w:ascii="宋体" w:hAnsi="宋体"/>
          <w:color w:val="000000" w:themeColor="text1"/>
          <w:sz w:val="22"/>
          <w:szCs w:val="22"/>
          <w:highlight w:val="none"/>
          <w14:textFill>
            <w14:solidFill>
              <w14:schemeClr w14:val="tx1"/>
            </w14:solidFill>
          </w14:textFill>
        </w:rPr>
      </w:pPr>
    </w:p>
    <w:p w14:paraId="5CA1F074">
      <w:pPr>
        <w:spacing w:line="360" w:lineRule="auto"/>
        <w:rPr>
          <w:rFonts w:ascii="宋体" w:hAnsi="宋体"/>
          <w:color w:val="000000" w:themeColor="text1"/>
          <w:sz w:val="22"/>
          <w:szCs w:val="22"/>
          <w:highlight w:val="none"/>
          <w14:textFill>
            <w14:solidFill>
              <w14:schemeClr w14:val="tx1"/>
            </w14:solidFill>
          </w14:textFill>
        </w:rPr>
      </w:pPr>
    </w:p>
    <w:p w14:paraId="04B81A88">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42ABB6EF">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542B0C3">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4686CC34">
      <w:pPr>
        <w:spacing w:line="360" w:lineRule="auto"/>
        <w:ind w:firstLine="435"/>
        <w:rPr>
          <w:rFonts w:ascii="宋体" w:hAnsi="宋体"/>
          <w:color w:val="000000" w:themeColor="text1"/>
          <w:sz w:val="24"/>
          <w:highlight w:val="none"/>
          <w14:textFill>
            <w14:solidFill>
              <w14:schemeClr w14:val="tx1"/>
            </w14:solidFill>
          </w14:textFill>
        </w:rPr>
      </w:pPr>
    </w:p>
    <w:p w14:paraId="5F85062D">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5C9BF14F">
      <w:pPr>
        <w:spacing w:line="360" w:lineRule="auto"/>
        <w:ind w:firstLine="435"/>
        <w:rPr>
          <w:rFonts w:ascii="宋体" w:hAnsi="宋体"/>
          <w:color w:val="000000" w:themeColor="text1"/>
          <w:sz w:val="24"/>
          <w:highlight w:val="none"/>
          <w14:textFill>
            <w14:solidFill>
              <w14:schemeClr w14:val="tx1"/>
            </w14:solidFill>
          </w14:textFill>
        </w:rPr>
      </w:pPr>
    </w:p>
    <w:p w14:paraId="5B7A79C1">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44C99E51">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14:paraId="294B32D1">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附件11:  </w:t>
      </w:r>
      <w:r>
        <w:rPr>
          <w:rFonts w:ascii="宋体" w:hAnsi="宋体"/>
          <w:b/>
          <w:color w:val="000000" w:themeColor="text1"/>
          <w:sz w:val="28"/>
          <w:highlight w:val="none"/>
          <w14:textFill>
            <w14:solidFill>
              <w14:schemeClr w14:val="tx1"/>
            </w14:solidFill>
          </w14:textFill>
        </w:rPr>
        <w:tab/>
      </w:r>
    </w:p>
    <w:p w14:paraId="13F907A3">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14:paraId="3FE7DFA6">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67D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1731458A">
            <w:pPr>
              <w:pStyle w:val="4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14:paraId="6DBF320D">
            <w:pPr>
              <w:pStyle w:val="4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14:paraId="2DE4CD9C">
            <w:pPr>
              <w:pStyle w:val="4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谈判供应商承诺</w:t>
            </w:r>
          </w:p>
        </w:tc>
        <w:tc>
          <w:tcPr>
            <w:tcW w:w="1373" w:type="dxa"/>
            <w:vAlign w:val="center"/>
          </w:tcPr>
          <w:p w14:paraId="292FEA42">
            <w:pPr>
              <w:pStyle w:val="4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14:paraId="0EB076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7B7A12F9">
            <w:pPr>
              <w:pStyle w:val="4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Align w:val="center"/>
          </w:tcPr>
          <w:p w14:paraId="025D3328">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服务期内售后服务情况(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14:paraId="7DD4B0C4">
            <w:pPr>
              <w:pStyle w:val="4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谈判供应商售后服务情况：</w:t>
            </w:r>
          </w:p>
        </w:tc>
        <w:tc>
          <w:tcPr>
            <w:tcW w:w="1373" w:type="dxa"/>
          </w:tcPr>
          <w:p w14:paraId="7F6E7937">
            <w:pPr>
              <w:pStyle w:val="41"/>
              <w:spacing w:line="360" w:lineRule="auto"/>
              <w:rPr>
                <w:rFonts w:ascii="宋体" w:hAnsi="宋体" w:cs="Arial"/>
                <w:bCs/>
                <w:color w:val="000000" w:themeColor="text1"/>
                <w:sz w:val="24"/>
                <w:highlight w:val="none"/>
                <w14:textFill>
                  <w14:solidFill>
                    <w14:schemeClr w14:val="tx1"/>
                  </w14:solidFill>
                </w14:textFill>
              </w:rPr>
            </w:pPr>
          </w:p>
        </w:tc>
      </w:tr>
      <w:tr w14:paraId="622EB8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5D1B7EB">
            <w:pPr>
              <w:pStyle w:val="4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14:paraId="7243C931">
            <w:pPr>
              <w:pStyle w:val="41"/>
              <w:spacing w:line="360" w:lineRule="auto"/>
              <w:rPr>
                <w:rFonts w:ascii="宋体" w:hAnsi="宋体" w:cs="Arial"/>
                <w:bCs/>
                <w:color w:val="000000" w:themeColor="text1"/>
                <w:sz w:val="24"/>
                <w:highlight w:val="none"/>
                <w14:textFill>
                  <w14:solidFill>
                    <w14:schemeClr w14:val="tx1"/>
                  </w14:solidFill>
                </w14:textFill>
              </w:rPr>
            </w:pPr>
          </w:p>
        </w:tc>
        <w:tc>
          <w:tcPr>
            <w:tcW w:w="4061" w:type="dxa"/>
          </w:tcPr>
          <w:p w14:paraId="53515EA3">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p w14:paraId="29462184">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p w14:paraId="374B6282">
            <w:pPr>
              <w:pStyle w:val="41"/>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14:paraId="608762BD">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p w14:paraId="4CC29D58">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p w14:paraId="05256718">
            <w:pPr>
              <w:pStyle w:val="41"/>
              <w:spacing w:line="360" w:lineRule="auto"/>
              <w:rPr>
                <w:rFonts w:ascii="宋体" w:hAnsi="宋体" w:cs="Arial"/>
                <w:bCs/>
                <w:color w:val="000000" w:themeColor="text1"/>
                <w:sz w:val="24"/>
                <w:highlight w:val="none"/>
                <w14:textFill>
                  <w14:solidFill>
                    <w14:schemeClr w14:val="tx1"/>
                  </w14:solidFill>
                </w14:textFill>
              </w:rPr>
            </w:pPr>
          </w:p>
        </w:tc>
      </w:tr>
      <w:tr w14:paraId="012073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5078E333">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14:paraId="4461ED28">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14:paraId="35D58BCE">
            <w:pPr>
              <w:pStyle w:val="41"/>
              <w:widowControl/>
              <w:spacing w:line="360" w:lineRule="auto"/>
              <w:jc w:val="left"/>
              <w:rPr>
                <w:rFonts w:ascii="宋体" w:hAnsi="宋体" w:cs="Arial"/>
                <w:bCs/>
                <w:i/>
                <w:color w:val="000000" w:themeColor="text1"/>
                <w:sz w:val="24"/>
                <w:highlight w:val="none"/>
                <w14:textFill>
                  <w14:solidFill>
                    <w14:schemeClr w14:val="tx1"/>
                  </w14:solidFill>
                </w14:textFill>
              </w:rPr>
            </w:pPr>
          </w:p>
          <w:p w14:paraId="25B7F609">
            <w:pPr>
              <w:pStyle w:val="41"/>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14:paraId="0D3244B0">
            <w:pPr>
              <w:pStyle w:val="41"/>
              <w:widowControl/>
              <w:spacing w:line="360" w:lineRule="auto"/>
              <w:jc w:val="left"/>
              <w:rPr>
                <w:rFonts w:ascii="宋体" w:hAnsi="宋体" w:cs="Arial"/>
                <w:bCs/>
                <w:i/>
                <w:color w:val="000000" w:themeColor="text1"/>
                <w:sz w:val="24"/>
                <w:highlight w:val="none"/>
                <w14:textFill>
                  <w14:solidFill>
                    <w14:schemeClr w14:val="tx1"/>
                  </w14:solidFill>
                </w14:textFill>
              </w:rPr>
            </w:pPr>
          </w:p>
          <w:p w14:paraId="66D6D843">
            <w:pPr>
              <w:pStyle w:val="41"/>
              <w:widowControl/>
              <w:spacing w:line="360" w:lineRule="auto"/>
              <w:jc w:val="left"/>
              <w:rPr>
                <w:rFonts w:ascii="宋体" w:hAnsi="宋体" w:cs="Arial"/>
                <w:bCs/>
                <w:i/>
                <w:color w:val="000000" w:themeColor="text1"/>
                <w:sz w:val="24"/>
                <w:highlight w:val="none"/>
                <w14:textFill>
                  <w14:solidFill>
                    <w14:schemeClr w14:val="tx1"/>
                  </w14:solidFill>
                </w14:textFill>
              </w:rPr>
            </w:pPr>
          </w:p>
          <w:p w14:paraId="50A49348">
            <w:pPr>
              <w:pStyle w:val="41"/>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14:paraId="29A96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587894A9">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14:paraId="1F648145">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14:paraId="32F5A3E9">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14:paraId="37E3A77C">
            <w:pPr>
              <w:pStyle w:val="41"/>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14:paraId="636C2EE7">
      <w:pPr>
        <w:spacing w:line="360" w:lineRule="auto"/>
        <w:ind w:left="420"/>
        <w:rPr>
          <w:rFonts w:ascii="宋体" w:hAnsi="宋体"/>
          <w:color w:val="000000" w:themeColor="text1"/>
          <w:sz w:val="24"/>
          <w:highlight w:val="none"/>
          <w14:textFill>
            <w14:solidFill>
              <w14:schemeClr w14:val="tx1"/>
            </w14:solidFill>
          </w14:textFill>
        </w:rPr>
      </w:pPr>
    </w:p>
    <w:p w14:paraId="17EFB4D5">
      <w:pPr>
        <w:spacing w:line="360" w:lineRule="auto"/>
        <w:ind w:left="420"/>
        <w:rPr>
          <w:rFonts w:ascii="宋体" w:hAnsi="宋体"/>
          <w:color w:val="000000" w:themeColor="text1"/>
          <w:sz w:val="24"/>
          <w:highlight w:val="none"/>
          <w14:textFill>
            <w14:solidFill>
              <w14:schemeClr w14:val="tx1"/>
            </w14:solidFill>
          </w14:textFill>
        </w:rPr>
      </w:pPr>
    </w:p>
    <w:p w14:paraId="28409848">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22D37A50">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66F375FC">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673BD842">
      <w:pPr>
        <w:spacing w:line="360" w:lineRule="auto"/>
        <w:ind w:firstLine="435"/>
        <w:rPr>
          <w:rFonts w:ascii="宋体" w:hAnsi="宋体"/>
          <w:color w:val="000000" w:themeColor="text1"/>
          <w:sz w:val="24"/>
          <w:highlight w:val="none"/>
          <w14:textFill>
            <w14:solidFill>
              <w14:schemeClr w14:val="tx1"/>
            </w14:solidFill>
          </w14:textFill>
        </w:rPr>
      </w:pPr>
    </w:p>
    <w:p w14:paraId="54AFC8D4">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2CE64DA">
      <w:pPr>
        <w:spacing w:line="360" w:lineRule="auto"/>
        <w:ind w:firstLine="435"/>
        <w:rPr>
          <w:rFonts w:ascii="宋体" w:hAnsi="宋体"/>
          <w:color w:val="000000" w:themeColor="text1"/>
          <w:sz w:val="24"/>
          <w:highlight w:val="none"/>
          <w14:textFill>
            <w14:solidFill>
              <w14:schemeClr w14:val="tx1"/>
            </w14:solidFill>
          </w14:textFill>
        </w:rPr>
      </w:pPr>
    </w:p>
    <w:p w14:paraId="73089895">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3B351C06">
      <w:pPr>
        <w:spacing w:line="360" w:lineRule="auto"/>
        <w:ind w:firstLine="435"/>
        <w:rPr>
          <w:rFonts w:ascii="宋体" w:hAnsi="宋体"/>
          <w:color w:val="000000" w:themeColor="text1"/>
          <w:sz w:val="24"/>
          <w:highlight w:val="none"/>
          <w:u w:val="single"/>
          <w14:textFill>
            <w14:solidFill>
              <w14:schemeClr w14:val="tx1"/>
            </w14:solidFill>
          </w14:textFill>
        </w:rPr>
      </w:pPr>
    </w:p>
    <w:p w14:paraId="18CF7862">
      <w:pPr>
        <w:spacing w:line="360" w:lineRule="auto"/>
        <w:rPr>
          <w:rFonts w:ascii="宋体" w:hAnsi="宋体"/>
          <w:b/>
          <w:color w:val="000000" w:themeColor="text1"/>
          <w:sz w:val="28"/>
          <w:highlight w:val="none"/>
          <w14:textFill>
            <w14:solidFill>
              <w14:schemeClr w14:val="tx1"/>
            </w14:solidFill>
          </w14:textFill>
        </w:rPr>
      </w:pPr>
    </w:p>
    <w:p w14:paraId="418C711B">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14:paraId="442CD5A9">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14:paraId="346871BE">
      <w:pPr>
        <w:spacing w:line="360" w:lineRule="atLeast"/>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14:paraId="02CA645E">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1DF01A25">
      <w:pPr>
        <w:pStyle w:val="15"/>
        <w:spacing w:line="320" w:lineRule="exact"/>
        <w:rPr>
          <w:rFonts w:hAnsi="宋体"/>
          <w:b/>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14:textFill>
            <w14:solidFill>
              <w14:schemeClr w14:val="tx1"/>
            </w14:solidFill>
          </w14:textFill>
        </w:rPr>
        <w:t xml:space="preserve">                 </w:t>
      </w:r>
    </w:p>
    <w:p w14:paraId="0F6FF7BE">
      <w:pPr>
        <w:pStyle w:val="45"/>
        <w:spacing w:line="360" w:lineRule="auto"/>
        <w:ind w:right="480" w:firstLine="241" w:firstLineChars="10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stheme="minorBidi"/>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tbl>
      <w:tblPr>
        <w:tblStyle w:val="28"/>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5D5B4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14:paraId="2393EF35">
            <w:pPr>
              <w:autoSpaceDE w:val="0"/>
              <w:autoSpaceDN w:val="0"/>
              <w:spacing w:line="450" w:lineRule="exact"/>
              <w:jc w:val="center"/>
              <w:textAlignment w:val="bottom"/>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投标报价（折扣率）</w:t>
            </w:r>
          </w:p>
        </w:tc>
        <w:tc>
          <w:tcPr>
            <w:tcW w:w="1349" w:type="dxa"/>
            <w:tcBorders>
              <w:tl2br w:val="nil"/>
              <w:tr2bl w:val="nil"/>
            </w:tcBorders>
            <w:vAlign w:val="center"/>
          </w:tcPr>
          <w:p w14:paraId="0388DCD5">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l2br w:val="nil"/>
              <w:tr2bl w:val="nil"/>
            </w:tcBorders>
            <w:vAlign w:val="center"/>
          </w:tcPr>
          <w:p w14:paraId="72921BFC">
            <w:pPr>
              <w:autoSpaceDE w:val="0"/>
              <w:autoSpaceDN w:val="0"/>
              <w:spacing w:line="450" w:lineRule="exact"/>
              <w:ind w:firstLine="960" w:firstLineChars="400"/>
              <w:jc w:val="both"/>
              <w:textAlignment w:val="bottom"/>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 xml:space="preserve">百分之           </w:t>
            </w:r>
          </w:p>
        </w:tc>
      </w:tr>
      <w:tr w14:paraId="7AFE3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14:paraId="13FD52EE">
            <w:pPr>
              <w:rPr>
                <w:rFonts w:ascii="宋体" w:hAnsi="宋体"/>
                <w:color w:val="000000" w:themeColor="text1"/>
                <w:sz w:val="24"/>
                <w:highlight w:val="none"/>
                <w14:textFill>
                  <w14:solidFill>
                    <w14:schemeClr w14:val="tx1"/>
                  </w14:solidFill>
                </w14:textFill>
              </w:rPr>
            </w:pPr>
          </w:p>
        </w:tc>
        <w:tc>
          <w:tcPr>
            <w:tcW w:w="1349" w:type="dxa"/>
            <w:tcBorders>
              <w:tl2br w:val="nil"/>
              <w:tr2bl w:val="nil"/>
            </w:tcBorders>
            <w:vAlign w:val="center"/>
          </w:tcPr>
          <w:p w14:paraId="673F75A0">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l2br w:val="nil"/>
              <w:tr2bl w:val="nil"/>
            </w:tcBorders>
            <w:vAlign w:val="center"/>
          </w:tcPr>
          <w:p w14:paraId="365A3A1C">
            <w:pPr>
              <w:autoSpaceDE w:val="0"/>
              <w:autoSpaceDN w:val="0"/>
              <w:spacing w:line="450" w:lineRule="exact"/>
              <w:ind w:firstLine="720" w:firstLineChars="300"/>
              <w:jc w:val="both"/>
              <w:textAlignment w:val="bottom"/>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 xml:space="preserve">                       % </w:t>
            </w:r>
          </w:p>
        </w:tc>
      </w:tr>
    </w:tbl>
    <w:p w14:paraId="53E7AF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填报说明：</w:t>
      </w:r>
    </w:p>
    <w:p w14:paraId="6CE5B592">
      <w:pPr>
        <w:pStyle w:val="7"/>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折扣率</w:t>
      </w:r>
      <w:r>
        <w:rPr>
          <w:rFonts w:hint="eastAsia" w:ascii="宋体" w:hAnsi="宋体"/>
          <w:color w:val="000000" w:themeColor="text1"/>
          <w:kern w:val="0"/>
          <w:sz w:val="24"/>
          <w:szCs w:val="24"/>
          <w:highlight w:val="none"/>
          <w14:textFill>
            <w14:solidFill>
              <w14:schemeClr w14:val="tx1"/>
            </w14:solidFill>
          </w14:textFill>
        </w:rPr>
        <w:t>是包括</w:t>
      </w:r>
      <w:r>
        <w:rPr>
          <w:rFonts w:hint="eastAsia" w:ascii="宋体" w:hAnsi="宋体"/>
          <w:color w:val="000000" w:themeColor="text1"/>
          <w:kern w:val="0"/>
          <w:sz w:val="24"/>
          <w:szCs w:val="24"/>
          <w:highlight w:val="none"/>
          <w:lang w:val="en-US" w:eastAsia="zh-CN"/>
          <w14:textFill>
            <w14:solidFill>
              <w14:schemeClr w14:val="tx1"/>
            </w14:solidFill>
          </w14:textFill>
        </w:rPr>
        <w:t>人工费、</w:t>
      </w:r>
      <w:r>
        <w:rPr>
          <w:rFonts w:hint="eastAsia" w:ascii="宋体" w:hAnsi="宋体"/>
          <w:color w:val="000000" w:themeColor="text1"/>
          <w:kern w:val="0"/>
          <w:sz w:val="24"/>
          <w:szCs w:val="24"/>
          <w:highlight w:val="none"/>
          <w14:textFill>
            <w14:solidFill>
              <w14:schemeClr w14:val="tx1"/>
            </w14:solidFill>
          </w14:textFill>
        </w:rPr>
        <w:t>货款、标准附件、备品备件、专用工具、包装、运输、装卸、保险、税金、货到就位以及安装、调试、培训、保修、合同包含的所有风险责任等各项费用及不可预见费等所需的全部费用。</w:t>
      </w:r>
    </w:p>
    <w:p w14:paraId="2ADFAC40">
      <w:pPr>
        <w:pStyle w:val="7"/>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报价一经涂改，应在涂改处加盖单位公章，或者由法定代表人或全权代表签字或盖章，否则作无效响应处理。</w:t>
      </w:r>
    </w:p>
    <w:p w14:paraId="730B04AC">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b/>
          <w:bCs/>
          <w:color w:val="000000" w:themeColor="text1"/>
          <w:kern w:val="0"/>
          <w:sz w:val="24"/>
          <w:szCs w:val="24"/>
          <w:highlight w:val="none"/>
          <w:u w:val="single"/>
          <w:lang w:val="en-US" w:eastAsia="zh-CN"/>
          <w14:textFill>
            <w14:solidFill>
              <w14:schemeClr w14:val="tx1"/>
            </w14:solidFill>
          </w14:textFill>
        </w:rPr>
        <w:t>3.基准：按政府有关部门的审核结算为准（或委托中介机构进行审核）。</w:t>
      </w:r>
    </w:p>
    <w:p w14:paraId="26223C63">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b/>
          <w:bCs/>
          <w:color w:val="000000" w:themeColor="text1"/>
          <w:kern w:val="0"/>
          <w:sz w:val="24"/>
          <w:szCs w:val="24"/>
          <w:highlight w:val="none"/>
          <w:u w:val="single"/>
          <w:lang w:val="en-US" w:eastAsia="zh-CN"/>
          <w14:textFill>
            <w14:solidFill>
              <w14:schemeClr w14:val="tx1"/>
            </w14:solidFill>
          </w14:textFill>
        </w:rPr>
        <w:t>工程结算：按政府有关部门的审核结算为准（或委托中介机构进行审核）*成交折扣率。</w:t>
      </w:r>
    </w:p>
    <w:p w14:paraId="1C8F328B">
      <w:pPr>
        <w:pStyle w:val="22"/>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b/>
          <w:bCs/>
          <w:color w:val="000000" w:themeColor="text1"/>
          <w:kern w:val="0"/>
          <w:sz w:val="24"/>
          <w:szCs w:val="24"/>
          <w:highlight w:val="none"/>
          <w:u w:val="single"/>
          <w:lang w:val="en-US" w:eastAsia="zh-CN"/>
          <w14:textFill>
            <w14:solidFill>
              <w14:schemeClr w14:val="tx1"/>
            </w14:solidFill>
          </w14:textFill>
        </w:rPr>
        <w:t>4.最高限价：88%，报价要求：允许小数点后两位。超过最高限价的供应商为无效报价。</w:t>
      </w:r>
    </w:p>
    <w:p w14:paraId="76C12728">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14:textFill>
            <w14:solidFill>
              <w14:schemeClr w14:val="tx1"/>
            </w14:solidFill>
          </w14:textFill>
        </w:rPr>
      </w:pPr>
    </w:p>
    <w:p w14:paraId="7852F259">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14:textFill>
            <w14:solidFill>
              <w14:schemeClr w14:val="tx1"/>
            </w14:solidFill>
          </w14:textFill>
        </w:rPr>
      </w:pPr>
    </w:p>
    <w:p w14:paraId="334D1668">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谈判供应商名称（盖章）：</w:t>
      </w:r>
      <w:r>
        <w:rPr>
          <w:rFonts w:hint="eastAsia" w:ascii="宋体" w:hAnsi="宋体"/>
          <w:color w:val="000000" w:themeColor="text1"/>
          <w:sz w:val="24"/>
          <w:szCs w:val="24"/>
          <w:highlight w:val="none"/>
          <w:u w:val="single"/>
          <w14:textFill>
            <w14:solidFill>
              <w14:schemeClr w14:val="tx1"/>
            </w14:solidFill>
          </w14:textFill>
        </w:rPr>
        <w:t xml:space="preserve">                      </w:t>
      </w:r>
    </w:p>
    <w:p w14:paraId="652C7A0D">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谈判供应商代表签字：</w:t>
      </w:r>
      <w:r>
        <w:rPr>
          <w:rFonts w:hint="eastAsia" w:ascii="宋体" w:hAnsi="宋体"/>
          <w:color w:val="000000" w:themeColor="text1"/>
          <w:sz w:val="24"/>
          <w:szCs w:val="24"/>
          <w:highlight w:val="none"/>
          <w:u w:val="single"/>
          <w14:textFill>
            <w14:solidFill>
              <w14:schemeClr w14:val="tx1"/>
            </w14:solidFill>
          </w14:textFill>
        </w:rPr>
        <w:t xml:space="preserve">                          </w:t>
      </w:r>
    </w:p>
    <w:p w14:paraId="75C0AA6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        务：</w:t>
      </w:r>
      <w:r>
        <w:rPr>
          <w:rFonts w:hint="eastAsia" w:ascii="宋体" w:hAnsi="宋体"/>
          <w:color w:val="000000" w:themeColor="text1"/>
          <w:sz w:val="24"/>
          <w:szCs w:val="24"/>
          <w:highlight w:val="none"/>
          <w:u w:val="single"/>
          <w14:textFill>
            <w14:solidFill>
              <w14:schemeClr w14:val="tx1"/>
            </w14:solidFill>
          </w14:textFill>
        </w:rPr>
        <w:t xml:space="preserve">                                </w:t>
      </w:r>
    </w:p>
    <w:p w14:paraId="485D73D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        期：</w:t>
      </w:r>
      <w:r>
        <w:rPr>
          <w:rFonts w:hint="eastAsia" w:ascii="宋体" w:hAnsi="宋体"/>
          <w:color w:val="000000" w:themeColor="text1"/>
          <w:sz w:val="24"/>
          <w:szCs w:val="24"/>
          <w:highlight w:val="none"/>
          <w:u w:val="single"/>
          <w14:textFill>
            <w14:solidFill>
              <w14:schemeClr w14:val="tx1"/>
            </w14:solidFill>
          </w14:textFill>
        </w:rPr>
        <w:t xml:space="preserve">                                </w:t>
      </w:r>
    </w:p>
    <w:p w14:paraId="7C2590A5">
      <w:pPr>
        <w:spacing w:line="320" w:lineRule="exact"/>
        <w:ind w:firstLine="435"/>
        <w:rPr>
          <w:rFonts w:ascii="宋体" w:hAnsi="宋体"/>
          <w:color w:val="000000" w:themeColor="text1"/>
          <w:sz w:val="24"/>
          <w:highlight w:val="none"/>
          <w14:textFill>
            <w14:solidFill>
              <w14:schemeClr w14:val="tx1"/>
            </w14:solidFill>
          </w14:textFill>
        </w:rPr>
      </w:pPr>
    </w:p>
    <w:p w14:paraId="14132D22">
      <w:pPr>
        <w:spacing w:line="320" w:lineRule="exact"/>
        <w:ind w:firstLine="435"/>
        <w:rPr>
          <w:rFonts w:ascii="宋体" w:hAnsi="宋体"/>
          <w:color w:val="000000" w:themeColor="text1"/>
          <w:sz w:val="24"/>
          <w:highlight w:val="none"/>
          <w14:textFill>
            <w14:solidFill>
              <w14:schemeClr w14:val="tx1"/>
            </w14:solidFill>
          </w14:textFill>
        </w:rPr>
      </w:pPr>
    </w:p>
    <w:p w14:paraId="67D68283">
      <w:pPr>
        <w:spacing w:line="360" w:lineRule="auto"/>
        <w:rPr>
          <w:rFonts w:ascii="宋体" w:hAnsi="宋体"/>
          <w:b/>
          <w:color w:val="000000" w:themeColor="text1"/>
          <w:sz w:val="28"/>
          <w:highlight w:val="none"/>
          <w14:textFill>
            <w14:solidFill>
              <w14:schemeClr w14:val="tx1"/>
            </w14:solidFill>
          </w14:textFill>
        </w:rPr>
      </w:pPr>
    </w:p>
    <w:p w14:paraId="2B70794F">
      <w:pPr>
        <w:pStyle w:val="27"/>
        <w:rPr>
          <w:color w:val="000000" w:themeColor="text1"/>
          <w:highlight w:val="none"/>
          <w14:textFill>
            <w14:solidFill>
              <w14:schemeClr w14:val="tx1"/>
            </w14:solidFill>
          </w14:textFill>
        </w:rPr>
      </w:pPr>
    </w:p>
    <w:p w14:paraId="0CB4DBF5">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14:paraId="2CA7DD39">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14:paraId="1BE6D54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项目编号：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tbl>
      <w:tblPr>
        <w:tblStyle w:val="28"/>
        <w:tblW w:w="82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709"/>
        <w:gridCol w:w="3735"/>
      </w:tblGrid>
      <w:tr w14:paraId="5350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64" w:type="dxa"/>
            <w:vAlign w:val="center"/>
          </w:tcPr>
          <w:p w14:paraId="1A78FBE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序号</w:t>
            </w:r>
          </w:p>
        </w:tc>
        <w:tc>
          <w:tcPr>
            <w:tcW w:w="3709" w:type="dxa"/>
            <w:vAlign w:val="center"/>
          </w:tcPr>
          <w:p w14:paraId="602A5F8F">
            <w:pPr>
              <w:keepNext w:val="0"/>
              <w:keepLines w:val="0"/>
              <w:pageBreakBefore w:val="0"/>
              <w:widowControl w:val="0"/>
              <w:kinsoku/>
              <w:wordWrap/>
              <w:overflowPunct/>
              <w:topLinePunct w:val="0"/>
              <w:autoSpaceDE/>
              <w:autoSpaceDN/>
              <w:bidi w:val="0"/>
              <w:adjustRightInd/>
              <w:snapToGrid/>
              <w:spacing w:line="400" w:lineRule="exact"/>
              <w:ind w:left="52"/>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内容</w:t>
            </w:r>
          </w:p>
        </w:tc>
        <w:tc>
          <w:tcPr>
            <w:tcW w:w="3735" w:type="dxa"/>
            <w:vAlign w:val="center"/>
          </w:tcPr>
          <w:p w14:paraId="679E0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报价</w:t>
            </w:r>
            <w:r>
              <w:rPr>
                <w:rFonts w:hint="eastAsia" w:ascii="宋体" w:hAnsi="宋体"/>
                <w:color w:val="000000" w:themeColor="text1"/>
                <w:sz w:val="24"/>
                <w:szCs w:val="24"/>
                <w:highlight w:val="none"/>
                <w:lang w:val="en-US" w:eastAsia="zh-CN"/>
                <w14:textFill>
                  <w14:solidFill>
                    <w14:schemeClr w14:val="tx1"/>
                  </w14:solidFill>
                </w14:textFill>
              </w:rPr>
              <w:t>折扣率</w:t>
            </w:r>
          </w:p>
        </w:tc>
      </w:tr>
      <w:tr w14:paraId="7D64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64" w:type="dxa"/>
            <w:vAlign w:val="center"/>
          </w:tcPr>
          <w:p w14:paraId="4485D4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1</w:t>
            </w:r>
          </w:p>
        </w:tc>
        <w:tc>
          <w:tcPr>
            <w:tcW w:w="3709" w:type="dxa"/>
            <w:vAlign w:val="center"/>
          </w:tcPr>
          <w:p w14:paraId="496854F7">
            <w:pPr>
              <w:keepNext w:val="0"/>
              <w:keepLines w:val="0"/>
              <w:pageBreakBefore w:val="0"/>
              <w:widowControl w:val="0"/>
              <w:kinsoku/>
              <w:wordWrap/>
              <w:overflowPunct/>
              <w:topLinePunct w:val="0"/>
              <w:autoSpaceDE/>
              <w:autoSpaceDN/>
              <w:bidi w:val="0"/>
              <w:adjustRightInd/>
              <w:snapToGrid/>
              <w:spacing w:line="400" w:lineRule="exact"/>
              <w:ind w:left="52"/>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color w:val="000000" w:themeColor="text1"/>
                <w:kern w:val="0"/>
                <w:sz w:val="24"/>
                <w:szCs w:val="24"/>
                <w:highlight w:val="none"/>
                <w:lang w:eastAsia="zh-CN"/>
                <w14:textFill>
                  <w14:solidFill>
                    <w14:schemeClr w14:val="tx1"/>
                  </w14:solidFill>
                </w14:textFill>
              </w:rPr>
              <w:t>玉环市玉城、坎门、大麦屿街道2025-2026年度市政道路和桥梁日常养护（一期）项目</w:t>
            </w:r>
          </w:p>
        </w:tc>
        <w:tc>
          <w:tcPr>
            <w:tcW w:w="3735" w:type="dxa"/>
            <w:vAlign w:val="center"/>
          </w:tcPr>
          <w:p w14:paraId="4774D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w:t>
            </w:r>
          </w:p>
        </w:tc>
      </w:tr>
    </w:tbl>
    <w:p w14:paraId="04F0E6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000000" w:themeColor="text1"/>
          <w:sz w:val="24"/>
          <w:szCs w:val="24"/>
          <w:highlight w:val="none"/>
          <w14:textFill>
            <w14:solidFill>
              <w14:schemeClr w14:val="tx1"/>
            </w14:solidFill>
          </w14:textFill>
        </w:rPr>
      </w:pPr>
    </w:p>
    <w:p w14:paraId="15E8DAC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要求：</w:t>
      </w:r>
    </w:p>
    <w:p w14:paraId="24F64CA3">
      <w:pPr>
        <w:keepNext w:val="0"/>
        <w:keepLines w:val="0"/>
        <w:pageBreakBefore w:val="0"/>
        <w:widowControl w:val="0"/>
        <w:kinsoku/>
        <w:wordWrap/>
        <w:overflowPunct/>
        <w:topLinePunct w:val="0"/>
        <w:autoSpaceDE/>
        <w:autoSpaceDN/>
        <w:bidi w:val="0"/>
        <w:adjustRightInd/>
        <w:snapToGrid/>
        <w:spacing w:line="400" w:lineRule="exact"/>
        <w:ind w:left="435" w:leftChars="0" w:firstLine="484" w:firstLineChars="202"/>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 本表为《首次报价一览表》的报价明细表，如有缺项、漏项，视为报价中已包含相关费用，采购人无需另外支付任何费用。</w:t>
      </w:r>
    </w:p>
    <w:p w14:paraId="327F3F74">
      <w:pPr>
        <w:keepNext w:val="0"/>
        <w:keepLines w:val="0"/>
        <w:pageBreakBefore w:val="0"/>
        <w:widowControl w:val="0"/>
        <w:kinsoku/>
        <w:wordWrap/>
        <w:overflowPunct/>
        <w:topLinePunct w:val="0"/>
        <w:autoSpaceDE/>
        <w:autoSpaceDN/>
        <w:bidi w:val="0"/>
        <w:adjustRightInd/>
        <w:snapToGrid/>
        <w:spacing w:line="400" w:lineRule="exact"/>
        <w:ind w:left="435" w:leftChars="0" w:firstLine="484" w:firstLineChars="202"/>
        <w:textAlignment w:val="auto"/>
        <w:rPr>
          <w:rFonts w:asci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报价明细表</w:t>
      </w:r>
      <w:r>
        <w:rPr>
          <w:rFonts w:hint="eastAsia" w:ascii="宋体"/>
          <w:color w:val="000000" w:themeColor="text1"/>
          <w:sz w:val="24"/>
          <w:szCs w:val="24"/>
          <w:highlight w:val="none"/>
          <w:lang w:val="zh-CN"/>
          <w14:textFill>
            <w14:solidFill>
              <w14:schemeClr w14:val="tx1"/>
            </w14:solidFill>
          </w14:textFill>
        </w:rPr>
        <w:t>”中的报价合计应与“首次报价一览表”中的总报价相一致，不一致时，以首次报价一览表为准。</w:t>
      </w:r>
    </w:p>
    <w:p w14:paraId="23090BF9">
      <w:pPr>
        <w:keepNext w:val="0"/>
        <w:keepLines w:val="0"/>
        <w:pageBreakBefore w:val="0"/>
        <w:widowControl w:val="0"/>
        <w:kinsoku/>
        <w:wordWrap/>
        <w:overflowPunct/>
        <w:topLinePunct w:val="0"/>
        <w:autoSpaceDE/>
        <w:autoSpaceDN/>
        <w:bidi w:val="0"/>
        <w:adjustRightInd/>
        <w:snapToGrid/>
        <w:spacing w:line="400" w:lineRule="exact"/>
        <w:ind w:left="435" w:leftChars="0" w:firstLine="484" w:firstLineChars="202"/>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r>
        <w:rPr>
          <w:rFonts w:hint="eastAsia" w:ascii="宋体"/>
          <w:color w:val="000000" w:themeColor="text1"/>
          <w:sz w:val="24"/>
          <w:szCs w:val="24"/>
          <w:highlight w:val="none"/>
          <w:lang w:val="zh-CN"/>
          <w14:textFill>
            <w14:solidFill>
              <w14:schemeClr w14:val="tx1"/>
            </w14:solidFill>
          </w14:textFill>
        </w:rPr>
        <w:t>报价明细表所填内容按谈判文件采购设备清单要求为准。如有漏报的，视同已包含在谈判总价内或已作优惠处理。有重大缺项的将作无效响应处理。</w:t>
      </w:r>
    </w:p>
    <w:p w14:paraId="7DDE284B">
      <w:pPr>
        <w:keepNext w:val="0"/>
        <w:keepLines w:val="0"/>
        <w:pageBreakBefore w:val="0"/>
        <w:widowControl w:val="0"/>
        <w:kinsoku/>
        <w:wordWrap/>
        <w:overflowPunct/>
        <w:topLinePunct w:val="0"/>
        <w:autoSpaceDE/>
        <w:autoSpaceDN/>
        <w:bidi w:val="0"/>
        <w:adjustRightInd/>
        <w:snapToGrid/>
        <w:spacing w:line="400" w:lineRule="exact"/>
        <w:ind w:left="435" w:leftChars="0" w:firstLine="487" w:firstLineChars="202"/>
        <w:textAlignment w:val="auto"/>
        <w:rPr>
          <w:rFonts w:ascii="宋体"/>
          <w:b/>
          <w:bCs/>
          <w:color w:val="000000" w:themeColor="text1"/>
          <w:sz w:val="24"/>
          <w:szCs w:val="24"/>
          <w:highlight w:val="none"/>
          <w:u w:val="single"/>
          <w:lang w:val="zh-CN"/>
          <w14:textFill>
            <w14:solidFill>
              <w14:schemeClr w14:val="tx1"/>
            </w14:solidFill>
          </w14:textFill>
        </w:rPr>
      </w:pPr>
      <w:r>
        <w:rPr>
          <w:rFonts w:hint="eastAsia" w:ascii="宋体"/>
          <w:b/>
          <w:bCs/>
          <w:color w:val="000000" w:themeColor="text1"/>
          <w:sz w:val="24"/>
          <w:szCs w:val="24"/>
          <w:highlight w:val="none"/>
          <w:u w:val="single"/>
          <w:lang w:val="zh-CN"/>
          <w14:textFill>
            <w14:solidFill>
              <w14:schemeClr w14:val="tx1"/>
            </w14:solidFill>
          </w14:textFill>
        </w:rPr>
        <w:t xml:space="preserve">▲4. </w:t>
      </w:r>
      <w:r>
        <w:rPr>
          <w:rFonts w:hint="eastAsia" w:ascii="宋体"/>
          <w:b/>
          <w:bCs/>
          <w:color w:val="000000" w:themeColor="text1"/>
          <w:sz w:val="24"/>
          <w:szCs w:val="24"/>
          <w:highlight w:val="none"/>
          <w:u w:val="single"/>
          <w:lang w:val="zh-CN" w:eastAsia="zh-CN"/>
          <w14:textFill>
            <w14:solidFill>
              <w14:schemeClr w14:val="tx1"/>
            </w14:solidFill>
          </w14:textFill>
        </w:rPr>
        <w:t>最高限价（</w:t>
      </w:r>
      <w:r>
        <w:rPr>
          <w:rFonts w:hint="eastAsia" w:ascii="宋体"/>
          <w:b/>
          <w:bCs/>
          <w:color w:val="000000" w:themeColor="text1"/>
          <w:sz w:val="24"/>
          <w:szCs w:val="24"/>
          <w:highlight w:val="none"/>
          <w:u w:val="single"/>
          <w:lang w:val="en-US" w:eastAsia="zh-CN"/>
          <w14:textFill>
            <w14:solidFill>
              <w14:schemeClr w14:val="tx1"/>
            </w14:solidFill>
          </w14:textFill>
        </w:rPr>
        <w:t>折扣率</w:t>
      </w:r>
      <w:r>
        <w:rPr>
          <w:rFonts w:hint="eastAsia" w:ascii="宋体"/>
          <w:b/>
          <w:bCs/>
          <w:color w:val="000000" w:themeColor="text1"/>
          <w:sz w:val="24"/>
          <w:szCs w:val="24"/>
          <w:highlight w:val="none"/>
          <w:u w:val="single"/>
          <w:lang w:val="zh-CN" w:eastAsia="zh-CN"/>
          <w14:textFill>
            <w14:solidFill>
              <w14:schemeClr w14:val="tx1"/>
            </w14:solidFill>
          </w14:textFill>
        </w:rPr>
        <w:t>）：88%，报价要求：允许小数点后两位。超过最高限价的供应商为无效报价</w:t>
      </w:r>
      <w:r>
        <w:rPr>
          <w:rFonts w:hint="eastAsia" w:ascii="宋体"/>
          <w:b/>
          <w:bCs/>
          <w:color w:val="000000" w:themeColor="text1"/>
          <w:sz w:val="24"/>
          <w:szCs w:val="24"/>
          <w:highlight w:val="none"/>
          <w:u w:val="single"/>
          <w:lang w:val="zh-CN"/>
          <w14:textFill>
            <w14:solidFill>
              <w14:schemeClr w14:val="tx1"/>
            </w14:solidFill>
          </w14:textFill>
        </w:rPr>
        <w:t>。</w:t>
      </w:r>
    </w:p>
    <w:p w14:paraId="32496364">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谈判供应商名称（盖章）：</w:t>
      </w:r>
      <w:r>
        <w:rPr>
          <w:rFonts w:hint="eastAsia" w:ascii="宋体" w:hAnsi="宋体"/>
          <w:color w:val="000000" w:themeColor="text1"/>
          <w:sz w:val="24"/>
          <w:szCs w:val="24"/>
          <w:highlight w:val="none"/>
          <w:u w:val="single"/>
          <w14:textFill>
            <w14:solidFill>
              <w14:schemeClr w14:val="tx1"/>
            </w14:solidFill>
          </w14:textFill>
        </w:rPr>
        <w:t xml:space="preserve">                      </w:t>
      </w:r>
    </w:p>
    <w:p w14:paraId="0810260A">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谈判供应商代表签字：</w:t>
      </w:r>
      <w:r>
        <w:rPr>
          <w:rFonts w:hint="eastAsia" w:ascii="宋体" w:hAnsi="宋体"/>
          <w:color w:val="000000" w:themeColor="text1"/>
          <w:sz w:val="24"/>
          <w:szCs w:val="24"/>
          <w:highlight w:val="none"/>
          <w:u w:val="single"/>
          <w14:textFill>
            <w14:solidFill>
              <w14:schemeClr w14:val="tx1"/>
            </w14:solidFill>
          </w14:textFill>
        </w:rPr>
        <w:t xml:space="preserve">                          </w:t>
      </w:r>
    </w:p>
    <w:p w14:paraId="44F4358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        务：</w:t>
      </w:r>
      <w:r>
        <w:rPr>
          <w:rFonts w:hint="eastAsia" w:ascii="宋体" w:hAnsi="宋体"/>
          <w:color w:val="000000" w:themeColor="text1"/>
          <w:sz w:val="24"/>
          <w:szCs w:val="24"/>
          <w:highlight w:val="none"/>
          <w:u w:val="single"/>
          <w14:textFill>
            <w14:solidFill>
              <w14:schemeClr w14:val="tx1"/>
            </w14:solidFill>
          </w14:textFill>
        </w:rPr>
        <w:t xml:space="preserve">                                </w:t>
      </w:r>
    </w:p>
    <w:p w14:paraId="669ECA5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        期：</w:t>
      </w:r>
      <w:r>
        <w:rPr>
          <w:rFonts w:hint="eastAsia" w:ascii="宋体" w:hAnsi="宋体"/>
          <w:color w:val="000000" w:themeColor="text1"/>
          <w:sz w:val="24"/>
          <w:szCs w:val="24"/>
          <w:highlight w:val="none"/>
          <w:u w:val="single"/>
          <w14:textFill>
            <w14:solidFill>
              <w14:schemeClr w14:val="tx1"/>
            </w14:solidFill>
          </w14:textFill>
        </w:rPr>
        <w:t xml:space="preserve">                                </w:t>
      </w:r>
    </w:p>
    <w:p w14:paraId="4977A416">
      <w:pPr>
        <w:pStyle w:val="33"/>
        <w:rPr>
          <w:rFonts w:ascii="宋体" w:hAnsi="宋体"/>
          <w:color w:val="000000" w:themeColor="text1"/>
          <w:sz w:val="24"/>
          <w:highlight w:val="none"/>
          <w:u w:val="single"/>
          <w14:textFill>
            <w14:solidFill>
              <w14:schemeClr w14:val="tx1"/>
            </w14:solidFill>
          </w14:textFill>
        </w:rPr>
      </w:pPr>
    </w:p>
    <w:p w14:paraId="736EC2D8">
      <w:pPr>
        <w:pStyle w:val="33"/>
        <w:rPr>
          <w:rFonts w:ascii="宋体" w:hAnsi="宋体"/>
          <w:color w:val="000000" w:themeColor="text1"/>
          <w:sz w:val="24"/>
          <w:highlight w:val="none"/>
          <w:u w:val="single"/>
          <w14:textFill>
            <w14:solidFill>
              <w14:schemeClr w14:val="tx1"/>
            </w14:solidFill>
          </w14:textFill>
        </w:rPr>
      </w:pPr>
    </w:p>
    <w:p w14:paraId="6377C8DC">
      <w:pPr>
        <w:pStyle w:val="33"/>
        <w:rPr>
          <w:rFonts w:ascii="宋体" w:hAnsi="宋体"/>
          <w:color w:val="000000" w:themeColor="text1"/>
          <w:sz w:val="24"/>
          <w:highlight w:val="none"/>
          <w:u w:val="single"/>
          <w14:textFill>
            <w14:solidFill>
              <w14:schemeClr w14:val="tx1"/>
            </w14:solidFill>
          </w14:textFill>
        </w:rPr>
      </w:pPr>
    </w:p>
    <w:p w14:paraId="54999871">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70411BF2">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2FB482CD">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243205AA">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05FDD53C">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59D7DA88">
      <w:pPr>
        <w:snapToGrid w:val="0"/>
        <w:spacing w:before="156" w:beforeLines="50" w:after="50" w:line="360" w:lineRule="auto"/>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附件13</w:t>
      </w:r>
    </w:p>
    <w:p w14:paraId="221AB2B7">
      <w:pPr>
        <w:spacing w:line="656" w:lineRule="exact"/>
        <w:ind w:right="21"/>
        <w:jc w:val="center"/>
        <w:rPr>
          <w:rFonts w:hint="eastAsia" w:eastAsia="宋体"/>
          <w:b/>
          <w:color w:val="000000" w:themeColor="text1"/>
          <w:sz w:val="36"/>
          <w:highlight w:val="none"/>
          <w:lang w:eastAsia="zh-CN"/>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lang w:eastAsia="zh-CN"/>
          <w14:textFill>
            <w14:solidFill>
              <w14:schemeClr w14:val="tx1"/>
            </w14:solidFill>
          </w14:textFill>
        </w:rPr>
        <w:t>（</w:t>
      </w:r>
      <w:r>
        <w:rPr>
          <w:rFonts w:hint="eastAsia"/>
          <w:b/>
          <w:color w:val="000000" w:themeColor="text1"/>
          <w:sz w:val="36"/>
          <w:highlight w:val="none"/>
          <w:lang w:val="en-US" w:eastAsia="zh-CN"/>
          <w14:textFill>
            <w14:solidFill>
              <w14:schemeClr w14:val="tx1"/>
            </w14:solidFill>
          </w14:textFill>
        </w:rPr>
        <w:t>工程</w:t>
      </w:r>
      <w:r>
        <w:rPr>
          <w:rFonts w:hint="eastAsia"/>
          <w:b/>
          <w:color w:val="000000" w:themeColor="text1"/>
          <w:sz w:val="36"/>
          <w:highlight w:val="none"/>
          <w:lang w:eastAsia="zh-CN"/>
          <w14:textFill>
            <w14:solidFill>
              <w14:schemeClr w14:val="tx1"/>
            </w14:solidFill>
          </w14:textFill>
        </w:rPr>
        <w:t>）</w:t>
      </w:r>
    </w:p>
    <w:p w14:paraId="099B85CC">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none"/>
          <w14:textFill>
            <w14:solidFill>
              <w14:schemeClr w14:val="tx1"/>
            </w14:solidFill>
          </w14:textFill>
        </w:rPr>
        <w:t>（联合体）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玉环市玉城、坎门、大麦屿街道市政道路和桥梁日常养护工程</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采购活动，工程的施工单位全部为符合政策要求的中小企业。相关企业（含联合体中的中小企业、签订分包意向协议的中小企业）的具体情况如下：</w:t>
      </w:r>
    </w:p>
    <w:p w14:paraId="26D625CA">
      <w:pPr>
        <w:numPr>
          <w:ilvl w:val="0"/>
          <w:numId w:val="7"/>
        </w:num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玉环市玉城、坎门、大麦屿街道市政道路和桥梁日常养护工程</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14:paraId="7C8FB2F4">
      <w:pPr>
        <w:numPr>
          <w:ilvl w:val="0"/>
          <w:numId w:val="7"/>
        </w:num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14:paraId="439D71B2">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B164288">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5C52F97">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1C99BCCD">
      <w:pPr>
        <w:pStyle w:val="11"/>
        <w:rPr>
          <w:color w:val="000000" w:themeColor="text1"/>
          <w:sz w:val="24"/>
          <w:highlight w:val="none"/>
          <w14:textFill>
            <w14:solidFill>
              <w14:schemeClr w14:val="tx1"/>
            </w14:solidFill>
          </w14:textFill>
        </w:rPr>
      </w:pPr>
    </w:p>
    <w:p w14:paraId="6D03791A">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4F21EA69">
      <w:pPr>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6EAE4727">
      <w:pPr>
        <w:pStyle w:val="46"/>
        <w:spacing w:line="360" w:lineRule="auto"/>
        <w:rPr>
          <w:color w:val="000000" w:themeColor="text1"/>
          <w:sz w:val="24"/>
          <w:highlight w:val="none"/>
          <w14:textFill>
            <w14:solidFill>
              <w14:schemeClr w14:val="tx1"/>
            </w14:solidFill>
          </w14:textFill>
        </w:rPr>
      </w:pPr>
    </w:p>
    <w:p w14:paraId="7EF839A4">
      <w:pPr>
        <w:pStyle w:val="46"/>
        <w:spacing w:line="360" w:lineRule="auto"/>
        <w:rPr>
          <w:color w:val="000000" w:themeColor="text1"/>
          <w:sz w:val="24"/>
          <w:highlight w:val="none"/>
          <w14:textFill>
            <w14:solidFill>
              <w14:schemeClr w14:val="tx1"/>
            </w14:solidFill>
          </w14:textFill>
        </w:rPr>
      </w:pPr>
    </w:p>
    <w:p w14:paraId="6F88FE97">
      <w:pPr>
        <w:pStyle w:val="46"/>
        <w:spacing w:line="360" w:lineRule="auto"/>
        <w:rPr>
          <w:color w:val="000000" w:themeColor="text1"/>
          <w:sz w:val="24"/>
          <w:highlight w:val="none"/>
          <w14:textFill>
            <w14:solidFill>
              <w14:schemeClr w14:val="tx1"/>
            </w14:solidFill>
          </w14:textFill>
        </w:rPr>
      </w:pPr>
    </w:p>
    <w:p w14:paraId="34378ABB">
      <w:pPr>
        <w:pStyle w:val="46"/>
        <w:spacing w:line="360" w:lineRule="auto"/>
        <w:rPr>
          <w:rFonts w:hint="eastAsia"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7B3FFF7B">
      <w:pPr>
        <w:pStyle w:val="15"/>
        <w:spacing w:line="360" w:lineRule="auto"/>
        <w:jc w:val="center"/>
        <w:outlineLvl w:val="1"/>
        <w:rPr>
          <w:rFonts w:hint="eastAsia" w:hAnsi="宋体" w:cs="宋体"/>
          <w:b/>
          <w:color w:val="000000" w:themeColor="text1"/>
          <w:sz w:val="32"/>
          <w:szCs w:val="32"/>
          <w:highlight w:val="none"/>
          <w:lang w:val="en-GB"/>
          <w14:textFill>
            <w14:solidFill>
              <w14:schemeClr w14:val="tx1"/>
            </w14:solidFill>
          </w14:textFill>
        </w:rPr>
      </w:pPr>
    </w:p>
    <w:p w14:paraId="6F6E1E7C">
      <w:pPr>
        <w:pStyle w:val="23"/>
        <w:ind w:firstLine="627"/>
        <w:rPr>
          <w:rFonts w:hint="eastAsia" w:cs="宋体"/>
          <w:b w:val="0"/>
          <w:color w:val="000000" w:themeColor="text1"/>
          <w:sz w:val="32"/>
          <w:szCs w:val="32"/>
          <w:highlight w:val="none"/>
          <w:lang w:val="en-GB"/>
          <w14:textFill>
            <w14:solidFill>
              <w14:schemeClr w14:val="tx1"/>
            </w14:solidFill>
          </w14:textFill>
        </w:rPr>
      </w:pPr>
    </w:p>
    <w:p w14:paraId="21C4C291">
      <w:pPr>
        <w:pStyle w:val="11"/>
        <w:rPr>
          <w:rFonts w:hint="eastAsia"/>
          <w:color w:val="000000" w:themeColor="text1"/>
          <w:highlight w:val="none"/>
          <w:lang w:val="en-GB"/>
          <w14:textFill>
            <w14:solidFill>
              <w14:schemeClr w14:val="tx1"/>
            </w14:solidFill>
          </w14:textFill>
        </w:rPr>
      </w:pPr>
    </w:p>
    <w:p w14:paraId="7DC14448">
      <w:pPr>
        <w:pStyle w:val="27"/>
        <w:ind w:firstLine="3240" w:firstLineChars="900"/>
        <w:rPr>
          <w:rFonts w:hint="eastAsia"/>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t>中小企业划型标准规定</w:t>
      </w:r>
    </w:p>
    <w:p w14:paraId="472912B5">
      <w:pPr>
        <w:pStyle w:val="27"/>
        <w:ind w:firstLine="3600" w:firstLineChars="1500"/>
        <w:rPr>
          <w:rFonts w:hint="eastAsia"/>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工信部联企业【2011】300 号</w:t>
      </w:r>
    </w:p>
    <w:tbl>
      <w:tblPr>
        <w:tblStyle w:val="28"/>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35865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14:paraId="42FEF9B5">
            <w:pPr>
              <w:pStyle w:val="50"/>
              <w:spacing w:before="68"/>
              <w:ind w:left="41" w:right="32"/>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860" w:type="dxa"/>
            <w:noWrap w:val="0"/>
            <w:vAlign w:val="center"/>
          </w:tcPr>
          <w:p w14:paraId="282CC33E">
            <w:pPr>
              <w:pStyle w:val="50"/>
              <w:spacing w:before="68"/>
              <w:ind w:left="10" w:right="2"/>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行业</w:t>
            </w:r>
          </w:p>
        </w:tc>
        <w:tc>
          <w:tcPr>
            <w:tcW w:w="2157" w:type="dxa"/>
            <w:noWrap w:val="0"/>
            <w:vAlign w:val="center"/>
          </w:tcPr>
          <w:p w14:paraId="3F78A9AB">
            <w:pPr>
              <w:pStyle w:val="50"/>
              <w:spacing w:before="68"/>
              <w:ind w:left="5"/>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原则</w:t>
            </w:r>
          </w:p>
        </w:tc>
        <w:tc>
          <w:tcPr>
            <w:tcW w:w="5537" w:type="dxa"/>
            <w:gridSpan w:val="2"/>
            <w:noWrap w:val="0"/>
            <w:vAlign w:val="center"/>
          </w:tcPr>
          <w:p w14:paraId="2086DDEC">
            <w:pPr>
              <w:pStyle w:val="50"/>
              <w:spacing w:before="68"/>
              <w:ind w:left="2472" w:right="1107"/>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具体规定</w:t>
            </w:r>
          </w:p>
        </w:tc>
        <w:tc>
          <w:tcPr>
            <w:tcW w:w="1099" w:type="dxa"/>
            <w:noWrap w:val="0"/>
            <w:vAlign w:val="center"/>
          </w:tcPr>
          <w:p w14:paraId="40925C4F">
            <w:pPr>
              <w:pStyle w:val="50"/>
              <w:spacing w:before="68"/>
              <w:ind w:left="325"/>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指标</w:t>
            </w:r>
          </w:p>
        </w:tc>
      </w:tr>
      <w:tr w14:paraId="109D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2A0EACA4">
            <w:pPr>
              <w:pStyle w:val="50"/>
              <w:spacing w:before="7"/>
              <w:rPr>
                <w:rFonts w:hint="eastAsia"/>
                <w:b/>
                <w:color w:val="000000" w:themeColor="text1"/>
                <w:sz w:val="24"/>
                <w:szCs w:val="24"/>
                <w:highlight w:val="none"/>
                <w14:textFill>
                  <w14:solidFill>
                    <w14:schemeClr w14:val="tx1"/>
                  </w14:solidFill>
                </w14:textFill>
              </w:rPr>
            </w:pPr>
          </w:p>
          <w:p w14:paraId="4EA0272F">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1</w:t>
            </w:r>
          </w:p>
        </w:tc>
        <w:tc>
          <w:tcPr>
            <w:tcW w:w="860" w:type="dxa"/>
            <w:vMerge w:val="restart"/>
            <w:noWrap w:val="0"/>
            <w:vAlign w:val="center"/>
          </w:tcPr>
          <w:p w14:paraId="2271B95E">
            <w:pPr>
              <w:pStyle w:val="50"/>
              <w:spacing w:before="3"/>
              <w:rPr>
                <w:rFonts w:hint="eastAsia"/>
                <w:b/>
                <w:color w:val="000000" w:themeColor="text1"/>
                <w:sz w:val="24"/>
                <w:szCs w:val="24"/>
                <w:highlight w:val="none"/>
                <w14:textFill>
                  <w14:solidFill>
                    <w14:schemeClr w14:val="tx1"/>
                  </w14:solidFill>
                </w14:textFill>
              </w:rPr>
            </w:pPr>
          </w:p>
          <w:p w14:paraId="269F9E84">
            <w:pPr>
              <w:pStyle w:val="50"/>
              <w:spacing w:before="1" w:line="292" w:lineRule="auto"/>
              <w:ind w:left="13" w:right="6"/>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农、林、牧、渔业</w:t>
            </w:r>
          </w:p>
        </w:tc>
        <w:tc>
          <w:tcPr>
            <w:tcW w:w="2157" w:type="dxa"/>
            <w:vMerge w:val="restart"/>
            <w:noWrap w:val="0"/>
            <w:vAlign w:val="center"/>
          </w:tcPr>
          <w:p w14:paraId="48EF3F13">
            <w:pPr>
              <w:pStyle w:val="50"/>
              <w:spacing w:before="3"/>
              <w:rPr>
                <w:rFonts w:hint="eastAsia"/>
                <w:b/>
                <w:color w:val="000000" w:themeColor="text1"/>
                <w:sz w:val="24"/>
                <w:szCs w:val="24"/>
                <w:highlight w:val="none"/>
                <w14:textFill>
                  <w14:solidFill>
                    <w14:schemeClr w14:val="tx1"/>
                  </w14:solidFill>
                </w14:textFill>
              </w:rPr>
            </w:pPr>
          </w:p>
          <w:p w14:paraId="47C6DAD2">
            <w:pPr>
              <w:pStyle w:val="50"/>
              <w:spacing w:before="1" w:line="292" w:lineRule="auto"/>
              <w:ind w:left="15" w:right="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 20000 万元以下的为中小微型企业</w:t>
            </w:r>
          </w:p>
        </w:tc>
        <w:tc>
          <w:tcPr>
            <w:tcW w:w="1215" w:type="dxa"/>
            <w:noWrap w:val="0"/>
            <w:vAlign w:val="center"/>
          </w:tcPr>
          <w:p w14:paraId="5AFE6668">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25197FD6">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 500 万元及以上的</w:t>
            </w:r>
          </w:p>
        </w:tc>
        <w:tc>
          <w:tcPr>
            <w:tcW w:w="1099" w:type="dxa"/>
            <w:vMerge w:val="restart"/>
            <w:noWrap w:val="0"/>
            <w:vAlign w:val="center"/>
          </w:tcPr>
          <w:p w14:paraId="55F11EFA">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w:t>
            </w:r>
          </w:p>
        </w:tc>
      </w:tr>
      <w:tr w14:paraId="363FC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C54602D">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7D0EBC04">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778256E0">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51F7C381">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1911B61A">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 50 万元及以上的</w:t>
            </w:r>
          </w:p>
        </w:tc>
        <w:tc>
          <w:tcPr>
            <w:tcW w:w="1099" w:type="dxa"/>
            <w:vMerge w:val="continue"/>
            <w:noWrap w:val="0"/>
            <w:vAlign w:val="center"/>
          </w:tcPr>
          <w:p w14:paraId="65ABBF40">
            <w:pPr>
              <w:rPr>
                <w:rFonts w:hint="eastAsia" w:ascii="宋体" w:hAnsi="宋体" w:cs="宋体"/>
                <w:color w:val="000000" w:themeColor="text1"/>
                <w:sz w:val="24"/>
                <w:szCs w:val="24"/>
                <w:highlight w:val="none"/>
                <w14:textFill>
                  <w14:solidFill>
                    <w14:schemeClr w14:val="tx1"/>
                  </w14:solidFill>
                </w14:textFill>
              </w:rPr>
            </w:pPr>
          </w:p>
        </w:tc>
      </w:tr>
      <w:tr w14:paraId="000F8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7AC79FFC">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4123643A">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6B21C7AB">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220E24C3">
            <w:pPr>
              <w:pStyle w:val="50"/>
              <w:spacing w:before="69"/>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22D5DD85">
            <w:pPr>
              <w:pStyle w:val="50"/>
              <w:spacing w:before="69"/>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 50 万元以下的</w:t>
            </w:r>
          </w:p>
        </w:tc>
        <w:tc>
          <w:tcPr>
            <w:tcW w:w="1099" w:type="dxa"/>
            <w:vMerge w:val="continue"/>
            <w:noWrap w:val="0"/>
            <w:vAlign w:val="center"/>
          </w:tcPr>
          <w:p w14:paraId="6A9F7B72">
            <w:pPr>
              <w:rPr>
                <w:rFonts w:hint="eastAsia" w:ascii="宋体" w:hAnsi="宋体" w:cs="宋体"/>
                <w:color w:val="000000" w:themeColor="text1"/>
                <w:sz w:val="24"/>
                <w:szCs w:val="24"/>
                <w:highlight w:val="none"/>
                <w14:textFill>
                  <w14:solidFill>
                    <w14:schemeClr w14:val="tx1"/>
                  </w14:solidFill>
                </w14:textFill>
              </w:rPr>
            </w:pPr>
          </w:p>
        </w:tc>
      </w:tr>
      <w:tr w14:paraId="1AF6C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48BCE04A">
            <w:pPr>
              <w:pStyle w:val="50"/>
              <w:spacing w:before="6"/>
              <w:rPr>
                <w:rFonts w:hint="eastAsia"/>
                <w:b/>
                <w:color w:val="000000" w:themeColor="text1"/>
                <w:sz w:val="24"/>
                <w:szCs w:val="24"/>
                <w:highlight w:val="none"/>
                <w14:textFill>
                  <w14:solidFill>
                    <w14:schemeClr w14:val="tx1"/>
                  </w14:solidFill>
                </w14:textFill>
              </w:rPr>
            </w:pPr>
          </w:p>
          <w:p w14:paraId="64D102FC">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2</w:t>
            </w:r>
          </w:p>
        </w:tc>
        <w:tc>
          <w:tcPr>
            <w:tcW w:w="860" w:type="dxa"/>
            <w:vMerge w:val="restart"/>
            <w:noWrap w:val="0"/>
            <w:vAlign w:val="center"/>
          </w:tcPr>
          <w:p w14:paraId="46B6EDA5">
            <w:pPr>
              <w:pStyle w:val="50"/>
              <w:spacing w:before="11"/>
              <w:rPr>
                <w:rFonts w:hint="eastAsia"/>
                <w:b/>
                <w:color w:val="000000" w:themeColor="text1"/>
                <w:sz w:val="24"/>
                <w:szCs w:val="24"/>
                <w:highlight w:val="none"/>
                <w14:textFill>
                  <w14:solidFill>
                    <w14:schemeClr w14:val="tx1"/>
                  </w14:solidFill>
                </w14:textFill>
              </w:rPr>
            </w:pPr>
          </w:p>
          <w:p w14:paraId="22CF8EA3">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工业</w:t>
            </w:r>
          </w:p>
        </w:tc>
        <w:tc>
          <w:tcPr>
            <w:tcW w:w="2157" w:type="dxa"/>
            <w:vMerge w:val="restart"/>
            <w:noWrap w:val="0"/>
            <w:vAlign w:val="center"/>
          </w:tcPr>
          <w:p w14:paraId="683D5632">
            <w:pPr>
              <w:pStyle w:val="50"/>
              <w:spacing w:before="141"/>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9"/>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1000</w:t>
            </w:r>
            <w:r>
              <w:rPr>
                <w:rFonts w:hint="eastAsia"/>
                <w:color w:val="000000" w:themeColor="text1"/>
                <w:spacing w:val="-8"/>
                <w:sz w:val="24"/>
                <w:szCs w:val="24"/>
                <w:highlight w:val="none"/>
                <w14:textFill>
                  <w14:solidFill>
                    <w14:schemeClr w14:val="tx1"/>
                  </w14:solidFill>
                </w14:textFill>
              </w:rPr>
              <w:t xml:space="preserve"> 人以下或</w:t>
            </w:r>
            <w:r>
              <w:rPr>
                <w:rFonts w:hint="eastAsia"/>
                <w:color w:val="000000" w:themeColor="text1"/>
                <w:sz w:val="24"/>
                <w:szCs w:val="24"/>
                <w:highlight w:val="none"/>
                <w14:textFill>
                  <w14:solidFill>
                    <w14:schemeClr w14:val="tx1"/>
                  </w14:solidFill>
                </w14:textFill>
              </w:rPr>
              <w:t>营业收入 40000 万元以下的为中小微型企业</w:t>
            </w:r>
          </w:p>
        </w:tc>
        <w:tc>
          <w:tcPr>
            <w:tcW w:w="1215" w:type="dxa"/>
            <w:noWrap w:val="0"/>
            <w:vAlign w:val="center"/>
          </w:tcPr>
          <w:p w14:paraId="6344385D">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61F6A593">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300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2000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6CE0EAF2">
            <w:pPr>
              <w:pStyle w:val="50"/>
              <w:spacing w:before="67"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64F28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4633C9A">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16B1D899">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452FD38C">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46492D89">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7F6987E4">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20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300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49F7131E">
            <w:pPr>
              <w:rPr>
                <w:rFonts w:hint="eastAsia" w:ascii="宋体" w:hAnsi="宋体" w:cs="宋体"/>
                <w:color w:val="000000" w:themeColor="text1"/>
                <w:sz w:val="24"/>
                <w:szCs w:val="24"/>
                <w:highlight w:val="none"/>
                <w14:textFill>
                  <w14:solidFill>
                    <w14:schemeClr w14:val="tx1"/>
                  </w14:solidFill>
                </w14:textFill>
              </w:rPr>
            </w:pPr>
          </w:p>
        </w:tc>
      </w:tr>
      <w:tr w14:paraId="0646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A939418">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65EAF946">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56026690">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503CA813">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3385E1FA">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20 人以下或营业收入 300 万元以下的</w:t>
            </w:r>
          </w:p>
        </w:tc>
        <w:tc>
          <w:tcPr>
            <w:tcW w:w="1099" w:type="dxa"/>
            <w:vMerge w:val="continue"/>
            <w:noWrap w:val="0"/>
            <w:vAlign w:val="center"/>
          </w:tcPr>
          <w:p w14:paraId="76989C9B">
            <w:pPr>
              <w:rPr>
                <w:rFonts w:hint="eastAsia" w:ascii="宋体" w:hAnsi="宋体" w:cs="宋体"/>
                <w:color w:val="000000" w:themeColor="text1"/>
                <w:sz w:val="24"/>
                <w:szCs w:val="24"/>
                <w:highlight w:val="none"/>
                <w14:textFill>
                  <w14:solidFill>
                    <w14:schemeClr w14:val="tx1"/>
                  </w14:solidFill>
                </w14:textFill>
              </w:rPr>
            </w:pPr>
          </w:p>
        </w:tc>
      </w:tr>
      <w:tr w14:paraId="66DA0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14:paraId="67A49955">
            <w:pPr>
              <w:pStyle w:val="50"/>
              <w:rPr>
                <w:rFonts w:hint="eastAsia"/>
                <w:b/>
                <w:color w:val="000000" w:themeColor="text1"/>
                <w:sz w:val="24"/>
                <w:szCs w:val="24"/>
                <w:highlight w:val="none"/>
                <w14:textFill>
                  <w14:solidFill>
                    <w14:schemeClr w14:val="tx1"/>
                  </w14:solidFill>
                </w14:textFill>
              </w:rPr>
            </w:pPr>
          </w:p>
          <w:p w14:paraId="71ADD40D">
            <w:pPr>
              <w:pStyle w:val="50"/>
              <w:spacing w:before="15"/>
              <w:rPr>
                <w:rFonts w:hint="eastAsia"/>
                <w:b/>
                <w:color w:val="000000" w:themeColor="text1"/>
                <w:sz w:val="24"/>
                <w:szCs w:val="24"/>
                <w:highlight w:val="none"/>
                <w14:textFill>
                  <w14:solidFill>
                    <w14:schemeClr w14:val="tx1"/>
                  </w14:solidFill>
                </w14:textFill>
              </w:rPr>
            </w:pPr>
          </w:p>
          <w:p w14:paraId="1A11E659">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3</w:t>
            </w:r>
          </w:p>
        </w:tc>
        <w:tc>
          <w:tcPr>
            <w:tcW w:w="860" w:type="dxa"/>
            <w:vMerge w:val="restart"/>
            <w:noWrap w:val="0"/>
            <w:vAlign w:val="center"/>
          </w:tcPr>
          <w:p w14:paraId="72E2B77D">
            <w:pPr>
              <w:pStyle w:val="50"/>
              <w:rPr>
                <w:rFonts w:hint="eastAsia"/>
                <w:b/>
                <w:color w:val="000000" w:themeColor="text1"/>
                <w:sz w:val="24"/>
                <w:szCs w:val="24"/>
                <w:highlight w:val="none"/>
                <w14:textFill>
                  <w14:solidFill>
                    <w14:schemeClr w14:val="tx1"/>
                  </w14:solidFill>
                </w14:textFill>
              </w:rPr>
            </w:pPr>
          </w:p>
          <w:p w14:paraId="51E5E564">
            <w:pPr>
              <w:pStyle w:val="50"/>
              <w:spacing w:before="2"/>
              <w:rPr>
                <w:rFonts w:hint="eastAsia"/>
                <w:b/>
                <w:color w:val="000000" w:themeColor="text1"/>
                <w:sz w:val="24"/>
                <w:szCs w:val="24"/>
                <w:highlight w:val="none"/>
                <w14:textFill>
                  <w14:solidFill>
                    <w14:schemeClr w14:val="tx1"/>
                  </w14:solidFill>
                </w14:textFill>
              </w:rPr>
            </w:pPr>
          </w:p>
          <w:p w14:paraId="221FBD1B">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建筑业</w:t>
            </w:r>
          </w:p>
        </w:tc>
        <w:tc>
          <w:tcPr>
            <w:tcW w:w="2157" w:type="dxa"/>
            <w:vMerge w:val="restart"/>
            <w:noWrap w:val="0"/>
            <w:vAlign w:val="center"/>
          </w:tcPr>
          <w:p w14:paraId="62B12544">
            <w:pPr>
              <w:pStyle w:val="50"/>
              <w:ind w:left="15"/>
              <w:rPr>
                <w:rFonts w:hint="eastAsia"/>
                <w:b/>
                <w:color w:val="000000" w:themeColor="text1"/>
                <w:sz w:val="24"/>
                <w:szCs w:val="24"/>
                <w:highlight w:val="none"/>
                <w14:textFill>
                  <w14:solidFill>
                    <w14:schemeClr w14:val="tx1"/>
                  </w14:solidFill>
                </w14:textFill>
              </w:rPr>
            </w:pPr>
          </w:p>
          <w:p w14:paraId="4D5879E0">
            <w:pPr>
              <w:pStyle w:val="50"/>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 80000 万元以下或资产总额 80000 万元以下的为中小微型企业</w:t>
            </w:r>
          </w:p>
        </w:tc>
        <w:tc>
          <w:tcPr>
            <w:tcW w:w="1215" w:type="dxa"/>
            <w:noWrap w:val="0"/>
            <w:vAlign w:val="center"/>
          </w:tcPr>
          <w:p w14:paraId="3E5ADA8E">
            <w:pPr>
              <w:pStyle w:val="50"/>
              <w:spacing w:before="2"/>
              <w:rPr>
                <w:rFonts w:hint="eastAsia"/>
                <w:b/>
                <w:color w:val="000000" w:themeColor="text1"/>
                <w:sz w:val="24"/>
                <w:szCs w:val="24"/>
                <w:highlight w:val="none"/>
                <w14:textFill>
                  <w14:solidFill>
                    <w14:schemeClr w14:val="tx1"/>
                  </w14:solidFill>
                </w14:textFill>
              </w:rPr>
            </w:pPr>
          </w:p>
          <w:p w14:paraId="72BCAC92">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1C3796BE">
            <w:pPr>
              <w:pStyle w:val="50"/>
              <w:spacing w:before="49"/>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9"/>
                <w:sz w:val="24"/>
                <w:szCs w:val="24"/>
                <w:highlight w:val="none"/>
                <w14:textFill>
                  <w14:solidFill>
                    <w14:schemeClr w14:val="tx1"/>
                  </w14:solidFill>
                </w14:textFill>
              </w:rPr>
              <w:t xml:space="preserve">营业收入 </w:t>
            </w:r>
            <w:r>
              <w:rPr>
                <w:rFonts w:hint="eastAsia"/>
                <w:color w:val="000000" w:themeColor="text1"/>
                <w:sz w:val="24"/>
                <w:szCs w:val="24"/>
                <w:highlight w:val="none"/>
                <w14:textFill>
                  <w14:solidFill>
                    <w14:schemeClr w14:val="tx1"/>
                  </w14:solidFill>
                </w14:textFill>
              </w:rPr>
              <w:t>6000</w:t>
            </w:r>
            <w:r>
              <w:rPr>
                <w:rFonts w:hint="eastAsia"/>
                <w:color w:val="000000" w:themeColor="text1"/>
                <w:spacing w:val="-6"/>
                <w:sz w:val="24"/>
                <w:szCs w:val="24"/>
                <w:highlight w:val="none"/>
                <w14:textFill>
                  <w14:solidFill>
                    <w14:schemeClr w14:val="tx1"/>
                  </w14:solidFill>
                </w14:textFill>
              </w:rPr>
              <w:t xml:space="preserve"> 万元及以上，且资产总额 </w:t>
            </w:r>
            <w:r>
              <w:rPr>
                <w:rFonts w:hint="eastAsia"/>
                <w:color w:val="000000" w:themeColor="text1"/>
                <w:sz w:val="24"/>
                <w:szCs w:val="24"/>
                <w:highlight w:val="none"/>
                <w14:textFill>
                  <w14:solidFill>
                    <w14:schemeClr w14:val="tx1"/>
                  </w14:solidFill>
                </w14:textFill>
              </w:rPr>
              <w:t>5000</w:t>
            </w:r>
            <w:r>
              <w:rPr>
                <w:rFonts w:hint="eastAsia"/>
                <w:color w:val="000000" w:themeColor="text1"/>
                <w:spacing w:val="-8"/>
                <w:sz w:val="24"/>
                <w:szCs w:val="24"/>
                <w:highlight w:val="none"/>
                <w14:textFill>
                  <w14:solidFill>
                    <w14:schemeClr w14:val="tx1"/>
                  </w14:solidFill>
                </w14:textFill>
              </w:rPr>
              <w:t xml:space="preserve"> 万元及以</w:t>
            </w:r>
          </w:p>
          <w:p w14:paraId="2565FD0C">
            <w:pPr>
              <w:pStyle w:val="50"/>
              <w:spacing w:before="56"/>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上的</w:t>
            </w:r>
          </w:p>
        </w:tc>
        <w:tc>
          <w:tcPr>
            <w:tcW w:w="1099" w:type="dxa"/>
            <w:vMerge w:val="restart"/>
            <w:noWrap w:val="0"/>
            <w:vAlign w:val="center"/>
          </w:tcPr>
          <w:p w14:paraId="3DDBF9F4">
            <w:pPr>
              <w:pStyle w:val="50"/>
              <w:spacing w:before="2"/>
              <w:rPr>
                <w:rFonts w:hint="eastAsia"/>
                <w:b/>
                <w:color w:val="000000" w:themeColor="text1"/>
                <w:sz w:val="24"/>
                <w:szCs w:val="24"/>
                <w:highlight w:val="none"/>
                <w14:textFill>
                  <w14:solidFill>
                    <w14:schemeClr w14:val="tx1"/>
                  </w14:solidFill>
                </w14:textFill>
              </w:rPr>
            </w:pPr>
          </w:p>
          <w:p w14:paraId="582F8F73">
            <w:pPr>
              <w:pStyle w:val="50"/>
              <w:spacing w:line="61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营业收入资产总额</w:t>
            </w:r>
          </w:p>
        </w:tc>
      </w:tr>
      <w:tr w14:paraId="7AF7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14:paraId="473EBA2E">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7DE57852">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209FECDF">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4F3306B4">
            <w:pPr>
              <w:pStyle w:val="50"/>
              <w:spacing w:before="16"/>
              <w:rPr>
                <w:rFonts w:hint="eastAsia"/>
                <w:b/>
                <w:color w:val="000000" w:themeColor="text1"/>
                <w:sz w:val="24"/>
                <w:szCs w:val="24"/>
                <w:highlight w:val="none"/>
                <w14:textFill>
                  <w14:solidFill>
                    <w14:schemeClr w14:val="tx1"/>
                  </w14:solidFill>
                </w14:textFill>
              </w:rPr>
            </w:pPr>
          </w:p>
          <w:p w14:paraId="328DF3F7">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2483CE5A">
            <w:pPr>
              <w:pStyle w:val="50"/>
              <w:spacing w:before="45"/>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8"/>
                <w:sz w:val="24"/>
                <w:szCs w:val="24"/>
                <w:highlight w:val="none"/>
                <w14:textFill>
                  <w14:solidFill>
                    <w14:schemeClr w14:val="tx1"/>
                  </w14:solidFill>
                </w14:textFill>
              </w:rPr>
              <w:t xml:space="preserve">营业收入 </w:t>
            </w:r>
            <w:r>
              <w:rPr>
                <w:rFonts w:hint="eastAsia"/>
                <w:color w:val="000000" w:themeColor="text1"/>
                <w:sz w:val="24"/>
                <w:szCs w:val="24"/>
                <w:highlight w:val="none"/>
                <w14:textFill>
                  <w14:solidFill>
                    <w14:schemeClr w14:val="tx1"/>
                  </w14:solidFill>
                </w14:textFill>
              </w:rPr>
              <w:t>300</w:t>
            </w:r>
            <w:r>
              <w:rPr>
                <w:rFonts w:hint="eastAsia"/>
                <w:color w:val="000000" w:themeColor="text1"/>
                <w:spacing w:val="-7"/>
                <w:sz w:val="24"/>
                <w:szCs w:val="24"/>
                <w:highlight w:val="none"/>
                <w14:textFill>
                  <w14:solidFill>
                    <w14:schemeClr w14:val="tx1"/>
                  </w14:solidFill>
                </w14:textFill>
              </w:rPr>
              <w:t xml:space="preserve"> 万元及以上，且资产总额 </w:t>
            </w:r>
            <w:r>
              <w:rPr>
                <w:rFonts w:hint="eastAsia"/>
                <w:color w:val="000000" w:themeColor="text1"/>
                <w:sz w:val="24"/>
                <w:szCs w:val="24"/>
                <w:highlight w:val="none"/>
                <w14:textFill>
                  <w14:solidFill>
                    <w14:schemeClr w14:val="tx1"/>
                  </w14:solidFill>
                </w14:textFill>
              </w:rPr>
              <w:t>300</w:t>
            </w:r>
            <w:r>
              <w:rPr>
                <w:rFonts w:hint="eastAsia"/>
                <w:color w:val="000000" w:themeColor="text1"/>
                <w:spacing w:val="-8"/>
                <w:sz w:val="24"/>
                <w:szCs w:val="24"/>
                <w:highlight w:val="none"/>
                <w14:textFill>
                  <w14:solidFill>
                    <w14:schemeClr w14:val="tx1"/>
                  </w14:solidFill>
                </w14:textFill>
              </w:rPr>
              <w:t xml:space="preserve"> 万元及以上</w:t>
            </w:r>
          </w:p>
          <w:p w14:paraId="07D6B5D8">
            <w:pPr>
              <w:pStyle w:val="50"/>
              <w:spacing w:before="55"/>
              <w:ind w:left="15"/>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的</w:t>
            </w:r>
          </w:p>
        </w:tc>
        <w:tc>
          <w:tcPr>
            <w:tcW w:w="1099" w:type="dxa"/>
            <w:vMerge w:val="continue"/>
            <w:noWrap w:val="0"/>
            <w:vAlign w:val="center"/>
          </w:tcPr>
          <w:p w14:paraId="21D75B8E">
            <w:pPr>
              <w:rPr>
                <w:rFonts w:hint="eastAsia" w:ascii="宋体" w:hAnsi="宋体" w:cs="宋体"/>
                <w:color w:val="000000" w:themeColor="text1"/>
                <w:sz w:val="24"/>
                <w:szCs w:val="24"/>
                <w:highlight w:val="none"/>
                <w14:textFill>
                  <w14:solidFill>
                    <w14:schemeClr w14:val="tx1"/>
                  </w14:solidFill>
                </w14:textFill>
              </w:rPr>
            </w:pPr>
          </w:p>
        </w:tc>
      </w:tr>
      <w:tr w14:paraId="3BAA5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A22B796">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16C88F97">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668FE3FC">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3546F19F">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61C26A76">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营业收入 300 万元以下或资产总额 300 万元以下的</w:t>
            </w:r>
          </w:p>
        </w:tc>
        <w:tc>
          <w:tcPr>
            <w:tcW w:w="1099" w:type="dxa"/>
            <w:vMerge w:val="continue"/>
            <w:noWrap w:val="0"/>
            <w:vAlign w:val="center"/>
          </w:tcPr>
          <w:p w14:paraId="44736AF4">
            <w:pPr>
              <w:rPr>
                <w:rFonts w:hint="eastAsia" w:ascii="宋体" w:hAnsi="宋体" w:cs="宋体"/>
                <w:color w:val="000000" w:themeColor="text1"/>
                <w:sz w:val="24"/>
                <w:szCs w:val="24"/>
                <w:highlight w:val="none"/>
                <w14:textFill>
                  <w14:solidFill>
                    <w14:schemeClr w14:val="tx1"/>
                  </w14:solidFill>
                </w14:textFill>
              </w:rPr>
            </w:pPr>
          </w:p>
        </w:tc>
      </w:tr>
      <w:tr w14:paraId="76C9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1BD10BA3">
            <w:pPr>
              <w:pStyle w:val="50"/>
              <w:spacing w:before="7"/>
              <w:rPr>
                <w:rFonts w:hint="eastAsia"/>
                <w:b/>
                <w:color w:val="000000" w:themeColor="text1"/>
                <w:sz w:val="24"/>
                <w:szCs w:val="24"/>
                <w:highlight w:val="none"/>
                <w14:textFill>
                  <w14:solidFill>
                    <w14:schemeClr w14:val="tx1"/>
                  </w14:solidFill>
                </w14:textFill>
              </w:rPr>
            </w:pPr>
          </w:p>
          <w:p w14:paraId="41FF8CD2">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4</w:t>
            </w:r>
          </w:p>
        </w:tc>
        <w:tc>
          <w:tcPr>
            <w:tcW w:w="860" w:type="dxa"/>
            <w:vMerge w:val="restart"/>
            <w:noWrap w:val="0"/>
            <w:vAlign w:val="center"/>
          </w:tcPr>
          <w:p w14:paraId="5571DABF">
            <w:pPr>
              <w:pStyle w:val="50"/>
              <w:spacing w:before="12"/>
              <w:rPr>
                <w:rFonts w:hint="eastAsia"/>
                <w:b/>
                <w:color w:val="000000" w:themeColor="text1"/>
                <w:sz w:val="24"/>
                <w:szCs w:val="24"/>
                <w:highlight w:val="none"/>
                <w14:textFill>
                  <w14:solidFill>
                    <w14:schemeClr w14:val="tx1"/>
                  </w14:solidFill>
                </w14:textFill>
              </w:rPr>
            </w:pPr>
          </w:p>
          <w:p w14:paraId="06CEEC77">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批发业</w:t>
            </w:r>
          </w:p>
        </w:tc>
        <w:tc>
          <w:tcPr>
            <w:tcW w:w="2157" w:type="dxa"/>
            <w:vMerge w:val="restart"/>
            <w:noWrap w:val="0"/>
            <w:vAlign w:val="center"/>
          </w:tcPr>
          <w:p w14:paraId="785C7820">
            <w:pPr>
              <w:pStyle w:val="50"/>
              <w:spacing w:before="142"/>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200 人以下或营业收入 40000 万元以下的为中小微型企业</w:t>
            </w:r>
          </w:p>
        </w:tc>
        <w:tc>
          <w:tcPr>
            <w:tcW w:w="1215" w:type="dxa"/>
            <w:noWrap w:val="0"/>
            <w:vAlign w:val="center"/>
          </w:tcPr>
          <w:p w14:paraId="6D36ECFE">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6A3389DB">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20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5000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5950753B">
            <w:pPr>
              <w:pStyle w:val="50"/>
              <w:spacing w:before="68"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4C53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DBF9948">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77F79795">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0DB4AE10">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1BBD0C23">
            <w:pPr>
              <w:pStyle w:val="50"/>
              <w:spacing w:before="69"/>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2AE92338">
            <w:pPr>
              <w:pStyle w:val="50"/>
              <w:spacing w:before="69"/>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5</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74B92EF4">
            <w:pPr>
              <w:rPr>
                <w:rFonts w:hint="eastAsia" w:ascii="宋体" w:hAnsi="宋体" w:cs="宋体"/>
                <w:color w:val="000000" w:themeColor="text1"/>
                <w:sz w:val="24"/>
                <w:szCs w:val="24"/>
                <w:highlight w:val="none"/>
                <w14:textFill>
                  <w14:solidFill>
                    <w14:schemeClr w14:val="tx1"/>
                  </w14:solidFill>
                </w14:textFill>
              </w:rPr>
            </w:pPr>
          </w:p>
        </w:tc>
      </w:tr>
      <w:tr w14:paraId="06C8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E2354F1">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623EBC30">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64954709">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0ECEC3F3">
            <w:pPr>
              <w:pStyle w:val="50"/>
              <w:spacing w:before="69"/>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17894EC3">
            <w:pPr>
              <w:pStyle w:val="50"/>
              <w:spacing w:before="69"/>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5 人以下或营业收入 1000 万元以下的</w:t>
            </w:r>
          </w:p>
        </w:tc>
        <w:tc>
          <w:tcPr>
            <w:tcW w:w="1099" w:type="dxa"/>
            <w:vMerge w:val="continue"/>
            <w:noWrap w:val="0"/>
            <w:vAlign w:val="center"/>
          </w:tcPr>
          <w:p w14:paraId="6D845148">
            <w:pPr>
              <w:rPr>
                <w:rFonts w:hint="eastAsia" w:ascii="宋体" w:hAnsi="宋体" w:cs="宋体"/>
                <w:color w:val="000000" w:themeColor="text1"/>
                <w:sz w:val="24"/>
                <w:szCs w:val="24"/>
                <w:highlight w:val="none"/>
                <w14:textFill>
                  <w14:solidFill>
                    <w14:schemeClr w14:val="tx1"/>
                  </w14:solidFill>
                </w14:textFill>
              </w:rPr>
            </w:pPr>
          </w:p>
        </w:tc>
      </w:tr>
      <w:tr w14:paraId="5F1E8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4D56E81A">
            <w:pPr>
              <w:pStyle w:val="50"/>
              <w:spacing w:before="6"/>
              <w:rPr>
                <w:rFonts w:hint="eastAsia"/>
                <w:b/>
                <w:color w:val="000000" w:themeColor="text1"/>
                <w:sz w:val="24"/>
                <w:szCs w:val="24"/>
                <w:highlight w:val="none"/>
                <w14:textFill>
                  <w14:solidFill>
                    <w14:schemeClr w14:val="tx1"/>
                  </w14:solidFill>
                </w14:textFill>
              </w:rPr>
            </w:pPr>
          </w:p>
          <w:p w14:paraId="299B1B68">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5</w:t>
            </w:r>
          </w:p>
        </w:tc>
        <w:tc>
          <w:tcPr>
            <w:tcW w:w="860" w:type="dxa"/>
            <w:vMerge w:val="restart"/>
            <w:noWrap w:val="0"/>
            <w:vAlign w:val="center"/>
          </w:tcPr>
          <w:p w14:paraId="419A8F2D">
            <w:pPr>
              <w:pStyle w:val="50"/>
              <w:spacing w:before="11"/>
              <w:rPr>
                <w:rFonts w:hint="eastAsia"/>
                <w:b/>
                <w:color w:val="000000" w:themeColor="text1"/>
                <w:sz w:val="24"/>
                <w:szCs w:val="24"/>
                <w:highlight w:val="none"/>
                <w14:textFill>
                  <w14:solidFill>
                    <w14:schemeClr w14:val="tx1"/>
                  </w14:solidFill>
                </w14:textFill>
              </w:rPr>
            </w:pPr>
          </w:p>
          <w:p w14:paraId="2C8A8059">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零售业</w:t>
            </w:r>
          </w:p>
        </w:tc>
        <w:tc>
          <w:tcPr>
            <w:tcW w:w="2157" w:type="dxa"/>
            <w:vMerge w:val="restart"/>
            <w:noWrap w:val="0"/>
            <w:vAlign w:val="center"/>
          </w:tcPr>
          <w:p w14:paraId="4E954CBD">
            <w:pPr>
              <w:pStyle w:val="50"/>
              <w:spacing w:before="141"/>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300 人以下或营业收入 20000 万元以下的为中小微型企业</w:t>
            </w:r>
          </w:p>
        </w:tc>
        <w:tc>
          <w:tcPr>
            <w:tcW w:w="1215" w:type="dxa"/>
            <w:noWrap w:val="0"/>
            <w:vAlign w:val="center"/>
          </w:tcPr>
          <w:p w14:paraId="04A1CFD3">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6E1E4668">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50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500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58C2AFE5">
            <w:pPr>
              <w:pStyle w:val="50"/>
              <w:spacing w:before="67"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72DE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FE7DA19">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58DB29FA">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61617CFD">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0843064E">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70FC2CF0">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5B09238C">
            <w:pPr>
              <w:rPr>
                <w:rFonts w:hint="eastAsia" w:ascii="宋体" w:hAnsi="宋体" w:cs="宋体"/>
                <w:color w:val="000000" w:themeColor="text1"/>
                <w:sz w:val="24"/>
                <w:szCs w:val="24"/>
                <w:highlight w:val="none"/>
                <w14:textFill>
                  <w14:solidFill>
                    <w14:schemeClr w14:val="tx1"/>
                  </w14:solidFill>
                </w14:textFill>
              </w:rPr>
            </w:pPr>
          </w:p>
        </w:tc>
      </w:tr>
      <w:tr w14:paraId="458A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6B6C168">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32AB17FE">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5BEA35C4">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3235ADE9">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1D2CA642">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335C0116">
            <w:pPr>
              <w:rPr>
                <w:rFonts w:hint="eastAsia" w:ascii="宋体" w:hAnsi="宋体" w:cs="宋体"/>
                <w:color w:val="000000" w:themeColor="text1"/>
                <w:sz w:val="24"/>
                <w:szCs w:val="24"/>
                <w:highlight w:val="none"/>
                <w14:textFill>
                  <w14:solidFill>
                    <w14:schemeClr w14:val="tx1"/>
                  </w14:solidFill>
                </w14:textFill>
              </w:rPr>
            </w:pPr>
          </w:p>
        </w:tc>
      </w:tr>
      <w:tr w14:paraId="049A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4FE46199">
            <w:pPr>
              <w:pStyle w:val="50"/>
              <w:spacing w:before="7"/>
              <w:rPr>
                <w:rFonts w:hint="eastAsia"/>
                <w:b/>
                <w:color w:val="000000" w:themeColor="text1"/>
                <w:sz w:val="24"/>
                <w:szCs w:val="24"/>
                <w:highlight w:val="none"/>
                <w14:textFill>
                  <w14:solidFill>
                    <w14:schemeClr w14:val="tx1"/>
                  </w14:solidFill>
                </w14:textFill>
              </w:rPr>
            </w:pPr>
          </w:p>
          <w:p w14:paraId="19CC99C9">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6</w:t>
            </w:r>
          </w:p>
        </w:tc>
        <w:tc>
          <w:tcPr>
            <w:tcW w:w="860" w:type="dxa"/>
            <w:vMerge w:val="restart"/>
            <w:noWrap w:val="0"/>
            <w:vAlign w:val="center"/>
          </w:tcPr>
          <w:p w14:paraId="3B5D7439">
            <w:pPr>
              <w:pStyle w:val="50"/>
              <w:spacing w:before="3"/>
              <w:rPr>
                <w:rFonts w:hint="eastAsia"/>
                <w:b/>
                <w:color w:val="000000" w:themeColor="text1"/>
                <w:sz w:val="24"/>
                <w:szCs w:val="24"/>
                <w:highlight w:val="none"/>
                <w14:textFill>
                  <w14:solidFill>
                    <w14:schemeClr w14:val="tx1"/>
                  </w14:solidFill>
                </w14:textFill>
              </w:rPr>
            </w:pPr>
          </w:p>
          <w:p w14:paraId="70CA9E4C">
            <w:pPr>
              <w:pStyle w:val="50"/>
              <w:spacing w:before="1" w:line="292" w:lineRule="auto"/>
              <w:ind w:left="13" w:right="6"/>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交通运输业</w:t>
            </w:r>
          </w:p>
        </w:tc>
        <w:tc>
          <w:tcPr>
            <w:tcW w:w="2157" w:type="dxa"/>
            <w:vMerge w:val="restart"/>
            <w:noWrap w:val="0"/>
            <w:vAlign w:val="center"/>
          </w:tcPr>
          <w:p w14:paraId="49690A1B">
            <w:pPr>
              <w:pStyle w:val="50"/>
              <w:spacing w:before="142"/>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9"/>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1000</w:t>
            </w:r>
            <w:r>
              <w:rPr>
                <w:rFonts w:hint="eastAsia"/>
                <w:color w:val="000000" w:themeColor="text1"/>
                <w:spacing w:val="-8"/>
                <w:sz w:val="24"/>
                <w:szCs w:val="24"/>
                <w:highlight w:val="none"/>
                <w14:textFill>
                  <w14:solidFill>
                    <w14:schemeClr w14:val="tx1"/>
                  </w14:solidFill>
                </w14:textFill>
              </w:rPr>
              <w:t xml:space="preserve"> 人以下或</w:t>
            </w:r>
            <w:r>
              <w:rPr>
                <w:rFonts w:hint="eastAsia"/>
                <w:color w:val="000000" w:themeColor="text1"/>
                <w:sz w:val="24"/>
                <w:szCs w:val="24"/>
                <w:highlight w:val="none"/>
                <w14:textFill>
                  <w14:solidFill>
                    <w14:schemeClr w14:val="tx1"/>
                  </w14:solidFill>
                </w14:textFill>
              </w:rPr>
              <w:t>营业收入 30000 万元以下的为中小微型企业</w:t>
            </w:r>
          </w:p>
        </w:tc>
        <w:tc>
          <w:tcPr>
            <w:tcW w:w="1215" w:type="dxa"/>
            <w:noWrap w:val="0"/>
            <w:vAlign w:val="center"/>
          </w:tcPr>
          <w:p w14:paraId="4C27A4C6">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511C04D1">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300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3000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18D1E56C">
            <w:pPr>
              <w:pStyle w:val="50"/>
              <w:spacing w:before="68"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7755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65C65E1">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4A8B7092">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36FAF319">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0F6E0717">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550F6F60">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20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200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196672CE">
            <w:pPr>
              <w:rPr>
                <w:rFonts w:hint="eastAsia" w:ascii="宋体" w:hAnsi="宋体" w:cs="宋体"/>
                <w:color w:val="000000" w:themeColor="text1"/>
                <w:sz w:val="24"/>
                <w:szCs w:val="24"/>
                <w:highlight w:val="none"/>
                <w14:textFill>
                  <w14:solidFill>
                    <w14:schemeClr w14:val="tx1"/>
                  </w14:solidFill>
                </w14:textFill>
              </w:rPr>
            </w:pPr>
          </w:p>
        </w:tc>
      </w:tr>
      <w:tr w14:paraId="5B1DA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EA545C1">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1A2B6C3C">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7AF32383">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6A1F557E">
            <w:pPr>
              <w:pStyle w:val="50"/>
              <w:spacing w:before="69"/>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6D6CB44B">
            <w:pPr>
              <w:pStyle w:val="50"/>
              <w:spacing w:before="69"/>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20 人以下或营业收入 200 万元以下的</w:t>
            </w:r>
          </w:p>
        </w:tc>
        <w:tc>
          <w:tcPr>
            <w:tcW w:w="1099" w:type="dxa"/>
            <w:vMerge w:val="continue"/>
            <w:noWrap w:val="0"/>
            <w:vAlign w:val="center"/>
          </w:tcPr>
          <w:p w14:paraId="78DFBACD">
            <w:pPr>
              <w:rPr>
                <w:rFonts w:hint="eastAsia" w:ascii="宋体" w:hAnsi="宋体" w:cs="宋体"/>
                <w:color w:val="000000" w:themeColor="text1"/>
                <w:sz w:val="24"/>
                <w:szCs w:val="24"/>
                <w:highlight w:val="none"/>
                <w14:textFill>
                  <w14:solidFill>
                    <w14:schemeClr w14:val="tx1"/>
                  </w14:solidFill>
                </w14:textFill>
              </w:rPr>
            </w:pPr>
          </w:p>
        </w:tc>
      </w:tr>
      <w:tr w14:paraId="630B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7ABCE1A5">
            <w:pPr>
              <w:pStyle w:val="50"/>
              <w:spacing w:before="6"/>
              <w:rPr>
                <w:rFonts w:hint="eastAsia"/>
                <w:b/>
                <w:color w:val="000000" w:themeColor="text1"/>
                <w:sz w:val="24"/>
                <w:szCs w:val="24"/>
                <w:highlight w:val="none"/>
                <w14:textFill>
                  <w14:solidFill>
                    <w14:schemeClr w14:val="tx1"/>
                  </w14:solidFill>
                </w14:textFill>
              </w:rPr>
            </w:pPr>
          </w:p>
          <w:p w14:paraId="1EDC4D52">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7</w:t>
            </w:r>
          </w:p>
        </w:tc>
        <w:tc>
          <w:tcPr>
            <w:tcW w:w="860" w:type="dxa"/>
            <w:vMerge w:val="restart"/>
            <w:noWrap w:val="0"/>
            <w:vAlign w:val="center"/>
          </w:tcPr>
          <w:p w14:paraId="0FCCB2A0">
            <w:pPr>
              <w:pStyle w:val="50"/>
              <w:spacing w:before="11"/>
              <w:rPr>
                <w:rFonts w:hint="eastAsia"/>
                <w:b/>
                <w:color w:val="000000" w:themeColor="text1"/>
                <w:sz w:val="24"/>
                <w:szCs w:val="24"/>
                <w:highlight w:val="none"/>
                <w14:textFill>
                  <w14:solidFill>
                    <w14:schemeClr w14:val="tx1"/>
                  </w14:solidFill>
                </w14:textFill>
              </w:rPr>
            </w:pPr>
          </w:p>
          <w:p w14:paraId="67EFB08C">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仓储业</w:t>
            </w:r>
          </w:p>
        </w:tc>
        <w:tc>
          <w:tcPr>
            <w:tcW w:w="2157" w:type="dxa"/>
            <w:vMerge w:val="restart"/>
            <w:noWrap w:val="0"/>
            <w:vAlign w:val="center"/>
          </w:tcPr>
          <w:p w14:paraId="6FFE4251">
            <w:pPr>
              <w:pStyle w:val="50"/>
              <w:spacing w:before="141"/>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200 人以下或营业收入 30000 万元以下的为中小微型企业</w:t>
            </w:r>
          </w:p>
        </w:tc>
        <w:tc>
          <w:tcPr>
            <w:tcW w:w="1215" w:type="dxa"/>
            <w:noWrap w:val="0"/>
            <w:vAlign w:val="center"/>
          </w:tcPr>
          <w:p w14:paraId="3362F5FB">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544FD616">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4465B9B0">
            <w:pPr>
              <w:pStyle w:val="50"/>
              <w:spacing w:before="67"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183D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BDF451D">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052EEC62">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31D7545F">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1211ADC8">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39F96926">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20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39E849BC">
            <w:pPr>
              <w:rPr>
                <w:rFonts w:hint="eastAsia" w:ascii="宋体" w:hAnsi="宋体" w:cs="宋体"/>
                <w:color w:val="000000" w:themeColor="text1"/>
                <w:sz w:val="24"/>
                <w:szCs w:val="24"/>
                <w:highlight w:val="none"/>
                <w14:textFill>
                  <w14:solidFill>
                    <w14:schemeClr w14:val="tx1"/>
                  </w14:solidFill>
                </w14:textFill>
              </w:rPr>
            </w:pPr>
          </w:p>
        </w:tc>
      </w:tr>
      <w:tr w14:paraId="4BCE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483812E6">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35431A7E">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12320DC9">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4A087545">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1497414A">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20 人以下或营业收入 100 万元以下的</w:t>
            </w:r>
          </w:p>
        </w:tc>
        <w:tc>
          <w:tcPr>
            <w:tcW w:w="1099" w:type="dxa"/>
            <w:vMerge w:val="continue"/>
            <w:noWrap w:val="0"/>
            <w:vAlign w:val="center"/>
          </w:tcPr>
          <w:p w14:paraId="66FEE2B6">
            <w:pPr>
              <w:rPr>
                <w:rFonts w:hint="eastAsia" w:ascii="宋体" w:hAnsi="宋体" w:cs="宋体"/>
                <w:color w:val="000000" w:themeColor="text1"/>
                <w:sz w:val="24"/>
                <w:szCs w:val="24"/>
                <w:highlight w:val="none"/>
                <w14:textFill>
                  <w14:solidFill>
                    <w14:schemeClr w14:val="tx1"/>
                  </w14:solidFill>
                </w14:textFill>
              </w:rPr>
            </w:pPr>
          </w:p>
        </w:tc>
      </w:tr>
      <w:tr w14:paraId="2EBB1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3C8C4DE7">
            <w:pPr>
              <w:pStyle w:val="50"/>
              <w:spacing w:before="7"/>
              <w:rPr>
                <w:rFonts w:hint="eastAsia"/>
                <w:b/>
                <w:color w:val="000000" w:themeColor="text1"/>
                <w:sz w:val="24"/>
                <w:szCs w:val="24"/>
                <w:highlight w:val="none"/>
                <w14:textFill>
                  <w14:solidFill>
                    <w14:schemeClr w14:val="tx1"/>
                  </w14:solidFill>
                </w14:textFill>
              </w:rPr>
            </w:pPr>
          </w:p>
          <w:p w14:paraId="09F28CB0">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8</w:t>
            </w:r>
          </w:p>
        </w:tc>
        <w:tc>
          <w:tcPr>
            <w:tcW w:w="860" w:type="dxa"/>
            <w:vMerge w:val="restart"/>
            <w:noWrap w:val="0"/>
            <w:vAlign w:val="center"/>
          </w:tcPr>
          <w:p w14:paraId="3EECF9FD">
            <w:pPr>
              <w:pStyle w:val="50"/>
              <w:spacing w:before="12"/>
              <w:rPr>
                <w:rFonts w:hint="eastAsia"/>
                <w:b/>
                <w:color w:val="000000" w:themeColor="text1"/>
                <w:sz w:val="24"/>
                <w:szCs w:val="24"/>
                <w:highlight w:val="none"/>
                <w14:textFill>
                  <w14:solidFill>
                    <w14:schemeClr w14:val="tx1"/>
                  </w14:solidFill>
                </w14:textFill>
              </w:rPr>
            </w:pPr>
          </w:p>
          <w:p w14:paraId="00D7CC76">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邮政业</w:t>
            </w:r>
          </w:p>
        </w:tc>
        <w:tc>
          <w:tcPr>
            <w:tcW w:w="2157" w:type="dxa"/>
            <w:vMerge w:val="restart"/>
            <w:noWrap w:val="0"/>
            <w:vAlign w:val="center"/>
          </w:tcPr>
          <w:p w14:paraId="6FF0CB79">
            <w:pPr>
              <w:pStyle w:val="50"/>
              <w:spacing w:before="143"/>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9"/>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1000</w:t>
            </w:r>
            <w:r>
              <w:rPr>
                <w:rFonts w:hint="eastAsia"/>
                <w:color w:val="000000" w:themeColor="text1"/>
                <w:spacing w:val="-8"/>
                <w:sz w:val="24"/>
                <w:szCs w:val="24"/>
                <w:highlight w:val="none"/>
                <w14:textFill>
                  <w14:solidFill>
                    <w14:schemeClr w14:val="tx1"/>
                  </w14:solidFill>
                </w14:textFill>
              </w:rPr>
              <w:t xml:space="preserve"> 人以下或</w:t>
            </w:r>
            <w:r>
              <w:rPr>
                <w:rFonts w:hint="eastAsia"/>
                <w:color w:val="000000" w:themeColor="text1"/>
                <w:sz w:val="24"/>
                <w:szCs w:val="24"/>
                <w:highlight w:val="none"/>
                <w14:textFill>
                  <w14:solidFill>
                    <w14:schemeClr w14:val="tx1"/>
                  </w14:solidFill>
                </w14:textFill>
              </w:rPr>
              <w:t>营业收入 30000 万元以下的为中小微型企业</w:t>
            </w:r>
          </w:p>
        </w:tc>
        <w:tc>
          <w:tcPr>
            <w:tcW w:w="1215" w:type="dxa"/>
            <w:noWrap w:val="0"/>
            <w:vAlign w:val="center"/>
          </w:tcPr>
          <w:p w14:paraId="6B65C247">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2E8AB3E5">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300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2000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277FC86C">
            <w:pPr>
              <w:pStyle w:val="50"/>
              <w:spacing w:before="68"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6BDBE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21CE7191">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536E4F2D">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3BD2852B">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4452EAAB">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66D8BC26">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20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7DE5FFE0">
            <w:pPr>
              <w:rPr>
                <w:rFonts w:hint="eastAsia" w:ascii="宋体" w:hAnsi="宋体" w:cs="宋体"/>
                <w:color w:val="000000" w:themeColor="text1"/>
                <w:sz w:val="24"/>
                <w:szCs w:val="24"/>
                <w:highlight w:val="none"/>
                <w14:textFill>
                  <w14:solidFill>
                    <w14:schemeClr w14:val="tx1"/>
                  </w14:solidFill>
                </w14:textFill>
              </w:rPr>
            </w:pPr>
          </w:p>
        </w:tc>
      </w:tr>
      <w:tr w14:paraId="5309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7CA655B9">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3C547F1C">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22FD6FE9">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29658068">
            <w:pPr>
              <w:pStyle w:val="50"/>
              <w:spacing w:before="69"/>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3B01353C">
            <w:pPr>
              <w:pStyle w:val="50"/>
              <w:spacing w:before="69"/>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20 人以下或营业收入 100 万元以下的</w:t>
            </w:r>
          </w:p>
        </w:tc>
        <w:tc>
          <w:tcPr>
            <w:tcW w:w="1099" w:type="dxa"/>
            <w:vMerge w:val="continue"/>
            <w:noWrap w:val="0"/>
            <w:vAlign w:val="center"/>
          </w:tcPr>
          <w:p w14:paraId="269729C6">
            <w:pPr>
              <w:rPr>
                <w:rFonts w:hint="eastAsia" w:ascii="宋体" w:hAnsi="宋体" w:cs="宋体"/>
                <w:color w:val="000000" w:themeColor="text1"/>
                <w:sz w:val="24"/>
                <w:szCs w:val="24"/>
                <w:highlight w:val="none"/>
                <w14:textFill>
                  <w14:solidFill>
                    <w14:schemeClr w14:val="tx1"/>
                  </w14:solidFill>
                </w14:textFill>
              </w:rPr>
            </w:pPr>
          </w:p>
        </w:tc>
      </w:tr>
      <w:tr w14:paraId="2F96C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0BF7D873">
            <w:pPr>
              <w:pStyle w:val="50"/>
              <w:spacing w:before="6"/>
              <w:rPr>
                <w:rFonts w:hint="eastAsia"/>
                <w:b/>
                <w:color w:val="000000" w:themeColor="text1"/>
                <w:sz w:val="24"/>
                <w:szCs w:val="24"/>
                <w:highlight w:val="none"/>
                <w14:textFill>
                  <w14:solidFill>
                    <w14:schemeClr w14:val="tx1"/>
                  </w14:solidFill>
                </w14:textFill>
              </w:rPr>
            </w:pPr>
          </w:p>
          <w:p w14:paraId="6CE690B3">
            <w:pPr>
              <w:pStyle w:val="50"/>
              <w:ind w:left="8"/>
              <w:rPr>
                <w:rFonts w:hint="eastAsia"/>
                <w:color w:val="000000" w:themeColor="text1"/>
                <w:sz w:val="24"/>
                <w:szCs w:val="24"/>
                <w:highlight w:val="none"/>
                <w14:textFill>
                  <w14:solidFill>
                    <w14:schemeClr w14:val="tx1"/>
                  </w14:solidFill>
                </w14:textFill>
              </w:rPr>
            </w:pPr>
            <w:r>
              <w:rPr>
                <w:rFonts w:hint="eastAsia"/>
                <w:color w:val="000000" w:themeColor="text1"/>
                <w:w w:val="99"/>
                <w:sz w:val="24"/>
                <w:szCs w:val="24"/>
                <w:highlight w:val="none"/>
                <w14:textFill>
                  <w14:solidFill>
                    <w14:schemeClr w14:val="tx1"/>
                  </w14:solidFill>
                </w14:textFill>
              </w:rPr>
              <w:t>9</w:t>
            </w:r>
          </w:p>
        </w:tc>
        <w:tc>
          <w:tcPr>
            <w:tcW w:w="860" w:type="dxa"/>
            <w:vMerge w:val="restart"/>
            <w:noWrap w:val="0"/>
            <w:vAlign w:val="center"/>
          </w:tcPr>
          <w:p w14:paraId="07D342FA">
            <w:pPr>
              <w:pStyle w:val="50"/>
              <w:spacing w:before="11"/>
              <w:rPr>
                <w:rFonts w:hint="eastAsia"/>
                <w:b/>
                <w:color w:val="000000" w:themeColor="text1"/>
                <w:sz w:val="24"/>
                <w:szCs w:val="24"/>
                <w:highlight w:val="none"/>
                <w14:textFill>
                  <w14:solidFill>
                    <w14:schemeClr w14:val="tx1"/>
                  </w14:solidFill>
                </w14:textFill>
              </w:rPr>
            </w:pPr>
          </w:p>
          <w:p w14:paraId="55F94EE4">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住宿业</w:t>
            </w:r>
          </w:p>
        </w:tc>
        <w:tc>
          <w:tcPr>
            <w:tcW w:w="2157" w:type="dxa"/>
            <w:vMerge w:val="restart"/>
            <w:noWrap w:val="0"/>
            <w:vAlign w:val="center"/>
          </w:tcPr>
          <w:p w14:paraId="7AF6BD69">
            <w:pPr>
              <w:pStyle w:val="50"/>
              <w:spacing w:before="141"/>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4DFB07B2">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11EBE07E">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2000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3E885E59">
            <w:pPr>
              <w:pStyle w:val="50"/>
              <w:spacing w:before="67"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78CE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227355F9">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06DF8EA5">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5B5BC8E2">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7F053FA0">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74F9FEAF">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3C62D4D6">
            <w:pPr>
              <w:rPr>
                <w:rFonts w:hint="eastAsia" w:ascii="宋体" w:hAnsi="宋体" w:cs="宋体"/>
                <w:color w:val="000000" w:themeColor="text1"/>
                <w:sz w:val="24"/>
                <w:szCs w:val="24"/>
                <w:highlight w:val="none"/>
                <w14:textFill>
                  <w14:solidFill>
                    <w14:schemeClr w14:val="tx1"/>
                  </w14:solidFill>
                </w14:textFill>
              </w:rPr>
            </w:pPr>
          </w:p>
        </w:tc>
      </w:tr>
      <w:tr w14:paraId="759EC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1D380E5">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1E1E5BD8">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67BB38E6">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1B3A4776">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002CFDA4">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1CC088D9">
            <w:pPr>
              <w:rPr>
                <w:rFonts w:hint="eastAsia" w:ascii="宋体" w:hAnsi="宋体" w:cs="宋体"/>
                <w:color w:val="000000" w:themeColor="text1"/>
                <w:sz w:val="24"/>
                <w:szCs w:val="24"/>
                <w:highlight w:val="none"/>
                <w14:textFill>
                  <w14:solidFill>
                    <w14:schemeClr w14:val="tx1"/>
                  </w14:solidFill>
                </w14:textFill>
              </w:rPr>
            </w:pPr>
          </w:p>
        </w:tc>
      </w:tr>
      <w:tr w14:paraId="2556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0D2C34E2">
            <w:pPr>
              <w:pStyle w:val="50"/>
              <w:spacing w:before="7"/>
              <w:rPr>
                <w:rFonts w:hint="eastAsia"/>
                <w:b/>
                <w:color w:val="000000" w:themeColor="text1"/>
                <w:sz w:val="24"/>
                <w:szCs w:val="24"/>
                <w:highlight w:val="none"/>
                <w14:textFill>
                  <w14:solidFill>
                    <w14:schemeClr w14:val="tx1"/>
                  </w14:solidFill>
                </w14:textFill>
              </w:rPr>
            </w:pPr>
          </w:p>
          <w:p w14:paraId="64D6E0FF">
            <w:pPr>
              <w:pStyle w:val="5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w:t>
            </w:r>
          </w:p>
        </w:tc>
        <w:tc>
          <w:tcPr>
            <w:tcW w:w="860" w:type="dxa"/>
            <w:vMerge w:val="restart"/>
            <w:noWrap w:val="0"/>
            <w:vAlign w:val="center"/>
          </w:tcPr>
          <w:p w14:paraId="5290ABC6">
            <w:pPr>
              <w:pStyle w:val="50"/>
              <w:spacing w:before="12"/>
              <w:rPr>
                <w:rFonts w:hint="eastAsia"/>
                <w:b/>
                <w:color w:val="000000" w:themeColor="text1"/>
                <w:sz w:val="24"/>
                <w:szCs w:val="24"/>
                <w:highlight w:val="none"/>
                <w14:textFill>
                  <w14:solidFill>
                    <w14:schemeClr w14:val="tx1"/>
                  </w14:solidFill>
                </w14:textFill>
              </w:rPr>
            </w:pPr>
          </w:p>
          <w:p w14:paraId="00C9EC73">
            <w:pPr>
              <w:pStyle w:val="50"/>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餐饮业</w:t>
            </w:r>
          </w:p>
        </w:tc>
        <w:tc>
          <w:tcPr>
            <w:tcW w:w="2157" w:type="dxa"/>
            <w:vMerge w:val="restart"/>
            <w:noWrap w:val="0"/>
            <w:vAlign w:val="center"/>
          </w:tcPr>
          <w:p w14:paraId="1FC97443">
            <w:pPr>
              <w:pStyle w:val="50"/>
              <w:spacing w:before="142"/>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6AF7B7A7">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6DAC4E2F">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2000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61CE240E">
            <w:pPr>
              <w:pStyle w:val="50"/>
              <w:spacing w:before="68" w:line="362" w:lineRule="auto"/>
              <w:ind w:left="15" w:right="22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420C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3215F7D">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1F9AADDF">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7D76D04F">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33DBC582">
            <w:pPr>
              <w:pStyle w:val="50"/>
              <w:spacing w:before="68"/>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小型企业</w:t>
            </w:r>
          </w:p>
        </w:tc>
        <w:tc>
          <w:tcPr>
            <w:tcW w:w="4322" w:type="dxa"/>
            <w:noWrap w:val="0"/>
            <w:vAlign w:val="center"/>
          </w:tcPr>
          <w:p w14:paraId="65008DDE">
            <w:pPr>
              <w:pStyle w:val="50"/>
              <w:spacing w:before="68"/>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w:t>
            </w:r>
            <w:r>
              <w:rPr>
                <w:rFonts w:hint="eastAsia"/>
                <w:color w:val="000000" w:themeColor="text1"/>
                <w:spacing w:val="-12"/>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continue"/>
            <w:noWrap w:val="0"/>
            <w:vAlign w:val="center"/>
          </w:tcPr>
          <w:p w14:paraId="699E9C17">
            <w:pPr>
              <w:rPr>
                <w:rFonts w:hint="eastAsia" w:ascii="宋体" w:hAnsi="宋体" w:cs="宋体"/>
                <w:color w:val="000000" w:themeColor="text1"/>
                <w:sz w:val="24"/>
                <w:szCs w:val="24"/>
                <w:highlight w:val="none"/>
                <w14:textFill>
                  <w14:solidFill>
                    <w14:schemeClr w14:val="tx1"/>
                  </w14:solidFill>
                </w14:textFill>
              </w:rPr>
            </w:pPr>
          </w:p>
        </w:tc>
      </w:tr>
      <w:tr w14:paraId="02B6C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C561763">
            <w:pPr>
              <w:rPr>
                <w:rFonts w:hint="eastAsia" w:ascii="宋体" w:hAnsi="宋体" w:cs="宋体"/>
                <w:color w:val="000000" w:themeColor="text1"/>
                <w:sz w:val="24"/>
                <w:szCs w:val="24"/>
                <w:highlight w:val="none"/>
                <w14:textFill>
                  <w14:solidFill>
                    <w14:schemeClr w14:val="tx1"/>
                  </w14:solidFill>
                </w14:textFill>
              </w:rPr>
            </w:pPr>
          </w:p>
        </w:tc>
        <w:tc>
          <w:tcPr>
            <w:tcW w:w="860" w:type="dxa"/>
            <w:vMerge w:val="continue"/>
            <w:noWrap w:val="0"/>
            <w:vAlign w:val="center"/>
          </w:tcPr>
          <w:p w14:paraId="2FCA96DC">
            <w:pPr>
              <w:rPr>
                <w:rFonts w:hint="eastAsia" w:ascii="宋体" w:hAnsi="宋体" w:cs="宋体"/>
                <w:color w:val="000000" w:themeColor="text1"/>
                <w:sz w:val="24"/>
                <w:szCs w:val="24"/>
                <w:highlight w:val="none"/>
                <w14:textFill>
                  <w14:solidFill>
                    <w14:schemeClr w14:val="tx1"/>
                  </w14:solidFill>
                </w14:textFill>
              </w:rPr>
            </w:pPr>
          </w:p>
        </w:tc>
        <w:tc>
          <w:tcPr>
            <w:tcW w:w="2157" w:type="dxa"/>
            <w:vMerge w:val="continue"/>
            <w:noWrap w:val="0"/>
            <w:vAlign w:val="center"/>
          </w:tcPr>
          <w:p w14:paraId="3B40D61D">
            <w:pPr>
              <w:rPr>
                <w:rFonts w:hint="eastAsia" w:ascii="宋体" w:hAnsi="宋体" w:cs="宋体"/>
                <w:color w:val="000000" w:themeColor="text1"/>
                <w:sz w:val="24"/>
                <w:szCs w:val="24"/>
                <w:highlight w:val="none"/>
                <w14:textFill>
                  <w14:solidFill>
                    <w14:schemeClr w14:val="tx1"/>
                  </w14:solidFill>
                </w14:textFill>
              </w:rPr>
            </w:pPr>
          </w:p>
        </w:tc>
        <w:tc>
          <w:tcPr>
            <w:tcW w:w="1215" w:type="dxa"/>
            <w:noWrap w:val="0"/>
            <w:vAlign w:val="center"/>
          </w:tcPr>
          <w:p w14:paraId="047A07B5">
            <w:pPr>
              <w:pStyle w:val="50"/>
              <w:spacing w:before="69"/>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微型企业</w:t>
            </w:r>
          </w:p>
        </w:tc>
        <w:tc>
          <w:tcPr>
            <w:tcW w:w="4322" w:type="dxa"/>
            <w:noWrap w:val="0"/>
            <w:vAlign w:val="center"/>
          </w:tcPr>
          <w:p w14:paraId="56F61FC9">
            <w:pPr>
              <w:pStyle w:val="50"/>
              <w:spacing w:before="69"/>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648567C1">
            <w:pPr>
              <w:rPr>
                <w:rFonts w:hint="eastAsia" w:ascii="宋体" w:hAnsi="宋体" w:cs="宋体"/>
                <w:color w:val="000000" w:themeColor="text1"/>
                <w:sz w:val="24"/>
                <w:szCs w:val="24"/>
                <w:highlight w:val="none"/>
                <w14:textFill>
                  <w14:solidFill>
                    <w14:schemeClr w14:val="tx1"/>
                  </w14:solidFill>
                </w14:textFill>
              </w:rPr>
            </w:pPr>
          </w:p>
        </w:tc>
      </w:tr>
      <w:tr w14:paraId="508B1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79F73786">
            <w:pPr>
              <w:pStyle w:val="50"/>
              <w:spacing w:before="80"/>
              <w:ind w:left="40" w:right="32"/>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w:t>
            </w:r>
          </w:p>
        </w:tc>
        <w:tc>
          <w:tcPr>
            <w:tcW w:w="860" w:type="dxa"/>
            <w:vMerge w:val="restart"/>
            <w:noWrap w:val="0"/>
            <w:vAlign w:val="center"/>
          </w:tcPr>
          <w:p w14:paraId="3CAC37F0">
            <w:pPr>
              <w:pStyle w:val="50"/>
              <w:spacing w:before="67"/>
              <w:ind w:left="7" w:right="2"/>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信息传输</w:t>
            </w:r>
          </w:p>
        </w:tc>
        <w:tc>
          <w:tcPr>
            <w:tcW w:w="2157" w:type="dxa"/>
            <w:vMerge w:val="restart"/>
            <w:noWrap w:val="0"/>
            <w:vAlign w:val="center"/>
          </w:tcPr>
          <w:p w14:paraId="30C9E360">
            <w:pPr>
              <w:pStyle w:val="50"/>
              <w:spacing w:before="67"/>
              <w:ind w:left="7"/>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14:paraId="0B0585EA">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中型企业</w:t>
            </w:r>
          </w:p>
        </w:tc>
        <w:tc>
          <w:tcPr>
            <w:tcW w:w="4322" w:type="dxa"/>
            <w:noWrap w:val="0"/>
            <w:vAlign w:val="center"/>
          </w:tcPr>
          <w:p w14:paraId="792565AA">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pacing w:val="-11"/>
                <w:sz w:val="24"/>
                <w:szCs w:val="24"/>
                <w:highlight w:val="none"/>
                <w14:textFill>
                  <w14:solidFill>
                    <w14:schemeClr w14:val="tx1"/>
                  </w14:solidFill>
                </w14:textFill>
              </w:rPr>
              <w:t xml:space="preserve">从业人员 </w:t>
            </w:r>
            <w:r>
              <w:rPr>
                <w:rFonts w:hint="eastAsia"/>
                <w:color w:val="000000" w:themeColor="text1"/>
                <w:sz w:val="24"/>
                <w:szCs w:val="24"/>
                <w:highlight w:val="none"/>
                <w14:textFill>
                  <w14:solidFill>
                    <w14:schemeClr w14:val="tx1"/>
                  </w14:solidFill>
                </w14:textFill>
              </w:rPr>
              <w:t>100</w:t>
            </w:r>
            <w:r>
              <w:rPr>
                <w:rFonts w:hint="eastAsia"/>
                <w:color w:val="000000" w:themeColor="text1"/>
                <w:spacing w:val="-13"/>
                <w:sz w:val="24"/>
                <w:szCs w:val="24"/>
                <w:highlight w:val="none"/>
                <w14:textFill>
                  <w14:solidFill>
                    <w14:schemeClr w14:val="tx1"/>
                  </w14:solidFill>
                </w14:textFill>
              </w:rPr>
              <w:t xml:space="preserve"> 人及以上，且营业收入 </w:t>
            </w:r>
            <w:r>
              <w:rPr>
                <w:rFonts w:hint="eastAsia"/>
                <w:color w:val="000000" w:themeColor="text1"/>
                <w:sz w:val="24"/>
                <w:szCs w:val="24"/>
                <w:highlight w:val="none"/>
                <w14:textFill>
                  <w14:solidFill>
                    <w14:schemeClr w14:val="tx1"/>
                  </w14:solidFill>
                </w14:textFill>
              </w:rPr>
              <w:t>1000</w:t>
            </w:r>
            <w:r>
              <w:rPr>
                <w:rFonts w:hint="eastAsia"/>
                <w:color w:val="000000" w:themeColor="text1"/>
                <w:spacing w:val="-9"/>
                <w:sz w:val="24"/>
                <w:szCs w:val="24"/>
                <w:highlight w:val="none"/>
                <w14:textFill>
                  <w14:solidFill>
                    <w14:schemeClr w14:val="tx1"/>
                  </w14:solidFill>
                </w14:textFill>
              </w:rPr>
              <w:t xml:space="preserve"> 万元及以上的</w:t>
            </w:r>
          </w:p>
        </w:tc>
        <w:tc>
          <w:tcPr>
            <w:tcW w:w="1099" w:type="dxa"/>
            <w:vMerge w:val="restart"/>
            <w:noWrap w:val="0"/>
            <w:vAlign w:val="center"/>
          </w:tcPr>
          <w:p w14:paraId="3A26672E">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4354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3453F51">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145B1202">
            <w:pPr>
              <w:pStyle w:val="50"/>
              <w:spacing w:before="67"/>
              <w:ind w:left="7" w:right="2"/>
              <w:rPr>
                <w:rFonts w:hint="eastAsia"/>
                <w:color w:val="000000" w:themeColor="text1"/>
                <w:sz w:val="24"/>
                <w:szCs w:val="24"/>
                <w:highlight w:val="none"/>
                <w14:textFill>
                  <w14:solidFill>
                    <w14:schemeClr w14:val="tx1"/>
                  </w14:solidFill>
                </w14:textFill>
              </w:rPr>
            </w:pPr>
          </w:p>
        </w:tc>
        <w:tc>
          <w:tcPr>
            <w:tcW w:w="2157" w:type="dxa"/>
            <w:vMerge w:val="continue"/>
            <w:noWrap w:val="0"/>
            <w:vAlign w:val="center"/>
          </w:tcPr>
          <w:p w14:paraId="61953F12">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16579F98">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小型企业</w:t>
            </w:r>
          </w:p>
        </w:tc>
        <w:tc>
          <w:tcPr>
            <w:tcW w:w="4322" w:type="dxa"/>
            <w:noWrap w:val="0"/>
            <w:vAlign w:val="center"/>
          </w:tcPr>
          <w:p w14:paraId="24B1B8E1">
            <w:pPr>
              <w:pStyle w:val="50"/>
              <w:spacing w:before="67"/>
              <w:ind w:left="15"/>
              <w:rPr>
                <w:rFonts w:hint="eastAsia"/>
                <w:color w:val="000000" w:themeColor="text1"/>
                <w:spacing w:val="-1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14:paraId="44DFC101">
            <w:pPr>
              <w:pStyle w:val="50"/>
              <w:spacing w:before="67"/>
              <w:ind w:left="15"/>
              <w:rPr>
                <w:rFonts w:hint="eastAsia"/>
                <w:color w:val="000000" w:themeColor="text1"/>
                <w:sz w:val="24"/>
                <w:szCs w:val="24"/>
                <w:highlight w:val="none"/>
                <w14:textFill>
                  <w14:solidFill>
                    <w14:schemeClr w14:val="tx1"/>
                  </w14:solidFill>
                </w14:textFill>
              </w:rPr>
            </w:pPr>
          </w:p>
        </w:tc>
      </w:tr>
      <w:tr w14:paraId="6C403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ACC65B8">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4E70BC4A">
            <w:pPr>
              <w:pStyle w:val="50"/>
              <w:spacing w:before="67"/>
              <w:ind w:left="7" w:right="2"/>
              <w:rPr>
                <w:rFonts w:hint="eastAsia"/>
                <w:color w:val="000000" w:themeColor="text1"/>
                <w:sz w:val="24"/>
                <w:szCs w:val="24"/>
                <w:highlight w:val="none"/>
                <w14:textFill>
                  <w14:solidFill>
                    <w14:schemeClr w14:val="tx1"/>
                  </w14:solidFill>
                </w14:textFill>
              </w:rPr>
            </w:pPr>
          </w:p>
        </w:tc>
        <w:tc>
          <w:tcPr>
            <w:tcW w:w="2157" w:type="dxa"/>
            <w:vMerge w:val="continue"/>
            <w:noWrap w:val="0"/>
            <w:vAlign w:val="center"/>
          </w:tcPr>
          <w:p w14:paraId="3E2E3A4E">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7A63E4FD">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微型企业</w:t>
            </w:r>
          </w:p>
        </w:tc>
        <w:tc>
          <w:tcPr>
            <w:tcW w:w="4322" w:type="dxa"/>
            <w:noWrap w:val="0"/>
            <w:vAlign w:val="center"/>
          </w:tcPr>
          <w:p w14:paraId="5089820B">
            <w:pPr>
              <w:pStyle w:val="50"/>
              <w:spacing w:before="67"/>
              <w:ind w:left="15"/>
              <w:rPr>
                <w:rFonts w:hint="eastAsia"/>
                <w:color w:val="000000" w:themeColor="text1"/>
                <w:spacing w:val="-1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14:paraId="13A590A8">
            <w:pPr>
              <w:pStyle w:val="50"/>
              <w:spacing w:before="67"/>
              <w:ind w:left="15"/>
              <w:rPr>
                <w:rFonts w:hint="eastAsia"/>
                <w:color w:val="000000" w:themeColor="text1"/>
                <w:sz w:val="24"/>
                <w:szCs w:val="24"/>
                <w:highlight w:val="none"/>
                <w14:textFill>
                  <w14:solidFill>
                    <w14:schemeClr w14:val="tx1"/>
                  </w14:solidFill>
                </w14:textFill>
              </w:rPr>
            </w:pPr>
          </w:p>
        </w:tc>
      </w:tr>
      <w:tr w14:paraId="3BC07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7755E687">
            <w:pPr>
              <w:pStyle w:val="50"/>
              <w:spacing w:before="80"/>
              <w:ind w:left="40" w:right="3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w:t>
            </w:r>
          </w:p>
        </w:tc>
        <w:tc>
          <w:tcPr>
            <w:tcW w:w="860" w:type="dxa"/>
            <w:vMerge w:val="restart"/>
            <w:noWrap w:val="0"/>
            <w:vAlign w:val="center"/>
          </w:tcPr>
          <w:p w14:paraId="60B75E77">
            <w:pPr>
              <w:pStyle w:val="50"/>
              <w:spacing w:before="67"/>
              <w:ind w:left="7" w:right="2"/>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软件和信息技术服务业</w:t>
            </w:r>
          </w:p>
        </w:tc>
        <w:tc>
          <w:tcPr>
            <w:tcW w:w="2157" w:type="dxa"/>
            <w:vMerge w:val="restart"/>
            <w:noWrap w:val="0"/>
            <w:vAlign w:val="center"/>
          </w:tcPr>
          <w:p w14:paraId="015BDEF5">
            <w:pPr>
              <w:pStyle w:val="50"/>
              <w:spacing w:before="67"/>
              <w:ind w:left="7"/>
              <w:rPr>
                <w:rFonts w:hint="eastAsia"/>
                <w:color w:val="000000" w:themeColor="text1"/>
                <w:spacing w:val="-9"/>
                <w:sz w:val="24"/>
                <w:szCs w:val="24"/>
                <w:highlight w:val="none"/>
                <w14:textFill>
                  <w14:solidFill>
                    <w14:schemeClr w14:val="tx1"/>
                  </w14:solidFill>
                </w14:textFill>
              </w:rPr>
            </w:pPr>
            <w:r>
              <w:rPr>
                <w:rFonts w:hint="eastAsia"/>
                <w:color w:val="000000" w:themeColor="text1"/>
                <w:spacing w:val="-9"/>
                <w:sz w:val="24"/>
                <w:szCs w:val="24"/>
                <w:highlight w:val="none"/>
                <w14:textFill>
                  <w14:solidFill>
                    <w14:schemeClr w14:val="tx1"/>
                  </w14:solidFill>
                </w14:textFill>
              </w:rPr>
              <w:t>从业人员300人以下或营业收入10000万元以下的为中小微型企业</w:t>
            </w:r>
          </w:p>
        </w:tc>
        <w:tc>
          <w:tcPr>
            <w:tcW w:w="1215" w:type="dxa"/>
            <w:noWrap w:val="0"/>
            <w:vAlign w:val="center"/>
          </w:tcPr>
          <w:p w14:paraId="76E34883">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中型企业</w:t>
            </w:r>
          </w:p>
        </w:tc>
        <w:tc>
          <w:tcPr>
            <w:tcW w:w="4322" w:type="dxa"/>
            <w:noWrap w:val="0"/>
            <w:vAlign w:val="center"/>
          </w:tcPr>
          <w:p w14:paraId="182A8CDE">
            <w:pPr>
              <w:pStyle w:val="50"/>
              <w:spacing w:before="67"/>
              <w:ind w:left="15"/>
              <w:rPr>
                <w:rFonts w:hint="eastAsia"/>
                <w:color w:val="000000" w:themeColor="text1"/>
                <w:spacing w:val="-1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14:paraId="0937B91C">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36C4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6BC7C315">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434EA3D2">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3FC92B3D">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241E6048">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小型企业</w:t>
            </w:r>
          </w:p>
        </w:tc>
        <w:tc>
          <w:tcPr>
            <w:tcW w:w="4322" w:type="dxa"/>
            <w:noWrap w:val="0"/>
            <w:vAlign w:val="center"/>
          </w:tcPr>
          <w:p w14:paraId="58092B4E">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14:paraId="4A17EB24">
            <w:pPr>
              <w:pStyle w:val="50"/>
              <w:spacing w:before="67"/>
              <w:ind w:left="15"/>
              <w:rPr>
                <w:rFonts w:hint="eastAsia"/>
                <w:color w:val="000000" w:themeColor="text1"/>
                <w:sz w:val="24"/>
                <w:szCs w:val="24"/>
                <w:highlight w:val="none"/>
                <w14:textFill>
                  <w14:solidFill>
                    <w14:schemeClr w14:val="tx1"/>
                  </w14:solidFill>
                </w14:textFill>
              </w:rPr>
            </w:pPr>
          </w:p>
        </w:tc>
      </w:tr>
      <w:tr w14:paraId="6E4F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F79568B">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53D12B1F">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302ED71C">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767C676E">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微型企业</w:t>
            </w:r>
          </w:p>
        </w:tc>
        <w:tc>
          <w:tcPr>
            <w:tcW w:w="4322" w:type="dxa"/>
            <w:noWrap w:val="0"/>
            <w:vAlign w:val="center"/>
          </w:tcPr>
          <w:p w14:paraId="055C40F7">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14:paraId="1301F748">
            <w:pPr>
              <w:pStyle w:val="50"/>
              <w:spacing w:before="67"/>
              <w:ind w:left="15"/>
              <w:rPr>
                <w:rFonts w:hint="eastAsia"/>
                <w:color w:val="000000" w:themeColor="text1"/>
                <w:sz w:val="24"/>
                <w:szCs w:val="24"/>
                <w:highlight w:val="none"/>
                <w14:textFill>
                  <w14:solidFill>
                    <w14:schemeClr w14:val="tx1"/>
                  </w14:solidFill>
                </w14:textFill>
              </w:rPr>
            </w:pPr>
          </w:p>
        </w:tc>
      </w:tr>
      <w:tr w14:paraId="2074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3A12E639">
            <w:pPr>
              <w:pStyle w:val="50"/>
              <w:spacing w:before="80"/>
              <w:ind w:left="40" w:right="3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w:t>
            </w:r>
          </w:p>
        </w:tc>
        <w:tc>
          <w:tcPr>
            <w:tcW w:w="860" w:type="dxa"/>
            <w:vMerge w:val="restart"/>
            <w:noWrap w:val="0"/>
            <w:vAlign w:val="center"/>
          </w:tcPr>
          <w:p w14:paraId="470573A6">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房地产开发经营</w:t>
            </w:r>
          </w:p>
        </w:tc>
        <w:tc>
          <w:tcPr>
            <w:tcW w:w="2157" w:type="dxa"/>
            <w:vMerge w:val="restart"/>
            <w:noWrap w:val="0"/>
            <w:vAlign w:val="center"/>
          </w:tcPr>
          <w:p w14:paraId="764DEB00">
            <w:pPr>
              <w:pStyle w:val="50"/>
              <w:spacing w:before="67"/>
              <w:ind w:left="7"/>
              <w:rPr>
                <w:rFonts w:hint="eastAsia"/>
                <w:color w:val="000000" w:themeColor="text1"/>
                <w:spacing w:val="-9"/>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14:paraId="4B11D720">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中型企业；</w:t>
            </w:r>
          </w:p>
        </w:tc>
        <w:tc>
          <w:tcPr>
            <w:tcW w:w="4322" w:type="dxa"/>
            <w:noWrap w:val="0"/>
            <w:vAlign w:val="center"/>
          </w:tcPr>
          <w:p w14:paraId="6977BE30">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14:paraId="06F16789">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76A5B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FD1A647">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6A58B7C1">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76D10798">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222ABFF9">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小型企业</w:t>
            </w:r>
          </w:p>
        </w:tc>
        <w:tc>
          <w:tcPr>
            <w:tcW w:w="4322" w:type="dxa"/>
            <w:noWrap w:val="0"/>
            <w:vAlign w:val="center"/>
          </w:tcPr>
          <w:p w14:paraId="6EF51768">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14:paraId="517E16DF">
            <w:pPr>
              <w:pStyle w:val="50"/>
              <w:spacing w:before="67"/>
              <w:ind w:left="15"/>
              <w:rPr>
                <w:rFonts w:hint="eastAsia"/>
                <w:color w:val="000000" w:themeColor="text1"/>
                <w:sz w:val="24"/>
                <w:szCs w:val="24"/>
                <w:highlight w:val="none"/>
                <w14:textFill>
                  <w14:solidFill>
                    <w14:schemeClr w14:val="tx1"/>
                  </w14:solidFill>
                </w14:textFill>
              </w:rPr>
            </w:pPr>
          </w:p>
        </w:tc>
      </w:tr>
      <w:tr w14:paraId="02BC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73920DC4">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3C2DDD65">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0BE377EE">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575B34D9">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微型企业。</w:t>
            </w:r>
          </w:p>
        </w:tc>
        <w:tc>
          <w:tcPr>
            <w:tcW w:w="4322" w:type="dxa"/>
            <w:noWrap w:val="0"/>
            <w:vAlign w:val="center"/>
          </w:tcPr>
          <w:p w14:paraId="63144634">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14:paraId="0F496117">
            <w:pPr>
              <w:pStyle w:val="50"/>
              <w:spacing w:before="67"/>
              <w:ind w:left="15"/>
              <w:rPr>
                <w:rFonts w:hint="eastAsia"/>
                <w:color w:val="000000" w:themeColor="text1"/>
                <w:sz w:val="24"/>
                <w:szCs w:val="24"/>
                <w:highlight w:val="none"/>
                <w14:textFill>
                  <w14:solidFill>
                    <w14:schemeClr w14:val="tx1"/>
                  </w14:solidFill>
                </w14:textFill>
              </w:rPr>
            </w:pPr>
          </w:p>
        </w:tc>
      </w:tr>
      <w:tr w14:paraId="356CB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3ABAF026">
            <w:pPr>
              <w:pStyle w:val="50"/>
              <w:spacing w:before="80"/>
              <w:ind w:left="40" w:right="3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w:t>
            </w:r>
          </w:p>
        </w:tc>
        <w:tc>
          <w:tcPr>
            <w:tcW w:w="860" w:type="dxa"/>
            <w:vMerge w:val="restart"/>
            <w:noWrap w:val="0"/>
            <w:vAlign w:val="center"/>
          </w:tcPr>
          <w:p w14:paraId="2C497488">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物业管理</w:t>
            </w:r>
          </w:p>
        </w:tc>
        <w:tc>
          <w:tcPr>
            <w:tcW w:w="2157" w:type="dxa"/>
            <w:vMerge w:val="restart"/>
            <w:noWrap w:val="0"/>
            <w:vAlign w:val="center"/>
          </w:tcPr>
          <w:p w14:paraId="09041004">
            <w:pPr>
              <w:pStyle w:val="50"/>
              <w:spacing w:before="67"/>
              <w:ind w:left="7"/>
              <w:rPr>
                <w:rFonts w:hint="eastAsia"/>
                <w:color w:val="000000" w:themeColor="text1"/>
                <w:spacing w:val="-9"/>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14:paraId="38BF1504">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中型企业</w:t>
            </w:r>
          </w:p>
        </w:tc>
        <w:tc>
          <w:tcPr>
            <w:tcW w:w="4322" w:type="dxa"/>
            <w:noWrap w:val="0"/>
            <w:vAlign w:val="center"/>
          </w:tcPr>
          <w:p w14:paraId="5430BB7E">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14:paraId="276C915C">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3BE0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3804FEB">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06EB8273">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6924AD4F">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24D0DD5F">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小型企业</w:t>
            </w:r>
          </w:p>
        </w:tc>
        <w:tc>
          <w:tcPr>
            <w:tcW w:w="4322" w:type="dxa"/>
            <w:noWrap w:val="0"/>
            <w:vAlign w:val="center"/>
          </w:tcPr>
          <w:p w14:paraId="67FE9241">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14:paraId="065A7201">
            <w:pPr>
              <w:pStyle w:val="50"/>
              <w:spacing w:before="67"/>
              <w:ind w:left="15"/>
              <w:rPr>
                <w:rFonts w:hint="eastAsia"/>
                <w:color w:val="000000" w:themeColor="text1"/>
                <w:sz w:val="24"/>
                <w:szCs w:val="24"/>
                <w:highlight w:val="none"/>
                <w14:textFill>
                  <w14:solidFill>
                    <w14:schemeClr w14:val="tx1"/>
                  </w14:solidFill>
                </w14:textFill>
              </w:rPr>
            </w:pPr>
          </w:p>
        </w:tc>
      </w:tr>
      <w:tr w14:paraId="1F60E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77279BC2">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7BD424C8">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4F29B986">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178CCD91">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微型企业</w:t>
            </w:r>
          </w:p>
        </w:tc>
        <w:tc>
          <w:tcPr>
            <w:tcW w:w="4322" w:type="dxa"/>
            <w:noWrap w:val="0"/>
            <w:vAlign w:val="center"/>
          </w:tcPr>
          <w:p w14:paraId="7B4CA1CD">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14:paraId="45861C16">
            <w:pPr>
              <w:pStyle w:val="50"/>
              <w:spacing w:before="67"/>
              <w:ind w:left="15"/>
              <w:rPr>
                <w:rFonts w:hint="eastAsia"/>
                <w:color w:val="000000" w:themeColor="text1"/>
                <w:sz w:val="24"/>
                <w:szCs w:val="24"/>
                <w:highlight w:val="none"/>
                <w14:textFill>
                  <w14:solidFill>
                    <w14:schemeClr w14:val="tx1"/>
                  </w14:solidFill>
                </w14:textFill>
              </w:rPr>
            </w:pPr>
          </w:p>
        </w:tc>
      </w:tr>
      <w:tr w14:paraId="167E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46D49837">
            <w:pPr>
              <w:pStyle w:val="50"/>
              <w:spacing w:before="80"/>
              <w:ind w:left="40" w:right="3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w:t>
            </w:r>
          </w:p>
        </w:tc>
        <w:tc>
          <w:tcPr>
            <w:tcW w:w="860" w:type="dxa"/>
            <w:vMerge w:val="restart"/>
            <w:noWrap w:val="0"/>
            <w:vAlign w:val="center"/>
          </w:tcPr>
          <w:p w14:paraId="08297F56">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租赁和商务服务业</w:t>
            </w:r>
          </w:p>
        </w:tc>
        <w:tc>
          <w:tcPr>
            <w:tcW w:w="2157" w:type="dxa"/>
            <w:vMerge w:val="restart"/>
            <w:noWrap w:val="0"/>
            <w:vAlign w:val="center"/>
          </w:tcPr>
          <w:p w14:paraId="70CAD8D4">
            <w:pPr>
              <w:pStyle w:val="50"/>
              <w:spacing w:before="67"/>
              <w:ind w:left="7"/>
              <w:rPr>
                <w:rFonts w:hint="eastAsia"/>
                <w:color w:val="000000" w:themeColor="text1"/>
                <w:spacing w:val="-9"/>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14:paraId="2540DBC8">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中型企业</w:t>
            </w:r>
          </w:p>
        </w:tc>
        <w:tc>
          <w:tcPr>
            <w:tcW w:w="4322" w:type="dxa"/>
            <w:noWrap w:val="0"/>
            <w:vAlign w:val="center"/>
          </w:tcPr>
          <w:p w14:paraId="754D339F">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14:paraId="6421E9E2">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6D25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6B64430A">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50CAF392">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0349005A">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6F332C84">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小型企业</w:t>
            </w:r>
          </w:p>
        </w:tc>
        <w:tc>
          <w:tcPr>
            <w:tcW w:w="4322" w:type="dxa"/>
            <w:noWrap w:val="0"/>
            <w:vAlign w:val="center"/>
          </w:tcPr>
          <w:p w14:paraId="01FE825B">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14:paraId="0B1A7404">
            <w:pPr>
              <w:pStyle w:val="50"/>
              <w:spacing w:before="67"/>
              <w:ind w:left="15"/>
              <w:rPr>
                <w:rFonts w:hint="eastAsia"/>
                <w:color w:val="000000" w:themeColor="text1"/>
                <w:sz w:val="24"/>
                <w:szCs w:val="24"/>
                <w:highlight w:val="none"/>
                <w14:textFill>
                  <w14:solidFill>
                    <w14:schemeClr w14:val="tx1"/>
                  </w14:solidFill>
                </w14:textFill>
              </w:rPr>
            </w:pPr>
          </w:p>
        </w:tc>
      </w:tr>
      <w:tr w14:paraId="197D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5310F02">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228A4C8F">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02F6F6E9">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787AFC4D">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微型企业</w:t>
            </w:r>
          </w:p>
        </w:tc>
        <w:tc>
          <w:tcPr>
            <w:tcW w:w="4322" w:type="dxa"/>
            <w:noWrap w:val="0"/>
            <w:vAlign w:val="center"/>
          </w:tcPr>
          <w:p w14:paraId="2D184447">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14:paraId="0F687BC4">
            <w:pPr>
              <w:pStyle w:val="50"/>
              <w:spacing w:before="67"/>
              <w:ind w:left="15"/>
              <w:rPr>
                <w:rFonts w:hint="eastAsia"/>
                <w:color w:val="000000" w:themeColor="text1"/>
                <w:sz w:val="24"/>
                <w:szCs w:val="24"/>
                <w:highlight w:val="none"/>
                <w14:textFill>
                  <w14:solidFill>
                    <w14:schemeClr w14:val="tx1"/>
                  </w14:solidFill>
                </w14:textFill>
              </w:rPr>
            </w:pPr>
          </w:p>
        </w:tc>
      </w:tr>
      <w:tr w14:paraId="1EF6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2DB8B0CC">
            <w:pPr>
              <w:pStyle w:val="50"/>
              <w:spacing w:before="80"/>
              <w:ind w:left="40" w:right="32"/>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w:t>
            </w:r>
          </w:p>
        </w:tc>
        <w:tc>
          <w:tcPr>
            <w:tcW w:w="860" w:type="dxa"/>
            <w:vMerge w:val="restart"/>
            <w:noWrap w:val="0"/>
            <w:vAlign w:val="center"/>
          </w:tcPr>
          <w:p w14:paraId="25E7CA84">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其他未列明行业</w:t>
            </w:r>
          </w:p>
        </w:tc>
        <w:tc>
          <w:tcPr>
            <w:tcW w:w="2157" w:type="dxa"/>
            <w:vMerge w:val="restart"/>
            <w:noWrap w:val="0"/>
            <w:vAlign w:val="center"/>
          </w:tcPr>
          <w:p w14:paraId="402AE9C9">
            <w:pPr>
              <w:pStyle w:val="50"/>
              <w:spacing w:before="67"/>
              <w:ind w:left="7"/>
              <w:rPr>
                <w:rFonts w:hint="eastAsia"/>
                <w:color w:val="000000" w:themeColor="text1"/>
                <w:spacing w:val="-9"/>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从业人员300人以下的为中小微型企业。</w:t>
            </w:r>
          </w:p>
        </w:tc>
        <w:tc>
          <w:tcPr>
            <w:tcW w:w="1215" w:type="dxa"/>
            <w:noWrap w:val="0"/>
            <w:vAlign w:val="center"/>
          </w:tcPr>
          <w:p w14:paraId="45EF8457">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中型企业</w:t>
            </w:r>
          </w:p>
        </w:tc>
        <w:tc>
          <w:tcPr>
            <w:tcW w:w="4322" w:type="dxa"/>
            <w:noWrap w:val="0"/>
            <w:vAlign w:val="center"/>
          </w:tcPr>
          <w:p w14:paraId="7699DEEB">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从业人员100人及以上的</w:t>
            </w:r>
          </w:p>
        </w:tc>
        <w:tc>
          <w:tcPr>
            <w:tcW w:w="1099" w:type="dxa"/>
            <w:vMerge w:val="restart"/>
            <w:noWrap w:val="0"/>
            <w:vAlign w:val="center"/>
          </w:tcPr>
          <w:p w14:paraId="1BB49D27">
            <w:pPr>
              <w:pStyle w:val="50"/>
              <w:spacing w:before="67"/>
              <w:ind w:left="1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从业人员营业收入</w:t>
            </w:r>
          </w:p>
        </w:tc>
      </w:tr>
      <w:tr w14:paraId="2F1F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E3D802A">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608AC0D3">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0EC4C283">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0224A0FB">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小型企业</w:t>
            </w:r>
          </w:p>
        </w:tc>
        <w:tc>
          <w:tcPr>
            <w:tcW w:w="4322" w:type="dxa"/>
            <w:noWrap w:val="0"/>
            <w:vAlign w:val="center"/>
          </w:tcPr>
          <w:p w14:paraId="6022C7BD">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从业人员10人及以上的</w:t>
            </w:r>
          </w:p>
        </w:tc>
        <w:tc>
          <w:tcPr>
            <w:tcW w:w="1099" w:type="dxa"/>
            <w:vMerge w:val="continue"/>
            <w:noWrap w:val="0"/>
            <w:vAlign w:val="center"/>
          </w:tcPr>
          <w:p w14:paraId="0DD3D86F">
            <w:pPr>
              <w:pStyle w:val="50"/>
              <w:spacing w:before="67"/>
              <w:ind w:left="15"/>
              <w:rPr>
                <w:rFonts w:hint="eastAsia"/>
                <w:color w:val="000000" w:themeColor="text1"/>
                <w:sz w:val="24"/>
                <w:szCs w:val="24"/>
                <w:highlight w:val="none"/>
                <w14:textFill>
                  <w14:solidFill>
                    <w14:schemeClr w14:val="tx1"/>
                  </w14:solidFill>
                </w14:textFill>
              </w:rPr>
            </w:pPr>
          </w:p>
        </w:tc>
      </w:tr>
      <w:tr w14:paraId="498E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7B545056">
            <w:pPr>
              <w:pStyle w:val="50"/>
              <w:spacing w:before="80"/>
              <w:ind w:left="40" w:right="32"/>
              <w:rPr>
                <w:rFonts w:hint="eastAsia"/>
                <w:color w:val="000000" w:themeColor="text1"/>
                <w:sz w:val="24"/>
                <w:szCs w:val="24"/>
                <w:highlight w:val="none"/>
                <w14:textFill>
                  <w14:solidFill>
                    <w14:schemeClr w14:val="tx1"/>
                  </w14:solidFill>
                </w14:textFill>
              </w:rPr>
            </w:pPr>
          </w:p>
        </w:tc>
        <w:tc>
          <w:tcPr>
            <w:tcW w:w="860" w:type="dxa"/>
            <w:vMerge w:val="continue"/>
            <w:noWrap w:val="0"/>
            <w:vAlign w:val="center"/>
          </w:tcPr>
          <w:p w14:paraId="5032E31D">
            <w:pPr>
              <w:pStyle w:val="50"/>
              <w:spacing w:before="67"/>
              <w:ind w:left="7" w:right="2"/>
              <w:rPr>
                <w:rFonts w:hint="eastAsia"/>
                <w:color w:val="000000" w:themeColor="text1"/>
                <w:sz w:val="24"/>
                <w:szCs w:val="24"/>
                <w:highlight w:val="none"/>
                <w:shd w:val="clear" w:color="auto" w:fill="FFFFFF"/>
                <w14:textFill>
                  <w14:solidFill>
                    <w14:schemeClr w14:val="tx1"/>
                  </w14:solidFill>
                </w14:textFill>
              </w:rPr>
            </w:pPr>
          </w:p>
        </w:tc>
        <w:tc>
          <w:tcPr>
            <w:tcW w:w="2157" w:type="dxa"/>
            <w:vMerge w:val="continue"/>
            <w:noWrap w:val="0"/>
            <w:vAlign w:val="center"/>
          </w:tcPr>
          <w:p w14:paraId="6269B3AE">
            <w:pPr>
              <w:pStyle w:val="50"/>
              <w:spacing w:before="67"/>
              <w:ind w:left="7"/>
              <w:rPr>
                <w:rFonts w:hint="eastAsia"/>
                <w:color w:val="000000" w:themeColor="text1"/>
                <w:spacing w:val="-9"/>
                <w:sz w:val="24"/>
                <w:szCs w:val="24"/>
                <w:highlight w:val="none"/>
                <w14:textFill>
                  <w14:solidFill>
                    <w14:schemeClr w14:val="tx1"/>
                  </w14:solidFill>
                </w14:textFill>
              </w:rPr>
            </w:pPr>
          </w:p>
        </w:tc>
        <w:tc>
          <w:tcPr>
            <w:tcW w:w="1215" w:type="dxa"/>
            <w:noWrap w:val="0"/>
            <w:vAlign w:val="center"/>
          </w:tcPr>
          <w:p w14:paraId="7832E3FB">
            <w:pPr>
              <w:pStyle w:val="50"/>
              <w:spacing w:before="67"/>
              <w:ind w:left="1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微型企业</w:t>
            </w:r>
          </w:p>
        </w:tc>
        <w:tc>
          <w:tcPr>
            <w:tcW w:w="4322" w:type="dxa"/>
            <w:noWrap w:val="0"/>
            <w:vAlign w:val="center"/>
          </w:tcPr>
          <w:p w14:paraId="4016423C">
            <w:pPr>
              <w:pStyle w:val="50"/>
              <w:spacing w:before="67"/>
              <w:ind w:left="15"/>
              <w:rPr>
                <w:rFonts w:hint="eastAsia"/>
                <w:color w:val="000000" w:themeColor="text1"/>
                <w:sz w:val="24"/>
                <w:szCs w:val="24"/>
                <w:highlight w:val="none"/>
                <w:shd w:val="clear" w:color="auto" w:fill="FFFFFF"/>
                <w14:textFill>
                  <w14:solidFill>
                    <w14:schemeClr w14:val="tx1"/>
                  </w14:solidFill>
                </w14:textFill>
              </w:rPr>
            </w:pPr>
            <w:r>
              <w:rPr>
                <w:rFonts w:hint="eastAsia"/>
                <w:color w:val="000000" w:themeColor="text1"/>
                <w:sz w:val="24"/>
                <w:szCs w:val="24"/>
                <w:highlight w:val="none"/>
                <w:shd w:val="clear" w:color="auto" w:fill="FFFFFF"/>
                <w14:textFill>
                  <w14:solidFill>
                    <w14:schemeClr w14:val="tx1"/>
                  </w14:solidFill>
                </w14:textFill>
              </w:rPr>
              <w:t>从业人员10人以下的</w:t>
            </w:r>
          </w:p>
        </w:tc>
        <w:tc>
          <w:tcPr>
            <w:tcW w:w="1099" w:type="dxa"/>
            <w:vMerge w:val="continue"/>
            <w:noWrap w:val="0"/>
            <w:vAlign w:val="center"/>
          </w:tcPr>
          <w:p w14:paraId="315AC1F6">
            <w:pPr>
              <w:pStyle w:val="50"/>
              <w:spacing w:before="67"/>
              <w:ind w:left="15"/>
              <w:rPr>
                <w:rFonts w:hint="eastAsia"/>
                <w:color w:val="000000" w:themeColor="text1"/>
                <w:sz w:val="24"/>
                <w:szCs w:val="24"/>
                <w:highlight w:val="none"/>
                <w14:textFill>
                  <w14:solidFill>
                    <w14:schemeClr w14:val="tx1"/>
                  </w14:solidFill>
                </w14:textFill>
              </w:rPr>
            </w:pPr>
          </w:p>
        </w:tc>
      </w:tr>
    </w:tbl>
    <w:p w14:paraId="2EEBAB17">
      <w:pPr>
        <w:pStyle w:val="27"/>
        <w:ind w:firstLine="210"/>
        <w:rPr>
          <w:rFonts w:hint="eastAsia"/>
          <w:color w:val="000000" w:themeColor="text1"/>
          <w:highlight w:val="none"/>
          <w:lang w:val="en-GB"/>
          <w14:textFill>
            <w14:solidFill>
              <w14:schemeClr w14:val="tx1"/>
            </w14:solidFill>
          </w14:textFill>
        </w:rPr>
      </w:pPr>
    </w:p>
    <w:p w14:paraId="6A7BED61">
      <w:pPr>
        <w:rPr>
          <w:rFonts w:hint="eastAsia"/>
          <w:color w:val="000000" w:themeColor="text1"/>
          <w:highlight w:val="none"/>
          <w:lang w:val="en-GB"/>
          <w14:textFill>
            <w14:solidFill>
              <w14:schemeClr w14:val="tx1"/>
            </w14:solidFill>
          </w14:textFill>
        </w:rPr>
      </w:pPr>
    </w:p>
    <w:p w14:paraId="2D396CA1">
      <w:pPr>
        <w:pStyle w:val="11"/>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7A796D5B">
      <w:pPr>
        <w:pStyle w:val="27"/>
        <w:ind w:firstLine="210"/>
        <w:rPr>
          <w:rFonts w:hint="eastAsia"/>
          <w:color w:val="000000" w:themeColor="text1"/>
          <w:highlight w:val="none"/>
          <w:lang w:val="en-GB"/>
          <w14:textFill>
            <w14:solidFill>
              <w14:schemeClr w14:val="tx1"/>
            </w14:solidFill>
          </w14:textFill>
        </w:rPr>
      </w:pPr>
    </w:p>
    <w:p w14:paraId="68F0B03D">
      <w:pPr>
        <w:rPr>
          <w:rFonts w:hint="eastAsia"/>
          <w:color w:val="000000" w:themeColor="text1"/>
          <w:highlight w:val="none"/>
          <w:lang w:val="en-GB"/>
          <w14:textFill>
            <w14:solidFill>
              <w14:schemeClr w14:val="tx1"/>
            </w14:solidFill>
          </w14:textFill>
        </w:rPr>
      </w:pPr>
    </w:p>
    <w:p w14:paraId="562D6887">
      <w:pPr>
        <w:pStyle w:val="27"/>
        <w:ind w:firstLine="210"/>
        <w:rPr>
          <w:rFonts w:hint="eastAsia"/>
          <w:color w:val="000000" w:themeColor="text1"/>
          <w:highlight w:val="none"/>
          <w:lang w:val="en-GB"/>
          <w14:textFill>
            <w14:solidFill>
              <w14:schemeClr w14:val="tx1"/>
            </w14:solidFill>
          </w14:textFill>
        </w:rPr>
      </w:pPr>
    </w:p>
    <w:p w14:paraId="3FAF9700">
      <w:pPr>
        <w:rPr>
          <w:rFonts w:hint="eastAsia"/>
          <w:color w:val="000000" w:themeColor="text1"/>
          <w:highlight w:val="none"/>
          <w:lang w:val="en-GB"/>
          <w14:textFill>
            <w14:solidFill>
              <w14:schemeClr w14:val="tx1"/>
            </w14:solidFill>
          </w14:textFill>
        </w:rPr>
      </w:pPr>
    </w:p>
    <w:p w14:paraId="59AA4B18">
      <w:pPr>
        <w:pStyle w:val="27"/>
        <w:ind w:firstLine="210"/>
        <w:rPr>
          <w:rFonts w:hint="eastAsia"/>
          <w:color w:val="000000" w:themeColor="text1"/>
          <w:highlight w:val="none"/>
          <w:lang w:val="en-GB"/>
          <w14:textFill>
            <w14:solidFill>
              <w14:schemeClr w14:val="tx1"/>
            </w14:solidFill>
          </w14:textFill>
        </w:rPr>
      </w:pPr>
    </w:p>
    <w:p w14:paraId="0F6D6966">
      <w:pPr>
        <w:rPr>
          <w:rFonts w:hint="eastAsia"/>
          <w:color w:val="000000" w:themeColor="text1"/>
          <w:highlight w:val="none"/>
          <w:lang w:val="en-GB"/>
          <w14:textFill>
            <w14:solidFill>
              <w14:schemeClr w14:val="tx1"/>
            </w14:solidFill>
          </w14:textFill>
        </w:rPr>
      </w:pPr>
    </w:p>
    <w:p w14:paraId="305C2B21">
      <w:pPr>
        <w:pStyle w:val="27"/>
        <w:rPr>
          <w:rFonts w:hint="eastAsia"/>
          <w:color w:val="000000" w:themeColor="text1"/>
          <w:highlight w:val="none"/>
          <w:lang w:val="en-GB"/>
          <w14:textFill>
            <w14:solidFill>
              <w14:schemeClr w14:val="tx1"/>
            </w14:solidFill>
          </w14:textFill>
        </w:rPr>
      </w:pPr>
    </w:p>
    <w:p w14:paraId="64D86750">
      <w:pPr>
        <w:pStyle w:val="22"/>
        <w:rPr>
          <w:rFonts w:hint="eastAsia"/>
          <w:color w:val="000000" w:themeColor="text1"/>
          <w:highlight w:val="none"/>
          <w:lang w:val="en-GB"/>
          <w14:textFill>
            <w14:solidFill>
              <w14:schemeClr w14:val="tx1"/>
            </w14:solidFill>
          </w14:textFill>
        </w:rPr>
      </w:pPr>
    </w:p>
    <w:p w14:paraId="75A24605">
      <w:pPr>
        <w:rPr>
          <w:rFonts w:hint="eastAsia"/>
          <w:color w:val="000000" w:themeColor="text1"/>
          <w:highlight w:val="none"/>
          <w:lang w:val="en-GB"/>
          <w14:textFill>
            <w14:solidFill>
              <w14:schemeClr w14:val="tx1"/>
            </w14:solidFill>
          </w14:textFill>
        </w:rPr>
      </w:pPr>
    </w:p>
    <w:p w14:paraId="72D5D685">
      <w:pPr>
        <w:pStyle w:val="27"/>
        <w:rPr>
          <w:rFonts w:hint="eastAsia"/>
          <w:color w:val="000000" w:themeColor="text1"/>
          <w:highlight w:val="none"/>
          <w:lang w:val="en-GB"/>
          <w14:textFill>
            <w14:solidFill>
              <w14:schemeClr w14:val="tx1"/>
            </w14:solidFill>
          </w14:textFill>
        </w:rPr>
      </w:pPr>
    </w:p>
    <w:p w14:paraId="665A979E">
      <w:pPr>
        <w:pStyle w:val="22"/>
        <w:rPr>
          <w:rFonts w:hint="eastAsia"/>
          <w:color w:val="000000" w:themeColor="text1"/>
          <w:highlight w:val="none"/>
          <w:lang w:val="en-GB"/>
          <w14:textFill>
            <w14:solidFill>
              <w14:schemeClr w14:val="tx1"/>
            </w14:solidFill>
          </w14:textFill>
        </w:rPr>
      </w:pPr>
    </w:p>
    <w:p w14:paraId="08F20BAC">
      <w:pPr>
        <w:rPr>
          <w:rFonts w:hint="eastAsia"/>
          <w:color w:val="000000" w:themeColor="text1"/>
          <w:highlight w:val="none"/>
          <w:lang w:val="en-GB"/>
          <w14:textFill>
            <w14:solidFill>
              <w14:schemeClr w14:val="tx1"/>
            </w14:solidFill>
          </w14:textFill>
        </w:rPr>
      </w:pPr>
    </w:p>
    <w:p w14:paraId="495AF397">
      <w:pPr>
        <w:pStyle w:val="11"/>
        <w:rPr>
          <w:rFonts w:hint="eastAsia"/>
          <w:color w:val="000000" w:themeColor="text1"/>
          <w:highlight w:val="none"/>
          <w:lang w:val="en-GB"/>
          <w14:textFill>
            <w14:solidFill>
              <w14:schemeClr w14:val="tx1"/>
            </w14:solidFill>
          </w14:textFill>
        </w:rPr>
      </w:pPr>
    </w:p>
    <w:p w14:paraId="5F92C3E2">
      <w:pPr>
        <w:pStyle w:val="27"/>
        <w:ind w:firstLine="210"/>
        <w:rPr>
          <w:rFonts w:hint="eastAsia"/>
          <w:color w:val="000000" w:themeColor="text1"/>
          <w:highlight w:val="none"/>
          <w:lang w:val="en-GB"/>
          <w14:textFill>
            <w14:solidFill>
              <w14:schemeClr w14:val="tx1"/>
            </w14:solidFill>
          </w14:textFill>
        </w:rPr>
      </w:pPr>
    </w:p>
    <w:p w14:paraId="1D215DEC">
      <w:pPr>
        <w:rPr>
          <w:rFonts w:hint="eastAsia"/>
          <w:color w:val="000000" w:themeColor="text1"/>
          <w:highlight w:val="none"/>
          <w:lang w:val="en-GB"/>
          <w14:textFill>
            <w14:solidFill>
              <w14:schemeClr w14:val="tx1"/>
            </w14:solidFill>
          </w14:textFill>
        </w:rPr>
      </w:pPr>
    </w:p>
    <w:p w14:paraId="0899D274">
      <w:pPr>
        <w:pStyle w:val="11"/>
        <w:rPr>
          <w:rFonts w:hint="eastAsia"/>
          <w:color w:val="000000" w:themeColor="text1"/>
          <w:highlight w:val="none"/>
          <w:lang w:val="en-GB"/>
          <w14:textFill>
            <w14:solidFill>
              <w14:schemeClr w14:val="tx1"/>
            </w14:solidFill>
          </w14:textFill>
        </w:rPr>
      </w:pPr>
    </w:p>
    <w:p w14:paraId="3FB864FC">
      <w:pPr>
        <w:pStyle w:val="27"/>
        <w:ind w:firstLine="210"/>
        <w:rPr>
          <w:rFonts w:hint="eastAsia"/>
          <w:color w:val="000000" w:themeColor="text1"/>
          <w:highlight w:val="none"/>
          <w:lang w:val="en-GB"/>
          <w14:textFill>
            <w14:solidFill>
              <w14:schemeClr w14:val="tx1"/>
            </w14:solidFill>
          </w14:textFill>
        </w:rPr>
      </w:pPr>
    </w:p>
    <w:p w14:paraId="356DE389">
      <w:pPr>
        <w:rPr>
          <w:rFonts w:hint="eastAsia"/>
          <w:color w:val="000000" w:themeColor="text1"/>
          <w:highlight w:val="none"/>
          <w:lang w:val="en-GB"/>
          <w14:textFill>
            <w14:solidFill>
              <w14:schemeClr w14:val="tx1"/>
            </w14:solidFill>
          </w14:textFill>
        </w:rPr>
      </w:pPr>
    </w:p>
    <w:p w14:paraId="1ED4508F">
      <w:pPr>
        <w:pStyle w:val="15"/>
        <w:spacing w:line="360" w:lineRule="auto"/>
        <w:jc w:val="center"/>
        <w:outlineLvl w:val="1"/>
        <w:rPr>
          <w:rFonts w:hint="eastAsia" w:hAnsi="宋体" w:cs="宋体"/>
          <w:b/>
          <w:color w:val="000000" w:themeColor="text1"/>
          <w:sz w:val="32"/>
          <w:szCs w:val="32"/>
          <w:highlight w:val="none"/>
          <w:lang w:val="en-GB"/>
          <w14:textFill>
            <w14:solidFill>
              <w14:schemeClr w14:val="tx1"/>
            </w14:solidFill>
          </w14:textFill>
        </w:rPr>
      </w:pPr>
      <w:r>
        <w:rPr>
          <w:rFonts w:hint="eastAsia" w:hAnsi="宋体" w:cs="宋体"/>
          <w:b/>
          <w:color w:val="000000" w:themeColor="text1"/>
          <w:sz w:val="32"/>
          <w:szCs w:val="32"/>
          <w:highlight w:val="none"/>
          <w:lang w:val="en-GB"/>
          <w14:textFill>
            <w14:solidFill>
              <w14:schemeClr w14:val="tx1"/>
            </w14:solidFill>
          </w14:textFill>
        </w:rPr>
        <w:t>残疾人福利性单位声明函</w:t>
      </w:r>
    </w:p>
    <w:p w14:paraId="246523C9">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3D06388">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1AEC0B27">
      <w:pPr>
        <w:tabs>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p>
    <w:p w14:paraId="139EE3E6">
      <w:pPr>
        <w:tabs>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144811A4">
      <w:pPr>
        <w:tabs>
          <w:tab w:val="left" w:pos="4860"/>
        </w:tabs>
        <w:spacing w:line="588" w:lineRule="exact"/>
        <w:ind w:right="1560" w:firstLine="504"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3AE82E0D">
      <w:pPr>
        <w:pStyle w:val="33"/>
        <w:rPr>
          <w:rFonts w:ascii="宋体" w:hAnsi="宋体"/>
          <w:color w:val="000000" w:themeColor="text1"/>
          <w:sz w:val="24"/>
          <w:highlight w:val="none"/>
          <w:u w:val="single"/>
          <w14:textFill>
            <w14:solidFill>
              <w14:schemeClr w14:val="tx1"/>
            </w14:solidFill>
          </w14:textFill>
        </w:rPr>
      </w:pPr>
    </w:p>
    <w:sectPr>
      <w:headerReference r:id="rId3" w:type="default"/>
      <w:footerReference r:id="rId4" w:type="default"/>
      <w:pgSz w:w="11906" w:h="16838"/>
      <w:pgMar w:top="1440" w:right="190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1)">
    <w:altName w:val="Arial"/>
    <w:panose1 w:val="00000000000000000000"/>
    <w:charset w:val="00"/>
    <w:family w:val="auto"/>
    <w:pitch w:val="default"/>
    <w:sig w:usb0="00000000" w:usb1="00000000" w:usb2="00000000" w:usb3="00000000" w:csb0="00000001"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FB0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72E19">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572E19">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A715">
    <w:pPr>
      <w:spacing w:line="20" w:lineRule="atLeast"/>
      <w:rPr>
        <w:b/>
        <w:color w:val="808080"/>
        <w:sz w:val="10"/>
        <w:u w:val="single"/>
      </w:rPr>
    </w:pPr>
    <w:r>
      <w:rPr>
        <w:rFonts w:hint="eastAsia"/>
        <w:b/>
        <w:i/>
        <w:color w:val="808080"/>
        <w:kern w:val="0"/>
        <w:sz w:val="18"/>
        <w:u w:val="single"/>
      </w:rPr>
      <w:t xml:space="preserve">玉环市政府采购谈判采购文件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1">
    <w:nsid w:val="96FFF631"/>
    <w:multiLevelType w:val="singleLevel"/>
    <w:tmpl w:val="96FFF631"/>
    <w:lvl w:ilvl="0" w:tentative="0">
      <w:start w:val="1"/>
      <w:numFmt w:val="decimal"/>
      <w:lvlText w:val="%1."/>
      <w:lvlJc w:val="left"/>
      <w:pPr>
        <w:tabs>
          <w:tab w:val="left" w:pos="312"/>
        </w:tabs>
      </w:pPr>
    </w:lvl>
  </w:abstractNum>
  <w:abstractNum w:abstractNumId="2">
    <w:nsid w:val="F0EADC9C"/>
    <w:multiLevelType w:val="singleLevel"/>
    <w:tmpl w:val="F0EADC9C"/>
    <w:lvl w:ilvl="0" w:tentative="0">
      <w:start w:val="1"/>
      <w:numFmt w:val="decimal"/>
      <w:suff w:val="space"/>
      <w:lvlText w:val="%1、"/>
      <w:lvlJc w:val="left"/>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207466A1"/>
    <w:multiLevelType w:val="singleLevel"/>
    <w:tmpl w:val="207466A1"/>
    <w:lvl w:ilvl="0" w:tentative="0">
      <w:start w:val="13"/>
      <w:numFmt w:val="chineseCounting"/>
      <w:suff w:val="nothing"/>
      <w:lvlText w:val="%1、"/>
      <w:lvlJc w:val="left"/>
      <w:pPr>
        <w:ind w:left="525" w:firstLine="0"/>
      </w:pPr>
      <w:rPr>
        <w:rFonts w:hint="eastAsia"/>
      </w:rPr>
    </w:lvl>
  </w:abstractNum>
  <w:abstractNum w:abstractNumId="5">
    <w:nsid w:val="3380FA00"/>
    <w:multiLevelType w:val="singleLevel"/>
    <w:tmpl w:val="3380FA00"/>
    <w:lvl w:ilvl="0" w:tentative="0">
      <w:start w:val="1"/>
      <w:numFmt w:val="decimal"/>
      <w:suff w:val="nothing"/>
      <w:lvlText w:val="%1）"/>
      <w:lvlJc w:val="left"/>
    </w:lvl>
  </w:abstractNum>
  <w:abstractNum w:abstractNumId="6">
    <w:nsid w:val="3DA4938A"/>
    <w:multiLevelType w:val="singleLevel"/>
    <w:tmpl w:val="3DA4938A"/>
    <w:lvl w:ilvl="0" w:tentative="0">
      <w:start w:val="4"/>
      <w:numFmt w:val="chineseCounting"/>
      <w:suff w:val="nothing"/>
      <w:lvlText w:val="第%1章　"/>
      <w:lvlJc w:val="left"/>
      <w:pPr>
        <w:tabs>
          <w:tab w:val="left" w:pos="0"/>
        </w:tabs>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20AE4D64"/>
    <w:rsid w:val="00012076"/>
    <w:rsid w:val="00022064"/>
    <w:rsid w:val="000229F0"/>
    <w:rsid w:val="00027F45"/>
    <w:rsid w:val="00103F0D"/>
    <w:rsid w:val="00164874"/>
    <w:rsid w:val="001913B5"/>
    <w:rsid w:val="001D2968"/>
    <w:rsid w:val="00207604"/>
    <w:rsid w:val="00277154"/>
    <w:rsid w:val="00286090"/>
    <w:rsid w:val="0029427E"/>
    <w:rsid w:val="002B207D"/>
    <w:rsid w:val="003103E8"/>
    <w:rsid w:val="00322B6C"/>
    <w:rsid w:val="00325366"/>
    <w:rsid w:val="00381994"/>
    <w:rsid w:val="00394A01"/>
    <w:rsid w:val="003E7C4B"/>
    <w:rsid w:val="00485236"/>
    <w:rsid w:val="004A7153"/>
    <w:rsid w:val="004D5FFF"/>
    <w:rsid w:val="004E7A3F"/>
    <w:rsid w:val="0052419F"/>
    <w:rsid w:val="00526F70"/>
    <w:rsid w:val="00570E21"/>
    <w:rsid w:val="005936B7"/>
    <w:rsid w:val="005E042C"/>
    <w:rsid w:val="00646A15"/>
    <w:rsid w:val="006C7936"/>
    <w:rsid w:val="007344F5"/>
    <w:rsid w:val="00762E3A"/>
    <w:rsid w:val="00784813"/>
    <w:rsid w:val="00795B84"/>
    <w:rsid w:val="007B63EA"/>
    <w:rsid w:val="00804039"/>
    <w:rsid w:val="0085376B"/>
    <w:rsid w:val="00894395"/>
    <w:rsid w:val="008F4530"/>
    <w:rsid w:val="00934311"/>
    <w:rsid w:val="00964800"/>
    <w:rsid w:val="009977A1"/>
    <w:rsid w:val="009C341D"/>
    <w:rsid w:val="009D4A5A"/>
    <w:rsid w:val="009F6B86"/>
    <w:rsid w:val="00A30A10"/>
    <w:rsid w:val="00AA0F80"/>
    <w:rsid w:val="00AD1359"/>
    <w:rsid w:val="00B11BBC"/>
    <w:rsid w:val="00B436B3"/>
    <w:rsid w:val="00B70DB2"/>
    <w:rsid w:val="00BB00AA"/>
    <w:rsid w:val="00BD2C71"/>
    <w:rsid w:val="00C01752"/>
    <w:rsid w:val="00C348B6"/>
    <w:rsid w:val="00CC0370"/>
    <w:rsid w:val="00CC0EA9"/>
    <w:rsid w:val="00CC48A5"/>
    <w:rsid w:val="00CC66D3"/>
    <w:rsid w:val="00D17C36"/>
    <w:rsid w:val="00DB41AC"/>
    <w:rsid w:val="00DE1E24"/>
    <w:rsid w:val="00E3097B"/>
    <w:rsid w:val="00E344EE"/>
    <w:rsid w:val="00E84345"/>
    <w:rsid w:val="00E92B35"/>
    <w:rsid w:val="00EA0E26"/>
    <w:rsid w:val="00EB46A4"/>
    <w:rsid w:val="00ED7E40"/>
    <w:rsid w:val="00F55DB7"/>
    <w:rsid w:val="00F83E0A"/>
    <w:rsid w:val="00FA003B"/>
    <w:rsid w:val="00FB02E3"/>
    <w:rsid w:val="00FC25D7"/>
    <w:rsid w:val="00FF6637"/>
    <w:rsid w:val="01574618"/>
    <w:rsid w:val="01E21AEB"/>
    <w:rsid w:val="02184DBF"/>
    <w:rsid w:val="029A371C"/>
    <w:rsid w:val="02B16EEE"/>
    <w:rsid w:val="033458EA"/>
    <w:rsid w:val="0340000E"/>
    <w:rsid w:val="03BA1DDD"/>
    <w:rsid w:val="04D45590"/>
    <w:rsid w:val="05C90AE0"/>
    <w:rsid w:val="06A76A12"/>
    <w:rsid w:val="06DE785A"/>
    <w:rsid w:val="06E5094D"/>
    <w:rsid w:val="07415C37"/>
    <w:rsid w:val="07FB5BAB"/>
    <w:rsid w:val="08AA1E9B"/>
    <w:rsid w:val="08AE54D9"/>
    <w:rsid w:val="08EB44B5"/>
    <w:rsid w:val="090541F3"/>
    <w:rsid w:val="0A0D2461"/>
    <w:rsid w:val="0A2D3D05"/>
    <w:rsid w:val="0A5D35C4"/>
    <w:rsid w:val="0AFD2C6A"/>
    <w:rsid w:val="0B303030"/>
    <w:rsid w:val="0B684935"/>
    <w:rsid w:val="0B6902DD"/>
    <w:rsid w:val="0C304AD5"/>
    <w:rsid w:val="0C4E2F8C"/>
    <w:rsid w:val="0D071F18"/>
    <w:rsid w:val="0D0E7909"/>
    <w:rsid w:val="0D8E4A18"/>
    <w:rsid w:val="0DAB4641"/>
    <w:rsid w:val="0F944883"/>
    <w:rsid w:val="103D17F3"/>
    <w:rsid w:val="13B95C32"/>
    <w:rsid w:val="17106C23"/>
    <w:rsid w:val="171D78DC"/>
    <w:rsid w:val="1727538E"/>
    <w:rsid w:val="1834516C"/>
    <w:rsid w:val="188831C0"/>
    <w:rsid w:val="18884545"/>
    <w:rsid w:val="18E02C8F"/>
    <w:rsid w:val="19012FE9"/>
    <w:rsid w:val="19134A90"/>
    <w:rsid w:val="19D92463"/>
    <w:rsid w:val="1A7D0845"/>
    <w:rsid w:val="1AC800EE"/>
    <w:rsid w:val="1B4A3310"/>
    <w:rsid w:val="1C097BE7"/>
    <w:rsid w:val="1C8E1C3C"/>
    <w:rsid w:val="1CCE657F"/>
    <w:rsid w:val="1D8A78E5"/>
    <w:rsid w:val="1E4B5092"/>
    <w:rsid w:val="1E967206"/>
    <w:rsid w:val="1EA83EC1"/>
    <w:rsid w:val="1EFE4483"/>
    <w:rsid w:val="1F0D4FE5"/>
    <w:rsid w:val="1FFB17B7"/>
    <w:rsid w:val="20496D03"/>
    <w:rsid w:val="20532F76"/>
    <w:rsid w:val="2054207F"/>
    <w:rsid w:val="209B63CC"/>
    <w:rsid w:val="20AE4D64"/>
    <w:rsid w:val="20D02B87"/>
    <w:rsid w:val="21216BE9"/>
    <w:rsid w:val="217A13B1"/>
    <w:rsid w:val="226D042D"/>
    <w:rsid w:val="22BF67AD"/>
    <w:rsid w:val="234179D0"/>
    <w:rsid w:val="238B0807"/>
    <w:rsid w:val="239D0DD9"/>
    <w:rsid w:val="24414364"/>
    <w:rsid w:val="244478F4"/>
    <w:rsid w:val="245C6B2F"/>
    <w:rsid w:val="24802E53"/>
    <w:rsid w:val="254B6FB5"/>
    <w:rsid w:val="25E41B55"/>
    <w:rsid w:val="25E817E2"/>
    <w:rsid w:val="267F3779"/>
    <w:rsid w:val="268559B2"/>
    <w:rsid w:val="26EB511C"/>
    <w:rsid w:val="26F66586"/>
    <w:rsid w:val="271E25D9"/>
    <w:rsid w:val="275E5211"/>
    <w:rsid w:val="27BA54EB"/>
    <w:rsid w:val="27F9665F"/>
    <w:rsid w:val="29B04DC1"/>
    <w:rsid w:val="2A0E0C0E"/>
    <w:rsid w:val="2A176E5A"/>
    <w:rsid w:val="2A3569EE"/>
    <w:rsid w:val="2A7C33D9"/>
    <w:rsid w:val="2B6F39F7"/>
    <w:rsid w:val="2BAF1741"/>
    <w:rsid w:val="2BC53A0F"/>
    <w:rsid w:val="2C583D4C"/>
    <w:rsid w:val="2CB7435F"/>
    <w:rsid w:val="2CDD75D0"/>
    <w:rsid w:val="2D916DC3"/>
    <w:rsid w:val="2DBB56A8"/>
    <w:rsid w:val="2DC74FDA"/>
    <w:rsid w:val="2E524B68"/>
    <w:rsid w:val="2EC3100E"/>
    <w:rsid w:val="2FE8509F"/>
    <w:rsid w:val="2FEB4EDE"/>
    <w:rsid w:val="30D92FB5"/>
    <w:rsid w:val="314362E6"/>
    <w:rsid w:val="31490769"/>
    <w:rsid w:val="317E1977"/>
    <w:rsid w:val="317F3A60"/>
    <w:rsid w:val="31942B43"/>
    <w:rsid w:val="31B71D2B"/>
    <w:rsid w:val="31FC507F"/>
    <w:rsid w:val="325D0058"/>
    <w:rsid w:val="32A36583"/>
    <w:rsid w:val="32A8398C"/>
    <w:rsid w:val="333464B6"/>
    <w:rsid w:val="35232C2D"/>
    <w:rsid w:val="35BE4301"/>
    <w:rsid w:val="360B6967"/>
    <w:rsid w:val="367554E4"/>
    <w:rsid w:val="36A823AB"/>
    <w:rsid w:val="371B6F58"/>
    <w:rsid w:val="377B1BD4"/>
    <w:rsid w:val="380D162F"/>
    <w:rsid w:val="38545275"/>
    <w:rsid w:val="38616F1D"/>
    <w:rsid w:val="38B5502B"/>
    <w:rsid w:val="38CD4DFD"/>
    <w:rsid w:val="39A44CA6"/>
    <w:rsid w:val="39AA02FF"/>
    <w:rsid w:val="3A8E028C"/>
    <w:rsid w:val="3AFD149F"/>
    <w:rsid w:val="3B035435"/>
    <w:rsid w:val="3D112450"/>
    <w:rsid w:val="3D41632C"/>
    <w:rsid w:val="3D720DC1"/>
    <w:rsid w:val="3E051F47"/>
    <w:rsid w:val="3E5A54F8"/>
    <w:rsid w:val="3E76638E"/>
    <w:rsid w:val="3E8B721C"/>
    <w:rsid w:val="3E920795"/>
    <w:rsid w:val="3EFC126B"/>
    <w:rsid w:val="3F414D6B"/>
    <w:rsid w:val="3F6A589C"/>
    <w:rsid w:val="3F8B3ED6"/>
    <w:rsid w:val="3FB12DDB"/>
    <w:rsid w:val="3FE7116A"/>
    <w:rsid w:val="40355F7C"/>
    <w:rsid w:val="41564665"/>
    <w:rsid w:val="41734954"/>
    <w:rsid w:val="424D2825"/>
    <w:rsid w:val="42F77DB2"/>
    <w:rsid w:val="438039FD"/>
    <w:rsid w:val="441F02A8"/>
    <w:rsid w:val="448A5977"/>
    <w:rsid w:val="449B251C"/>
    <w:rsid w:val="44F06175"/>
    <w:rsid w:val="457C4B03"/>
    <w:rsid w:val="462907DC"/>
    <w:rsid w:val="46B71B92"/>
    <w:rsid w:val="46E56ABD"/>
    <w:rsid w:val="47140325"/>
    <w:rsid w:val="47397233"/>
    <w:rsid w:val="485D4DCC"/>
    <w:rsid w:val="48860D1B"/>
    <w:rsid w:val="48A35DF0"/>
    <w:rsid w:val="49545A1F"/>
    <w:rsid w:val="49555633"/>
    <w:rsid w:val="49B44F94"/>
    <w:rsid w:val="4AFE50CA"/>
    <w:rsid w:val="4BA87148"/>
    <w:rsid w:val="4C7E55D3"/>
    <w:rsid w:val="4CC77FFC"/>
    <w:rsid w:val="4D0A406B"/>
    <w:rsid w:val="4D653CBA"/>
    <w:rsid w:val="4DA54844"/>
    <w:rsid w:val="4DCF6871"/>
    <w:rsid w:val="4DE85357"/>
    <w:rsid w:val="4E7749FB"/>
    <w:rsid w:val="4E781808"/>
    <w:rsid w:val="4EB570D6"/>
    <w:rsid w:val="4F2A6CDC"/>
    <w:rsid w:val="4F421F02"/>
    <w:rsid w:val="4F824AB9"/>
    <w:rsid w:val="4FA87474"/>
    <w:rsid w:val="4FE3400D"/>
    <w:rsid w:val="50AB0883"/>
    <w:rsid w:val="50DA577A"/>
    <w:rsid w:val="50E929C7"/>
    <w:rsid w:val="52297D26"/>
    <w:rsid w:val="52334072"/>
    <w:rsid w:val="5422243B"/>
    <w:rsid w:val="556E78AD"/>
    <w:rsid w:val="55CF0C66"/>
    <w:rsid w:val="56137C75"/>
    <w:rsid w:val="563567D0"/>
    <w:rsid w:val="5660136B"/>
    <w:rsid w:val="56784F2E"/>
    <w:rsid w:val="56EC554C"/>
    <w:rsid w:val="56F214D9"/>
    <w:rsid w:val="57637B35"/>
    <w:rsid w:val="57756FDC"/>
    <w:rsid w:val="581E0EA0"/>
    <w:rsid w:val="58375678"/>
    <w:rsid w:val="589B20E7"/>
    <w:rsid w:val="58C16BE5"/>
    <w:rsid w:val="59966557"/>
    <w:rsid w:val="5A092034"/>
    <w:rsid w:val="5A253572"/>
    <w:rsid w:val="5A3676DD"/>
    <w:rsid w:val="5B2C7AA4"/>
    <w:rsid w:val="5B7644D9"/>
    <w:rsid w:val="5BDF59BF"/>
    <w:rsid w:val="5C5A5D5F"/>
    <w:rsid w:val="5C60584B"/>
    <w:rsid w:val="5C8F1E71"/>
    <w:rsid w:val="5CA57360"/>
    <w:rsid w:val="5D1E0EB0"/>
    <w:rsid w:val="5E041844"/>
    <w:rsid w:val="5E7B225D"/>
    <w:rsid w:val="5ED42A92"/>
    <w:rsid w:val="5F257F36"/>
    <w:rsid w:val="5F3B4D1A"/>
    <w:rsid w:val="602B6854"/>
    <w:rsid w:val="60D402BB"/>
    <w:rsid w:val="616A33DA"/>
    <w:rsid w:val="62051491"/>
    <w:rsid w:val="62537AD3"/>
    <w:rsid w:val="638E774B"/>
    <w:rsid w:val="63960810"/>
    <w:rsid w:val="654C7163"/>
    <w:rsid w:val="65CB1DB0"/>
    <w:rsid w:val="65FE7FE9"/>
    <w:rsid w:val="669B50CD"/>
    <w:rsid w:val="66C11D69"/>
    <w:rsid w:val="66E66DEF"/>
    <w:rsid w:val="66E9022F"/>
    <w:rsid w:val="676D6AC2"/>
    <w:rsid w:val="677E0166"/>
    <w:rsid w:val="67E23030"/>
    <w:rsid w:val="67ED314E"/>
    <w:rsid w:val="686D34BE"/>
    <w:rsid w:val="688259FD"/>
    <w:rsid w:val="68905A4E"/>
    <w:rsid w:val="69430F13"/>
    <w:rsid w:val="69A068A5"/>
    <w:rsid w:val="69C01A14"/>
    <w:rsid w:val="6A3212DD"/>
    <w:rsid w:val="6A6E0B73"/>
    <w:rsid w:val="6A7C3B33"/>
    <w:rsid w:val="6C6225BC"/>
    <w:rsid w:val="6D1D0041"/>
    <w:rsid w:val="6D3D2AC0"/>
    <w:rsid w:val="6D8368A4"/>
    <w:rsid w:val="6DB826FA"/>
    <w:rsid w:val="6DC9723B"/>
    <w:rsid w:val="6E0E7D79"/>
    <w:rsid w:val="6EDE5E5B"/>
    <w:rsid w:val="6F4404C5"/>
    <w:rsid w:val="6F953B4A"/>
    <w:rsid w:val="70250C6C"/>
    <w:rsid w:val="703758EF"/>
    <w:rsid w:val="706968CA"/>
    <w:rsid w:val="71154664"/>
    <w:rsid w:val="71435219"/>
    <w:rsid w:val="71772F91"/>
    <w:rsid w:val="728B1977"/>
    <w:rsid w:val="72D94790"/>
    <w:rsid w:val="734E7A1D"/>
    <w:rsid w:val="73E060CE"/>
    <w:rsid w:val="744D2486"/>
    <w:rsid w:val="74B91264"/>
    <w:rsid w:val="76184A54"/>
    <w:rsid w:val="76EC257D"/>
    <w:rsid w:val="77193E72"/>
    <w:rsid w:val="77781184"/>
    <w:rsid w:val="778E16A8"/>
    <w:rsid w:val="77C34F1F"/>
    <w:rsid w:val="791169A5"/>
    <w:rsid w:val="79BA66F2"/>
    <w:rsid w:val="79CB1EA5"/>
    <w:rsid w:val="7AF50EFD"/>
    <w:rsid w:val="7BA7539F"/>
    <w:rsid w:val="7C532B56"/>
    <w:rsid w:val="7C92500C"/>
    <w:rsid w:val="7D2F4B8F"/>
    <w:rsid w:val="7D6F2CEF"/>
    <w:rsid w:val="7D7E078C"/>
    <w:rsid w:val="7D9339B8"/>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120" w:after="120"/>
      <w:jc w:val="center"/>
      <w:outlineLvl w:val="0"/>
    </w:pPr>
    <w:rPr>
      <w:rFonts w:ascii="黑体" w:eastAsia="黑体"/>
      <w:b/>
      <w:kern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caption"/>
    <w:basedOn w:val="1"/>
    <w:next w:val="1"/>
    <w:autoRedefine/>
    <w:semiHidden/>
    <w:unhideWhenUsed/>
    <w:qFormat/>
    <w:uiPriority w:val="0"/>
    <w:pPr>
      <w:spacing w:before="152" w:after="160"/>
    </w:pPr>
    <w:rPr>
      <w:rFonts w:ascii="Arial" w:hAnsi="Arial" w:eastAsia="黑体" w:cs="Arial"/>
      <w:sz w:val="20"/>
      <w:szCs w:val="20"/>
    </w:rPr>
  </w:style>
  <w:style w:type="paragraph" w:styleId="9">
    <w:name w:val="annotation text"/>
    <w:basedOn w:val="1"/>
    <w:link w:val="51"/>
    <w:autoRedefine/>
    <w:qFormat/>
    <w:uiPriority w:val="0"/>
    <w:pPr>
      <w:jc w:val="left"/>
    </w:pPr>
  </w:style>
  <w:style w:type="paragraph" w:styleId="10">
    <w:name w:val="Body Text 3"/>
    <w:basedOn w:val="1"/>
    <w:autoRedefine/>
    <w:qFormat/>
    <w:uiPriority w:val="0"/>
    <w:pPr>
      <w:spacing w:line="360" w:lineRule="auto"/>
      <w:jc w:val="center"/>
    </w:pPr>
    <w:rPr>
      <w:rFonts w:ascii="宋体" w:eastAsia="宋体"/>
      <w:bCs/>
      <w:iCs/>
      <w:sz w:val="21"/>
      <w:szCs w:val="28"/>
    </w:rPr>
  </w:style>
  <w:style w:type="paragraph" w:styleId="11">
    <w:name w:val="Body Text"/>
    <w:basedOn w:val="1"/>
    <w:next w:val="12"/>
    <w:autoRedefine/>
    <w:qFormat/>
    <w:uiPriority w:val="0"/>
    <w:pPr>
      <w:spacing w:line="360" w:lineRule="exact"/>
    </w:pPr>
    <w:rPr>
      <w:sz w:val="24"/>
    </w:rPr>
  </w:style>
  <w:style w:type="paragraph" w:styleId="12">
    <w:name w:val="toc 4"/>
    <w:basedOn w:val="1"/>
    <w:next w:val="1"/>
    <w:autoRedefine/>
    <w:unhideWhenUsed/>
    <w:qFormat/>
    <w:uiPriority w:val="39"/>
    <w:pPr>
      <w:ind w:left="1260" w:leftChars="600"/>
    </w:pPr>
    <w:rPr>
      <w:rFonts w:ascii="Calibri" w:hAnsi="Calibri"/>
      <w:szCs w:val="22"/>
    </w:rPr>
  </w:style>
  <w:style w:type="paragraph" w:styleId="13">
    <w:name w:val="Body Text Indent"/>
    <w:basedOn w:val="1"/>
    <w:next w:val="14"/>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customStyle="1" w:styleId="14">
    <w:name w:val="正文文本首行缩进 21"/>
    <w:basedOn w:val="13"/>
    <w:autoRedefine/>
    <w:qFormat/>
    <w:uiPriority w:val="99"/>
    <w:pPr>
      <w:spacing w:line="200" w:lineRule="atLeast"/>
      <w:ind w:firstLine="420"/>
    </w:pPr>
    <w:rPr>
      <w:rFonts w:hAnsi="Courier New"/>
      <w:spacing w:val="-4"/>
      <w:sz w:val="18"/>
    </w:rPr>
  </w:style>
  <w:style w:type="paragraph" w:styleId="15">
    <w:name w:val="Plain Text"/>
    <w:basedOn w:val="1"/>
    <w:next w:val="1"/>
    <w:link w:val="42"/>
    <w:autoRedefine/>
    <w:qFormat/>
    <w:uiPriority w:val="99"/>
    <w:rPr>
      <w:rFonts w:ascii="宋体" w:hAnsi="Courier New" w:cstheme="minorBidi"/>
    </w:rPr>
  </w:style>
  <w:style w:type="paragraph" w:styleId="16">
    <w:name w:val="Date"/>
    <w:basedOn w:val="1"/>
    <w:next w:val="1"/>
    <w:autoRedefine/>
    <w:qFormat/>
    <w:uiPriority w:val="0"/>
    <w:rPr>
      <w:rFonts w:ascii="宋体"/>
      <w:color w:val="000000"/>
      <w:kern w:val="0"/>
      <w:sz w:val="24"/>
    </w:rPr>
  </w:style>
  <w:style w:type="paragraph" w:styleId="17">
    <w:name w:val="Body Text Indent 2"/>
    <w:basedOn w:val="1"/>
    <w:autoRedefine/>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unhideWhenUsed/>
    <w:qFormat/>
    <w:uiPriority w:val="39"/>
    <w:pPr>
      <w:tabs>
        <w:tab w:val="right" w:leader="dot" w:pos="8835"/>
      </w:tabs>
    </w:pPr>
    <w:rPr>
      <w:rFonts w:eastAsia="仿宋_GB2312"/>
      <w:sz w:val="32"/>
    </w:rPr>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qFormat/>
    <w:uiPriority w:val="99"/>
    <w:pPr>
      <w:widowControl/>
      <w:ind w:left="1000"/>
      <w:jc w:val="left"/>
    </w:pPr>
    <w:rPr>
      <w:kern w:val="0"/>
      <w:sz w:val="18"/>
      <w:szCs w:val="20"/>
    </w:rPr>
  </w:style>
  <w:style w:type="paragraph" w:styleId="23">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24">
    <w:name w:val="Normal (Web)"/>
    <w:basedOn w:val="1"/>
    <w:next w:val="15"/>
    <w:autoRedefine/>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autoRedefine/>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26">
    <w:name w:val="annotation subject"/>
    <w:basedOn w:val="9"/>
    <w:next w:val="9"/>
    <w:link w:val="52"/>
    <w:autoRedefine/>
    <w:qFormat/>
    <w:uiPriority w:val="0"/>
    <w:rPr>
      <w:b/>
      <w:bCs/>
    </w:rPr>
  </w:style>
  <w:style w:type="paragraph" w:styleId="27">
    <w:name w:val="Body Text First Indent"/>
    <w:basedOn w:val="11"/>
    <w:next w:val="22"/>
    <w:autoRedefine/>
    <w:qFormat/>
    <w:uiPriority w:val="0"/>
    <w:pPr>
      <w:ind w:firstLine="420" w:firstLineChars="100"/>
    </w:pPr>
  </w:style>
  <w:style w:type="character" w:styleId="30">
    <w:name w:val="page number"/>
    <w:basedOn w:val="29"/>
    <w:autoRedefine/>
    <w:qFormat/>
    <w:uiPriority w:val="0"/>
  </w:style>
  <w:style w:type="character" w:styleId="31">
    <w:name w:val="Hyperlink"/>
    <w:basedOn w:val="29"/>
    <w:autoRedefine/>
    <w:qFormat/>
    <w:uiPriority w:val="0"/>
    <w:rPr>
      <w:color w:val="0000FF"/>
      <w:u w:val="single"/>
    </w:rPr>
  </w:style>
  <w:style w:type="character" w:styleId="32">
    <w:name w:val="annotation reference"/>
    <w:basedOn w:val="29"/>
    <w:autoRedefine/>
    <w:qFormat/>
    <w:uiPriority w:val="0"/>
    <w:rPr>
      <w:sz w:val="21"/>
      <w:szCs w:val="21"/>
    </w:rPr>
  </w:style>
  <w:style w:type="paragraph" w:customStyle="1" w:styleId="33">
    <w:name w:val="Fließtext"/>
    <w:basedOn w:val="1"/>
    <w:autoRedefine/>
    <w:qFormat/>
    <w:uiPriority w:val="0"/>
    <w:pPr>
      <w:overflowPunct w:val="0"/>
      <w:autoSpaceDE w:val="0"/>
      <w:autoSpaceDN w:val="0"/>
      <w:adjustRightInd w:val="0"/>
      <w:textAlignment w:val="baseline"/>
    </w:pPr>
    <w:rPr>
      <w:kern w:val="28"/>
      <w:szCs w:val="20"/>
    </w:rPr>
  </w:style>
  <w:style w:type="paragraph" w:styleId="34">
    <w:name w:val="List Paragraph"/>
    <w:basedOn w:val="1"/>
    <w:autoRedefine/>
    <w:qFormat/>
    <w:uiPriority w:val="34"/>
    <w:pPr>
      <w:ind w:firstLine="420" w:firstLineChars="200"/>
    </w:pPr>
    <w:rPr>
      <w:rFonts w:ascii="Calibri" w:hAnsi="Calibri"/>
      <w:szCs w:val="22"/>
    </w:rPr>
  </w:style>
  <w:style w:type="paragraph" w:customStyle="1" w:styleId="3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3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14"/>
    <w:autoRedefine/>
    <w:qFormat/>
    <w:uiPriority w:val="0"/>
    <w:rPr>
      <w:rFonts w:ascii="Times New Roman" w:hAnsi="Times New Roman" w:eastAsia="宋体" w:cs="Times New Roman"/>
      <w:sz w:val="21"/>
      <w:lang w:val="en-US" w:eastAsia="zh-CN" w:bidi="ar-SA"/>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纯文本 字符"/>
    <w:basedOn w:val="29"/>
    <w:link w:val="15"/>
    <w:autoRedefine/>
    <w:qFormat/>
    <w:uiPriority w:val="99"/>
    <w:rPr>
      <w:rFonts w:ascii="宋体" w:hAnsi="Courier New" w:eastAsia="宋体"/>
      <w:kern w:val="2"/>
      <w:sz w:val="21"/>
      <w:szCs w:val="24"/>
    </w:rPr>
  </w:style>
  <w:style w:type="paragraph" w:customStyle="1" w:styleId="43">
    <w:name w:val="纯文本_0_1"/>
    <w:basedOn w:val="1"/>
    <w:autoRedefine/>
    <w:qFormat/>
    <w:uiPriority w:val="0"/>
    <w:pPr>
      <w:widowControl/>
      <w:jc w:val="left"/>
    </w:pPr>
    <w:rPr>
      <w:rFonts w:ascii="宋体" w:hAnsi="Courier New" w:eastAsiaTheme="minorEastAsia" w:cstheme="minorBidi"/>
      <w:szCs w:val="21"/>
    </w:rPr>
  </w:style>
  <w:style w:type="paragraph" w:customStyle="1" w:styleId="4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纯文本_3"/>
    <w:basedOn w:val="41"/>
    <w:autoRedefine/>
    <w:qFormat/>
    <w:uiPriority w:val="0"/>
    <w:pPr>
      <w:widowControl/>
      <w:jc w:val="left"/>
    </w:pPr>
    <w:rPr>
      <w:rFonts w:ascii="宋体" w:hAnsi="Courier New" w:eastAsiaTheme="minorEastAsia" w:cstheme="minorBidi"/>
      <w:szCs w:val="21"/>
    </w:rPr>
  </w:style>
  <w:style w:type="paragraph" w:customStyle="1" w:styleId="4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rPr>
  </w:style>
  <w:style w:type="paragraph" w:customStyle="1" w:styleId="50">
    <w:name w:val="Table Paragraph"/>
    <w:basedOn w:val="1"/>
    <w:autoRedefine/>
    <w:qFormat/>
    <w:uiPriority w:val="1"/>
    <w:rPr>
      <w:rFonts w:ascii="宋体" w:hAnsi="宋体" w:cs="宋体"/>
      <w:lang w:eastAsia="en-US" w:bidi="en-US"/>
    </w:rPr>
  </w:style>
  <w:style w:type="character" w:customStyle="1" w:styleId="51">
    <w:name w:val="批注文字 字符"/>
    <w:basedOn w:val="29"/>
    <w:link w:val="9"/>
    <w:autoRedefine/>
    <w:qFormat/>
    <w:uiPriority w:val="0"/>
    <w:rPr>
      <w:kern w:val="2"/>
      <w:sz w:val="21"/>
      <w:szCs w:val="24"/>
    </w:rPr>
  </w:style>
  <w:style w:type="character" w:customStyle="1" w:styleId="52">
    <w:name w:val="批注主题 字符"/>
    <w:basedOn w:val="51"/>
    <w:link w:val="26"/>
    <w:autoRedefine/>
    <w:qFormat/>
    <w:uiPriority w:val="0"/>
    <w:rPr>
      <w:b/>
      <w:bCs/>
      <w:kern w:val="2"/>
      <w:sz w:val="21"/>
      <w:szCs w:val="24"/>
    </w:rPr>
  </w:style>
  <w:style w:type="paragraph" w:customStyle="1" w:styleId="53">
    <w:name w:val="p0"/>
    <w:basedOn w:val="1"/>
    <w:autoRedefine/>
    <w:qFormat/>
    <w:uiPriority w:val="0"/>
    <w:pPr>
      <w:widowControl/>
      <w:jc w:val="left"/>
    </w:pPr>
    <w:rPr>
      <w:kern w:val="0"/>
      <w:sz w:val="20"/>
      <w:szCs w:val="20"/>
    </w:rPr>
  </w:style>
  <w:style w:type="paragraph" w:customStyle="1" w:styleId="54">
    <w:name w:val="p17"/>
    <w:basedOn w:val="1"/>
    <w:autoRedefine/>
    <w:qFormat/>
    <w:uiPriority w:val="0"/>
    <w:pPr>
      <w:widowControl/>
      <w:spacing w:before="100" w:beforeAutospacing="1" w:after="100" w:afterAutospacing="1"/>
      <w:jc w:val="left"/>
    </w:pPr>
    <w:rPr>
      <w:rFonts w:ascii="宋体" w:eastAsia="宋体" w:cs="宋体"/>
      <w:kern w:val="0"/>
      <w:sz w:val="24"/>
      <w:szCs w:val="24"/>
      <w:lang w:bidi="ar-SA"/>
    </w:rPr>
  </w:style>
  <w:style w:type="paragraph" w:customStyle="1" w:styleId="55">
    <w:name w:val="Blockquote"/>
    <w:basedOn w:val="1"/>
    <w:autoRedefine/>
    <w:qFormat/>
    <w:uiPriority w:val="0"/>
    <w:pPr>
      <w:autoSpaceDE w:val="0"/>
      <w:autoSpaceDN w:val="0"/>
      <w:adjustRightInd w:val="0"/>
      <w:spacing w:before="100" w:after="100"/>
      <w:ind w:left="360" w:right="360"/>
      <w:jc w:val="left"/>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A2886-5E84-4ECB-9828-B6EBD2AC7EA2}">
  <ds:schemaRefs/>
</ds:datastoreItem>
</file>

<file path=docProps/app.xml><?xml version="1.0" encoding="utf-8"?>
<Properties xmlns="http://schemas.openxmlformats.org/officeDocument/2006/extended-properties" xmlns:vt="http://schemas.openxmlformats.org/officeDocument/2006/docPropsVTypes">
  <Template>Normal</Template>
  <Pages>71</Pages>
  <Words>1686</Words>
  <Characters>1945</Characters>
  <Lines>220</Lines>
  <Paragraphs>62</Paragraphs>
  <TotalTime>22</TotalTime>
  <ScaleCrop>false</ScaleCrop>
  <LinksUpToDate>false</LinksUpToDate>
  <CharactersWithSpaces>2057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2021-09-25T09:08:00Z</dcterms:created>
  <dc:creator>S-mile</dc:creator>
  <cp:lastModifiedBy>Le.YonG.</cp:lastModifiedBy>
  <dcterms:modified xsi:type="dcterms:W3CDTF">2025-06-23T03:18:13Z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33DF496FAA48449FBBF53DEF97B63560_13</vt:lpwstr>
  </property>
  <property fmtid="{D5CDD505-2E9C-101B-9397-08002B2CF9AE}" pid="4" name="KSOTemplateDocerSaveRecord">
    <vt:lpwstr>eyJoZGlkIjoiMzEwNTM5NzYwMDRjMzkwZTVkZjY2ODkwMGIxNGU0OTUiLCJ1c2VySWQiOiIyODM3OTY2MjMifQ==</vt:lpwstr>
  </property>
</Properties>
</file>