
<file path=[Content_Types].xml><?xml version="1.0" encoding="utf-8"?>
<Types xmlns="http://schemas.openxmlformats.org/package/2006/content-types">
  <Default ContentType="image/jpeg" Extension="jpeg"/>
  <Default ContentType="image/.jpg" Extension="jpg"/>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Relationships xmlns="http://schemas.openxmlformats.org/package/2006/relationships"><Relationship Id="rId1" Target="docProps/app.xml" Type="http://schemas.openxmlformats.org/officeDocument/2006/relationships/extended-properties"/><Relationship Id="rId2" Target="docProps/core.xml" Type="http://schemas.openxmlformats.org/package/2006/relationships/metadata/core-properties"/><Relationship Id="rId3" Target="docProps/custom.xml" Type="http://schemas.openxmlformats.org/officeDocument/2006/relationships/custom-properties"/><Relationship Id="rId4" Target="word/document.xml" Type="http://schemas.openxmlformats.org/officeDocument/2006/relationships/officeDocument"/></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color w:val="000000"/>
        </w:rPr>
      </w:pPr>
    </w:p>
    <w:p>
      <w:pPr>
        <w:tabs>
          <w:tab w:val="left" w:pos="720"/>
          <w:tab w:val="left" w:pos="2160"/>
          <w:tab w:val="left" w:pos="2880"/>
          <w:tab w:val="left" w:pos="3600"/>
          <w:tab w:val="left" w:pos="4320"/>
          <w:tab w:val="left" w:pos="5040"/>
          <w:tab w:val="left" w:pos="5760"/>
        </w:tabs>
        <w:autoSpaceDE w:val="0"/>
        <w:autoSpaceDN w:val="0"/>
        <w:adjustRightInd w:val="0"/>
        <w:spacing w:line="240" w:lineRule="atLeast"/>
        <w:ind w:left="540" w:right="924" w:firstLine="355"/>
        <w:jc w:val="center"/>
        <w:rPr>
          <w:rFonts w:hint="eastAsia" w:ascii="宋体"/>
          <w:b/>
          <w:color w:val="000000"/>
          <w:kern w:val="0"/>
          <w:sz w:val="52"/>
        </w:rPr>
      </w:pPr>
    </w:p>
    <w:p>
      <w:pPr>
        <w:tabs>
          <w:tab w:val="left" w:pos="720"/>
          <w:tab w:val="left" w:pos="2160"/>
          <w:tab w:val="left" w:pos="2880"/>
          <w:tab w:val="left" w:pos="3600"/>
          <w:tab w:val="left" w:pos="4320"/>
          <w:tab w:val="left" w:pos="5040"/>
          <w:tab w:val="left" w:pos="5760"/>
        </w:tabs>
        <w:autoSpaceDE w:val="0"/>
        <w:autoSpaceDN w:val="0"/>
        <w:adjustRightInd w:val="0"/>
        <w:spacing w:line="240" w:lineRule="atLeast"/>
        <w:ind w:left="540" w:right="924" w:firstLine="355"/>
        <w:jc w:val="center"/>
        <w:rPr>
          <w:rFonts w:hint="eastAsia" w:ascii="宋体"/>
          <w:b/>
          <w:color w:val="000000"/>
          <w:kern w:val="0"/>
          <w:sz w:val="52"/>
        </w:rPr>
      </w:pPr>
      <w:r>
        <w:rPr>
          <w:rFonts w:hint="eastAsia" w:ascii="宋体" w:hAnsi="宋体" w:cs="宋体"/>
          <w:b/>
          <w:color w:val="000000"/>
          <w:kern w:val="0"/>
          <w:sz w:val="52"/>
          <w:szCs w:val="52"/>
        </w:rPr>
        <w:t>玉环市政府</w:t>
      </w:r>
      <w:r>
        <w:rPr>
          <w:rFonts w:hint="eastAsia" w:ascii="宋体"/>
          <w:b/>
          <w:color w:val="000000"/>
          <w:kern w:val="0"/>
          <w:sz w:val="52"/>
        </w:rPr>
        <w:t>采购</w:t>
      </w:r>
    </w:p>
    <w:p>
      <w:pPr>
        <w:tabs>
          <w:tab w:val="left" w:pos="720"/>
          <w:tab w:val="left" w:pos="2160"/>
          <w:tab w:val="left" w:pos="2880"/>
          <w:tab w:val="left" w:pos="3600"/>
          <w:tab w:val="left" w:pos="4320"/>
          <w:tab w:val="left" w:pos="5040"/>
          <w:tab w:val="left" w:pos="5760"/>
        </w:tabs>
        <w:autoSpaceDE w:val="0"/>
        <w:autoSpaceDN w:val="0"/>
        <w:adjustRightInd w:val="0"/>
        <w:spacing w:line="240" w:lineRule="atLeast"/>
        <w:ind w:left="540" w:right="924" w:firstLine="355"/>
        <w:jc w:val="center"/>
        <w:rPr>
          <w:rFonts w:hint="eastAsia" w:ascii="宋体" w:hAnsi="宋体" w:cs="宋体"/>
          <w:b/>
          <w:color w:val="000000"/>
          <w:kern w:val="0"/>
          <w:sz w:val="52"/>
          <w:szCs w:val="52"/>
        </w:rPr>
      </w:pPr>
      <w:r>
        <w:rPr>
          <w:rFonts w:hint="eastAsia" w:ascii="宋体" w:hAnsi="宋体" w:cs="宋体"/>
          <w:b/>
          <w:color w:val="000000"/>
          <w:kern w:val="0"/>
          <w:sz w:val="52"/>
          <w:szCs w:val="52"/>
        </w:rPr>
        <w:t>竞争性磋商文件</w:t>
      </w: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firstLine="600" w:firstLineChars="200"/>
        <w:jc w:val="left"/>
        <w:rPr>
          <w:rFonts w:hint="eastAsia" w:ascii="宋体" w:hAnsi="宋体" w:cs="宋体"/>
          <w:color w:val="000000"/>
          <w:kern w:val="0"/>
          <w:sz w:val="30"/>
          <w:szCs w:val="30"/>
        </w:rPr>
      </w:pP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firstLine="643" w:firstLineChars="200"/>
        <w:jc w:val="center"/>
        <w:rPr>
          <w:rFonts w:hint="eastAsia" w:ascii="宋体" w:hAnsi="宋体" w:cs="宋体"/>
          <w:b/>
          <w:bCs/>
          <w:color w:val="000000"/>
          <w:kern w:val="0"/>
          <w:sz w:val="32"/>
          <w:szCs w:val="32"/>
        </w:rPr>
      </w:pPr>
      <w:r>
        <w:rPr>
          <w:rFonts w:hint="eastAsia" w:ascii="宋体" w:hAnsi="宋体"/>
          <w:b/>
          <w:color w:val="000000"/>
          <w:kern w:val="0"/>
          <w:sz w:val="32"/>
          <w:szCs w:val="32"/>
          <w:lang w:eastAsia="zh-CN"/>
        </w:rPr>
        <w:t>YH-ZFCG-2022-017（重）</w:t>
      </w:r>
      <w:r>
        <w:rPr>
          <w:rFonts w:hint="eastAsia" w:ascii="宋体" w:hAnsi="宋体"/>
          <w:b/>
          <w:color w:val="000000"/>
          <w:kern w:val="0"/>
          <w:sz w:val="32"/>
          <w:szCs w:val="32"/>
        </w:rPr>
        <w:t xml:space="preserve"> </w:t>
      </w: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firstLine="600" w:firstLineChars="200"/>
        <w:jc w:val="left"/>
        <w:rPr>
          <w:rFonts w:hint="eastAsia" w:ascii="宋体" w:hAnsi="宋体" w:cs="宋体"/>
          <w:color w:val="000000"/>
          <w:kern w:val="0"/>
          <w:sz w:val="30"/>
          <w:szCs w:val="30"/>
        </w:rPr>
      </w:pP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firstLine="600" w:firstLineChars="200"/>
        <w:jc w:val="left"/>
        <w:rPr>
          <w:rFonts w:hint="eastAsia" w:ascii="宋体" w:hAnsi="宋体" w:cs="宋体"/>
          <w:color w:val="000000"/>
          <w:kern w:val="0"/>
          <w:sz w:val="30"/>
          <w:szCs w:val="30"/>
        </w:rPr>
      </w:pP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1" w:right="1800" w:firstLine="600" w:firstLineChars="200"/>
        <w:jc w:val="left"/>
        <w:rPr>
          <w:rFonts w:hint="eastAsia" w:ascii="宋体" w:hAnsi="宋体" w:cs="宋体"/>
          <w:color w:val="000000"/>
          <w:kern w:val="0"/>
          <w:sz w:val="30"/>
          <w:szCs w:val="30"/>
        </w:rPr>
      </w:pPr>
    </w:p>
    <w:p>
      <w:pPr>
        <w:ind w:firstLine="2240" w:firstLineChars="800"/>
        <w:rPr>
          <w:rFonts w:hint="eastAsia" w:ascii="宋体" w:hAnsi="宋体" w:eastAsia="宋体" w:cs="宋体"/>
          <w:color w:val="000000"/>
          <w:kern w:val="0"/>
          <w:sz w:val="28"/>
          <w:szCs w:val="28"/>
          <w:lang w:eastAsia="zh-CN"/>
        </w:rPr>
      </w:pPr>
      <w:r>
        <w:rPr>
          <w:rFonts w:hint="eastAsia" w:ascii="宋体" w:hAnsi="宋体" w:cs="宋体"/>
          <w:color w:val="000000"/>
          <w:kern w:val="0"/>
          <w:sz w:val="28"/>
          <w:szCs w:val="28"/>
        </w:rPr>
        <w:t>采购项目：大麦屿***业务用房办公家具</w:t>
      </w:r>
      <w:r>
        <w:rPr>
          <w:rFonts w:hint="eastAsia" w:ascii="宋体" w:hAnsi="宋体" w:cs="宋体"/>
          <w:color w:val="000000"/>
          <w:kern w:val="0"/>
          <w:sz w:val="28"/>
          <w:szCs w:val="28"/>
          <w:lang w:eastAsia="zh-CN"/>
        </w:rPr>
        <w:t>采购</w:t>
      </w:r>
    </w:p>
    <w:p>
      <w:pPr>
        <w:ind w:firstLine="2240" w:firstLineChars="800"/>
        <w:rPr>
          <w:rFonts w:hint="eastAsia" w:ascii="宋体" w:hAnsi="宋体" w:cs="宋体"/>
          <w:color w:val="000000"/>
          <w:kern w:val="0"/>
          <w:sz w:val="28"/>
          <w:szCs w:val="28"/>
        </w:rPr>
      </w:pPr>
      <w:r>
        <w:rPr>
          <w:rFonts w:hint="eastAsia" w:ascii="宋体" w:hAnsi="宋体" w:cs="宋体"/>
          <w:color w:val="000000"/>
          <w:kern w:val="0"/>
          <w:sz w:val="28"/>
          <w:szCs w:val="28"/>
        </w:rPr>
        <w:t xml:space="preserve">采购人： </w:t>
      </w:r>
      <w:r>
        <w:rPr>
          <w:rFonts w:hint="eastAsia" w:ascii="宋体" w:hAnsi="宋体" w:cs="宋体"/>
          <w:color w:val="000000"/>
          <w:kern w:val="0"/>
          <w:sz w:val="28"/>
          <w:szCs w:val="28"/>
          <w:lang w:eastAsia="zh-CN"/>
        </w:rPr>
        <w:t>玉环市公安局</w:t>
      </w:r>
      <w:r>
        <w:rPr>
          <w:rFonts w:hint="eastAsia" w:ascii="宋体" w:hAnsi="宋体" w:cs="宋体"/>
          <w:color w:val="000000"/>
          <w:kern w:val="0"/>
          <w:sz w:val="28"/>
          <w:szCs w:val="28"/>
          <w:lang w:val="en-US" w:eastAsia="zh-CN"/>
        </w:rPr>
        <w:tab/>
      </w: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right="1800" w:firstLine="600" w:firstLineChars="200"/>
        <w:jc w:val="left"/>
        <w:rPr>
          <w:rFonts w:hint="eastAsia" w:ascii="宋体" w:hAnsi="宋体" w:cs="宋体"/>
          <w:color w:val="000000"/>
          <w:kern w:val="0"/>
          <w:sz w:val="30"/>
          <w:szCs w:val="30"/>
        </w:rPr>
      </w:pPr>
      <w:r>
        <w:rPr>
          <w:rFonts w:hint="eastAsia" w:ascii="宋体" w:hAnsi="宋体" w:cs="宋体"/>
          <w:color w:val="000000"/>
          <w:kern w:val="0"/>
          <w:sz w:val="30"/>
          <w:szCs w:val="30"/>
        </w:rPr>
        <w:t xml:space="preserve">                       </w:t>
      </w: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1" w:right="1800" w:firstLine="600" w:firstLineChars="200"/>
        <w:jc w:val="left"/>
        <w:rPr>
          <w:rFonts w:hint="eastAsia" w:ascii="宋体" w:hAnsi="宋体" w:cs="宋体"/>
          <w:color w:val="000000"/>
          <w:kern w:val="0"/>
          <w:sz w:val="30"/>
          <w:szCs w:val="30"/>
        </w:rPr>
      </w:pP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right="1800"/>
        <w:jc w:val="left"/>
        <w:rPr>
          <w:rFonts w:hint="eastAsia" w:ascii="宋体" w:hAnsi="宋体" w:cs="宋体"/>
          <w:color w:val="000000"/>
          <w:kern w:val="0"/>
          <w:sz w:val="30"/>
          <w:szCs w:val="30"/>
        </w:rPr>
      </w:pPr>
    </w:p>
    <w:p>
      <w:pPr>
        <w:pStyle w:val="11"/>
        <w:rPr>
          <w:rFonts w:hint="eastAsia"/>
          <w:color w:val="000000"/>
        </w:rPr>
      </w:pP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right="1800"/>
        <w:jc w:val="left"/>
        <w:rPr>
          <w:rFonts w:hint="eastAsia" w:ascii="宋体" w:hAnsi="宋体" w:cs="宋体"/>
          <w:color w:val="000000"/>
          <w:kern w:val="0"/>
          <w:sz w:val="30"/>
          <w:szCs w:val="30"/>
        </w:rPr>
      </w:pP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right="1800"/>
        <w:jc w:val="left"/>
        <w:rPr>
          <w:rFonts w:hint="eastAsia" w:ascii="宋体" w:hAnsi="宋体" w:cs="宋体"/>
          <w:color w:val="000000"/>
          <w:kern w:val="0"/>
          <w:sz w:val="30"/>
          <w:szCs w:val="30"/>
        </w:rPr>
      </w:pP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240" w:lineRule="atLeast"/>
        <w:ind w:left="1440" w:right="1800"/>
        <w:jc w:val="center"/>
        <w:rPr>
          <w:rFonts w:hint="eastAsia" w:ascii="宋体" w:hAnsi="宋体" w:cs="宋体"/>
          <w:color w:val="000000"/>
          <w:kern w:val="0"/>
          <w:sz w:val="28"/>
          <w:szCs w:val="28"/>
        </w:rPr>
      </w:pPr>
      <w:r>
        <w:rPr>
          <w:rFonts w:hint="eastAsia" w:ascii="宋体" w:hAnsi="宋体" w:cs="宋体"/>
          <w:color w:val="000000"/>
          <w:kern w:val="0"/>
          <w:sz w:val="30"/>
          <w:szCs w:val="30"/>
        </w:rPr>
        <w:t>玉环市公共资源交易中心</w:t>
      </w: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firstLine="560" w:firstLineChars="200"/>
        <w:jc w:val="center"/>
        <w:rPr>
          <w:rFonts w:hint="eastAsia" w:ascii="宋体" w:hAnsi="宋体" w:cs="宋体"/>
          <w:color w:val="000000"/>
          <w:kern w:val="0"/>
          <w:sz w:val="28"/>
          <w:szCs w:val="28"/>
        </w:rPr>
      </w:pPr>
      <w:r>
        <w:rPr>
          <w:rFonts w:hint="eastAsia" w:ascii="宋体" w:hAnsi="宋体"/>
          <w:color w:val="000000"/>
          <w:sz w:val="28"/>
          <w:szCs w:val="28"/>
          <w:lang w:eastAsia="zh-CN"/>
        </w:rPr>
        <w:t>2022</w:t>
      </w:r>
      <w:r>
        <w:rPr>
          <w:rFonts w:hint="eastAsia" w:ascii="宋体" w:hAnsi="宋体"/>
          <w:color w:val="000000"/>
          <w:sz w:val="28"/>
          <w:szCs w:val="28"/>
        </w:rPr>
        <w:t>年</w:t>
      </w:r>
      <w:r>
        <w:rPr>
          <w:rFonts w:hint="eastAsia" w:ascii="宋体" w:hAnsi="宋体"/>
          <w:color w:val="000000"/>
          <w:sz w:val="28"/>
          <w:szCs w:val="28"/>
          <w:lang w:val="en-US" w:eastAsia="zh-CN"/>
        </w:rPr>
        <w:t>7</w:t>
      </w:r>
      <w:r>
        <w:rPr>
          <w:rFonts w:hint="eastAsia" w:ascii="宋体" w:hAnsi="宋体"/>
          <w:color w:val="000000"/>
          <w:sz w:val="28"/>
          <w:szCs w:val="28"/>
        </w:rPr>
        <w:t>月</w:t>
      </w:r>
    </w:p>
    <w:p>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firstLine="560" w:firstLineChars="200"/>
        <w:jc w:val="center"/>
        <w:rPr>
          <w:rFonts w:hint="eastAsia" w:ascii="宋体" w:hAnsi="宋体" w:cs="宋体"/>
          <w:color w:val="000000"/>
          <w:kern w:val="0"/>
          <w:sz w:val="28"/>
          <w:szCs w:val="28"/>
        </w:rPr>
      </w:pPr>
    </w:p>
    <w:p>
      <w:pPr>
        <w:rPr>
          <w:rFonts w:hint="eastAsia" w:ascii="宋体" w:hAnsi="宋体" w:cs="Arial"/>
          <w:b/>
          <w:bCs/>
          <w:color w:val="000000"/>
          <w:sz w:val="36"/>
          <w:szCs w:val="36"/>
        </w:rPr>
      </w:pPr>
    </w:p>
    <w:p>
      <w:pPr>
        <w:rPr>
          <w:rFonts w:hint="eastAsia" w:ascii="宋体" w:hAnsi="宋体" w:cs="Arial"/>
          <w:b/>
          <w:bCs/>
          <w:color w:val="000000"/>
          <w:sz w:val="36"/>
          <w:szCs w:val="36"/>
        </w:rPr>
      </w:pPr>
      <w:r>
        <w:rPr>
          <w:rFonts w:hint="eastAsia" w:ascii="宋体" w:hAnsi="宋体" w:cs="Arial"/>
          <w:b/>
          <w:bCs/>
          <w:color w:val="000000"/>
          <w:sz w:val="36"/>
          <w:szCs w:val="36"/>
        </w:rPr>
        <w:br w:type="page"/>
      </w:r>
    </w:p>
    <w:p>
      <w:pPr>
        <w:jc w:val="center"/>
        <w:rPr>
          <w:rFonts w:ascii="宋体" w:hAnsi="宋体" w:cs="Arial"/>
          <w:b/>
          <w:bCs/>
          <w:color w:val="000000"/>
          <w:sz w:val="36"/>
          <w:szCs w:val="36"/>
        </w:rPr>
      </w:pPr>
      <w:r>
        <w:rPr>
          <w:rFonts w:hint="eastAsia" w:ascii="宋体" w:hAnsi="宋体" w:cs="Arial"/>
          <w:b/>
          <w:bCs/>
          <w:color w:val="000000"/>
          <w:sz w:val="36"/>
          <w:szCs w:val="36"/>
        </w:rPr>
        <w:t>目    录</w:t>
      </w:r>
    </w:p>
    <w:p>
      <w:pPr>
        <w:spacing w:line="360" w:lineRule="auto"/>
        <w:ind w:left="960"/>
        <w:rPr>
          <w:rFonts w:hint="eastAsia" w:ascii="宋体" w:hAnsi="宋体"/>
          <w:color w:val="000000"/>
          <w:sz w:val="10"/>
        </w:rPr>
      </w:pPr>
    </w:p>
    <w:p>
      <w:pPr>
        <w:spacing w:line="360" w:lineRule="auto"/>
        <w:ind w:left="960"/>
        <w:rPr>
          <w:rFonts w:hint="eastAsia" w:ascii="宋体" w:hAnsi="宋体"/>
          <w:color w:val="000000"/>
          <w:sz w:val="10"/>
        </w:rPr>
      </w:pPr>
    </w:p>
    <w:p>
      <w:pPr>
        <w:spacing w:line="360" w:lineRule="auto"/>
        <w:ind w:left="960"/>
        <w:rPr>
          <w:rFonts w:hint="eastAsia" w:ascii="宋体" w:hAnsi="宋体"/>
          <w:color w:val="000000"/>
          <w:sz w:val="10"/>
        </w:rPr>
      </w:pPr>
    </w:p>
    <w:p>
      <w:pPr>
        <w:spacing w:line="360" w:lineRule="auto"/>
        <w:ind w:left="359" w:leftChars="171" w:firstLine="481" w:firstLineChars="171"/>
        <w:rPr>
          <w:rFonts w:hint="eastAsia" w:ascii="新宋体" w:hAnsi="新宋体"/>
          <w:b/>
          <w:color w:val="000000"/>
          <w:sz w:val="28"/>
          <w:szCs w:val="28"/>
        </w:rPr>
      </w:pPr>
      <w:r>
        <w:rPr>
          <w:rFonts w:hint="eastAsia" w:ascii="新宋体" w:hAnsi="新宋体" w:eastAsia="新宋体"/>
          <w:b/>
          <w:color w:val="000000"/>
          <w:sz w:val="28"/>
          <w:szCs w:val="28"/>
        </w:rPr>
        <w:t>一、竞争性</w:t>
      </w:r>
      <w:r>
        <w:rPr>
          <w:rFonts w:ascii="宋体" w:hAnsi="宋体"/>
          <w:b/>
          <w:color w:val="000000"/>
          <w:sz w:val="28"/>
          <w:szCs w:val="28"/>
        </w:rPr>
        <w:t>磋商</w:t>
      </w:r>
      <w:r>
        <w:rPr>
          <w:rFonts w:hint="eastAsia" w:ascii="宋体" w:hAnsi="宋体"/>
          <w:b/>
          <w:color w:val="000000"/>
          <w:sz w:val="28"/>
          <w:szCs w:val="28"/>
        </w:rPr>
        <w:t>公告</w:t>
      </w:r>
    </w:p>
    <w:p>
      <w:pPr>
        <w:spacing w:line="360" w:lineRule="auto"/>
        <w:ind w:left="359" w:leftChars="171" w:firstLine="481" w:firstLineChars="171"/>
        <w:rPr>
          <w:rFonts w:hint="eastAsia" w:ascii="新宋体" w:hAnsi="新宋体" w:eastAsia="新宋体"/>
          <w:b/>
          <w:color w:val="000000"/>
          <w:sz w:val="28"/>
          <w:szCs w:val="28"/>
        </w:rPr>
      </w:pPr>
      <w:r>
        <w:rPr>
          <w:rFonts w:hint="eastAsia" w:ascii="新宋体" w:hAnsi="新宋体" w:eastAsia="新宋体"/>
          <w:b/>
          <w:color w:val="000000"/>
          <w:sz w:val="28"/>
          <w:szCs w:val="28"/>
        </w:rPr>
        <w:t>二、供应商须知</w:t>
      </w:r>
    </w:p>
    <w:p>
      <w:pPr>
        <w:spacing w:line="360" w:lineRule="auto"/>
        <w:ind w:left="359" w:leftChars="171" w:firstLine="481" w:firstLineChars="171"/>
        <w:rPr>
          <w:rFonts w:hint="eastAsia" w:ascii="新宋体" w:hAnsi="新宋体" w:eastAsia="新宋体"/>
          <w:b/>
          <w:color w:val="000000"/>
          <w:sz w:val="28"/>
          <w:szCs w:val="28"/>
        </w:rPr>
      </w:pPr>
      <w:r>
        <w:rPr>
          <w:rFonts w:hint="eastAsia" w:ascii="新宋体" w:hAnsi="新宋体" w:eastAsia="新宋体"/>
          <w:b/>
          <w:color w:val="000000"/>
          <w:sz w:val="28"/>
          <w:szCs w:val="28"/>
        </w:rPr>
        <w:t>三、评审办法及评审标准</w:t>
      </w:r>
      <w:r>
        <w:rPr>
          <w:rFonts w:ascii="新宋体" w:hAnsi="新宋体" w:eastAsia="新宋体"/>
          <w:b/>
          <w:color w:val="000000"/>
          <w:sz w:val="28"/>
          <w:szCs w:val="28"/>
        </w:rPr>
        <w:t xml:space="preserve">  </w:t>
      </w:r>
    </w:p>
    <w:p>
      <w:pPr>
        <w:spacing w:line="360" w:lineRule="auto"/>
        <w:ind w:left="359" w:leftChars="171" w:firstLine="481" w:firstLineChars="171"/>
        <w:rPr>
          <w:rFonts w:hint="eastAsia" w:ascii="新宋体" w:hAnsi="新宋体" w:eastAsia="新宋体"/>
          <w:b/>
          <w:color w:val="000000"/>
          <w:sz w:val="28"/>
          <w:szCs w:val="28"/>
        </w:rPr>
      </w:pPr>
      <w:r>
        <w:rPr>
          <w:rFonts w:hint="eastAsia" w:ascii="新宋体" w:hAnsi="新宋体" w:eastAsia="新宋体"/>
          <w:b/>
          <w:color w:val="000000"/>
          <w:sz w:val="28"/>
          <w:szCs w:val="28"/>
        </w:rPr>
        <w:t>四、</w:t>
      </w:r>
      <w:r>
        <w:rPr>
          <w:rFonts w:hint="eastAsia" w:ascii="宋体" w:eastAsia="新宋体"/>
          <w:b/>
          <w:color w:val="000000"/>
          <w:kern w:val="0"/>
          <w:sz w:val="28"/>
          <w:szCs w:val="28"/>
        </w:rPr>
        <w:t>项目需求</w:t>
      </w:r>
    </w:p>
    <w:p>
      <w:pPr>
        <w:spacing w:line="360" w:lineRule="auto"/>
        <w:ind w:firstLine="703" w:firstLineChars="250"/>
        <w:jc w:val="left"/>
        <w:rPr>
          <w:rFonts w:ascii="新宋体" w:hAnsi="新宋体" w:eastAsia="新宋体"/>
          <w:b/>
          <w:color w:val="000000"/>
          <w:sz w:val="28"/>
          <w:szCs w:val="28"/>
        </w:rPr>
      </w:pPr>
      <w:r>
        <w:rPr>
          <w:rFonts w:ascii="新宋体" w:hAnsi="新宋体" w:eastAsia="新宋体"/>
          <w:b/>
          <w:color w:val="000000"/>
          <w:sz w:val="28"/>
          <w:szCs w:val="28"/>
        </w:rPr>
        <w:t xml:space="preserve"> </w:t>
      </w:r>
      <w:r>
        <w:rPr>
          <w:rFonts w:hint="eastAsia" w:ascii="新宋体" w:hAnsi="新宋体" w:eastAsia="新宋体"/>
          <w:b/>
          <w:color w:val="000000"/>
          <w:sz w:val="28"/>
          <w:szCs w:val="28"/>
        </w:rPr>
        <w:t>五、</w:t>
      </w:r>
      <w:r>
        <w:rPr>
          <w:rFonts w:hint="eastAsia" w:ascii="宋体" w:hAnsi="宋体"/>
          <w:b/>
          <w:color w:val="000000"/>
          <w:sz w:val="28"/>
          <w:szCs w:val="28"/>
        </w:rPr>
        <w:t>政府采购合同主要条款指引</w:t>
      </w:r>
      <w:r>
        <w:rPr>
          <w:rFonts w:ascii="新宋体" w:hAnsi="新宋体" w:eastAsia="新宋体"/>
          <w:b/>
          <w:color w:val="000000"/>
          <w:sz w:val="28"/>
          <w:szCs w:val="28"/>
        </w:rPr>
        <w:t xml:space="preserve">       </w:t>
      </w:r>
    </w:p>
    <w:p>
      <w:pPr>
        <w:spacing w:line="360" w:lineRule="auto"/>
        <w:ind w:left="359" w:leftChars="171" w:firstLine="481" w:firstLineChars="171"/>
        <w:rPr>
          <w:rFonts w:hint="eastAsia" w:ascii="新宋体" w:hAnsi="新宋体" w:eastAsia="新宋体"/>
          <w:b/>
          <w:color w:val="000000"/>
          <w:sz w:val="28"/>
          <w:szCs w:val="28"/>
        </w:rPr>
      </w:pPr>
      <w:r>
        <w:rPr>
          <w:rFonts w:hint="eastAsia" w:ascii="新宋体" w:hAnsi="新宋体" w:eastAsia="新宋体"/>
          <w:b/>
          <w:color w:val="000000"/>
          <w:sz w:val="28"/>
          <w:szCs w:val="28"/>
        </w:rPr>
        <w:t>六、响应文件格式附件</w:t>
      </w:r>
    </w:p>
    <w:p>
      <w:pPr>
        <w:pStyle w:val="11"/>
        <w:rPr>
          <w:rFonts w:hint="eastAsia"/>
          <w:color w:val="000000"/>
        </w:rPr>
      </w:pPr>
    </w:p>
    <w:p>
      <w:pPr>
        <w:pStyle w:val="11"/>
        <w:rPr>
          <w:rFonts w:hint="eastAsia"/>
          <w:color w:val="000000"/>
        </w:rPr>
      </w:pPr>
    </w:p>
    <w:p>
      <w:pPr>
        <w:pStyle w:val="11"/>
        <w:rPr>
          <w:rFonts w:hint="eastAsia"/>
          <w:color w:val="000000"/>
        </w:rPr>
      </w:pPr>
    </w:p>
    <w:p>
      <w:pPr>
        <w:pStyle w:val="11"/>
        <w:rPr>
          <w:rFonts w:hint="eastAsia"/>
          <w:color w:val="000000"/>
        </w:rPr>
      </w:pPr>
    </w:p>
    <w:p>
      <w:pPr>
        <w:pStyle w:val="11"/>
        <w:rPr>
          <w:rFonts w:hint="eastAsia"/>
          <w:color w:val="000000"/>
        </w:rPr>
      </w:pPr>
    </w:p>
    <w:p>
      <w:pPr>
        <w:pStyle w:val="11"/>
        <w:rPr>
          <w:rFonts w:hint="eastAsia"/>
          <w:color w:val="000000"/>
        </w:rPr>
      </w:pPr>
    </w:p>
    <w:p>
      <w:pPr>
        <w:pStyle w:val="11"/>
        <w:rPr>
          <w:rFonts w:hint="eastAsia"/>
          <w:color w:val="000000"/>
        </w:rPr>
      </w:pPr>
    </w:p>
    <w:p>
      <w:pPr>
        <w:pStyle w:val="11"/>
        <w:rPr>
          <w:rFonts w:hint="eastAsia"/>
          <w:color w:val="000000"/>
        </w:rPr>
      </w:pPr>
    </w:p>
    <w:p>
      <w:pPr>
        <w:pStyle w:val="11"/>
        <w:rPr>
          <w:rFonts w:hint="eastAsia"/>
          <w:color w:val="000000"/>
        </w:rPr>
      </w:pPr>
    </w:p>
    <w:p>
      <w:pPr>
        <w:pStyle w:val="11"/>
        <w:rPr>
          <w:rFonts w:hint="eastAsia"/>
          <w:color w:val="000000"/>
        </w:rPr>
      </w:pPr>
    </w:p>
    <w:p>
      <w:pPr>
        <w:pStyle w:val="11"/>
        <w:rPr>
          <w:rFonts w:hint="eastAsia"/>
          <w:color w:val="000000"/>
        </w:rPr>
      </w:pPr>
    </w:p>
    <w:p>
      <w:pPr>
        <w:pStyle w:val="11"/>
        <w:rPr>
          <w:rFonts w:hint="eastAsia"/>
          <w:color w:val="000000"/>
        </w:rPr>
      </w:pPr>
    </w:p>
    <w:p>
      <w:pPr>
        <w:pStyle w:val="11"/>
        <w:rPr>
          <w:rFonts w:hint="eastAsia"/>
          <w:color w:val="000000"/>
        </w:rPr>
      </w:pPr>
    </w:p>
    <w:p>
      <w:pPr>
        <w:pStyle w:val="11"/>
        <w:rPr>
          <w:rFonts w:hint="eastAsia"/>
          <w:color w:val="000000"/>
        </w:rPr>
      </w:pPr>
    </w:p>
    <w:p>
      <w:pPr>
        <w:rPr>
          <w:rFonts w:hint="eastAsia"/>
          <w:color w:val="000000"/>
        </w:rPr>
      </w:pPr>
      <w:r>
        <w:rPr>
          <w:rFonts w:hint="eastAsia"/>
          <w:color w:val="000000"/>
        </w:rPr>
        <w:br w:type="page"/>
      </w:r>
    </w:p>
    <w:p>
      <w:pPr>
        <w:pStyle w:val="2"/>
        <w:spacing w:before="0" w:after="0" w:line="579" w:lineRule="auto"/>
        <w:jc w:val="center"/>
        <w:rPr>
          <w:rFonts w:hint="eastAsia"/>
          <w:color w:val="000000"/>
        </w:rPr>
      </w:pPr>
      <w:r>
        <w:rPr>
          <w:rFonts w:hint="eastAsia"/>
          <w:color w:val="000000"/>
        </w:rPr>
        <w:t>第一章  竞争性磋商公告</w:t>
      </w:r>
    </w:p>
    <w:p>
      <w:pPr>
        <w:spacing w:line="380" w:lineRule="exact"/>
        <w:ind w:firstLine="564"/>
        <w:jc w:val="left"/>
        <w:rPr>
          <w:rFonts w:hint="eastAsia" w:ascii="宋体" w:hAnsi="宋体"/>
          <w:color w:val="000000"/>
          <w:kern w:val="0"/>
          <w:sz w:val="24"/>
        </w:rPr>
      </w:pPr>
      <w:r>
        <w:rPr>
          <w:rFonts w:hint="eastAsia" w:ascii="宋体" w:hAnsi="宋体" w:cs="宋体"/>
          <w:color w:val="000000"/>
          <w:kern w:val="0"/>
          <w:sz w:val="24"/>
        </w:rPr>
        <w:t>根据《中华人民共和国政府采购法》</w:t>
      </w:r>
      <w:r>
        <w:rPr>
          <w:rFonts w:hint="eastAsia" w:ascii="宋体"/>
          <w:color w:val="000000"/>
          <w:kern w:val="0"/>
          <w:sz w:val="24"/>
        </w:rPr>
        <w:t>、《中华人民共和国政府采购法实施条例》</w:t>
      </w:r>
      <w:r>
        <w:rPr>
          <w:rFonts w:hint="eastAsia" w:ascii="宋体" w:hAnsi="宋体" w:cs="宋体"/>
          <w:color w:val="000000"/>
          <w:kern w:val="0"/>
          <w:sz w:val="24"/>
        </w:rPr>
        <w:t>、</w:t>
      </w:r>
      <w:r>
        <w:rPr>
          <w:rFonts w:hint="eastAsia" w:ascii="宋体" w:hAnsi="宋体" w:cs="宋体"/>
          <w:color w:val="000000"/>
          <w:sz w:val="24"/>
        </w:rPr>
        <w:t>《政府采购竞争性磋商采购方式管理暂行办法》等</w:t>
      </w:r>
      <w:r>
        <w:rPr>
          <w:rFonts w:hint="eastAsia" w:ascii="宋体" w:hAnsi="宋体" w:cs="宋体"/>
          <w:color w:val="000000"/>
          <w:kern w:val="0"/>
          <w:sz w:val="24"/>
        </w:rPr>
        <w:t>有关规定, 受采购人的委托，现就</w:t>
      </w:r>
      <w:r>
        <w:rPr>
          <w:rFonts w:hint="eastAsia" w:ascii="宋体" w:hAnsi="宋体" w:cs="宋体"/>
          <w:color w:val="000000"/>
          <w:sz w:val="24"/>
        </w:rPr>
        <w:t>玉环市</w:t>
      </w:r>
      <w:r>
        <w:rPr>
          <w:rFonts w:hint="eastAsia" w:ascii="宋体" w:hAnsi="宋体" w:cs="宋体"/>
          <w:color w:val="000000"/>
          <w:sz w:val="24"/>
          <w:lang w:eastAsia="zh-CN"/>
        </w:rPr>
        <w:t>公安局大麦屿***业务用房办公家具采购</w:t>
      </w:r>
      <w:r>
        <w:rPr>
          <w:rFonts w:hint="eastAsia" w:ascii="宋体" w:hAnsi="宋体" w:cs="宋体"/>
          <w:color w:val="000000"/>
          <w:sz w:val="24"/>
        </w:rPr>
        <w:t>项目</w:t>
      </w:r>
      <w:r>
        <w:rPr>
          <w:rFonts w:hint="eastAsia" w:ascii="宋体" w:hAnsi="宋体" w:cs="宋体"/>
          <w:color w:val="000000"/>
          <w:sz w:val="24"/>
          <w:lang w:eastAsia="zh-CN"/>
        </w:rPr>
        <w:t>（玉财采监备</w:t>
      </w:r>
      <w:r>
        <w:rPr>
          <w:rFonts w:ascii="微软雅黑" w:hAnsi="微软雅黑" w:eastAsia="微软雅黑" w:cs="微软雅黑"/>
          <w:i w:val="0"/>
          <w:iCs w:val="0"/>
          <w:caps w:val="0"/>
          <w:color w:val="3177FD"/>
          <w:spacing w:val="0"/>
          <w:sz w:val="21"/>
          <w:szCs w:val="21"/>
          <w:u w:val="none"/>
        </w:rPr>
        <w:fldChar w:fldCharType="begin"/>
      </w:r>
      <w:r>
        <w:rPr>
          <w:rFonts w:ascii="微软雅黑" w:hAnsi="微软雅黑" w:eastAsia="微软雅黑" w:cs="微软雅黑"/>
          <w:i w:val="0"/>
          <w:iCs w:val="0"/>
          <w:caps w:val="0"/>
          <w:color w:val="3177FD"/>
          <w:spacing w:val="0"/>
          <w:sz w:val="21"/>
          <w:szCs w:val="21"/>
          <w:u w:val="none"/>
        </w:rPr>
        <w:instrText xml:space="preserve"> HYPERLINK "https://pay.zcygov.cn/purchaseplan_front/" \l "/plan/list/detail?id=1000000000008168649&amp;encrypt=0ab661c52063e930457eeb76538e43a3" \t "https://www.zcygov.cn/delegation-order/order/_blank" </w:instrText>
      </w:r>
      <w:r>
        <w:rPr>
          <w:rFonts w:ascii="微软雅黑" w:hAnsi="微软雅黑" w:eastAsia="微软雅黑" w:cs="微软雅黑"/>
          <w:i w:val="0"/>
          <w:iCs w:val="0"/>
          <w:caps w:val="0"/>
          <w:color w:val="3177FD"/>
          <w:spacing w:val="0"/>
          <w:sz w:val="21"/>
          <w:szCs w:val="21"/>
          <w:u w:val="none"/>
        </w:rPr>
        <w:fldChar w:fldCharType="separate"/>
      </w:r>
      <w:r>
        <w:rPr>
          <w:rStyle w:val="34"/>
          <w:rFonts w:hint="eastAsia" w:ascii="微软雅黑" w:hAnsi="微软雅黑" w:eastAsia="微软雅黑" w:cs="微软雅黑"/>
          <w:i w:val="0"/>
          <w:iCs w:val="0"/>
          <w:caps w:val="0"/>
          <w:color w:val="3177FD"/>
          <w:spacing w:val="0"/>
          <w:sz w:val="21"/>
          <w:szCs w:val="21"/>
          <w:u w:val="none"/>
        </w:rPr>
        <w:t>[2022]2067号</w:t>
      </w:r>
      <w:r>
        <w:rPr>
          <w:rFonts w:hint="eastAsia" w:ascii="微软雅黑" w:hAnsi="微软雅黑" w:eastAsia="微软雅黑" w:cs="微软雅黑"/>
          <w:i w:val="0"/>
          <w:iCs w:val="0"/>
          <w:caps w:val="0"/>
          <w:color w:val="3177FD"/>
          <w:spacing w:val="0"/>
          <w:sz w:val="21"/>
          <w:szCs w:val="21"/>
          <w:u w:val="none"/>
        </w:rPr>
        <w:fldChar w:fldCharType="end"/>
      </w:r>
      <w:r>
        <w:rPr>
          <w:rFonts w:hint="eastAsia" w:ascii="宋体" w:hAnsi="宋体" w:cs="宋体"/>
          <w:color w:val="000000"/>
          <w:sz w:val="24"/>
          <w:lang w:eastAsia="zh-CN"/>
        </w:rPr>
        <w:t>）</w:t>
      </w:r>
      <w:r>
        <w:rPr>
          <w:rFonts w:hint="eastAsia" w:ascii="宋体" w:hAnsi="宋体" w:cs="宋体"/>
          <w:color w:val="000000"/>
          <w:sz w:val="24"/>
        </w:rPr>
        <w:t>项目</w:t>
      </w:r>
      <w:r>
        <w:rPr>
          <w:rFonts w:hint="eastAsia" w:ascii="宋体" w:hAnsi="宋体" w:cs="宋体"/>
          <w:color w:val="000000"/>
          <w:kern w:val="0"/>
          <w:sz w:val="24"/>
        </w:rPr>
        <w:t>进行竞争性磋商采购</w:t>
      </w:r>
      <w:r>
        <w:rPr>
          <w:rFonts w:hint="eastAsia" w:ascii="宋体" w:hAnsi="宋体"/>
          <w:color w:val="000000"/>
          <w:kern w:val="0"/>
          <w:sz w:val="24"/>
        </w:rPr>
        <w:t>，欢迎合格供应商前来磋商。</w:t>
      </w:r>
    </w:p>
    <w:p>
      <w:pPr>
        <w:spacing w:line="380" w:lineRule="exact"/>
        <w:jc w:val="left"/>
        <w:rPr>
          <w:rFonts w:hint="default" w:ascii="Cambria" w:hAnsi="Cambria" w:eastAsia="宋体"/>
          <w:b/>
          <w:bCs/>
          <w:color w:val="000000"/>
          <w:sz w:val="24"/>
          <w:lang w:val="en-US" w:eastAsia="zh-CN"/>
        </w:rPr>
      </w:pPr>
      <w:r>
        <w:rPr>
          <w:rFonts w:hint="eastAsia" w:ascii="Cambria" w:hAnsi="Cambria"/>
          <w:b/>
          <w:bCs/>
          <w:color w:val="000000"/>
          <w:sz w:val="24"/>
        </w:rPr>
        <w:t>一、项目编号：</w:t>
      </w:r>
      <w:r>
        <w:rPr>
          <w:rFonts w:hint="eastAsia" w:ascii="Cambria" w:hAnsi="Cambria"/>
          <w:b/>
          <w:bCs/>
          <w:color w:val="000000"/>
          <w:sz w:val="24"/>
          <w:lang w:val="en-US" w:eastAsia="zh-CN"/>
        </w:rPr>
        <w:t>YH-ZFCG-2022-017（重）</w:t>
      </w:r>
    </w:p>
    <w:p>
      <w:pPr>
        <w:spacing w:line="380" w:lineRule="exact"/>
        <w:jc w:val="left"/>
        <w:rPr>
          <w:rFonts w:hint="eastAsia" w:ascii="Cambria" w:hAnsi="Cambria"/>
          <w:b/>
          <w:bCs/>
          <w:color w:val="000000"/>
          <w:sz w:val="24"/>
        </w:rPr>
      </w:pPr>
      <w:r>
        <w:rPr>
          <w:rFonts w:hint="eastAsia" w:ascii="Cambria" w:hAnsi="Cambria"/>
          <w:b/>
          <w:bCs/>
          <w:color w:val="000000"/>
          <w:sz w:val="24"/>
        </w:rPr>
        <w:t xml:space="preserve">二、招标内容： </w:t>
      </w: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9"/>
        <w:gridCol w:w="2284"/>
        <w:gridCol w:w="811"/>
        <w:gridCol w:w="1022"/>
        <w:gridCol w:w="1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799" w:type="dxa"/>
            <w:noWrap w:val="0"/>
            <w:vAlign w:val="center"/>
          </w:tcPr>
          <w:p>
            <w:pPr>
              <w:tabs>
                <w:tab w:val="left" w:pos="8280"/>
              </w:tabs>
              <w:autoSpaceDE w:val="0"/>
              <w:autoSpaceDN w:val="0"/>
              <w:adjustRightInd w:val="0"/>
              <w:spacing w:line="380" w:lineRule="exact"/>
              <w:ind w:right="25"/>
              <w:jc w:val="center"/>
              <w:rPr>
                <w:rFonts w:hint="eastAsia" w:ascii="宋体" w:hAnsi="宋体" w:cs="宋体"/>
                <w:bCs/>
                <w:color w:val="000000"/>
                <w:sz w:val="24"/>
              </w:rPr>
            </w:pPr>
            <w:bookmarkStart w:id="0" w:name="EBc3c9f0bc06b6413d849824fe98ba274c"/>
            <w:r>
              <w:rPr>
                <w:rFonts w:hint="eastAsia" w:ascii="宋体" w:hAnsi="宋体" w:cs="宋体"/>
                <w:bCs/>
                <w:color w:val="000000"/>
                <w:sz w:val="24"/>
              </w:rPr>
              <w:t>序号</w:t>
            </w:r>
          </w:p>
        </w:tc>
        <w:tc>
          <w:tcPr>
            <w:tcW w:w="2284" w:type="dxa"/>
            <w:noWrap w:val="0"/>
            <w:vAlign w:val="center"/>
          </w:tcPr>
          <w:p>
            <w:pPr>
              <w:spacing w:line="380" w:lineRule="exact"/>
              <w:jc w:val="center"/>
              <w:rPr>
                <w:rFonts w:ascii="宋体" w:hAnsi="宋体" w:cs="宋体"/>
                <w:bCs/>
                <w:color w:val="000000"/>
                <w:sz w:val="24"/>
              </w:rPr>
            </w:pPr>
            <w:r>
              <w:rPr>
                <w:rFonts w:hint="eastAsia" w:ascii="宋体" w:hAnsi="宋体" w:cs="宋体"/>
                <w:bCs/>
                <w:color w:val="000000"/>
                <w:sz w:val="24"/>
              </w:rPr>
              <w:t>内容</w:t>
            </w:r>
          </w:p>
        </w:tc>
        <w:tc>
          <w:tcPr>
            <w:tcW w:w="811" w:type="dxa"/>
            <w:noWrap w:val="0"/>
            <w:vAlign w:val="center"/>
          </w:tcPr>
          <w:p>
            <w:pPr>
              <w:tabs>
                <w:tab w:val="left" w:pos="8280"/>
              </w:tabs>
              <w:autoSpaceDE w:val="0"/>
              <w:autoSpaceDN w:val="0"/>
              <w:adjustRightInd w:val="0"/>
              <w:spacing w:line="380" w:lineRule="exact"/>
              <w:ind w:right="25"/>
              <w:jc w:val="center"/>
              <w:rPr>
                <w:rFonts w:ascii="宋体" w:hAnsi="宋体" w:cs="宋体"/>
                <w:bCs/>
                <w:color w:val="000000"/>
                <w:sz w:val="24"/>
              </w:rPr>
            </w:pPr>
            <w:r>
              <w:rPr>
                <w:rFonts w:hint="eastAsia" w:ascii="宋体" w:hAnsi="宋体" w:cs="宋体"/>
                <w:bCs/>
                <w:color w:val="000000"/>
                <w:sz w:val="24"/>
              </w:rPr>
              <w:t>数量</w:t>
            </w:r>
          </w:p>
        </w:tc>
        <w:tc>
          <w:tcPr>
            <w:tcW w:w="1022" w:type="dxa"/>
            <w:noWrap w:val="0"/>
            <w:vAlign w:val="center"/>
          </w:tcPr>
          <w:p>
            <w:pPr>
              <w:tabs>
                <w:tab w:val="left" w:pos="8280"/>
              </w:tabs>
              <w:autoSpaceDE w:val="0"/>
              <w:autoSpaceDN w:val="0"/>
              <w:adjustRightInd w:val="0"/>
              <w:spacing w:line="380" w:lineRule="exact"/>
              <w:ind w:right="25"/>
              <w:jc w:val="center"/>
              <w:rPr>
                <w:rFonts w:ascii="宋体" w:hAnsi="宋体" w:cs="宋体"/>
                <w:bCs/>
                <w:color w:val="000000"/>
                <w:sz w:val="24"/>
              </w:rPr>
            </w:pPr>
            <w:r>
              <w:rPr>
                <w:rFonts w:hint="eastAsia" w:ascii="宋体" w:hAnsi="宋体" w:cs="宋体"/>
                <w:bCs/>
                <w:color w:val="000000"/>
                <w:sz w:val="24"/>
              </w:rPr>
              <w:t>单位</w:t>
            </w:r>
          </w:p>
        </w:tc>
        <w:tc>
          <w:tcPr>
            <w:tcW w:w="1711" w:type="dxa"/>
            <w:noWrap w:val="0"/>
            <w:vAlign w:val="center"/>
          </w:tcPr>
          <w:p>
            <w:pPr>
              <w:tabs>
                <w:tab w:val="left" w:pos="8280"/>
              </w:tabs>
              <w:autoSpaceDE w:val="0"/>
              <w:autoSpaceDN w:val="0"/>
              <w:adjustRightInd w:val="0"/>
              <w:spacing w:line="380" w:lineRule="exact"/>
              <w:ind w:right="25"/>
              <w:jc w:val="center"/>
              <w:rPr>
                <w:rFonts w:ascii="宋体" w:hAnsi="宋体" w:cs="宋体"/>
                <w:bCs/>
                <w:color w:val="000000"/>
                <w:sz w:val="24"/>
                <w:highlight w:val="none"/>
              </w:rPr>
            </w:pPr>
            <w:r>
              <w:rPr>
                <w:rFonts w:hint="eastAsia" w:ascii="宋体" w:hAnsi="宋体" w:cs="宋体"/>
                <w:bCs/>
                <w:color w:val="000000"/>
                <w:sz w:val="24"/>
                <w:highlight w:val="none"/>
              </w:rPr>
              <w:t>预算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799" w:type="dxa"/>
            <w:noWrap w:val="0"/>
            <w:vAlign w:val="center"/>
          </w:tcPr>
          <w:p>
            <w:pPr>
              <w:tabs>
                <w:tab w:val="left" w:pos="8280"/>
              </w:tabs>
              <w:autoSpaceDE w:val="0"/>
              <w:autoSpaceDN w:val="0"/>
              <w:adjustRightInd w:val="0"/>
              <w:spacing w:line="380" w:lineRule="exact"/>
              <w:ind w:right="25"/>
              <w:jc w:val="center"/>
              <w:rPr>
                <w:rFonts w:hint="eastAsia" w:ascii="宋体" w:hAnsi="宋体" w:cs="宋体"/>
                <w:bCs/>
                <w:color w:val="000000"/>
                <w:sz w:val="24"/>
              </w:rPr>
            </w:pPr>
            <w:r>
              <w:rPr>
                <w:rFonts w:hint="eastAsia" w:ascii="宋体" w:hAnsi="宋体" w:cs="宋体"/>
                <w:bCs/>
                <w:color w:val="000000"/>
                <w:sz w:val="24"/>
              </w:rPr>
              <w:t>1</w:t>
            </w:r>
          </w:p>
        </w:tc>
        <w:tc>
          <w:tcPr>
            <w:tcW w:w="2284" w:type="dxa"/>
            <w:noWrap w:val="0"/>
            <w:vAlign w:val="center"/>
          </w:tcPr>
          <w:p>
            <w:pPr>
              <w:spacing w:line="380" w:lineRule="exact"/>
              <w:jc w:val="center"/>
              <w:rPr>
                <w:rFonts w:hint="default" w:ascii="宋体" w:hAnsi="宋体" w:eastAsia="宋体" w:cs="宋体"/>
                <w:bCs/>
                <w:color w:val="000000"/>
                <w:sz w:val="24"/>
                <w:lang w:val="en-US" w:eastAsia="zh-CN"/>
              </w:rPr>
            </w:pPr>
            <w:r>
              <w:rPr>
                <w:rFonts w:hint="eastAsia" w:ascii="宋体" w:hAnsi="宋体" w:cs="宋体"/>
                <w:bCs/>
                <w:color w:val="000000"/>
                <w:sz w:val="24"/>
                <w:lang w:val="en-US" w:eastAsia="zh-CN"/>
              </w:rPr>
              <w:t>大麦屿***业务用房办公家具采购</w:t>
            </w:r>
          </w:p>
        </w:tc>
        <w:tc>
          <w:tcPr>
            <w:tcW w:w="811" w:type="dxa"/>
            <w:noWrap w:val="0"/>
            <w:vAlign w:val="center"/>
          </w:tcPr>
          <w:p>
            <w:pPr>
              <w:widowControl/>
              <w:spacing w:line="380" w:lineRule="exact"/>
              <w:jc w:val="center"/>
              <w:rPr>
                <w:rFonts w:hint="eastAsia" w:ascii="宋体" w:hAnsi="宋体" w:eastAsia="宋体" w:cs="宋体"/>
                <w:bCs/>
                <w:color w:val="000000"/>
                <w:sz w:val="24"/>
                <w:lang w:val="en-US" w:eastAsia="zh-CN"/>
              </w:rPr>
            </w:pPr>
            <w:r>
              <w:rPr>
                <w:rFonts w:hint="eastAsia" w:ascii="宋体" w:hAnsi="宋体" w:cs="宋体"/>
                <w:bCs/>
                <w:color w:val="000000"/>
                <w:sz w:val="24"/>
                <w:lang w:val="en-US" w:eastAsia="zh-CN"/>
              </w:rPr>
              <w:t>1</w:t>
            </w:r>
          </w:p>
        </w:tc>
        <w:tc>
          <w:tcPr>
            <w:tcW w:w="1022" w:type="dxa"/>
            <w:noWrap w:val="0"/>
            <w:vAlign w:val="center"/>
          </w:tcPr>
          <w:p>
            <w:pPr>
              <w:tabs>
                <w:tab w:val="left" w:pos="8280"/>
              </w:tabs>
              <w:autoSpaceDE w:val="0"/>
              <w:autoSpaceDN w:val="0"/>
              <w:adjustRightInd w:val="0"/>
              <w:spacing w:line="380" w:lineRule="exact"/>
              <w:ind w:right="25"/>
              <w:jc w:val="center"/>
              <w:rPr>
                <w:rFonts w:hint="eastAsia" w:ascii="宋体" w:hAnsi="宋体" w:eastAsia="宋体" w:cs="宋体"/>
                <w:bCs/>
                <w:color w:val="000000"/>
                <w:sz w:val="24"/>
                <w:lang w:eastAsia="zh-CN"/>
              </w:rPr>
            </w:pPr>
            <w:r>
              <w:rPr>
                <w:rFonts w:hint="eastAsia" w:ascii="宋体" w:hAnsi="宋体" w:cs="宋体"/>
                <w:bCs/>
                <w:color w:val="000000"/>
                <w:sz w:val="24"/>
                <w:lang w:eastAsia="zh-CN"/>
              </w:rPr>
              <w:t>批</w:t>
            </w:r>
          </w:p>
        </w:tc>
        <w:tc>
          <w:tcPr>
            <w:tcW w:w="1711" w:type="dxa"/>
            <w:noWrap w:val="0"/>
            <w:vAlign w:val="center"/>
          </w:tcPr>
          <w:p>
            <w:pPr>
              <w:tabs>
                <w:tab w:val="left" w:pos="8280"/>
              </w:tabs>
              <w:autoSpaceDE w:val="0"/>
              <w:autoSpaceDN w:val="0"/>
              <w:adjustRightInd w:val="0"/>
              <w:spacing w:line="380" w:lineRule="exact"/>
              <w:ind w:right="25"/>
              <w:jc w:val="center"/>
              <w:rPr>
                <w:rFonts w:hint="default" w:ascii="宋体" w:hAnsi="宋体" w:eastAsia="宋体" w:cs="宋体"/>
                <w:bCs/>
                <w:color w:val="000000"/>
                <w:sz w:val="24"/>
                <w:highlight w:val="none"/>
                <w:lang w:val="en-US" w:eastAsia="zh-CN"/>
              </w:rPr>
            </w:pPr>
            <w:r>
              <w:rPr>
                <w:rFonts w:hint="eastAsia" w:ascii="宋体" w:hAnsi="宋体" w:cs="宋体"/>
                <w:bCs/>
                <w:color w:val="000000"/>
                <w:sz w:val="24"/>
                <w:highlight w:val="none"/>
                <w:lang w:val="en-US" w:eastAsia="zh-CN"/>
              </w:rPr>
              <w:t xml:space="preserve">93万元 </w:t>
            </w:r>
          </w:p>
        </w:tc>
      </w:tr>
      <w:bookmarkEnd w:id="0"/>
    </w:tbl>
    <w:p>
      <w:pPr>
        <w:widowControl/>
        <w:spacing w:line="380" w:lineRule="exact"/>
        <w:ind w:firstLine="456"/>
        <w:jc w:val="left"/>
        <w:rPr>
          <w:rFonts w:hint="eastAsia" w:ascii="Cambria" w:hAnsi="Cambria"/>
          <w:b/>
          <w:bCs/>
          <w:color w:val="000000"/>
          <w:sz w:val="24"/>
        </w:rPr>
      </w:pPr>
      <w:r>
        <w:rPr>
          <w:rFonts w:hint="eastAsia" w:ascii="Cambria" w:hAnsi="Cambria"/>
          <w:b/>
          <w:bCs/>
          <w:color w:val="000000"/>
          <w:sz w:val="24"/>
        </w:rPr>
        <w:t>具体采购要求详见招标文件。</w:t>
      </w:r>
    </w:p>
    <w:p>
      <w:pPr>
        <w:widowControl/>
        <w:spacing w:line="380" w:lineRule="exact"/>
        <w:jc w:val="left"/>
        <w:rPr>
          <w:rFonts w:hint="eastAsia" w:ascii="Cambria" w:hAnsi="Cambria"/>
          <w:b/>
          <w:bCs/>
          <w:color w:val="000000"/>
          <w:sz w:val="24"/>
        </w:rPr>
      </w:pPr>
      <w:r>
        <w:rPr>
          <w:rFonts w:hint="eastAsia" w:ascii="Cambria" w:hAnsi="Cambria"/>
          <w:b/>
          <w:bCs/>
          <w:color w:val="000000"/>
          <w:sz w:val="24"/>
        </w:rPr>
        <w:t>三、合格供应商的资格条件：</w:t>
      </w:r>
    </w:p>
    <w:p>
      <w:pPr>
        <w:pStyle w:val="48"/>
        <w:adjustRightInd w:val="0"/>
        <w:snapToGrid w:val="0"/>
        <w:spacing w:before="0" w:line="380" w:lineRule="exact"/>
        <w:ind w:left="-6" w:right="102" w:firstLine="465" w:firstLineChars="194"/>
        <w:rPr>
          <w:rFonts w:hint="eastAsia" w:ascii="宋体" w:eastAsia="宋体"/>
          <w:sz w:val="24"/>
          <w:szCs w:val="24"/>
        </w:rPr>
      </w:pPr>
      <w:r>
        <w:rPr>
          <w:rFonts w:hint="eastAsia" w:ascii="宋体" w:eastAsia="宋体"/>
          <w:sz w:val="24"/>
          <w:szCs w:val="24"/>
        </w:rPr>
        <w:t>（一）符合《中华人民共和国政府采购法》第二十二条规定的供应商资格条件；</w:t>
      </w:r>
    </w:p>
    <w:p>
      <w:pPr>
        <w:tabs>
          <w:tab w:val="left" w:pos="180"/>
          <w:tab w:val="left" w:pos="360"/>
          <w:tab w:val="left" w:pos="540"/>
          <w:tab w:val="left" w:pos="8280"/>
        </w:tabs>
        <w:autoSpaceDE w:val="0"/>
        <w:autoSpaceDN w:val="0"/>
        <w:adjustRightInd w:val="0"/>
        <w:spacing w:before="100" w:line="380" w:lineRule="exact"/>
        <w:ind w:left="-6" w:right="23" w:firstLine="465" w:firstLineChars="194"/>
        <w:jc w:val="left"/>
        <w:rPr>
          <w:rFonts w:ascii="宋体" w:hAnsi="宋体" w:cs="宋体"/>
          <w:color w:val="FF0000"/>
          <w:sz w:val="24"/>
        </w:rPr>
      </w:pPr>
      <w:r>
        <w:rPr>
          <w:rFonts w:hint="eastAsia" w:ascii="宋体"/>
          <w:color w:val="000000"/>
          <w:sz w:val="24"/>
        </w:rPr>
        <w:t>（二）</w:t>
      </w:r>
      <w:r>
        <w:rPr>
          <w:rFonts w:hint="eastAsia" w:ascii="宋体" w:hAnsi="宋体" w:cs="宋体"/>
          <w:color w:val="000000"/>
          <w:sz w:val="24"/>
        </w:rPr>
        <w:t>本项目供应商特定条件：</w:t>
      </w:r>
      <w:r>
        <w:rPr>
          <w:rFonts w:hint="eastAsia" w:ascii="宋体" w:hAnsi="宋体" w:cs="仿宋_GB2312"/>
          <w:sz w:val="24"/>
        </w:rPr>
        <w:t>是浙江省政府采购网有效的注册供应商。</w:t>
      </w:r>
    </w:p>
    <w:p>
      <w:pPr>
        <w:tabs>
          <w:tab w:val="left" w:pos="180"/>
          <w:tab w:val="left" w:pos="360"/>
          <w:tab w:val="left" w:pos="540"/>
          <w:tab w:val="left" w:pos="8280"/>
        </w:tabs>
        <w:autoSpaceDE w:val="0"/>
        <w:autoSpaceDN w:val="0"/>
        <w:adjustRightInd w:val="0"/>
        <w:spacing w:before="100" w:line="380" w:lineRule="exact"/>
        <w:ind w:left="-6" w:right="23" w:firstLine="465" w:firstLineChars="194"/>
        <w:jc w:val="left"/>
        <w:rPr>
          <w:rFonts w:ascii="宋体" w:hAnsi="宋体" w:cs="宋体"/>
          <w:color w:val="000000"/>
          <w:sz w:val="24"/>
        </w:rPr>
      </w:pPr>
      <w:r>
        <w:rPr>
          <w:rFonts w:hint="eastAsia" w:ascii="宋体" w:hAnsi="宋体" w:cs="宋体"/>
          <w:color w:val="000000"/>
          <w:sz w:val="24"/>
        </w:rPr>
        <w:t>（三）本项目不接受联合体投标；</w:t>
      </w:r>
    </w:p>
    <w:p>
      <w:pPr>
        <w:snapToGrid w:val="0"/>
        <w:spacing w:line="380" w:lineRule="exact"/>
        <w:ind w:left="-6" w:firstLine="465" w:firstLineChars="194"/>
        <w:rPr>
          <w:rFonts w:hint="eastAsia" w:ascii="宋体" w:hAnsi="宋体" w:cs="宋体"/>
          <w:color w:val="000000"/>
          <w:sz w:val="24"/>
        </w:rPr>
      </w:pPr>
      <w:r>
        <w:rPr>
          <w:rFonts w:hint="eastAsia" w:ascii="宋体" w:hAnsi="宋体" w:cs="宋体"/>
          <w:color w:val="000000"/>
          <w:sz w:val="24"/>
        </w:rPr>
        <w:t>（四）法律、行政法规规定的其他条件。</w:t>
      </w:r>
    </w:p>
    <w:p>
      <w:pPr>
        <w:pStyle w:val="36"/>
      </w:pPr>
      <w:r>
        <w:rPr>
          <w:rFonts w:hint="eastAsia" w:ascii="宋体" w:hAnsi="宋体" w:cs="宋体"/>
          <w:color w:val="FF0000"/>
          <w:sz w:val="24"/>
          <w:lang w:eastAsia="zh-CN"/>
        </w:rPr>
        <w:t>（五）落实政府采购政策需满足的资格要求：供应商为中小企业</w:t>
      </w:r>
      <w:r>
        <w:rPr>
          <w:rFonts w:hint="eastAsia" w:ascii="宋体" w:hAnsi="宋体" w:cs="宋体"/>
          <w:color w:val="FF0000"/>
          <w:sz w:val="24"/>
          <w:lang w:val="en-US" w:eastAsia="zh-CN"/>
        </w:rPr>
        <w:t>/小微企业。</w:t>
      </w:r>
    </w:p>
    <w:p>
      <w:pPr>
        <w:widowControl/>
        <w:spacing w:line="380" w:lineRule="exact"/>
        <w:jc w:val="left"/>
        <w:rPr>
          <w:rFonts w:ascii="Cambria" w:hAnsi="Cambria"/>
          <w:b/>
          <w:bCs/>
          <w:color w:val="000000"/>
          <w:sz w:val="24"/>
        </w:rPr>
      </w:pPr>
      <w:r>
        <w:rPr>
          <w:rFonts w:hint="eastAsia" w:ascii="Cambria" w:hAnsi="Cambria"/>
          <w:b/>
          <w:bCs/>
          <w:color w:val="000000"/>
          <w:sz w:val="24"/>
        </w:rPr>
        <w:t>四、磋商文件获取的方式、时间：</w:t>
      </w:r>
    </w:p>
    <w:p>
      <w:pPr>
        <w:snapToGrid w:val="0"/>
        <w:spacing w:line="380" w:lineRule="exact"/>
        <w:ind w:firstLine="480" w:firstLineChars="200"/>
        <w:rPr>
          <w:rFonts w:ascii="宋体" w:hAnsi="宋体" w:cs="Arial"/>
          <w:color w:val="000000"/>
          <w:sz w:val="24"/>
        </w:rPr>
      </w:pPr>
      <w:r>
        <w:rPr>
          <w:rFonts w:hint="eastAsia" w:ascii="宋体" w:hAnsi="宋体" w:cs="Arial"/>
          <w:color w:val="000000"/>
          <w:sz w:val="24"/>
        </w:rPr>
        <w:t>1．获取方式：获取方式：网上免费下载，下载地址为https://zfcg.czt.zj.gov.cn/</w:t>
      </w:r>
    </w:p>
    <w:p>
      <w:pPr>
        <w:snapToGrid w:val="0"/>
        <w:spacing w:line="380" w:lineRule="exact"/>
        <w:ind w:firstLine="480" w:firstLineChars="200"/>
        <w:rPr>
          <w:rFonts w:hint="eastAsia" w:ascii="宋体" w:hAnsi="宋体" w:cs="Arial"/>
          <w:color w:val="000000"/>
          <w:sz w:val="24"/>
        </w:rPr>
      </w:pPr>
      <w:r>
        <w:rPr>
          <w:rFonts w:hint="eastAsia" w:ascii="宋体" w:hAnsi="宋体" w:cs="Arial"/>
          <w:color w:val="000000"/>
          <w:sz w:val="24"/>
        </w:rPr>
        <w:t>2．自本公告公布日起至响应文件递交截止时间前，均可获取招标文件，公告附件中的招标文件仅供阅读。</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3.获取方式：</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（1）尚未注册浙江政府采购网正式供应商的应先进行注册申请，注册流程详见“浙江政府采购网—网上办事指南—供应商注册申请”，注册申请免费。</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（2）供应商注册成功后，登录“政采云”平台进入“项目采购”应用模块，点击菜单的“申请获取采购文件”，填写获取采购文件的申请信息。点击“下载采购文件”即可获取采购文件。</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（3）采购公告上附件里的采购文件仅供阅览使用，供应商应当在“政采云”平台注册登记后再获取采购文件，没有通过注册登记而获取采购文件的潜在供应商，对采购文件提起质疑投诉的，不予受理。</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（4）交易中心将拒绝接受非通过以上方式获取采购文件的供应商磋商文件。</w:t>
      </w:r>
    </w:p>
    <w:p>
      <w:pPr>
        <w:spacing w:line="380" w:lineRule="exact"/>
        <w:rPr>
          <w:rFonts w:hint="default" w:ascii="宋体" w:hAnsi="宋体" w:eastAsia="宋体" w:cs="宋体"/>
          <w:color w:val="000000"/>
          <w:sz w:val="24"/>
          <w:lang w:val="en-US" w:eastAsia="zh-CN"/>
        </w:rPr>
      </w:pPr>
      <w:r>
        <w:rPr>
          <w:rFonts w:hint="eastAsia" w:ascii="宋体" w:hAnsi="宋体" w:cs="宋体"/>
          <w:color w:val="000000"/>
          <w:sz w:val="24"/>
        </w:rPr>
        <w:t>五、投标截止时间：</w:t>
      </w:r>
      <w:r>
        <w:rPr>
          <w:rFonts w:hint="eastAsia" w:ascii="宋体" w:hAnsi="宋体" w:cs="宋体"/>
          <w:color w:val="000000"/>
          <w:sz w:val="24"/>
          <w:lang w:eastAsia="zh-CN"/>
        </w:rPr>
        <w:t>202</w:t>
      </w:r>
      <w:r>
        <w:rPr>
          <w:rFonts w:hint="eastAsia" w:ascii="宋体" w:hAnsi="宋体" w:cs="宋体"/>
          <w:color w:val="auto"/>
          <w:sz w:val="24"/>
          <w:lang w:eastAsia="zh-CN"/>
        </w:rPr>
        <w:t>2</w:t>
      </w:r>
      <w:r>
        <w:rPr>
          <w:rFonts w:hint="eastAsia" w:ascii="宋体" w:hAnsi="宋体" w:cs="宋体"/>
          <w:color w:val="auto"/>
          <w:sz w:val="24"/>
        </w:rPr>
        <w:t>年</w:t>
      </w:r>
      <w:r>
        <w:rPr>
          <w:rFonts w:hint="eastAsia" w:ascii="宋体" w:hAnsi="宋体" w:cs="宋体"/>
          <w:color w:val="auto"/>
          <w:sz w:val="24"/>
          <w:lang w:val="en-US" w:eastAsia="zh-CN"/>
        </w:rPr>
        <w:t>7</w:t>
      </w:r>
      <w:r>
        <w:rPr>
          <w:rFonts w:hint="eastAsia" w:ascii="宋体" w:hAnsi="宋体" w:cs="宋体"/>
          <w:color w:val="auto"/>
          <w:sz w:val="24"/>
        </w:rPr>
        <w:t>月</w:t>
      </w:r>
      <w:r>
        <w:rPr>
          <w:rFonts w:hint="eastAsia" w:ascii="宋体" w:hAnsi="宋体" w:cs="宋体"/>
          <w:color w:val="auto"/>
          <w:sz w:val="24"/>
          <w:lang w:val="en-US" w:eastAsia="zh-CN"/>
        </w:rPr>
        <w:t>19</w:t>
      </w:r>
      <w:r>
        <w:rPr>
          <w:rFonts w:hint="eastAsia" w:ascii="宋体" w:hAnsi="宋体" w:cs="宋体"/>
          <w:color w:val="auto"/>
          <w:sz w:val="24"/>
        </w:rPr>
        <w:t>日上午</w:t>
      </w:r>
      <w:r>
        <w:rPr>
          <w:rFonts w:hint="eastAsia" w:ascii="宋体" w:hAnsi="宋体" w:cs="宋体"/>
          <w:color w:val="auto"/>
          <w:sz w:val="24"/>
          <w:lang w:val="en-US" w:eastAsia="zh-CN"/>
        </w:rPr>
        <w:t>09:00</w:t>
      </w:r>
    </w:p>
    <w:p>
      <w:pPr>
        <w:spacing w:line="380" w:lineRule="exact"/>
        <w:rPr>
          <w:rFonts w:hint="eastAsia" w:ascii="宋体" w:hAnsi="宋体" w:cs="宋体"/>
          <w:color w:val="000000"/>
          <w:sz w:val="24"/>
        </w:rPr>
      </w:pPr>
      <w:r>
        <w:rPr>
          <w:rFonts w:hint="eastAsia" w:ascii="宋体" w:hAnsi="宋体" w:cs="宋体"/>
          <w:color w:val="000000"/>
          <w:sz w:val="24"/>
        </w:rPr>
        <w:t>六、投标地点：投标人应于</w:t>
      </w:r>
      <w:r>
        <w:rPr>
          <w:rFonts w:hint="eastAsia" w:ascii="宋体" w:hAnsi="宋体" w:cs="宋体"/>
          <w:color w:val="000000"/>
          <w:sz w:val="24"/>
          <w:lang w:eastAsia="zh-CN"/>
        </w:rPr>
        <w:t>202</w:t>
      </w:r>
      <w:r>
        <w:rPr>
          <w:rFonts w:hint="eastAsia" w:ascii="宋体" w:hAnsi="宋体" w:cs="宋体"/>
          <w:color w:val="auto"/>
          <w:sz w:val="24"/>
          <w:lang w:eastAsia="zh-CN"/>
        </w:rPr>
        <w:t>2</w:t>
      </w:r>
      <w:r>
        <w:rPr>
          <w:rFonts w:hint="eastAsia" w:ascii="宋体" w:hAnsi="宋体" w:cs="宋体"/>
          <w:color w:val="auto"/>
          <w:sz w:val="24"/>
        </w:rPr>
        <w:t>年</w:t>
      </w:r>
      <w:r>
        <w:rPr>
          <w:rFonts w:hint="eastAsia" w:ascii="宋体" w:hAnsi="宋体" w:cs="宋体"/>
          <w:color w:val="auto"/>
          <w:sz w:val="24"/>
          <w:lang w:val="en-US" w:eastAsia="zh-CN"/>
        </w:rPr>
        <w:t>7</w:t>
      </w:r>
      <w:r>
        <w:rPr>
          <w:rFonts w:hint="eastAsia" w:ascii="宋体" w:hAnsi="宋体" w:cs="宋体"/>
          <w:color w:val="auto"/>
          <w:sz w:val="24"/>
        </w:rPr>
        <w:t>月</w:t>
      </w:r>
      <w:bookmarkStart w:id="4" w:name="_GoBack"/>
      <w:r>
        <w:rPr>
          <w:rFonts w:hint="eastAsia" w:ascii="宋体" w:hAnsi="宋体" w:cs="宋体"/>
          <w:color w:val="auto"/>
          <w:sz w:val="24"/>
          <w:lang w:val="en-US" w:eastAsia="zh-CN"/>
        </w:rPr>
        <w:t>19</w:t>
      </w:r>
      <w:r>
        <w:rPr>
          <w:rFonts w:hint="eastAsia" w:ascii="宋体" w:hAnsi="宋体" w:cs="宋体"/>
          <w:color w:val="auto"/>
          <w:sz w:val="24"/>
        </w:rPr>
        <w:t>日</w:t>
      </w:r>
      <w:bookmarkEnd w:id="4"/>
      <w:r>
        <w:rPr>
          <w:rFonts w:hint="eastAsia" w:ascii="宋体" w:hAnsi="宋体" w:cs="宋体"/>
          <w:color w:val="auto"/>
          <w:sz w:val="24"/>
        </w:rPr>
        <w:t>上午</w:t>
      </w:r>
      <w:r>
        <w:rPr>
          <w:rFonts w:hint="eastAsia" w:ascii="宋体" w:hAnsi="宋体" w:cs="宋体"/>
          <w:color w:val="auto"/>
          <w:sz w:val="24"/>
          <w:lang w:val="en-US" w:eastAsia="zh-CN"/>
        </w:rPr>
        <w:t>09:00</w:t>
      </w:r>
      <w:r>
        <w:rPr>
          <w:rFonts w:hint="eastAsia" w:ascii="宋体" w:hAnsi="宋体" w:cs="宋体"/>
          <w:color w:val="000000"/>
          <w:sz w:val="24"/>
        </w:rPr>
        <w:t>之前将电子磋商文件上传到“政府采购云平台”；</w:t>
      </w:r>
    </w:p>
    <w:p>
      <w:pPr>
        <w:spacing w:line="380" w:lineRule="exact"/>
        <w:rPr>
          <w:rFonts w:hint="eastAsia" w:ascii="宋体" w:hAnsi="宋体" w:cs="宋体"/>
          <w:color w:val="000000"/>
          <w:sz w:val="24"/>
        </w:rPr>
      </w:pPr>
      <w:r>
        <w:rPr>
          <w:rFonts w:hint="eastAsia" w:ascii="宋体" w:hAnsi="宋体" w:cs="宋体"/>
          <w:b/>
          <w:bCs/>
          <w:color w:val="000000"/>
          <w:sz w:val="24"/>
        </w:rPr>
        <w:t>七、开标时间：</w:t>
      </w:r>
      <w:r>
        <w:rPr>
          <w:rFonts w:hint="eastAsia" w:ascii="宋体" w:hAnsi="宋体" w:cs="宋体"/>
          <w:color w:val="000000"/>
          <w:sz w:val="24"/>
          <w:lang w:eastAsia="zh-CN"/>
        </w:rPr>
        <w:t>202</w:t>
      </w:r>
      <w:r>
        <w:rPr>
          <w:rFonts w:hint="eastAsia" w:ascii="宋体" w:hAnsi="宋体" w:cs="宋体"/>
          <w:color w:val="auto"/>
          <w:sz w:val="24"/>
          <w:lang w:eastAsia="zh-CN"/>
        </w:rPr>
        <w:t>2</w:t>
      </w:r>
      <w:r>
        <w:rPr>
          <w:rFonts w:hint="eastAsia" w:ascii="宋体" w:hAnsi="宋体" w:cs="宋体"/>
          <w:color w:val="auto"/>
          <w:sz w:val="24"/>
        </w:rPr>
        <w:t>年</w:t>
      </w:r>
      <w:r>
        <w:rPr>
          <w:rFonts w:hint="eastAsia" w:ascii="宋体" w:hAnsi="宋体" w:cs="宋体"/>
          <w:color w:val="auto"/>
          <w:sz w:val="24"/>
          <w:lang w:val="en-US" w:eastAsia="zh-CN"/>
        </w:rPr>
        <w:t>7</w:t>
      </w:r>
      <w:r>
        <w:rPr>
          <w:rFonts w:hint="eastAsia" w:ascii="宋体" w:hAnsi="宋体" w:cs="宋体"/>
          <w:color w:val="auto"/>
          <w:sz w:val="24"/>
        </w:rPr>
        <w:t>月</w:t>
      </w:r>
      <w:r>
        <w:rPr>
          <w:rFonts w:hint="eastAsia" w:ascii="宋体" w:hAnsi="宋体" w:cs="宋体"/>
          <w:color w:val="auto"/>
          <w:sz w:val="24"/>
          <w:lang w:val="en-US" w:eastAsia="zh-CN"/>
        </w:rPr>
        <w:t>19</w:t>
      </w:r>
      <w:r>
        <w:rPr>
          <w:rFonts w:hint="eastAsia" w:ascii="宋体" w:hAnsi="宋体" w:cs="宋体"/>
          <w:color w:val="auto"/>
          <w:sz w:val="24"/>
        </w:rPr>
        <w:t>日上午</w:t>
      </w:r>
      <w:r>
        <w:rPr>
          <w:rFonts w:hint="eastAsia" w:ascii="宋体" w:hAnsi="宋体" w:cs="宋体"/>
          <w:color w:val="auto"/>
          <w:sz w:val="24"/>
          <w:lang w:val="en-US" w:eastAsia="zh-CN"/>
        </w:rPr>
        <w:t>09:00</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开标时间后30分钟内（</w:t>
      </w:r>
      <w:r>
        <w:rPr>
          <w:rFonts w:hint="eastAsia" w:ascii="宋体" w:hAnsi="宋体" w:cs="宋体"/>
          <w:color w:val="000000"/>
          <w:sz w:val="24"/>
          <w:lang w:eastAsia="zh-CN"/>
        </w:rPr>
        <w:t>202</w:t>
      </w:r>
      <w:r>
        <w:rPr>
          <w:rFonts w:hint="eastAsia" w:ascii="宋体" w:hAnsi="宋体" w:cs="宋体"/>
          <w:color w:val="auto"/>
          <w:sz w:val="24"/>
          <w:lang w:eastAsia="zh-CN"/>
        </w:rPr>
        <w:t>2</w:t>
      </w:r>
      <w:r>
        <w:rPr>
          <w:rFonts w:hint="eastAsia" w:ascii="宋体" w:hAnsi="宋体" w:cs="宋体"/>
          <w:color w:val="auto"/>
          <w:sz w:val="24"/>
        </w:rPr>
        <w:t>年</w:t>
      </w:r>
      <w:r>
        <w:rPr>
          <w:rFonts w:hint="eastAsia" w:ascii="宋体" w:hAnsi="宋体" w:cs="宋体"/>
          <w:color w:val="auto"/>
          <w:sz w:val="24"/>
          <w:lang w:val="en-US" w:eastAsia="zh-CN"/>
        </w:rPr>
        <w:t>7</w:t>
      </w:r>
      <w:r>
        <w:rPr>
          <w:rFonts w:hint="eastAsia" w:ascii="宋体" w:hAnsi="宋体" w:cs="宋体"/>
          <w:color w:val="auto"/>
          <w:sz w:val="24"/>
        </w:rPr>
        <w:t>月</w:t>
      </w:r>
      <w:r>
        <w:rPr>
          <w:rFonts w:hint="eastAsia" w:ascii="宋体" w:hAnsi="宋体" w:cs="宋体"/>
          <w:color w:val="auto"/>
          <w:sz w:val="24"/>
          <w:lang w:val="en-US" w:eastAsia="zh-CN"/>
        </w:rPr>
        <w:t>19</w:t>
      </w:r>
      <w:r>
        <w:rPr>
          <w:rFonts w:hint="eastAsia" w:ascii="宋体" w:hAnsi="宋体" w:cs="宋体"/>
          <w:color w:val="auto"/>
          <w:sz w:val="24"/>
        </w:rPr>
        <w:t>日上午</w:t>
      </w:r>
      <w:r>
        <w:rPr>
          <w:rFonts w:hint="eastAsia" w:ascii="宋体" w:hAnsi="宋体" w:cs="宋体"/>
          <w:color w:val="auto"/>
          <w:sz w:val="24"/>
          <w:lang w:val="en-US" w:eastAsia="zh-CN"/>
        </w:rPr>
        <w:t>09:00-09:30</w:t>
      </w:r>
      <w:r>
        <w:rPr>
          <w:rFonts w:hint="eastAsia" w:ascii="宋体" w:hAnsi="宋体" w:cs="宋体"/>
          <w:color w:val="000000"/>
          <w:sz w:val="24"/>
        </w:rPr>
        <w:t>），供应商须登录“政采云”平台，用“项目采购-开标评标”功能解密磋商文件。</w:t>
      </w:r>
    </w:p>
    <w:p>
      <w:pPr>
        <w:spacing w:line="380" w:lineRule="exact"/>
        <w:rPr>
          <w:rFonts w:hint="eastAsia" w:ascii="宋体" w:hAnsi="宋体" w:cs="宋体"/>
          <w:color w:val="000000"/>
          <w:sz w:val="24"/>
        </w:rPr>
      </w:pPr>
      <w:r>
        <w:rPr>
          <w:rFonts w:hint="eastAsia" w:ascii="宋体" w:hAnsi="宋体" w:cs="宋体"/>
          <w:b/>
          <w:bCs/>
          <w:color w:val="000000"/>
          <w:sz w:val="24"/>
        </w:rPr>
        <w:t>八、开标地址：</w:t>
      </w:r>
      <w:r>
        <w:rPr>
          <w:rFonts w:hint="eastAsia" w:ascii="宋体" w:hAnsi="宋体" w:cs="宋体"/>
          <w:color w:val="000000"/>
          <w:sz w:val="24"/>
        </w:rPr>
        <w:t>“政府采购云平台”线上开标</w:t>
      </w:r>
    </w:p>
    <w:p>
      <w:pPr>
        <w:spacing w:line="380" w:lineRule="exact"/>
        <w:rPr>
          <w:rFonts w:hint="eastAsia" w:ascii="宋体" w:hAnsi="宋体" w:cs="宋体"/>
          <w:color w:val="000000"/>
          <w:sz w:val="24"/>
        </w:rPr>
      </w:pPr>
      <w:r>
        <w:rPr>
          <w:rFonts w:hint="eastAsia" w:ascii="宋体" w:hAnsi="宋体" w:cs="宋体"/>
          <w:b/>
          <w:bCs/>
          <w:color w:val="000000"/>
          <w:sz w:val="24"/>
        </w:rPr>
        <w:t>九、投标保证金：</w:t>
      </w:r>
      <w:r>
        <w:rPr>
          <w:rFonts w:hint="eastAsia" w:ascii="宋体" w:hAnsi="宋体" w:cs="宋体"/>
          <w:color w:val="000000"/>
          <w:sz w:val="24"/>
        </w:rPr>
        <w:t>不收取</w:t>
      </w:r>
    </w:p>
    <w:p>
      <w:pPr>
        <w:spacing w:line="380" w:lineRule="exact"/>
        <w:rPr>
          <w:rFonts w:hint="eastAsia" w:ascii="宋体" w:hAnsi="宋体" w:cs="宋体"/>
          <w:b/>
          <w:bCs/>
          <w:color w:val="000000"/>
          <w:sz w:val="24"/>
        </w:rPr>
      </w:pPr>
      <w:r>
        <w:rPr>
          <w:rFonts w:hint="eastAsia" w:ascii="宋体" w:hAnsi="宋体" w:cs="宋体"/>
          <w:b/>
          <w:bCs/>
          <w:color w:val="000000"/>
          <w:sz w:val="24"/>
        </w:rPr>
        <w:t>十、</w:t>
      </w:r>
      <w:bookmarkStart w:id="1" w:name="B37_购买标书时须提交的文件资料"/>
      <w:bookmarkEnd w:id="1"/>
      <w:bookmarkStart w:id="2" w:name="_Toc15328_WPSOffice_Level2"/>
      <w:r>
        <w:rPr>
          <w:rFonts w:hint="eastAsia" w:ascii="宋体" w:hAnsi="宋体" w:cs="宋体"/>
          <w:b/>
          <w:bCs/>
          <w:color w:val="000000"/>
          <w:sz w:val="24"/>
        </w:rPr>
        <w:t>在线投标响应（电子投标）说明</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本项目采用资格后审，请拟投标供应商自行核对供应商资格条件，如不符合资格条件者，在资格审查时导致投标被拒绝的，责任自负。</w:t>
      </w:r>
      <w:bookmarkEnd w:id="2"/>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1、本项目通过“政府采购云平台（www.zcygov.cn）”实行在线投标响应（电子投标），供应商应先安装“政采云电子交易客户端”，并按照本招标文件和“政府采购云平台”的要求，通过“政采云电子交易客户端”编制并加密磋商文件。供应商未按规定加密的磋商文件，“政府采购云平台”将予以拒收。</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政采云电子交易客户端”请自行前往“浙江政府采购网-下载专区-电子交易客户端”进行下载；电子投标具体操作流程详见本公告附件《供应商项目采购-电子招投标操作指南》；通过“政府采购云平台”参与在线投标时如遇平台技术问题详询400-881-7190。</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2、为确保网上操作合法、有效和安全，投标供应商应当在投标截止时间前完成在“政府采购云平台”的身份认证，确保在电子投标过程中能够对相关数据电文进行加密和使用电子签章。使用“政采云电子交易客户端”需要提前申领CA数字证书，申领流程请自行前往“浙江政府采购网-下载专区-电子交易客户端-</w:t>
      </w:r>
      <w:r>
        <w:rPr>
          <w:rFonts w:hint="eastAsia" w:ascii="宋体" w:hAnsi="宋体" w:cs="宋体"/>
          <w:color w:val="000000"/>
          <w:sz w:val="24"/>
        </w:rPr>
        <w:fldChar w:fldCharType="begin"/>
      </w:r>
      <w:r>
        <w:rPr>
          <w:rFonts w:hint="eastAsia" w:ascii="宋体" w:hAnsi="宋体" w:cs="宋体"/>
          <w:color w:val="000000"/>
          <w:sz w:val="24"/>
        </w:rPr>
        <w:instrText xml:space="preserve"> HYPERLINK "http://zfcg.czt.zj.gov.cn/bidClientTemplate/2019-05-27/12945.html" \t "http://zfcg.czt.zj.gov.cn/innerUsed_noticeDetails/_blank" \o "CA驱动和申领流程" </w:instrText>
      </w:r>
      <w:r>
        <w:rPr>
          <w:rFonts w:hint="eastAsia" w:ascii="宋体" w:hAnsi="宋体" w:cs="宋体"/>
          <w:color w:val="000000"/>
          <w:sz w:val="24"/>
        </w:rPr>
        <w:fldChar w:fldCharType="separate"/>
      </w:r>
      <w:r>
        <w:rPr>
          <w:rFonts w:hint="eastAsia" w:ascii="宋体" w:hAnsi="宋体" w:cs="宋体"/>
          <w:color w:val="000000"/>
          <w:sz w:val="24"/>
        </w:rPr>
        <w:t>CA驱动和申领流程</w:t>
      </w:r>
      <w:r>
        <w:rPr>
          <w:rFonts w:hint="eastAsia" w:ascii="宋体" w:hAnsi="宋体" w:cs="宋体"/>
          <w:color w:val="000000"/>
          <w:sz w:val="24"/>
        </w:rPr>
        <w:fldChar w:fldCharType="end"/>
      </w:r>
      <w:r>
        <w:rPr>
          <w:rFonts w:hint="eastAsia" w:ascii="宋体" w:hAnsi="宋体" w:cs="宋体"/>
          <w:color w:val="000000"/>
          <w:sz w:val="24"/>
        </w:rPr>
        <w:t>”进行查阅；</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3、投标供应商应当在投标截止时间前，将生成的“电子加密磋商文件”上传递交至“政府采购云平台”。投标截止时间以后上传递交的磋商文件将被“政府采购云平台”拒收。</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4、通过“政府采购云平台”上传递交的“电子加密磋商文件”无法按时解密，投标供应商递交了备份磋商文件的，以备份磋商文件为依据，否则视为磋商文件撤回。通过“政府采购云平台”上传递交的“电子加密磋商文件”已按时解密的，“备份磋商文件”自动失效。投标供应商仅递交备份磋商文件的，投标无效。</w:t>
      </w:r>
    </w:p>
    <w:p>
      <w:pPr>
        <w:pStyle w:val="11"/>
        <w:ind w:firstLine="480"/>
        <w:rPr>
          <w:rFonts w:hint="eastAsia" w:ascii="宋体" w:hAnsi="宋体" w:cs="宋体"/>
          <w:color w:val="000000"/>
          <w:sz w:val="24"/>
        </w:rPr>
      </w:pPr>
      <w:r>
        <w:rPr>
          <w:rFonts w:hint="eastAsia" w:ascii="宋体" w:hAnsi="宋体" w:cs="宋体"/>
          <w:color w:val="000000"/>
          <w:sz w:val="24"/>
        </w:rPr>
        <w:t>5、投标供应商</w:t>
      </w:r>
      <w:r>
        <w:rPr>
          <w:rFonts w:hint="eastAsia" w:ascii="宋体" w:hAnsi="宋体" w:cs="宋体"/>
          <w:color w:val="000000"/>
          <w:sz w:val="24"/>
          <w:lang w:eastAsia="zh-CN"/>
        </w:rPr>
        <w:t>如需要递交备份文件，可</w:t>
      </w:r>
      <w:r>
        <w:rPr>
          <w:rFonts w:hint="eastAsia" w:ascii="宋体" w:hAnsi="宋体" w:cs="宋体"/>
          <w:color w:val="000000"/>
          <w:sz w:val="24"/>
        </w:rPr>
        <w:t>在开标前将备份投标文件发送至交易中心指定邮箱或以U盘形式寄送至玉环市公共资源交易中心。</w:t>
      </w:r>
    </w:p>
    <w:p>
      <w:pPr>
        <w:pStyle w:val="11"/>
        <w:ind w:firstLine="480"/>
        <w:rPr>
          <w:rFonts w:hint="eastAsia" w:ascii="宋体" w:hAnsi="宋体" w:cs="宋体"/>
          <w:color w:val="000000"/>
          <w:sz w:val="24"/>
        </w:rPr>
      </w:pPr>
      <w:r>
        <w:rPr>
          <w:rFonts w:hint="eastAsia" w:ascii="宋体" w:hAnsi="宋体" w:cs="宋体"/>
          <w:color w:val="000000"/>
          <w:sz w:val="24"/>
        </w:rPr>
        <w:t>邮箱：</w:t>
      </w:r>
      <w:r>
        <w:rPr>
          <w:rFonts w:ascii="宋体" w:hAnsi="宋体" w:cs="宋体"/>
          <w:color w:val="000000"/>
          <w:sz w:val="24"/>
        </w:rPr>
        <w:fldChar w:fldCharType="begin"/>
      </w:r>
      <w:r>
        <w:rPr>
          <w:rFonts w:ascii="宋体" w:hAnsi="宋体" w:cs="宋体"/>
          <w:color w:val="000000"/>
          <w:sz w:val="24"/>
        </w:rPr>
        <w:instrText xml:space="preserve"> HYPERLINK "mailto:</w:instrText>
      </w:r>
      <w:r>
        <w:rPr>
          <w:rFonts w:hint="eastAsia" w:ascii="宋体" w:hAnsi="宋体" w:cs="宋体"/>
          <w:color w:val="000000"/>
          <w:sz w:val="24"/>
        </w:rPr>
        <w:instrText xml:space="preserve">503329416@qq.com</w:instrText>
      </w:r>
      <w:r>
        <w:rPr>
          <w:rFonts w:ascii="宋体" w:hAnsi="宋体" w:cs="宋体"/>
          <w:color w:val="000000"/>
          <w:sz w:val="24"/>
        </w:rPr>
        <w:instrText xml:space="preserve">" </w:instrText>
      </w:r>
      <w:r>
        <w:rPr>
          <w:rFonts w:ascii="宋体" w:hAnsi="宋体" w:cs="宋体"/>
          <w:color w:val="000000"/>
          <w:sz w:val="24"/>
        </w:rPr>
        <w:fldChar w:fldCharType="separate"/>
      </w:r>
      <w:r>
        <w:rPr>
          <w:rStyle w:val="34"/>
          <w:rFonts w:hint="eastAsia" w:ascii="宋体" w:hAnsi="宋体" w:cs="宋体"/>
          <w:sz w:val="24"/>
        </w:rPr>
        <w:t>503329416@qq.com</w:t>
      </w:r>
      <w:r>
        <w:rPr>
          <w:rFonts w:ascii="宋体" w:hAnsi="宋体" w:cs="宋体"/>
          <w:color w:val="000000"/>
          <w:sz w:val="24"/>
        </w:rPr>
        <w:fldChar w:fldCharType="end"/>
      </w:r>
    </w:p>
    <w:p>
      <w:pPr>
        <w:pStyle w:val="11"/>
        <w:ind w:firstLine="480"/>
        <w:rPr>
          <w:rFonts w:hint="eastAsia" w:ascii="宋体" w:hAnsi="宋体" w:cs="宋体"/>
          <w:color w:val="000000"/>
          <w:sz w:val="24"/>
        </w:rPr>
      </w:pPr>
      <w:r>
        <w:rPr>
          <w:rFonts w:hint="eastAsia" w:ascii="宋体" w:hAnsi="宋体" w:cs="宋体"/>
          <w:color w:val="000000"/>
          <w:sz w:val="24"/>
        </w:rPr>
        <w:t>邮寄地址及电话：玉环市长治路一号公共资源交易中心</w:t>
      </w:r>
    </w:p>
    <w:p>
      <w:pPr>
        <w:pStyle w:val="11"/>
        <w:ind w:firstLine="480"/>
        <w:rPr>
          <w:rFonts w:hint="eastAsia" w:ascii="宋体" w:hAnsi="宋体" w:cs="宋体"/>
          <w:color w:val="000000"/>
          <w:sz w:val="24"/>
        </w:rPr>
      </w:pPr>
      <w:r>
        <w:rPr>
          <w:rFonts w:hint="eastAsia" w:ascii="宋体" w:hAnsi="宋体" w:cs="宋体"/>
          <w:color w:val="000000"/>
          <w:sz w:val="24"/>
        </w:rPr>
        <w:t xml:space="preserve">                 0576-87130229</w:t>
      </w:r>
    </w:p>
    <w:p>
      <w:pPr>
        <w:spacing w:line="380" w:lineRule="exact"/>
        <w:rPr>
          <w:rFonts w:hint="eastAsia" w:ascii="宋体" w:hAnsi="宋体" w:cs="宋体"/>
          <w:b/>
          <w:bCs/>
          <w:color w:val="000000"/>
          <w:sz w:val="24"/>
        </w:rPr>
      </w:pPr>
      <w:r>
        <w:rPr>
          <w:rFonts w:hint="eastAsia" w:ascii="宋体" w:hAnsi="宋体" w:cs="宋体"/>
          <w:b/>
          <w:bCs/>
          <w:color w:val="000000"/>
          <w:sz w:val="24"/>
        </w:rPr>
        <w:t>十一、对本项目相关质疑约定如下：</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1、本项目招标文件公告期限为公告发布次日起五个工作日。</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2、招标文件提供期限时间之后有潜在供应商提出要求获取招标文件的，将允许其获取，但该供应商如对招标文件有异议的，应于自招标文件提供期限满之日起七个工作日内以书面形式向代理机构提出。</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3、供应商知道或者应知其权益受到损害之日起七个工作日内，以书面形式向采购人（或招标代理机构）提出质疑。供应商应知其权益受到损害之日，是指：对可以质疑的招标文件提出质疑的，为收到招标文件之日（含网上报名下载招标文件）或者招标文件公告期限届满之日（招标文件在招标文件公告期限后获得的，自招标文件公告期限届满之日起计算）；对采购过程提出质疑的，为各采购程序环节结束之日；对中标或者成交结果提出质疑的，为中标或者成交结果公告期限届满之日。</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4、供应商质疑应当有明确的请求和必要的证明材料；采购人及招标代理机构按《政府采购质疑和投诉办法》（中华人民共和国财政部令第94号）进行处理供应商质疑事项。</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5、潜在供应商应当按照规定方式获取采购文件，未按照规定方式获取采购文件的，不得对采购文件提起质疑投诉。</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6、逾期的质疑，采购人及招标代理机构可不予接受。</w:t>
      </w:r>
    </w:p>
    <w:p>
      <w:pPr>
        <w:spacing w:line="380" w:lineRule="exact"/>
        <w:ind w:firstLine="420" w:firstLineChars="175"/>
        <w:rPr>
          <w:rFonts w:hint="eastAsia" w:ascii="宋体" w:hAnsi="宋体" w:cs="宋体"/>
          <w:color w:val="000000"/>
          <w:sz w:val="24"/>
        </w:rPr>
      </w:pPr>
      <w:r>
        <w:rPr>
          <w:rFonts w:hint="eastAsia" w:ascii="宋体" w:hAnsi="宋体" w:cs="宋体"/>
          <w:color w:val="000000"/>
          <w:sz w:val="24"/>
        </w:rPr>
        <w:t>7、供应商须在法定质疑期内一次性提出针对同一采购程序环节的质疑，供应商质疑应当有明确的请求和必要的证明材料；采购人及招标代理机构按《政府采购质疑和投诉办法》进行处理供应商质疑事项。质疑函范本、投诉书范本请到浙江政府采购网下载专区下载。</w:t>
      </w:r>
    </w:p>
    <w:p>
      <w:pPr>
        <w:spacing w:line="380" w:lineRule="exact"/>
        <w:rPr>
          <w:rFonts w:hint="eastAsia" w:ascii="宋体" w:hAnsi="宋体" w:cs="宋体"/>
          <w:b/>
          <w:bCs/>
          <w:color w:val="000000"/>
          <w:sz w:val="24"/>
        </w:rPr>
      </w:pPr>
      <w:r>
        <w:rPr>
          <w:rFonts w:hint="eastAsia" w:ascii="宋体" w:hAnsi="宋体" w:cs="宋体"/>
          <w:b/>
          <w:bCs/>
          <w:color w:val="000000"/>
          <w:sz w:val="24"/>
        </w:rPr>
        <w:t xml:space="preserve">十二、联系方式： </w:t>
      </w:r>
    </w:p>
    <w:p>
      <w:pPr>
        <w:spacing w:line="380" w:lineRule="exact"/>
        <w:ind w:firstLine="638" w:firstLineChars="266"/>
        <w:rPr>
          <w:rFonts w:hint="eastAsia" w:ascii="宋体" w:hAnsi="宋体" w:eastAsia="宋体" w:cs="宋体"/>
          <w:color w:val="000000"/>
          <w:sz w:val="24"/>
          <w:lang w:eastAsia="zh-CN"/>
        </w:rPr>
      </w:pPr>
      <w:r>
        <w:rPr>
          <w:rFonts w:hint="eastAsia" w:ascii="宋体" w:hAnsi="宋体" w:cs="宋体"/>
          <w:color w:val="000000"/>
          <w:sz w:val="24"/>
        </w:rPr>
        <w:t>（一）采购代理机构</w:t>
      </w:r>
      <w:r>
        <w:rPr>
          <w:rFonts w:hint="eastAsia" w:ascii="宋体" w:hAnsi="宋体" w:cs="宋体"/>
          <w:color w:val="000000"/>
          <w:sz w:val="24"/>
          <w:lang w:eastAsia="zh-CN"/>
        </w:rPr>
        <w:t>：玉环市公共资源交易中心（受理标书格式制作及政采云操作咨询、质疑答复）</w:t>
      </w:r>
    </w:p>
    <w:p>
      <w:pPr>
        <w:spacing w:line="380" w:lineRule="exact"/>
        <w:ind w:firstLine="638" w:firstLineChars="266"/>
        <w:rPr>
          <w:rFonts w:hint="eastAsia" w:ascii="宋体" w:hAnsi="宋体" w:eastAsia="宋体" w:cs="宋体"/>
          <w:color w:val="000000"/>
          <w:sz w:val="24"/>
          <w:lang w:eastAsia="zh-CN"/>
        </w:rPr>
      </w:pPr>
      <w:r>
        <w:rPr>
          <w:rFonts w:hint="eastAsia" w:ascii="宋体" w:hAnsi="宋体" w:cs="宋体"/>
          <w:color w:val="000000"/>
          <w:sz w:val="24"/>
        </w:rPr>
        <w:t>联系人：</w:t>
      </w:r>
      <w:r>
        <w:rPr>
          <w:rFonts w:hint="eastAsia" w:ascii="宋体" w:hAnsi="宋体" w:cs="宋体"/>
          <w:color w:val="000000"/>
          <w:sz w:val="24"/>
          <w:lang w:eastAsia="zh-CN"/>
        </w:rPr>
        <w:t>吴承轩</w:t>
      </w:r>
    </w:p>
    <w:p>
      <w:pPr>
        <w:spacing w:line="380" w:lineRule="exact"/>
        <w:ind w:firstLine="638" w:firstLineChars="266"/>
        <w:rPr>
          <w:rFonts w:hint="default" w:ascii="宋体" w:hAnsi="宋体" w:eastAsia="宋体" w:cs="宋体"/>
          <w:color w:val="000000"/>
          <w:sz w:val="24"/>
          <w:lang w:val="en-US" w:eastAsia="zh-CN"/>
        </w:rPr>
      </w:pPr>
      <w:r>
        <w:rPr>
          <w:rFonts w:hint="eastAsia" w:ascii="宋体" w:hAnsi="宋体" w:cs="宋体"/>
          <w:color w:val="000000"/>
          <w:sz w:val="24"/>
        </w:rPr>
        <w:t>联系电话：</w:t>
      </w:r>
      <w:r>
        <w:rPr>
          <w:rFonts w:hint="eastAsia" w:ascii="宋体" w:hAnsi="宋体" w:cs="宋体"/>
          <w:color w:val="000000"/>
          <w:sz w:val="24"/>
          <w:lang w:val="en-US" w:eastAsia="zh-CN"/>
        </w:rPr>
        <w:t>0576-87130229</w:t>
      </w:r>
    </w:p>
    <w:p>
      <w:pPr>
        <w:spacing w:line="380" w:lineRule="exact"/>
        <w:ind w:firstLine="638" w:firstLineChars="266"/>
        <w:rPr>
          <w:rFonts w:hint="eastAsia" w:ascii="宋体" w:hAnsi="宋体" w:cs="宋体"/>
          <w:color w:val="000000"/>
          <w:sz w:val="24"/>
        </w:rPr>
      </w:pPr>
      <w:r>
        <w:rPr>
          <w:rFonts w:hint="eastAsia" w:ascii="宋体" w:hAnsi="宋体" w:cs="宋体"/>
          <w:color w:val="000000"/>
          <w:sz w:val="24"/>
        </w:rPr>
        <w:t>地址：玉环市长治路1号；</w:t>
      </w:r>
    </w:p>
    <w:p>
      <w:pPr>
        <w:spacing w:line="380" w:lineRule="exact"/>
        <w:ind w:firstLine="638" w:firstLineChars="266"/>
        <w:rPr>
          <w:rFonts w:hint="eastAsia" w:ascii="宋体" w:hAnsi="宋体" w:cs="宋体"/>
          <w:color w:val="auto"/>
          <w:sz w:val="24"/>
        </w:rPr>
      </w:pPr>
      <w:r>
        <w:rPr>
          <w:rFonts w:hint="eastAsia" w:ascii="宋体" w:hAnsi="宋体" w:cs="宋体"/>
          <w:color w:val="auto"/>
          <w:sz w:val="24"/>
        </w:rPr>
        <w:t xml:space="preserve">（二）采购人 </w:t>
      </w:r>
    </w:p>
    <w:p>
      <w:pPr>
        <w:snapToGrid w:val="0"/>
        <w:spacing w:line="380" w:lineRule="exact"/>
        <w:ind w:firstLine="600" w:firstLineChars="250"/>
        <w:rPr>
          <w:rFonts w:hint="default" w:ascii="宋体" w:hAnsi="宋体" w:eastAsia="宋体" w:cs="Arial"/>
          <w:color w:val="auto"/>
          <w:sz w:val="24"/>
          <w:lang w:val="en-US" w:eastAsia="zh-CN"/>
        </w:rPr>
      </w:pPr>
      <w:r>
        <w:rPr>
          <w:rFonts w:ascii="宋体" w:hAnsi="宋体" w:cs="Arial"/>
          <w:color w:val="auto"/>
          <w:sz w:val="24"/>
        </w:rPr>
        <w:t>采购</w:t>
      </w:r>
      <w:r>
        <w:rPr>
          <w:rFonts w:hint="eastAsia" w:ascii="宋体" w:hAnsi="宋体" w:cs="Arial"/>
          <w:color w:val="auto"/>
          <w:sz w:val="24"/>
        </w:rPr>
        <w:t>人</w:t>
      </w:r>
      <w:r>
        <w:rPr>
          <w:rFonts w:ascii="宋体" w:hAnsi="宋体" w:cs="Arial"/>
          <w:color w:val="auto"/>
          <w:sz w:val="24"/>
        </w:rPr>
        <w:t>名称：</w:t>
      </w:r>
      <w:r>
        <w:rPr>
          <w:rFonts w:hint="eastAsia" w:ascii="宋体" w:hAnsi="宋体" w:cs="Arial"/>
          <w:color w:val="auto"/>
          <w:sz w:val="24"/>
          <w:lang w:eastAsia="zh-CN"/>
        </w:rPr>
        <w:t>玉环市公安局</w:t>
      </w:r>
      <w:r>
        <w:rPr>
          <w:rFonts w:hint="eastAsia" w:ascii="宋体" w:hAnsi="宋体" w:cs="Arial"/>
          <w:color w:val="auto"/>
          <w:sz w:val="24"/>
        </w:rPr>
        <w:t xml:space="preserve"> </w:t>
      </w:r>
      <w:r>
        <w:rPr>
          <w:rFonts w:hint="eastAsia" w:ascii="宋体" w:hAnsi="宋体" w:cs="Arial"/>
          <w:color w:val="auto"/>
          <w:sz w:val="24"/>
          <w:lang w:val="en-US" w:eastAsia="zh-CN"/>
        </w:rPr>
        <w:t xml:space="preserve">  （负责提供标书评分标准及技术参数，并对其受理咨询、质疑）</w:t>
      </w:r>
    </w:p>
    <w:p>
      <w:pPr>
        <w:snapToGrid w:val="0"/>
        <w:spacing w:line="380" w:lineRule="exact"/>
        <w:ind w:firstLine="600" w:firstLineChars="250"/>
        <w:rPr>
          <w:rFonts w:hint="default" w:ascii="宋体" w:hAnsi="宋体" w:eastAsia="宋体" w:cs="Arial"/>
          <w:color w:val="000000"/>
          <w:sz w:val="24"/>
          <w:lang w:val="en-US" w:eastAsia="zh-CN"/>
        </w:rPr>
      </w:pPr>
      <w:r>
        <w:rPr>
          <w:rFonts w:ascii="宋体" w:hAnsi="宋体" w:cs="Arial"/>
          <w:color w:val="auto"/>
          <w:sz w:val="24"/>
        </w:rPr>
        <w:t>联系人：</w:t>
      </w:r>
      <w:r>
        <w:rPr>
          <w:rFonts w:hint="eastAsia" w:ascii="宋体" w:hAnsi="宋体" w:cs="Arial"/>
          <w:color w:val="auto"/>
          <w:sz w:val="24"/>
          <w:lang w:eastAsia="zh-CN"/>
        </w:rPr>
        <w:t>苏咏</w:t>
      </w:r>
      <w:r>
        <w:rPr>
          <w:rFonts w:hint="eastAsia" w:ascii="宋体" w:hAnsi="宋体" w:cs="Arial"/>
          <w:color w:val="auto"/>
          <w:sz w:val="24"/>
        </w:rPr>
        <w:t xml:space="preserve"> 联系电话：</w:t>
      </w:r>
      <w:r>
        <w:rPr>
          <w:rFonts w:hint="eastAsia" w:ascii="宋体" w:hAnsi="宋体" w:cs="Arial"/>
          <w:color w:val="auto"/>
          <w:sz w:val="24"/>
          <w:lang w:val="en-US" w:eastAsia="zh-CN"/>
        </w:rPr>
        <w:t>15168685757</w:t>
      </w:r>
    </w:p>
    <w:p>
      <w:pPr>
        <w:spacing w:line="380" w:lineRule="exact"/>
        <w:ind w:firstLine="638" w:firstLineChars="266"/>
        <w:rPr>
          <w:rFonts w:hint="eastAsia" w:ascii="宋体" w:hAnsi="宋体" w:cs="宋体"/>
          <w:color w:val="000000"/>
          <w:sz w:val="24"/>
        </w:rPr>
      </w:pPr>
      <w:r>
        <w:rPr>
          <w:rFonts w:hint="eastAsia" w:ascii="宋体" w:hAnsi="宋体" w:cs="宋体"/>
          <w:color w:val="000000"/>
          <w:sz w:val="24"/>
        </w:rPr>
        <w:t>（三）同级政府采购监督管理部门</w:t>
      </w:r>
    </w:p>
    <w:p>
      <w:pPr>
        <w:spacing w:line="380" w:lineRule="exact"/>
        <w:ind w:firstLine="638" w:firstLineChars="266"/>
        <w:rPr>
          <w:rFonts w:ascii="宋体" w:hAnsi="宋体" w:cs="宋体"/>
          <w:color w:val="000000"/>
          <w:sz w:val="24"/>
        </w:rPr>
      </w:pPr>
      <w:r>
        <w:rPr>
          <w:rFonts w:hint="eastAsia" w:ascii="宋体" w:hAnsi="宋体" w:cs="宋体"/>
          <w:color w:val="000000"/>
          <w:sz w:val="24"/>
        </w:rPr>
        <w:t>名称：玉环市财政局政府采购监督管理科</w:t>
      </w:r>
    </w:p>
    <w:p>
      <w:pPr>
        <w:spacing w:line="380" w:lineRule="exact"/>
        <w:ind w:firstLine="638" w:firstLineChars="266"/>
        <w:rPr>
          <w:rFonts w:hint="eastAsia" w:ascii="宋体" w:hAnsi="宋体" w:cs="宋体"/>
          <w:color w:val="000000"/>
          <w:sz w:val="24"/>
        </w:rPr>
      </w:pPr>
      <w:r>
        <w:rPr>
          <w:rFonts w:hint="eastAsia" w:ascii="宋体" w:hAnsi="宋体" w:cs="宋体"/>
          <w:color w:val="000000"/>
          <w:sz w:val="24"/>
        </w:rPr>
        <w:t xml:space="preserve">联系人：谢主任                   </w:t>
      </w:r>
    </w:p>
    <w:p>
      <w:pPr>
        <w:spacing w:line="380" w:lineRule="exact"/>
        <w:ind w:firstLine="638" w:firstLineChars="266"/>
        <w:rPr>
          <w:rFonts w:hint="eastAsia" w:ascii="宋体" w:hAnsi="宋体" w:cs="宋体"/>
          <w:color w:val="000000"/>
          <w:sz w:val="24"/>
        </w:rPr>
      </w:pPr>
      <w:r>
        <w:rPr>
          <w:rFonts w:hint="eastAsia" w:ascii="宋体" w:hAnsi="宋体" w:cs="宋体"/>
          <w:color w:val="000000"/>
          <w:sz w:val="24"/>
        </w:rPr>
        <w:t>监督投诉电话：0576-87250185          传真：0576-87250185</w:t>
      </w:r>
    </w:p>
    <w:p>
      <w:pPr>
        <w:spacing w:line="380" w:lineRule="exact"/>
        <w:ind w:firstLine="638" w:firstLineChars="266"/>
        <w:rPr>
          <w:rFonts w:hint="eastAsia" w:ascii="宋体" w:hAnsi="宋体" w:cs="宋体"/>
          <w:color w:val="000000"/>
          <w:sz w:val="24"/>
        </w:rPr>
      </w:pPr>
      <w:r>
        <w:rPr>
          <w:rFonts w:hint="eastAsia" w:ascii="宋体" w:hAnsi="宋体" w:cs="宋体"/>
          <w:color w:val="000000"/>
          <w:sz w:val="24"/>
        </w:rPr>
        <w:t>地址：玉环市广陵路130号；</w:t>
      </w:r>
    </w:p>
    <w:p>
      <w:pPr>
        <w:rPr>
          <w:rFonts w:hint="eastAsia"/>
          <w:color w:val="000000"/>
        </w:rPr>
      </w:pPr>
    </w:p>
    <w:p>
      <w:pPr>
        <w:rPr>
          <w:rFonts w:hint="eastAsia"/>
          <w:color w:val="000000"/>
        </w:rPr>
      </w:pPr>
    </w:p>
    <w:p>
      <w:pPr>
        <w:rPr>
          <w:rFonts w:hint="eastAsia"/>
          <w:color w:val="000000"/>
        </w:rPr>
      </w:pPr>
    </w:p>
    <w:p>
      <w:pPr>
        <w:pStyle w:val="11"/>
        <w:rPr>
          <w:rFonts w:hint="eastAsia"/>
          <w:color w:val="000000"/>
        </w:rPr>
      </w:pPr>
    </w:p>
    <w:p>
      <w:pPr>
        <w:pStyle w:val="11"/>
        <w:rPr>
          <w:rFonts w:hint="eastAsia"/>
          <w:color w:val="000000"/>
        </w:rPr>
      </w:pPr>
    </w:p>
    <w:p>
      <w:pPr>
        <w:pStyle w:val="2"/>
        <w:jc w:val="center"/>
        <w:rPr>
          <w:rFonts w:hint="eastAsia"/>
          <w:color w:val="000000"/>
        </w:rPr>
      </w:pPr>
      <w:r>
        <w:rPr>
          <w:rFonts w:hint="eastAsia"/>
          <w:color w:val="000000"/>
        </w:rPr>
        <w:t>第二章  供应商须知</w:t>
      </w:r>
    </w:p>
    <w:p>
      <w:pPr>
        <w:pStyle w:val="3"/>
        <w:jc w:val="center"/>
        <w:rPr>
          <w:color w:val="000000"/>
          <w:sz w:val="24"/>
          <w:szCs w:val="24"/>
        </w:rPr>
      </w:pPr>
      <w:r>
        <w:rPr>
          <w:rFonts w:hint="eastAsia"/>
          <w:color w:val="000000"/>
          <w:sz w:val="24"/>
          <w:szCs w:val="24"/>
        </w:rPr>
        <w:t>前附表</w:t>
      </w:r>
    </w:p>
    <w:tbl>
      <w:tblPr>
        <w:tblStyle w:val="30"/>
        <w:tblW w:w="941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108" w:type="dxa"/>
          <w:bottom w:w="57" w:type="dxa"/>
          <w:right w:w="108" w:type="dxa"/>
        </w:tblCellMar>
      </w:tblPr>
      <w:tblGrid>
        <w:gridCol w:w="1102"/>
        <w:gridCol w:w="1740"/>
        <w:gridCol w:w="65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30" w:hRule="atLeast"/>
          <w:jc w:val="center"/>
        </w:trPr>
        <w:tc>
          <w:tcPr>
            <w:tcW w:w="1102" w:type="dxa"/>
            <w:tcBorders>
              <w:top w:val="single" w:color="auto" w:sz="12" w:space="0"/>
            </w:tcBorders>
            <w:noWrap w:val="0"/>
            <w:vAlign w:val="center"/>
          </w:tcPr>
          <w:p>
            <w:pPr>
              <w:spacing w:line="400" w:lineRule="exact"/>
              <w:ind w:right="199" w:rightChars="95"/>
              <w:rPr>
                <w:rFonts w:hint="eastAsia" w:ascii="宋体" w:hAnsi="宋体" w:cs="宋体"/>
                <w:color w:val="000000"/>
                <w:sz w:val="24"/>
              </w:rPr>
            </w:pPr>
            <w:r>
              <w:rPr>
                <w:rFonts w:hint="eastAsia" w:ascii="宋体" w:hAnsi="宋体" w:cs="宋体"/>
                <w:color w:val="000000"/>
                <w:sz w:val="24"/>
              </w:rPr>
              <w:t>序号</w:t>
            </w:r>
          </w:p>
        </w:tc>
        <w:tc>
          <w:tcPr>
            <w:tcW w:w="1740" w:type="dxa"/>
            <w:tcBorders>
              <w:top w:val="single" w:color="auto" w:sz="12" w:space="0"/>
            </w:tcBorders>
            <w:noWrap w:val="0"/>
            <w:vAlign w:val="center"/>
          </w:tcPr>
          <w:p>
            <w:pPr>
              <w:spacing w:line="400" w:lineRule="exact"/>
              <w:ind w:left="12" w:right="199" w:rightChars="95" w:hanging="12" w:hangingChars="5"/>
              <w:jc w:val="center"/>
              <w:rPr>
                <w:rFonts w:hint="eastAsia" w:ascii="宋体" w:hAnsi="宋体" w:cs="宋体"/>
                <w:color w:val="000000"/>
                <w:sz w:val="24"/>
              </w:rPr>
            </w:pPr>
            <w:r>
              <w:rPr>
                <w:rFonts w:hint="eastAsia" w:ascii="宋体" w:hAnsi="宋体" w:cs="宋体"/>
                <w:color w:val="000000"/>
                <w:sz w:val="24"/>
              </w:rPr>
              <w:t>内容</w:t>
            </w:r>
          </w:p>
        </w:tc>
        <w:tc>
          <w:tcPr>
            <w:tcW w:w="6577" w:type="dxa"/>
            <w:tcBorders>
              <w:top w:val="single" w:color="auto" w:sz="12" w:space="0"/>
            </w:tcBorders>
            <w:noWrap w:val="0"/>
            <w:vAlign w:val="center"/>
          </w:tcPr>
          <w:p>
            <w:pPr>
              <w:spacing w:line="400" w:lineRule="exact"/>
              <w:ind w:left="19" w:right="199" w:rightChars="95" w:hanging="19" w:hangingChars="8"/>
              <w:jc w:val="center"/>
              <w:rPr>
                <w:rFonts w:hint="eastAsia" w:ascii="宋体" w:hAnsi="宋体" w:cs="宋体"/>
                <w:color w:val="000000"/>
                <w:sz w:val="24"/>
              </w:rPr>
            </w:pPr>
            <w:r>
              <w:rPr>
                <w:rFonts w:hint="eastAsia" w:ascii="宋体" w:hAnsi="宋体" w:cs="宋体"/>
                <w:color w:val="000000"/>
                <w:sz w:val="24"/>
              </w:rPr>
              <w:t>说明与要求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30"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项目名称</w:t>
            </w:r>
          </w:p>
        </w:tc>
        <w:tc>
          <w:tcPr>
            <w:tcW w:w="6577" w:type="dxa"/>
            <w:noWrap w:val="0"/>
            <w:vAlign w:val="center"/>
          </w:tcPr>
          <w:p>
            <w:pPr>
              <w:spacing w:line="400" w:lineRule="exact"/>
              <w:ind w:left="19" w:leftChars="0" w:right="199" w:rightChars="95" w:hanging="19" w:hangingChars="8"/>
              <w:rPr>
                <w:rFonts w:hint="eastAsia" w:ascii="宋体" w:hAnsi="宋体" w:cs="宋体"/>
                <w:color w:val="000000"/>
                <w:sz w:val="24"/>
              </w:rPr>
            </w:pPr>
            <w:r>
              <w:rPr>
                <w:rFonts w:hint="eastAsia" w:ascii="宋体" w:hAnsi="宋体" w:cs="宋体"/>
                <w:color w:val="000000"/>
                <w:sz w:val="24"/>
              </w:rPr>
              <w:t>大麦屿***业务用房办公家具</w:t>
            </w:r>
            <w:r>
              <w:rPr>
                <w:rFonts w:hint="eastAsia" w:ascii="宋体" w:hAnsi="宋体" w:cs="宋体"/>
                <w:color w:val="000000"/>
                <w:sz w:val="24"/>
                <w:lang w:eastAsia="zh-CN"/>
              </w:rPr>
              <w:t>采购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30"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r>
              <w:rPr>
                <w:rFonts w:hint="eastAsia" w:ascii="宋体" w:hAnsi="宋体" w:cs="宋体"/>
                <w:color w:val="000000"/>
                <w:sz w:val="24"/>
              </w:rPr>
              <w:t xml:space="preserve"> </w:t>
            </w: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项目编号</w:t>
            </w:r>
          </w:p>
        </w:tc>
        <w:tc>
          <w:tcPr>
            <w:tcW w:w="6577" w:type="dxa"/>
            <w:noWrap w:val="0"/>
            <w:vAlign w:val="center"/>
          </w:tcPr>
          <w:p>
            <w:pPr>
              <w:spacing w:line="400" w:lineRule="exact"/>
              <w:ind w:left="19" w:leftChars="0" w:right="199" w:rightChars="95" w:hanging="19" w:hangingChars="8"/>
              <w:rPr>
                <w:rFonts w:hint="eastAsia" w:ascii="宋体" w:hAnsi="宋体" w:cs="宋体"/>
                <w:color w:val="000000"/>
                <w:sz w:val="24"/>
              </w:rPr>
            </w:pPr>
            <w:r>
              <w:rPr>
                <w:rFonts w:hint="eastAsia" w:ascii="宋体" w:hAnsi="宋体" w:cs="宋体"/>
                <w:color w:val="000000"/>
                <w:sz w:val="24"/>
                <w:lang w:val="en-US" w:eastAsia="zh-CN"/>
              </w:rPr>
              <w:t>YH-ZFCG-2022-017（重）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30"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资金来源</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财政性资金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30"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采购方式</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竞争性磋商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30"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采购预算</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bCs/>
                <w:color w:val="000000"/>
                <w:sz w:val="24"/>
                <w:highlight w:val="none"/>
                <w:lang w:val="en-US" w:eastAsia="zh-CN"/>
              </w:rPr>
              <w:t xml:space="preserve">93万元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30"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adjustRightInd w:val="0"/>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采购人</w:t>
            </w:r>
          </w:p>
        </w:tc>
        <w:tc>
          <w:tcPr>
            <w:tcW w:w="6577" w:type="dxa"/>
            <w:noWrap w:val="0"/>
            <w:vAlign w:val="center"/>
          </w:tcPr>
          <w:p>
            <w:pPr>
              <w:adjustRightInd w:val="0"/>
              <w:spacing w:line="400" w:lineRule="exact"/>
              <w:ind w:left="19" w:right="199" w:rightChars="95" w:hanging="19" w:hangingChars="8"/>
              <w:rPr>
                <w:rFonts w:hint="eastAsia" w:ascii="宋体" w:hAnsi="宋体" w:eastAsia="宋体" w:cs="宋体"/>
                <w:color w:val="000000"/>
                <w:sz w:val="24"/>
                <w:lang w:eastAsia="zh-CN"/>
              </w:rPr>
            </w:pPr>
            <w:r>
              <w:rPr>
                <w:rFonts w:hint="eastAsia" w:ascii="宋体" w:hAnsi="宋体" w:cs="宋体"/>
                <w:color w:val="000000"/>
                <w:sz w:val="24"/>
                <w:lang w:eastAsia="zh-CN"/>
              </w:rPr>
              <w:t>玉环市公安局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30"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r>
              <w:rPr>
                <w:rFonts w:hint="eastAsia" w:ascii="宋体" w:hAnsi="宋体" w:cs="宋体"/>
                <w:color w:val="000000"/>
                <w:sz w:val="24"/>
              </w:rPr>
              <w:t xml:space="preserve"> </w:t>
            </w: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招标代理机构</w:t>
            </w:r>
          </w:p>
        </w:tc>
        <w:tc>
          <w:tcPr>
            <w:tcW w:w="6577" w:type="dxa"/>
            <w:noWrap w:val="0"/>
            <w:vAlign w:val="center"/>
          </w:tcPr>
          <w:p>
            <w:pPr>
              <w:adjustRightInd w:val="0"/>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玉环市公共资源交易中心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30"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评标办法</w:t>
            </w:r>
          </w:p>
        </w:tc>
        <w:tc>
          <w:tcPr>
            <w:tcW w:w="6577" w:type="dxa"/>
            <w:noWrap w:val="0"/>
            <w:vAlign w:val="center"/>
          </w:tcPr>
          <w:p>
            <w:pPr>
              <w:adjustRightInd w:val="0"/>
              <w:spacing w:line="400" w:lineRule="exact"/>
              <w:ind w:left="19" w:right="199" w:rightChars="95" w:hanging="19" w:hangingChars="8"/>
              <w:rPr>
                <w:rFonts w:hint="eastAsia" w:ascii="宋体" w:hAnsi="宋体" w:eastAsia="宋体" w:cs="宋体"/>
                <w:color w:val="000000"/>
                <w:sz w:val="24"/>
                <w:lang w:eastAsia="zh-CN"/>
              </w:rPr>
            </w:pPr>
            <w:r>
              <w:rPr>
                <w:rFonts w:hint="eastAsia" w:ascii="宋体" w:hAnsi="宋体" w:cs="宋体"/>
                <w:color w:val="000000"/>
                <w:sz w:val="24"/>
                <w:lang w:eastAsia="zh-CN"/>
              </w:rPr>
              <w:t>综合评分法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招标内容</w:t>
            </w:r>
          </w:p>
        </w:tc>
        <w:tc>
          <w:tcPr>
            <w:tcW w:w="6577" w:type="dxa"/>
            <w:noWrap w:val="0"/>
            <w:vAlign w:val="center"/>
          </w:tcPr>
          <w:p>
            <w:pPr>
              <w:adjustRightInd w:val="0"/>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具体内容见招标文件。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521"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投标供应商</w:t>
            </w:r>
          </w:p>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资格要求</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（一）符合《中华人民共和国政府采购法》第二十二条规定的磋商供应商资格条件；</w:t>
            </w:r>
          </w:p>
          <w:p>
            <w:pPr>
              <w:spacing w:line="400" w:lineRule="exact"/>
              <w:ind w:left="19" w:right="199" w:rightChars="95" w:hanging="19" w:hangingChars="8"/>
              <w:rPr>
                <w:rFonts w:ascii="宋体" w:hAnsi="宋体" w:cs="仿宋_GB2312"/>
                <w:sz w:val="24"/>
              </w:rPr>
            </w:pPr>
            <w:r>
              <w:rPr>
                <w:rFonts w:hint="eastAsia" w:ascii="宋体" w:hAnsi="宋体" w:cs="宋体"/>
                <w:color w:val="000000"/>
                <w:sz w:val="24"/>
              </w:rPr>
              <w:t>（二）本项目供应商特定条件：</w:t>
            </w:r>
            <w:r>
              <w:rPr>
                <w:rFonts w:hint="eastAsia" w:ascii="宋体" w:hAnsi="宋体" w:cs="仿宋_GB2312"/>
                <w:sz w:val="24"/>
              </w:rPr>
              <w:t>浙江省政府采购网有效的注册供应商</w:t>
            </w:r>
          </w:p>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（三）本项目不接受联合体投标；</w:t>
            </w:r>
          </w:p>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（四）法律、行政法规规定的其他条件。</w:t>
            </w:r>
          </w:p>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FF0000"/>
                <w:sz w:val="24"/>
                <w:lang w:eastAsia="zh-CN"/>
              </w:rPr>
              <w:t>（五）落实政府采购政策需满足的资格要求：供应商为中小企业</w:t>
            </w:r>
            <w:r>
              <w:rPr>
                <w:rFonts w:hint="eastAsia" w:ascii="宋体" w:hAnsi="宋体" w:cs="宋体"/>
                <w:color w:val="FF0000"/>
                <w:sz w:val="24"/>
                <w:lang w:val="en-US" w:eastAsia="zh-CN"/>
              </w:rPr>
              <w:t>/小微企业。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521"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adjustRightInd w:val="0"/>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是否接受联合体投标</w:t>
            </w:r>
          </w:p>
        </w:tc>
        <w:tc>
          <w:tcPr>
            <w:tcW w:w="6577" w:type="dxa"/>
            <w:noWrap w:val="0"/>
            <w:vAlign w:val="center"/>
          </w:tcPr>
          <w:p>
            <w:pPr>
              <w:adjustRightInd w:val="0"/>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fldChar w:fldCharType="begin"/>
            </w:r>
            <w:r>
              <w:rPr>
                <w:rFonts w:hint="eastAsia" w:ascii="宋体" w:hAnsi="宋体" w:cs="宋体"/>
                <w:color w:val="000000"/>
                <w:sz w:val="24"/>
              </w:rPr>
              <w:instrText xml:space="preserve"> eq \o\ac(</w:instrText>
            </w:r>
            <w:r>
              <w:rPr>
                <w:rFonts w:hint="eastAsia" w:ascii="宋体" w:hAnsi="宋体" w:cs="宋体"/>
                <w:color w:val="000000"/>
                <w:position w:val="-4"/>
                <w:sz w:val="36"/>
              </w:rPr>
              <w:instrText xml:space="preserve">□</w:instrText>
            </w:r>
            <w:r>
              <w:rPr>
                <w:rFonts w:hint="eastAsia" w:ascii="宋体" w:hAnsi="宋体" w:cs="宋体"/>
                <w:color w:val="000000"/>
                <w:sz w:val="24"/>
              </w:rPr>
              <w:instrText xml:space="preserve">,√)</w:instrText>
            </w:r>
            <w:r>
              <w:rPr>
                <w:rFonts w:hint="eastAsia" w:ascii="宋体" w:hAnsi="宋体" w:cs="宋体"/>
                <w:color w:val="000000"/>
                <w:sz w:val="24"/>
              </w:rPr>
              <w:fldChar w:fldCharType="end"/>
            </w:r>
            <w:r>
              <w:rPr>
                <w:rFonts w:hint="eastAsia" w:ascii="宋体" w:hAnsi="宋体" w:cs="宋体"/>
                <w:color w:val="000000"/>
                <w:sz w:val="24"/>
              </w:rPr>
              <w:t>不接受</w:t>
            </w:r>
          </w:p>
          <w:p>
            <w:pPr>
              <w:adjustRightInd w:val="0"/>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□接受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521"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adjustRightInd w:val="0"/>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踏勘现场</w:t>
            </w:r>
          </w:p>
        </w:tc>
        <w:tc>
          <w:tcPr>
            <w:tcW w:w="6577" w:type="dxa"/>
            <w:noWrap w:val="0"/>
            <w:vAlign w:val="center"/>
          </w:tcPr>
          <w:p>
            <w:pPr>
              <w:adjustRightInd w:val="0"/>
              <w:spacing w:line="400" w:lineRule="exact"/>
              <w:ind w:left="19" w:right="199" w:rightChars="95" w:hanging="19" w:hangingChars="8"/>
              <w:rPr>
                <w:rFonts w:hint="eastAsia" w:ascii="宋体" w:hAnsi="宋体" w:cs="宋体"/>
                <w:color w:val="000000"/>
                <w:sz w:val="24"/>
              </w:rPr>
            </w:pPr>
            <w:r>
              <w:rPr>
                <w:rFonts w:hint="eastAsia" w:ascii="宋体" w:hAnsi="宋体" w:cs="宋体"/>
                <w:b/>
                <w:bCs/>
                <w:color w:val="000000"/>
                <w:sz w:val="24"/>
              </w:rPr>
              <w:fldChar w:fldCharType="begin"/>
            </w:r>
            <w:r>
              <w:rPr>
                <w:rFonts w:hint="eastAsia" w:ascii="宋体" w:hAnsi="宋体" w:cs="宋体"/>
                <w:b/>
                <w:bCs/>
                <w:color w:val="000000"/>
                <w:sz w:val="24"/>
              </w:rPr>
              <w:instrText xml:space="preserve"> eq \o\ac(</w:instrText>
            </w:r>
            <w:r>
              <w:rPr>
                <w:rFonts w:hint="eastAsia" w:ascii="宋体" w:hAnsi="宋体" w:cs="宋体"/>
                <w:b/>
                <w:bCs/>
                <w:color w:val="000000"/>
                <w:position w:val="-4"/>
                <w:sz w:val="36"/>
              </w:rPr>
              <w:instrText xml:space="preserve">□</w:instrText>
            </w:r>
            <w:r>
              <w:rPr>
                <w:rFonts w:hint="eastAsia" w:ascii="宋体" w:hAnsi="宋体" w:cs="宋体"/>
                <w:b/>
                <w:bCs/>
                <w:color w:val="000000"/>
                <w:sz w:val="24"/>
              </w:rPr>
              <w:instrText xml:space="preserve">,√)</w:instrText>
            </w:r>
            <w:r>
              <w:rPr>
                <w:rFonts w:hint="eastAsia" w:ascii="宋体" w:hAnsi="宋体" w:cs="宋体"/>
                <w:b/>
                <w:bCs/>
                <w:color w:val="000000"/>
                <w:sz w:val="24"/>
              </w:rPr>
              <w:fldChar w:fldCharType="end"/>
            </w:r>
            <w:r>
              <w:rPr>
                <w:rFonts w:hint="eastAsia" w:ascii="宋体" w:hAnsi="宋体" w:cs="宋体"/>
                <w:color w:val="000000"/>
                <w:sz w:val="24"/>
              </w:rPr>
              <w:t>不组织</w:t>
            </w:r>
          </w:p>
          <w:p>
            <w:pPr>
              <w:adjustRightInd w:val="0"/>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 xml:space="preserve">□组织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521"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adjustRightInd w:val="0"/>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是否允许递交备选投标方案</w:t>
            </w:r>
          </w:p>
        </w:tc>
        <w:tc>
          <w:tcPr>
            <w:tcW w:w="6577" w:type="dxa"/>
            <w:noWrap w:val="0"/>
            <w:vAlign w:val="center"/>
          </w:tcPr>
          <w:p>
            <w:pPr>
              <w:adjustRightInd w:val="0"/>
              <w:spacing w:line="400" w:lineRule="exact"/>
              <w:ind w:left="19" w:right="199" w:rightChars="95" w:hanging="19" w:hangingChars="8"/>
              <w:rPr>
                <w:rFonts w:hint="eastAsia" w:ascii="宋体" w:hAnsi="宋体" w:cs="宋体"/>
                <w:color w:val="000000"/>
                <w:sz w:val="24"/>
              </w:rPr>
            </w:pPr>
            <w:r>
              <w:rPr>
                <w:rFonts w:hint="eastAsia" w:ascii="宋体" w:hAnsi="宋体" w:cs="宋体"/>
                <w:b/>
                <w:bCs/>
                <w:color w:val="000000"/>
                <w:sz w:val="24"/>
              </w:rPr>
              <w:fldChar w:fldCharType="begin"/>
            </w:r>
            <w:r>
              <w:rPr>
                <w:rFonts w:hint="eastAsia" w:ascii="宋体" w:hAnsi="宋体" w:cs="宋体"/>
                <w:b/>
                <w:bCs/>
                <w:color w:val="000000"/>
                <w:sz w:val="24"/>
              </w:rPr>
              <w:instrText xml:space="preserve"> eq \o\ac(</w:instrText>
            </w:r>
            <w:r>
              <w:rPr>
                <w:rFonts w:hint="eastAsia" w:ascii="宋体" w:hAnsi="宋体" w:cs="宋体"/>
                <w:b/>
                <w:bCs/>
                <w:color w:val="000000"/>
                <w:position w:val="-4"/>
                <w:sz w:val="36"/>
              </w:rPr>
              <w:instrText xml:space="preserve">□</w:instrText>
            </w:r>
            <w:r>
              <w:rPr>
                <w:rFonts w:hint="eastAsia" w:ascii="宋体" w:hAnsi="宋体" w:cs="宋体"/>
                <w:b/>
                <w:bCs/>
                <w:color w:val="000000"/>
                <w:sz w:val="24"/>
              </w:rPr>
              <w:instrText xml:space="preserve">,√)</w:instrText>
            </w:r>
            <w:r>
              <w:rPr>
                <w:rFonts w:hint="eastAsia" w:ascii="宋体" w:hAnsi="宋体" w:cs="宋体"/>
                <w:b/>
                <w:bCs/>
                <w:color w:val="000000"/>
                <w:sz w:val="24"/>
              </w:rPr>
              <w:fldChar w:fldCharType="end"/>
            </w:r>
            <w:r>
              <w:rPr>
                <w:rFonts w:hint="eastAsia" w:ascii="宋体" w:hAnsi="宋体" w:cs="宋体"/>
                <w:color w:val="000000"/>
                <w:sz w:val="24"/>
              </w:rPr>
              <w:t xml:space="preserve"> 不允许</w:t>
            </w:r>
          </w:p>
          <w:p>
            <w:pPr>
              <w:adjustRightInd w:val="0"/>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 允许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191"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adjustRightInd w:val="0"/>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投标货币</w:t>
            </w:r>
          </w:p>
        </w:tc>
        <w:tc>
          <w:tcPr>
            <w:tcW w:w="6577" w:type="dxa"/>
            <w:noWrap w:val="0"/>
            <w:vAlign w:val="center"/>
          </w:tcPr>
          <w:p>
            <w:pPr>
              <w:adjustRightInd w:val="0"/>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人民币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adjustRightInd w:val="0"/>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投标语言</w:t>
            </w:r>
          </w:p>
        </w:tc>
        <w:tc>
          <w:tcPr>
            <w:tcW w:w="6577" w:type="dxa"/>
            <w:noWrap w:val="0"/>
            <w:vAlign w:val="center"/>
          </w:tcPr>
          <w:p>
            <w:pPr>
              <w:adjustRightInd w:val="0"/>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中文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4"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b/>
                <w:bCs/>
                <w:color w:val="000000"/>
                <w:sz w:val="24"/>
              </w:rPr>
              <w:t>磋商</w:t>
            </w:r>
            <w:r>
              <w:rPr>
                <w:rFonts w:hint="eastAsia" w:ascii="宋体" w:hAnsi="宋体" w:cs="宋体"/>
                <w:b/>
                <w:bCs/>
                <w:color w:val="000000"/>
                <w:sz w:val="24"/>
                <w:lang w:val="zh-CN"/>
              </w:rPr>
              <w:t>文件</w:t>
            </w:r>
            <w:r>
              <w:rPr>
                <w:rFonts w:hint="eastAsia" w:ascii="宋体" w:hAnsi="宋体" w:cs="宋体"/>
                <w:b/>
                <w:bCs/>
                <w:color w:val="000000"/>
                <w:sz w:val="24"/>
              </w:rPr>
              <w:t>说明</w:t>
            </w:r>
          </w:p>
        </w:tc>
        <w:tc>
          <w:tcPr>
            <w:tcW w:w="6577" w:type="dxa"/>
            <w:noWrap w:val="0"/>
            <w:vAlign w:val="center"/>
          </w:tcPr>
          <w:p>
            <w:pPr>
              <w:autoSpaceDE w:val="0"/>
              <w:autoSpaceDN w:val="0"/>
              <w:adjustRightInd w:val="0"/>
              <w:spacing w:line="400" w:lineRule="exact"/>
              <w:ind w:left="19" w:right="199" w:rightChars="95" w:hanging="19" w:hangingChars="8"/>
              <w:rPr>
                <w:rFonts w:hint="eastAsia" w:ascii="宋体" w:hAnsi="宋体" w:cs="宋体"/>
                <w:color w:val="000000"/>
                <w:sz w:val="24"/>
                <w:lang w:val="zh-CN"/>
              </w:rPr>
            </w:pPr>
            <w:r>
              <w:rPr>
                <w:rFonts w:hint="eastAsia" w:ascii="宋体" w:hAnsi="宋体" w:cs="宋体"/>
                <w:color w:val="000000"/>
                <w:sz w:val="24"/>
                <w:lang w:val="zh-CN"/>
              </w:rPr>
              <w:t>1、</w:t>
            </w:r>
            <w:r>
              <w:rPr>
                <w:rFonts w:hint="eastAsia" w:ascii="宋体" w:hAnsi="宋体" w:cs="宋体"/>
                <w:b/>
                <w:bCs/>
                <w:color w:val="000000"/>
                <w:sz w:val="24"/>
                <w:lang w:val="zh-CN"/>
              </w:rPr>
              <w:t>磋商文件组成：</w:t>
            </w:r>
            <w:r>
              <w:rPr>
                <w:rFonts w:hint="eastAsia" w:ascii="宋体" w:hAnsi="宋体" w:cs="宋体"/>
                <w:color w:val="000000"/>
                <w:sz w:val="24"/>
                <w:lang w:val="zh-CN"/>
              </w:rPr>
              <w:t>《资格文件》及《商务技术文件》和《报价文件》。</w:t>
            </w:r>
          </w:p>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2、</w:t>
            </w:r>
            <w:r>
              <w:rPr>
                <w:rFonts w:hint="eastAsia" w:ascii="宋体" w:hAnsi="宋体" w:cs="宋体"/>
                <w:b/>
                <w:bCs/>
                <w:color w:val="000000"/>
                <w:sz w:val="24"/>
              </w:rPr>
              <w:t>磋商文件编制：</w:t>
            </w:r>
            <w:r>
              <w:rPr>
                <w:rFonts w:hint="eastAsia" w:ascii="宋体" w:hAnsi="宋体" w:cs="宋体"/>
                <w:color w:val="000000"/>
                <w:sz w:val="24"/>
              </w:rPr>
              <w:t>供应商应先安装“政采云电子交易客户端”，并按照本采购文件和“政府采购云平台”的要求，通过“政采云电子交易客户端”编制并加密磋商文件。</w:t>
            </w:r>
          </w:p>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3、</w:t>
            </w:r>
            <w:r>
              <w:rPr>
                <w:rFonts w:hint="eastAsia" w:ascii="宋体" w:hAnsi="宋体" w:cs="宋体"/>
                <w:b/>
                <w:bCs/>
                <w:color w:val="000000"/>
                <w:sz w:val="24"/>
              </w:rPr>
              <w:t>磋商文件的签章：</w:t>
            </w:r>
            <w:r>
              <w:rPr>
                <w:rFonts w:hint="eastAsia" w:ascii="宋体" w:hAnsi="宋体" w:cs="宋体"/>
                <w:color w:val="000000"/>
                <w:sz w:val="24"/>
              </w:rPr>
              <w:t>电子签章。</w:t>
            </w:r>
          </w:p>
          <w:p>
            <w:pPr>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rPr>
              <w:t>4、</w:t>
            </w:r>
            <w:r>
              <w:rPr>
                <w:rFonts w:hint="eastAsia" w:ascii="宋体" w:hAnsi="宋体" w:cs="宋体"/>
                <w:b/>
                <w:bCs/>
                <w:color w:val="000000"/>
                <w:sz w:val="24"/>
              </w:rPr>
              <w:t>磋商文件的形式：</w:t>
            </w:r>
            <w:r>
              <w:rPr>
                <w:rFonts w:hint="eastAsia" w:ascii="宋体" w:hAnsi="宋体" w:cs="宋体"/>
                <w:color w:val="000000"/>
                <w:sz w:val="24"/>
              </w:rPr>
              <w:t>☑电子磋商文件（包括“</w:t>
            </w:r>
            <w:r>
              <w:rPr>
                <w:rFonts w:hint="eastAsia" w:ascii="宋体" w:hAnsi="宋体" w:cs="宋体"/>
                <w:color w:val="000000"/>
                <w:sz w:val="24"/>
                <w:lang w:bidi="ar"/>
              </w:rPr>
              <w:t>电子加密磋商文件”和“备份磋商文件”，在磋商文件编制完成后同时生成）；</w:t>
            </w:r>
          </w:p>
          <w:p>
            <w:pPr>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（1）“电子加密磋商文件”是指通过“政采云电子交易客户端”完成磋商文件编制后生成并加密的数据电文形式的磋商文件。</w:t>
            </w:r>
          </w:p>
          <w:p>
            <w:pPr>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（2）“备份磋商文件”是指与“电子加密磋商文件”同时生成的数据电文形式的电子文件（备份标书），其他方式编制的备份磋商文件视为无效备份磋商文件。</w:t>
            </w:r>
          </w:p>
          <w:p>
            <w:pPr>
              <w:autoSpaceDE w:val="0"/>
              <w:autoSpaceDN w:val="0"/>
              <w:adjustRightInd w:val="0"/>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b/>
                <w:bCs/>
                <w:color w:val="000000"/>
                <w:sz w:val="24"/>
                <w:lang w:bidi="ar"/>
              </w:rPr>
              <w:t>5、磋商文件份数：</w:t>
            </w:r>
            <w:r>
              <w:rPr>
                <w:rFonts w:hint="eastAsia" w:ascii="宋体" w:hAnsi="宋体" w:cs="宋体"/>
                <w:color w:val="000000"/>
                <w:sz w:val="24"/>
                <w:lang w:bidi="ar"/>
              </w:rPr>
              <w:t>（1）“电子加密磋商文件”：在线上传递交。</w:t>
            </w:r>
          </w:p>
          <w:p>
            <w:pPr>
              <w:spacing w:line="400" w:lineRule="exact"/>
              <w:ind w:left="19" w:right="199" w:rightChars="95" w:hanging="19" w:hangingChars="8"/>
              <w:rPr>
                <w:rFonts w:hint="eastAsia" w:ascii="宋体" w:hAnsi="宋体" w:cs="宋体"/>
                <w:b/>
                <w:bCs/>
                <w:color w:val="000000"/>
                <w:sz w:val="24"/>
                <w:lang w:bidi="ar"/>
              </w:rPr>
            </w:pPr>
            <w:r>
              <w:rPr>
                <w:rFonts w:hint="eastAsia" w:ascii="宋体" w:hAnsi="宋体" w:cs="宋体"/>
                <w:color w:val="000000"/>
                <w:sz w:val="24"/>
                <w:lang w:bidi="ar"/>
              </w:rPr>
              <w:t>6、</w:t>
            </w:r>
            <w:r>
              <w:rPr>
                <w:rFonts w:hint="eastAsia" w:ascii="宋体" w:hAnsi="宋体" w:cs="宋体"/>
                <w:b/>
                <w:bCs/>
                <w:color w:val="000000"/>
                <w:sz w:val="24"/>
                <w:lang w:bidi="ar"/>
              </w:rPr>
              <w:t>磋商文件的上传和递交：</w:t>
            </w:r>
          </w:p>
          <w:p>
            <w:pPr>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（1）“电子加密磋商文件”的上传、递交：</w:t>
            </w:r>
          </w:p>
          <w:p>
            <w:pPr>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a.供应商应在投标截止时间前将“电子加密磋商文件”成功上传递交至“政府采购云平台”，否则投标无效。</w:t>
            </w:r>
          </w:p>
          <w:p>
            <w:pPr>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b.“电子加密磋商文件”成功上传递交后，供应商可自行打印磋商文件接收回执。</w:t>
            </w:r>
          </w:p>
          <w:p>
            <w:pPr>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（2）“备份投标文件”的密封包装、递交：</w:t>
            </w:r>
          </w:p>
          <w:p>
            <w:pPr>
              <w:pStyle w:val="11"/>
              <w:rPr>
                <w:rFonts w:hint="eastAsia" w:ascii="宋体" w:hAnsi="宋体" w:cs="宋体"/>
                <w:color w:val="000000"/>
                <w:sz w:val="24"/>
              </w:rPr>
            </w:pPr>
            <w:r>
              <w:rPr>
                <w:rFonts w:hint="eastAsia" w:ascii="宋体" w:hAnsi="宋体" w:cs="宋体"/>
                <w:color w:val="000000"/>
                <w:sz w:val="24"/>
                <w:lang w:val="en-US" w:eastAsia="zh-CN"/>
              </w:rPr>
              <w:t>a.</w:t>
            </w:r>
            <w:r>
              <w:rPr>
                <w:rFonts w:hint="eastAsia" w:ascii="宋体" w:hAnsi="宋体" w:cs="宋体"/>
                <w:color w:val="000000"/>
                <w:sz w:val="24"/>
              </w:rPr>
              <w:t>投标供应商</w:t>
            </w:r>
            <w:r>
              <w:rPr>
                <w:rFonts w:hint="eastAsia" w:ascii="宋体" w:hAnsi="宋体" w:cs="宋体"/>
                <w:color w:val="000000"/>
                <w:sz w:val="24"/>
                <w:lang w:eastAsia="zh-CN"/>
              </w:rPr>
              <w:t>如需要递交备份文件，可</w:t>
            </w:r>
            <w:r>
              <w:rPr>
                <w:rFonts w:hint="eastAsia" w:ascii="宋体" w:hAnsi="宋体" w:cs="宋体"/>
                <w:color w:val="000000"/>
                <w:sz w:val="24"/>
              </w:rPr>
              <w:t>在开标前将备份投标文件发送至交易中心指定邮箱或以U盘形式寄送至玉环市公共资源交易中心。</w:t>
            </w:r>
          </w:p>
          <w:p>
            <w:pPr>
              <w:pStyle w:val="11"/>
              <w:ind w:firstLine="480"/>
              <w:rPr>
                <w:rFonts w:hint="eastAsia" w:ascii="宋体" w:hAnsi="宋体" w:cs="宋体"/>
                <w:color w:val="000000"/>
                <w:sz w:val="24"/>
              </w:rPr>
            </w:pPr>
            <w:r>
              <w:rPr>
                <w:rFonts w:hint="eastAsia" w:ascii="宋体" w:hAnsi="宋体" w:cs="宋体"/>
                <w:color w:val="000000"/>
                <w:sz w:val="24"/>
              </w:rPr>
              <w:t>邮箱：</w:t>
            </w:r>
            <w:r>
              <w:rPr>
                <w:rFonts w:ascii="宋体" w:hAnsi="宋体" w:cs="宋体"/>
                <w:color w:val="000000"/>
                <w:sz w:val="24"/>
              </w:rPr>
              <w:fldChar w:fldCharType="begin"/>
            </w:r>
            <w:r>
              <w:rPr>
                <w:rFonts w:ascii="宋体" w:hAnsi="宋体" w:cs="宋体"/>
                <w:color w:val="000000"/>
                <w:sz w:val="24"/>
              </w:rPr>
              <w:instrText xml:space="preserve"> HYPERLINK "mailto:</w:instrText>
            </w:r>
            <w:r>
              <w:rPr>
                <w:rFonts w:hint="eastAsia" w:ascii="宋体" w:hAnsi="宋体" w:cs="宋体"/>
                <w:color w:val="000000"/>
                <w:sz w:val="24"/>
              </w:rPr>
              <w:instrText xml:space="preserve">503329416@qq.com</w:instrText>
            </w:r>
            <w:r>
              <w:rPr>
                <w:rFonts w:ascii="宋体" w:hAnsi="宋体" w:cs="宋体"/>
                <w:color w:val="000000"/>
                <w:sz w:val="24"/>
              </w:rPr>
              <w:instrText xml:space="preserve">" </w:instrText>
            </w:r>
            <w:r>
              <w:rPr>
                <w:rFonts w:ascii="宋体" w:hAnsi="宋体" w:cs="宋体"/>
                <w:color w:val="000000"/>
                <w:sz w:val="24"/>
              </w:rPr>
              <w:fldChar w:fldCharType="separate"/>
            </w:r>
            <w:r>
              <w:rPr>
                <w:rStyle w:val="34"/>
                <w:rFonts w:hint="eastAsia" w:ascii="宋体" w:hAnsi="宋体" w:cs="宋体"/>
                <w:sz w:val="24"/>
              </w:rPr>
              <w:t>503329416@qq.com</w:t>
            </w:r>
            <w:r>
              <w:rPr>
                <w:rFonts w:ascii="宋体" w:hAnsi="宋体" w:cs="宋体"/>
                <w:color w:val="000000"/>
                <w:sz w:val="24"/>
              </w:rPr>
              <w:fldChar w:fldCharType="end"/>
            </w:r>
          </w:p>
          <w:p>
            <w:pPr>
              <w:pStyle w:val="11"/>
              <w:ind w:firstLine="480"/>
              <w:rPr>
                <w:rFonts w:hint="eastAsia" w:ascii="宋体" w:hAnsi="宋体" w:cs="宋体"/>
                <w:color w:val="000000"/>
                <w:sz w:val="24"/>
              </w:rPr>
            </w:pPr>
            <w:r>
              <w:rPr>
                <w:rFonts w:hint="eastAsia" w:ascii="宋体" w:hAnsi="宋体" w:cs="宋体"/>
                <w:color w:val="000000"/>
                <w:sz w:val="24"/>
              </w:rPr>
              <w:t>邮寄地址及电话：玉环市长治路一号公共资源交易中心</w:t>
            </w:r>
          </w:p>
          <w:p>
            <w:pPr>
              <w:pStyle w:val="11"/>
              <w:ind w:firstLine="480"/>
              <w:rPr>
                <w:rFonts w:hint="eastAsia" w:ascii="宋体" w:hAnsi="宋体" w:cs="宋体"/>
                <w:color w:val="000000"/>
                <w:sz w:val="24"/>
              </w:rPr>
            </w:pPr>
            <w:r>
              <w:rPr>
                <w:rFonts w:hint="eastAsia" w:ascii="宋体" w:hAnsi="宋体" w:cs="宋体"/>
                <w:color w:val="000000"/>
                <w:sz w:val="24"/>
              </w:rPr>
              <w:t xml:space="preserve">                 0576-87130229</w:t>
            </w:r>
          </w:p>
          <w:p>
            <w:pPr>
              <w:autoSpaceDE w:val="0"/>
              <w:autoSpaceDN w:val="0"/>
              <w:adjustRightInd w:val="0"/>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val="en-US" w:eastAsia="zh-CN" w:bidi="ar"/>
              </w:rPr>
              <w:t>b</w:t>
            </w:r>
            <w:r>
              <w:rPr>
                <w:rFonts w:hint="eastAsia" w:ascii="宋体" w:hAnsi="宋体" w:cs="宋体"/>
                <w:color w:val="000000"/>
                <w:sz w:val="24"/>
                <w:lang w:bidi="ar"/>
              </w:rPr>
              <w:t>.通过“政府采购云平台”成功上传递交的“电子加密投标文件”已按时解密的，“备份投标文件”自动失效。投标截止时间前，供应商仅递交了“备份投标文件”而未将“电子加密投标文件”成功上传至“政府采购云平台”的，投标无效。</w:t>
            </w:r>
          </w:p>
          <w:p>
            <w:pPr>
              <w:spacing w:line="400" w:lineRule="exact"/>
              <w:ind w:left="19" w:right="199" w:rightChars="95" w:hanging="19" w:hangingChars="8"/>
              <w:rPr>
                <w:rFonts w:hint="eastAsia" w:ascii="宋体" w:hAnsi="宋体" w:cs="宋体"/>
                <w:b/>
                <w:bCs/>
                <w:color w:val="000000"/>
                <w:sz w:val="24"/>
                <w:lang w:bidi="ar"/>
              </w:rPr>
            </w:pPr>
            <w:r>
              <w:rPr>
                <w:rFonts w:hint="eastAsia" w:ascii="宋体" w:hAnsi="宋体" w:cs="宋体"/>
                <w:b/>
                <w:bCs/>
                <w:color w:val="000000"/>
                <w:sz w:val="24"/>
                <w:lang w:bidi="ar"/>
              </w:rPr>
              <w:t>7、电子加密磋商文件的解密和异常情况处理：</w:t>
            </w:r>
          </w:p>
          <w:p>
            <w:pPr>
              <w:autoSpaceDE w:val="0"/>
              <w:autoSpaceDN w:val="0"/>
              <w:adjustRightInd w:val="0"/>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（1）开标后，采购组织机构将向各供应商发出“电子加密磋商文件”的解密通知，各供应商代表应当在接到解密通知后30分钟内自行完成“电子加密磋商文件”的在线解密。</w:t>
            </w:r>
          </w:p>
          <w:p>
            <w:pPr>
              <w:autoSpaceDE w:val="0"/>
              <w:autoSpaceDN w:val="0"/>
              <w:adjustRightInd w:val="0"/>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2）通过“政府采购云平台”成功上传递交的“电子加密磋商文件”无法按时解密，供应商如按规定递交了“备份磋商文件”的，以“备份磋商文件”为依据（由采购组织机构按“政府采购云平台”操作规范将“备份磋商文件”上传至“政府采购云平台”，上传成功后，“电子加密磋商文件”自动失效），否则视为磋商文件撤回。</w:t>
            </w:r>
          </w:p>
          <w:p>
            <w:pPr>
              <w:autoSpaceDE w:val="0"/>
              <w:autoSpaceDN w:val="0"/>
              <w:adjustRightInd w:val="0"/>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（3）投标截止时间前，供应商仅递交了“备份磋商文件”而未将电子加密磋商文件上传至“政府采购云平台”的，投标无效。</w:t>
            </w:r>
          </w:p>
          <w:p>
            <w:pPr>
              <w:snapToGrid w:val="0"/>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（4）投标截止后，在投标有效期内，供应商不能撤销磋商文件。</w:t>
            </w:r>
          </w:p>
          <w:p>
            <w:pPr>
              <w:snapToGrid w:val="0"/>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8、投标截止后，在投标有效期内，供应商不能撤销磋商文件</w:t>
            </w:r>
          </w:p>
          <w:p>
            <w:pPr>
              <w:snapToGrid w:val="0"/>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9、成交后，供应商拒绝签订合同的，采购人可以按照评审报告推荐的成交候选人名单排序，确定下一候选人为成交供应商，也可以重新开展政府采购活动。</w:t>
            </w:r>
          </w:p>
          <w:p>
            <w:pPr>
              <w:snapToGrid w:val="0"/>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10、存在下列行为的，招标代理机构将其失信行为上报政府采购主管部门，由主管部门按有关规定对其违法失信行为记录进行公开：</w:t>
            </w:r>
          </w:p>
          <w:p>
            <w:pPr>
              <w:snapToGrid w:val="0"/>
              <w:spacing w:line="400" w:lineRule="exact"/>
              <w:ind w:left="19" w:right="199" w:rightChars="95" w:hanging="19" w:hangingChars="8"/>
              <w:rPr>
                <w:rFonts w:hint="eastAsia" w:ascii="宋体" w:hAnsi="宋体" w:cs="宋体"/>
                <w:color w:val="000000"/>
                <w:sz w:val="24"/>
                <w:lang w:bidi="ar"/>
              </w:rPr>
            </w:pPr>
            <w:r>
              <w:rPr>
                <w:rFonts w:hint="eastAsia" w:ascii="宋体" w:hAnsi="宋体" w:cs="宋体"/>
                <w:color w:val="000000"/>
                <w:sz w:val="24"/>
                <w:lang w:bidi="ar"/>
              </w:rPr>
              <w:t>（1）中标或者成交后，拒绝签订政府采购合同的；</w:t>
            </w:r>
          </w:p>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lang w:bidi="ar"/>
              </w:rPr>
              <w:t>（2）投标有效期内撤销磋商文件的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26"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adjustRightInd w:val="0"/>
              <w:spacing w:line="400" w:lineRule="exact"/>
              <w:ind w:left="12" w:right="199" w:rightChars="95" w:hanging="12" w:hangingChars="5"/>
              <w:rPr>
                <w:rFonts w:hint="eastAsia" w:ascii="宋体" w:hAnsi="宋体" w:cs="宋体"/>
                <w:sz w:val="24"/>
              </w:rPr>
            </w:pPr>
            <w:r>
              <w:rPr>
                <w:rFonts w:hint="eastAsia" w:ascii="宋体" w:hAnsi="宋体" w:cs="宋体"/>
                <w:sz w:val="24"/>
              </w:rPr>
              <w:t>投标样品</w:t>
            </w:r>
          </w:p>
        </w:tc>
        <w:tc>
          <w:tcPr>
            <w:tcW w:w="6577" w:type="dxa"/>
            <w:noWrap w:val="0"/>
            <w:vAlign w:val="center"/>
          </w:tcPr>
          <w:p>
            <w:pPr>
              <w:adjustRightInd w:val="0"/>
              <w:spacing w:line="400" w:lineRule="exact"/>
              <w:ind w:left="19" w:right="199" w:rightChars="95" w:hanging="19" w:hangingChars="8"/>
              <w:rPr>
                <w:rFonts w:hint="eastAsia" w:ascii="宋体" w:hAnsi="宋体" w:cs="宋体"/>
                <w:color w:val="FF0000"/>
                <w:sz w:val="24"/>
              </w:rPr>
            </w:pPr>
            <w:r>
              <w:rPr>
                <w:rFonts w:hint="eastAsia" w:ascii="宋体" w:hAnsi="宋体" w:cs="宋体"/>
                <w:color w:val="000000"/>
                <w:sz w:val="24"/>
              </w:rPr>
              <w:fldChar w:fldCharType="begin"/>
            </w:r>
            <w:r>
              <w:rPr>
                <w:rFonts w:hint="eastAsia" w:ascii="宋体" w:hAnsi="宋体" w:cs="宋体"/>
                <w:color w:val="000000"/>
                <w:sz w:val="24"/>
              </w:rPr>
              <w:instrText xml:space="preserve"> eq \o\ac(</w:instrText>
            </w:r>
            <w:r>
              <w:rPr>
                <w:rFonts w:hint="eastAsia" w:ascii="宋体" w:hAnsi="宋体" w:cs="宋体"/>
                <w:color w:val="000000"/>
                <w:position w:val="-4"/>
                <w:sz w:val="36"/>
              </w:rPr>
              <w:instrText xml:space="preserve">□</w:instrText>
            </w:r>
            <w:r>
              <w:rPr>
                <w:rFonts w:hint="eastAsia" w:ascii="宋体" w:hAnsi="宋体" w:cs="宋体"/>
                <w:color w:val="000000"/>
                <w:sz w:val="24"/>
              </w:rPr>
              <w:instrText xml:space="preserve">)</w:instrText>
            </w:r>
            <w:r>
              <w:rPr>
                <w:rFonts w:hint="eastAsia" w:ascii="宋体" w:hAnsi="宋体" w:cs="宋体"/>
                <w:color w:val="000000"/>
                <w:sz w:val="24"/>
              </w:rPr>
              <w:fldChar w:fldCharType="end"/>
            </w:r>
            <w:r>
              <w:rPr>
                <w:rFonts w:hint="eastAsia" w:ascii="宋体" w:hAnsi="宋体" w:cs="宋体"/>
                <w:color w:val="000000"/>
                <w:sz w:val="24"/>
              </w:rPr>
              <w:t>不需要</w:t>
            </w:r>
          </w:p>
          <w:p>
            <w:pPr>
              <w:adjustRightInd w:val="0"/>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sym w:font="Wingdings 2" w:char="0052"/>
            </w:r>
            <w:r>
              <w:rPr>
                <w:rFonts w:hint="eastAsia" w:ascii="宋体" w:hAnsi="宋体" w:cs="宋体"/>
                <w:color w:val="000000"/>
                <w:sz w:val="24"/>
              </w:rPr>
              <w:t>需要</w:t>
            </w:r>
            <w:r>
              <w:rPr>
                <w:rFonts w:hint="eastAsia" w:ascii="宋体" w:hAnsi="宋体" w:cs="宋体"/>
                <w:color w:val="auto"/>
                <w:sz w:val="24"/>
                <w:lang w:eastAsia="zh-CN"/>
              </w:rPr>
              <w:t>（本次招标项目需要样品，其中包含实物小样和视频样品演示两个部分（详见小样清单及视频演示样品清单）。实物小样请以邮递形式寄至玉环市公共资源交易中心采购代理，视频样品演示请发送至电子邮箱</w:t>
            </w:r>
            <w:r>
              <w:rPr>
                <w:rFonts w:ascii="宋体" w:hAnsi="宋体" w:cs="宋体"/>
                <w:color w:val="000000"/>
                <w:sz w:val="24"/>
              </w:rPr>
              <w:fldChar w:fldCharType="begin"/>
            </w:r>
            <w:r>
              <w:rPr>
                <w:rFonts w:ascii="宋体" w:hAnsi="宋体" w:cs="宋体"/>
                <w:color w:val="000000"/>
                <w:sz w:val="24"/>
              </w:rPr>
              <w:instrText xml:space="preserve"> HYPERLINK "mailto:</w:instrText>
            </w:r>
            <w:r>
              <w:rPr>
                <w:rFonts w:hint="eastAsia" w:ascii="宋体" w:hAnsi="宋体" w:cs="宋体"/>
                <w:color w:val="000000"/>
                <w:sz w:val="24"/>
              </w:rPr>
              <w:instrText xml:space="preserve">503329416@qq.com</w:instrText>
            </w:r>
            <w:r>
              <w:rPr>
                <w:rFonts w:ascii="宋体" w:hAnsi="宋体" w:cs="宋体"/>
                <w:color w:val="000000"/>
                <w:sz w:val="24"/>
              </w:rPr>
              <w:instrText xml:space="preserve">" </w:instrText>
            </w:r>
            <w:r>
              <w:rPr>
                <w:rFonts w:ascii="宋体" w:hAnsi="宋体" w:cs="宋体"/>
                <w:color w:val="000000"/>
                <w:sz w:val="24"/>
              </w:rPr>
              <w:fldChar w:fldCharType="separate"/>
            </w:r>
            <w:r>
              <w:rPr>
                <w:rStyle w:val="34"/>
                <w:rFonts w:hint="eastAsia" w:ascii="宋体" w:hAnsi="宋体" w:cs="宋体"/>
                <w:sz w:val="24"/>
              </w:rPr>
              <w:t>503329416@qq.com</w:t>
            </w:r>
            <w:r>
              <w:rPr>
                <w:rFonts w:ascii="宋体" w:hAnsi="宋体" w:cs="宋体"/>
                <w:color w:val="000000"/>
                <w:sz w:val="24"/>
              </w:rPr>
              <w:fldChar w:fldCharType="end"/>
            </w:r>
            <w:r>
              <w:rPr>
                <w:rFonts w:hint="eastAsia" w:ascii="宋体" w:hAnsi="宋体" w:cs="宋体"/>
                <w:color w:val="000000"/>
                <w:sz w:val="24"/>
                <w:lang w:eastAsia="zh-CN"/>
              </w:rPr>
              <w:t>，样品以交易中心收到邮寄及电子邮件时间为准，请勿延期送达。</w:t>
            </w:r>
            <w:r>
              <w:rPr>
                <w:rFonts w:hint="eastAsia" w:ascii="宋体" w:hAnsi="宋体" w:cs="宋体"/>
                <w:color w:val="auto"/>
                <w:sz w:val="24"/>
                <w:lang w:eastAsia="zh-CN"/>
              </w:rPr>
              <w:t>视频样品演示，请尽可能多角度、多种距离的展现并讲解产品外形、功能、材质等。）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26"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autoSpaceDE w:val="0"/>
              <w:autoSpaceDN w:val="0"/>
              <w:adjustRightInd w:val="0"/>
              <w:spacing w:line="360" w:lineRule="auto"/>
              <w:jc w:val="center"/>
              <w:rPr>
                <w:rFonts w:hint="eastAsia" w:asciiTheme="majorEastAsia" w:hAnsiTheme="majorEastAsia" w:eastAsiaTheme="majorEastAsia" w:cstheme="majorEastAsia"/>
                <w:kern w:val="2"/>
                <w:sz w:val="24"/>
                <w:szCs w:val="24"/>
                <w:lang w:val="en-US" w:eastAsia="zh-CN" w:bidi="ar-SA"/>
              </w:rPr>
            </w:pPr>
            <w:r>
              <w:rPr>
                <w:rFonts w:hint="eastAsia" w:asciiTheme="majorEastAsia" w:hAnsiTheme="majorEastAsia" w:eastAsiaTheme="majorEastAsia" w:cstheme="majorEastAsia"/>
                <w:sz w:val="24"/>
              </w:rPr>
              <w:t>小微企业查询</w:t>
            </w:r>
          </w:p>
        </w:tc>
        <w:tc>
          <w:tcPr>
            <w:tcW w:w="6577" w:type="dxa"/>
            <w:noWrap w:val="0"/>
            <w:vAlign w:val="center"/>
          </w:tcPr>
          <w:p>
            <w:pPr>
              <w:snapToGrid w:val="0"/>
              <w:spacing w:line="360" w:lineRule="auto"/>
              <w:jc w:val="left"/>
              <w:rPr>
                <w:rFonts w:hint="eastAsia" w:cs="Arial" w:asciiTheme="minorEastAsia" w:hAnsiTheme="minorEastAsia" w:eastAsiaTheme="minorEastAsia"/>
                <w:kern w:val="2"/>
                <w:sz w:val="24"/>
                <w:szCs w:val="24"/>
                <w:lang w:val="en-US" w:eastAsia="zh-CN" w:bidi="ar-SA"/>
              </w:rPr>
            </w:pPr>
            <w:r>
              <w:rPr>
                <w:rFonts w:hint="eastAsia" w:cs="Arial" w:asciiTheme="minorEastAsia" w:hAnsiTheme="minorEastAsia" w:eastAsiaTheme="minorEastAsia"/>
                <w:b/>
                <w:bCs/>
                <w:color w:val="000000" w:themeColor="text1"/>
                <w:sz w:val="24"/>
                <w14:textFill>
                  <w14:solidFill>
                    <w14:schemeClr w14:val="tx1"/>
                  </w14:solidFill>
                </w14:textFill>
              </w:rPr>
              <w:t>核查渠道：http://xwqy.gsxt.gov.cn/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497"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投标保证金</w:t>
            </w:r>
          </w:p>
        </w:tc>
        <w:tc>
          <w:tcPr>
            <w:tcW w:w="6577" w:type="dxa"/>
            <w:noWrap w:val="0"/>
            <w:vAlign w:val="center"/>
          </w:tcPr>
          <w:p>
            <w:pPr>
              <w:widowControl/>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219"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adjustRightInd w:val="0"/>
              <w:spacing w:line="400" w:lineRule="exact"/>
              <w:ind w:left="12" w:right="199" w:rightChars="95" w:hanging="12" w:hangingChars="5"/>
              <w:rPr>
                <w:rFonts w:hint="eastAsia" w:ascii="宋体" w:hAnsi="宋体" w:cs="宋体"/>
                <w:color w:val="FF0000"/>
                <w:sz w:val="24"/>
              </w:rPr>
            </w:pPr>
            <w:r>
              <w:rPr>
                <w:rFonts w:hint="eastAsia" w:ascii="宋体" w:hAnsi="宋体" w:cs="宋体"/>
                <w:color w:val="FF0000"/>
                <w:sz w:val="24"/>
              </w:rPr>
              <w:t>履约担保</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□不需要</w:t>
            </w:r>
          </w:p>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fldChar w:fldCharType="begin"/>
            </w:r>
            <w:r>
              <w:rPr>
                <w:rFonts w:hint="eastAsia" w:ascii="宋体" w:hAnsi="宋体" w:cs="宋体"/>
                <w:color w:val="000000"/>
                <w:sz w:val="24"/>
              </w:rPr>
              <w:instrText xml:space="preserve"> eq \o\ac(</w:instrText>
            </w:r>
            <w:r>
              <w:rPr>
                <w:rFonts w:hint="eastAsia" w:ascii="宋体" w:hAnsi="宋体" w:cs="宋体"/>
                <w:color w:val="000000"/>
                <w:position w:val="-4"/>
                <w:sz w:val="36"/>
              </w:rPr>
              <w:instrText xml:space="preserve">□,</w:instrText>
            </w:r>
            <w:r>
              <w:rPr>
                <w:rFonts w:hint="eastAsia" w:ascii="宋体" w:hAnsi="宋体" w:cs="宋体"/>
                <w:color w:val="000000"/>
                <w:sz w:val="25"/>
              </w:rPr>
              <w:instrText xml:space="preserve">√</w:instrText>
            </w:r>
            <w:r>
              <w:rPr>
                <w:rFonts w:hint="eastAsia" w:ascii="宋体" w:hAnsi="宋体" w:cs="宋体"/>
                <w:color w:val="000000"/>
                <w:sz w:val="24"/>
              </w:rPr>
              <w:instrText xml:space="preserve">)</w:instrText>
            </w:r>
            <w:r>
              <w:rPr>
                <w:rFonts w:hint="eastAsia" w:ascii="宋体" w:hAnsi="宋体" w:cs="宋体"/>
                <w:color w:val="000000"/>
                <w:sz w:val="24"/>
              </w:rPr>
              <w:fldChar w:fldCharType="end"/>
            </w:r>
            <w:r>
              <w:rPr>
                <w:rFonts w:hint="eastAsia" w:ascii="宋体" w:hAnsi="宋体" w:cs="宋体"/>
                <w:color w:val="000000"/>
                <w:sz w:val="24"/>
              </w:rPr>
              <w:t>需要   签订合同后，中标（成交）方须在3日内提供合同金额</w:t>
            </w:r>
            <w:r>
              <w:rPr>
                <w:rFonts w:hint="eastAsia" w:ascii="宋体" w:hAnsi="宋体" w:cs="宋体"/>
                <w:color w:val="FF0000"/>
                <w:sz w:val="24"/>
                <w:lang w:val="en-US" w:eastAsia="zh-CN"/>
              </w:rPr>
              <w:t>1</w:t>
            </w:r>
            <w:r>
              <w:rPr>
                <w:rFonts w:hint="eastAsia" w:ascii="宋体" w:hAnsi="宋体" w:cs="宋体"/>
                <w:color w:val="FF0000"/>
                <w:sz w:val="24"/>
              </w:rPr>
              <w:t>%</w:t>
            </w:r>
            <w:r>
              <w:rPr>
                <w:rFonts w:hint="eastAsia" w:ascii="宋体" w:hAnsi="宋体" w:cs="宋体"/>
                <w:color w:val="000000"/>
                <w:sz w:val="24"/>
              </w:rPr>
              <w:t>的履约保证金至采购人账户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19"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磋商文件获取方式</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登录浙江省政府采购网（网址：</w:t>
            </w:r>
            <w:r>
              <w:rPr>
                <w:rFonts w:hint="eastAsia" w:ascii="宋体" w:hAnsi="宋体" w:cs="宋体"/>
                <w:color w:val="000000"/>
                <w:sz w:val="24"/>
              </w:rPr>
              <w:fldChar w:fldCharType="begin"/>
            </w:r>
            <w:r>
              <w:rPr>
                <w:rFonts w:hint="eastAsia" w:ascii="宋体" w:hAnsi="宋体" w:cs="宋体"/>
                <w:color w:val="000000"/>
                <w:sz w:val="24"/>
              </w:rPr>
              <w:instrText xml:space="preserve"> HYPERLINK "http://www.zjzfcg.gov.cn）查找本项目并获取采购文件，获取采购文件时应填写正确的电子邮箱。" </w:instrText>
            </w:r>
            <w:r>
              <w:rPr>
                <w:rFonts w:hint="eastAsia" w:ascii="宋体" w:hAnsi="宋体" w:cs="宋体"/>
                <w:color w:val="000000"/>
                <w:sz w:val="24"/>
              </w:rPr>
              <w:fldChar w:fldCharType="separate"/>
            </w:r>
            <w:r>
              <w:rPr>
                <w:rFonts w:hint="eastAsia" w:ascii="宋体" w:hAnsi="宋体" w:cs="宋体"/>
                <w:color w:val="000000"/>
                <w:sz w:val="24"/>
              </w:rPr>
              <w:t>http://www.zjzfcg.gov.cn）查找本项目并获取采购文件，获取采购文件时应填写正确的电子邮箱（开标时文件传输均发至此邮箱）。</w:t>
            </w:r>
            <w:r>
              <w:rPr>
                <w:rFonts w:hint="eastAsia" w:ascii="宋体" w:hAnsi="宋体" w:cs="宋体"/>
                <w:color w:val="000000"/>
                <w:sz w:val="24"/>
              </w:rPr>
              <w:br w:type="textWrapping"/>
            </w:r>
            <w:r>
              <w:rPr>
                <w:rFonts w:hint="eastAsia" w:ascii="宋体" w:hAnsi="宋体" w:cs="宋体"/>
                <w:color w:val="000000"/>
                <w:sz w:val="24"/>
              </w:rPr>
              <w:fldChar w:fldCharType="end"/>
            </w:r>
            <w:r>
              <w:rPr>
                <w:rFonts w:hint="eastAsia" w:ascii="宋体" w:hAnsi="宋体" w:cs="宋体"/>
                <w:color w:val="000000"/>
                <w:sz w:val="24"/>
              </w:rPr>
              <w:t>采购文件获取截止时间：本项目开标时间。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25"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磋商截止时间</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lang w:eastAsia="zh-CN"/>
              </w:rPr>
              <w:t>202</w:t>
            </w:r>
            <w:r>
              <w:rPr>
                <w:rFonts w:hint="eastAsia" w:ascii="宋体" w:hAnsi="宋体" w:cs="宋体"/>
                <w:color w:val="auto"/>
                <w:sz w:val="24"/>
                <w:lang w:eastAsia="zh-CN"/>
              </w:rPr>
              <w:t>2</w:t>
            </w:r>
            <w:r>
              <w:rPr>
                <w:rFonts w:hint="eastAsia" w:ascii="宋体" w:hAnsi="宋体" w:cs="宋体"/>
                <w:color w:val="auto"/>
                <w:sz w:val="24"/>
              </w:rPr>
              <w:t>年</w:t>
            </w:r>
            <w:r>
              <w:rPr>
                <w:rFonts w:hint="eastAsia" w:ascii="宋体" w:hAnsi="宋体" w:cs="宋体"/>
                <w:color w:val="auto"/>
                <w:sz w:val="24"/>
                <w:lang w:val="en-US" w:eastAsia="zh-CN"/>
              </w:rPr>
              <w:t>7</w:t>
            </w:r>
            <w:r>
              <w:rPr>
                <w:rFonts w:hint="eastAsia" w:ascii="宋体" w:hAnsi="宋体" w:cs="宋体"/>
                <w:color w:val="auto"/>
                <w:sz w:val="24"/>
              </w:rPr>
              <w:t>月</w:t>
            </w:r>
            <w:r>
              <w:rPr>
                <w:rFonts w:hint="eastAsia" w:ascii="宋体" w:hAnsi="宋体" w:cs="宋体"/>
                <w:color w:val="auto"/>
                <w:sz w:val="24"/>
                <w:lang w:val="en-US" w:eastAsia="zh-CN"/>
              </w:rPr>
              <w:t>19</w:t>
            </w:r>
            <w:r>
              <w:rPr>
                <w:rFonts w:hint="eastAsia" w:ascii="宋体" w:hAnsi="宋体" w:cs="宋体"/>
                <w:color w:val="auto"/>
                <w:sz w:val="24"/>
              </w:rPr>
              <w:t>日上午</w:t>
            </w:r>
            <w:r>
              <w:rPr>
                <w:rFonts w:hint="eastAsia" w:ascii="宋体" w:hAnsi="宋体" w:cs="宋体"/>
                <w:color w:val="auto"/>
                <w:sz w:val="24"/>
                <w:lang w:val="en-US" w:eastAsia="zh-CN"/>
              </w:rPr>
              <w:t>09:00</w:t>
            </w:r>
            <w:r>
              <w:rPr>
                <w:rFonts w:hint="eastAsia" w:ascii="宋体" w:hAnsi="宋体" w:cs="宋体"/>
                <w:color w:val="000000"/>
                <w:sz w:val="24"/>
              </w:rPr>
              <w:t>截止(北京时间)。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25"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磋商文件递交地点</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通过“政府采购云平台（www.zcygov.cn）”实行在线投标响应</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634"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磋商时间</w:t>
            </w:r>
          </w:p>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磋商地点</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开标时间：</w:t>
            </w:r>
            <w:r>
              <w:rPr>
                <w:rFonts w:hint="eastAsia" w:ascii="宋体" w:hAnsi="宋体" w:cs="宋体"/>
                <w:color w:val="000000"/>
                <w:sz w:val="24"/>
                <w:lang w:eastAsia="zh-CN"/>
              </w:rPr>
              <w:t>202</w:t>
            </w:r>
            <w:r>
              <w:rPr>
                <w:rFonts w:hint="eastAsia" w:ascii="宋体" w:hAnsi="宋体" w:cs="宋体"/>
                <w:color w:val="auto"/>
                <w:sz w:val="24"/>
                <w:lang w:eastAsia="zh-CN"/>
              </w:rPr>
              <w:t>2</w:t>
            </w:r>
            <w:r>
              <w:rPr>
                <w:rFonts w:hint="eastAsia" w:ascii="宋体" w:hAnsi="宋体" w:cs="宋体"/>
                <w:color w:val="auto"/>
                <w:sz w:val="24"/>
              </w:rPr>
              <w:t>年</w:t>
            </w:r>
            <w:r>
              <w:rPr>
                <w:rFonts w:hint="eastAsia" w:ascii="宋体" w:hAnsi="宋体" w:cs="宋体"/>
                <w:color w:val="auto"/>
                <w:sz w:val="24"/>
                <w:lang w:val="en-US" w:eastAsia="zh-CN"/>
              </w:rPr>
              <w:t>7</w:t>
            </w:r>
            <w:r>
              <w:rPr>
                <w:rFonts w:hint="eastAsia" w:ascii="宋体" w:hAnsi="宋体" w:cs="宋体"/>
                <w:color w:val="auto"/>
                <w:sz w:val="24"/>
              </w:rPr>
              <w:t>月</w:t>
            </w:r>
            <w:r>
              <w:rPr>
                <w:rFonts w:hint="eastAsia" w:ascii="宋体" w:hAnsi="宋体" w:cs="宋体"/>
                <w:color w:val="auto"/>
                <w:sz w:val="24"/>
                <w:lang w:val="en-US" w:eastAsia="zh-CN"/>
              </w:rPr>
              <w:t>19</w:t>
            </w:r>
            <w:r>
              <w:rPr>
                <w:rFonts w:hint="eastAsia" w:ascii="宋体" w:hAnsi="宋体" w:cs="宋体"/>
                <w:color w:val="auto"/>
                <w:sz w:val="24"/>
              </w:rPr>
              <w:t>日上午</w:t>
            </w:r>
            <w:r>
              <w:rPr>
                <w:rFonts w:hint="eastAsia" w:ascii="宋体" w:hAnsi="宋体" w:cs="宋体"/>
                <w:color w:val="auto"/>
                <w:sz w:val="24"/>
                <w:lang w:val="en-US" w:eastAsia="zh-CN"/>
              </w:rPr>
              <w:t>09:00</w:t>
            </w:r>
            <w:r>
              <w:rPr>
                <w:rFonts w:hint="eastAsia" w:ascii="宋体" w:hAnsi="宋体" w:cs="宋体"/>
                <w:color w:val="000000"/>
                <w:sz w:val="24"/>
              </w:rPr>
              <w:t>(北京时间)</w:t>
            </w:r>
          </w:p>
          <w:p>
            <w:pPr>
              <w:spacing w:line="380" w:lineRule="exact"/>
              <w:rPr>
                <w:rFonts w:hint="eastAsia" w:ascii="宋体" w:hAnsi="宋体" w:cs="宋体"/>
                <w:color w:val="000000"/>
                <w:sz w:val="24"/>
              </w:rPr>
            </w:pPr>
            <w:r>
              <w:rPr>
                <w:rFonts w:hint="eastAsia" w:ascii="宋体" w:hAnsi="宋体" w:cs="宋体"/>
                <w:color w:val="000000"/>
                <w:sz w:val="24"/>
              </w:rPr>
              <w:t>开标地点：“政府采购云平台”线上开标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1213"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竞争性磋商小组的组建</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评审委员会构成： 由采购人代表以及有关技术、经济等方面的专家组成，成员为3人及以上单数，其中技术、经济类专家不得少于总人数的2/3；评标专家确定方式：按相关规定从专家库中抽取。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1496"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adjustRightInd w:val="0"/>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政府采购</w:t>
            </w:r>
          </w:p>
          <w:p>
            <w:pPr>
              <w:adjustRightInd w:val="0"/>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扶持政策</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对节能、环保产品优先采购。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217"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供应商信用查询</w:t>
            </w:r>
          </w:p>
        </w:tc>
        <w:tc>
          <w:tcPr>
            <w:tcW w:w="6577" w:type="dxa"/>
            <w:noWrap w:val="0"/>
            <w:vAlign w:val="center"/>
          </w:tcPr>
          <w:p>
            <w:pPr>
              <w:spacing w:line="400" w:lineRule="exact"/>
              <w:ind w:left="19" w:right="199" w:rightChars="95" w:hanging="19" w:hangingChars="8"/>
              <w:rPr>
                <w:rFonts w:hint="eastAsia" w:ascii="宋体" w:hAnsi="宋体" w:cs="宋体"/>
                <w:sz w:val="24"/>
              </w:rPr>
            </w:pPr>
            <w:r>
              <w:rPr>
                <w:rFonts w:hint="eastAsia" w:ascii="宋体" w:hAnsi="宋体" w:cs="宋体"/>
                <w:sz w:val="24"/>
              </w:rPr>
              <w:t>1、投标供应商信用信息查询的查询渠道：“信用中国”(</w:t>
            </w:r>
            <w:r>
              <w:rPr>
                <w:rFonts w:hint="eastAsia" w:ascii="宋体" w:hAnsi="宋体" w:cs="宋体"/>
                <w:sz w:val="24"/>
              </w:rPr>
              <w:fldChar w:fldCharType="begin"/>
            </w:r>
            <w:r>
              <w:rPr>
                <w:rFonts w:hint="eastAsia" w:ascii="宋体" w:hAnsi="宋体" w:cs="宋体"/>
                <w:sz w:val="24"/>
              </w:rPr>
              <w:instrText xml:space="preserve"> HYPERLINK "http://www.creditchina.gov.cn/" </w:instrText>
            </w:r>
            <w:r>
              <w:rPr>
                <w:rFonts w:hint="eastAsia" w:ascii="宋体" w:hAnsi="宋体" w:cs="宋体"/>
                <w:sz w:val="24"/>
              </w:rPr>
              <w:fldChar w:fldCharType="separate"/>
            </w:r>
            <w:r>
              <w:rPr>
                <w:rFonts w:hint="eastAsia" w:ascii="宋体" w:hAnsi="宋体" w:cs="宋体"/>
                <w:sz w:val="24"/>
              </w:rPr>
              <w:t>www.creditchina.gov.cn</w:t>
            </w:r>
            <w:r>
              <w:rPr>
                <w:rFonts w:hint="eastAsia" w:ascii="宋体" w:hAnsi="宋体" w:cs="宋体"/>
                <w:sz w:val="24"/>
              </w:rPr>
              <w:fldChar w:fldCharType="end"/>
            </w:r>
            <w:r>
              <w:rPr>
                <w:rFonts w:hint="eastAsia" w:ascii="宋体" w:hAnsi="宋体" w:cs="宋体"/>
                <w:sz w:val="24"/>
              </w:rPr>
              <w:t>)；“中国政府采购网”（http://www.ccgp.gov.cn/）；</w:t>
            </w:r>
          </w:p>
          <w:p>
            <w:pPr>
              <w:spacing w:line="400" w:lineRule="exact"/>
              <w:ind w:left="19" w:right="199" w:rightChars="95" w:hanging="19" w:hangingChars="8"/>
              <w:rPr>
                <w:rFonts w:hint="eastAsia" w:ascii="宋体" w:hAnsi="宋体" w:cs="宋体"/>
                <w:sz w:val="24"/>
              </w:rPr>
            </w:pPr>
            <w:r>
              <w:rPr>
                <w:rFonts w:hint="eastAsia" w:ascii="宋体" w:hAnsi="宋体" w:cs="宋体"/>
                <w:sz w:val="24"/>
              </w:rPr>
              <w:t>2、投标供应商信用信息查询截止时点：本项目投标截止时间。</w:t>
            </w:r>
          </w:p>
          <w:p>
            <w:pPr>
              <w:spacing w:line="400" w:lineRule="exact"/>
              <w:ind w:left="19" w:right="199" w:rightChars="95" w:hanging="19" w:hangingChars="8"/>
              <w:rPr>
                <w:rFonts w:hint="eastAsia" w:ascii="宋体" w:hAnsi="宋体" w:cs="宋体"/>
                <w:sz w:val="24"/>
              </w:rPr>
            </w:pPr>
            <w:r>
              <w:rPr>
                <w:rFonts w:hint="eastAsia" w:ascii="宋体" w:hAnsi="宋体" w:cs="宋体"/>
                <w:sz w:val="24"/>
              </w:rPr>
              <w:t>3、投标供应商信用信息查询记录和证据留存的具体方式：网页截图打印；</w:t>
            </w:r>
          </w:p>
          <w:p>
            <w:pPr>
              <w:spacing w:line="400" w:lineRule="exact"/>
              <w:ind w:left="19" w:right="199" w:rightChars="95" w:hanging="19" w:hangingChars="8"/>
              <w:rPr>
                <w:rFonts w:hint="eastAsia" w:ascii="宋体" w:hAnsi="宋体" w:cs="宋体"/>
                <w:sz w:val="24"/>
              </w:rPr>
            </w:pPr>
            <w:r>
              <w:rPr>
                <w:rFonts w:hint="eastAsia" w:ascii="宋体" w:hAnsi="宋体" w:cs="宋体"/>
                <w:sz w:val="24"/>
              </w:rPr>
              <w:t>4、信用信息的使用规则：“信用中国”被列入失信被执行人名单、重大税收违法案件当事人名单的供应商，或“中国政府采购网”具有严重违法失信行为信息记录的供应商，其投标做无效投标处理。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217"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磋商文件备案</w:t>
            </w:r>
          </w:p>
        </w:tc>
        <w:tc>
          <w:tcPr>
            <w:tcW w:w="6577" w:type="dxa"/>
            <w:noWrap w:val="0"/>
            <w:vAlign w:val="center"/>
          </w:tcPr>
          <w:p>
            <w:pPr>
              <w:spacing w:line="400" w:lineRule="exact"/>
              <w:ind w:left="19" w:right="199" w:rightChars="95" w:hanging="19" w:hangingChars="8"/>
              <w:rPr>
                <w:rFonts w:hint="eastAsia" w:ascii="宋体" w:hAnsi="宋体" w:cs="宋体"/>
                <w:sz w:val="24"/>
              </w:rPr>
            </w:pPr>
            <w:r>
              <w:rPr>
                <w:rFonts w:hint="eastAsia" w:ascii="宋体" w:hAnsi="宋体" w:cs="宋体"/>
                <w:sz w:val="24"/>
              </w:rPr>
              <w:t>成交单位需在成交确认后7个工作日内，</w:t>
            </w:r>
            <w:r>
              <w:rPr>
                <w:rFonts w:hint="eastAsia" w:ascii="宋体" w:hAnsi="宋体" w:cs="宋体"/>
                <w:sz w:val="24"/>
                <w:lang w:eastAsia="zh-CN"/>
              </w:rPr>
              <w:t>提供</w:t>
            </w:r>
            <w:r>
              <w:rPr>
                <w:rFonts w:hint="eastAsia" w:ascii="宋体" w:hAnsi="宋体" w:cs="宋体"/>
                <w:sz w:val="24"/>
              </w:rPr>
              <w:t>1套纸质投标资料至</w:t>
            </w:r>
            <w:r>
              <w:rPr>
                <w:rFonts w:hint="eastAsia" w:ascii="宋体" w:hAnsi="宋体" w:cs="宋体"/>
                <w:sz w:val="24"/>
                <w:lang w:eastAsia="zh-CN"/>
              </w:rPr>
              <w:t>采购人处</w:t>
            </w:r>
            <w:r>
              <w:rPr>
                <w:rFonts w:hint="eastAsia" w:ascii="宋体" w:hAnsi="宋体" w:cs="宋体"/>
                <w:sz w:val="24"/>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824"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合同备案</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1、成交方须在发出成交通知书之日起30日历天内与采购人签订合同。</w:t>
            </w:r>
          </w:p>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2、成交方与采购人签订合同后，</w:t>
            </w:r>
            <w:r>
              <w:rPr>
                <w:rFonts w:hint="eastAsia" w:ascii="宋体" w:hAnsi="宋体" w:cs="宋体"/>
                <w:color w:val="FF0000"/>
                <w:sz w:val="24"/>
              </w:rPr>
              <w:t>需将</w:t>
            </w:r>
            <w:r>
              <w:rPr>
                <w:rFonts w:ascii="宋体" w:hAnsi="宋体" w:cs="宋体"/>
                <w:color w:val="FF0000"/>
                <w:sz w:val="24"/>
              </w:rPr>
              <w:t>合同交</w:t>
            </w:r>
            <w:r>
              <w:rPr>
                <w:rFonts w:hint="eastAsia" w:ascii="宋体" w:hAnsi="宋体" w:cs="宋体"/>
                <w:color w:val="FF0000"/>
                <w:sz w:val="24"/>
              </w:rPr>
              <w:t>至</w:t>
            </w:r>
            <w:r>
              <w:rPr>
                <w:rFonts w:ascii="宋体" w:hAnsi="宋体" w:cs="宋体"/>
                <w:color w:val="FF0000"/>
                <w:sz w:val="24"/>
              </w:rPr>
              <w:t>交易中心，</w:t>
            </w:r>
            <w:r>
              <w:rPr>
                <w:rFonts w:hint="eastAsia" w:ascii="宋体" w:hAnsi="宋体" w:cs="宋体"/>
                <w:color w:val="FF0000"/>
                <w:sz w:val="24"/>
              </w:rPr>
              <w:t>中心</w:t>
            </w:r>
            <w:r>
              <w:rPr>
                <w:rFonts w:ascii="宋体" w:hAnsi="宋体" w:cs="宋体"/>
                <w:color w:val="FF0000"/>
                <w:sz w:val="24"/>
              </w:rPr>
              <w:t>作为</w:t>
            </w:r>
            <w:r>
              <w:rPr>
                <w:rFonts w:hint="eastAsia" w:ascii="宋体" w:hAnsi="宋体" w:cs="宋体"/>
                <w:color w:val="FF0000"/>
                <w:sz w:val="24"/>
              </w:rPr>
              <w:t>鉴证</w:t>
            </w:r>
            <w:r>
              <w:rPr>
                <w:rFonts w:ascii="宋体" w:hAnsi="宋体" w:cs="宋体"/>
                <w:color w:val="FF0000"/>
                <w:sz w:val="24"/>
              </w:rPr>
              <w:t>方</w:t>
            </w:r>
            <w:r>
              <w:rPr>
                <w:rFonts w:hint="eastAsia" w:ascii="宋体" w:hAnsi="宋体" w:cs="宋体"/>
                <w:color w:val="FF0000"/>
                <w:sz w:val="24"/>
              </w:rPr>
              <w:t>签字</w:t>
            </w:r>
            <w:r>
              <w:rPr>
                <w:rFonts w:ascii="宋体" w:hAnsi="宋体" w:cs="宋体"/>
                <w:color w:val="FF0000"/>
                <w:sz w:val="24"/>
              </w:rPr>
              <w:t>盖章</w:t>
            </w:r>
            <w:r>
              <w:rPr>
                <w:rFonts w:hint="eastAsia" w:ascii="宋体" w:hAnsi="宋体" w:cs="宋体"/>
                <w:color w:val="FF0000"/>
                <w:sz w:val="24"/>
              </w:rPr>
              <w:t>并</w:t>
            </w:r>
            <w:r>
              <w:rPr>
                <w:rFonts w:ascii="宋体" w:hAnsi="宋体" w:cs="宋体"/>
                <w:color w:val="FF0000"/>
                <w:sz w:val="24"/>
              </w:rPr>
              <w:t>保留</w:t>
            </w:r>
            <w:r>
              <w:rPr>
                <w:rFonts w:hint="eastAsia" w:ascii="宋体" w:hAnsi="宋体" w:cs="宋体"/>
                <w:color w:val="FF0000"/>
                <w:sz w:val="24"/>
              </w:rPr>
              <w:t>其中2份备案</w:t>
            </w:r>
            <w:r>
              <w:rPr>
                <w:rFonts w:ascii="宋体" w:hAnsi="宋体" w:cs="宋体"/>
                <w:color w:val="FF0000"/>
                <w:sz w:val="24"/>
              </w:rPr>
              <w:t>。</w:t>
            </w:r>
          </w:p>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3、本项目政府采购合同按规定在浙江政府采购网（http://www.zjzfcg.gov.cn/）予以公告。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824"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合同履约管理</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合同签订后，采购人依法加强对合同履约进行管理，并在成交单位供货、项目验收等重要关节，如实填写《合同验收报告》（表附合同条款中），并及时向同级财政部门报告验收过程中遇到的问题。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1316"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免责声明</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1、投标供应商自行承担投标过程中产生的费用。无论何种因素导致采购项目延期开标、废标（流标）、投标供应商未成交、项目终止采购的，采购人与代理机构均不承担供应商投标费用。</w:t>
            </w:r>
          </w:p>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2、投标供应商在投标、合同履行过程中必须做好安全保障工作，不因项目实施而危及自身及第三方人员、财产安全。若发生任何安全事故，由成交方自行承担一切责任并赔偿损失。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1102" w:type="dxa"/>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解释权</w:t>
            </w:r>
          </w:p>
        </w:tc>
        <w:tc>
          <w:tcPr>
            <w:tcW w:w="6577" w:type="dxa"/>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构成本招标文件的各个组成文件应互为解释，互为说明；如有不明确或不一致，构成合同文件组成内容的，以合同文件约定内容为准，且以专用合同条款约定的合同文件优先顺序解释；仅适用于招标投标阶段的约定，按招标公告、投标供应商须知、评标办法、磋商文件格式的先后顺序解释；同一文件中就同一事项的约定不一致的，以逻辑顺序在后者为准；同一文件不同版本之间有不一致的，以形成时间在后者为准。按本款前述约定仍不能形成结论的，由招标代理机构或采购人负责解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1102" w:type="dxa"/>
            <w:tcBorders>
              <w:bottom w:val="single" w:color="auto" w:sz="12" w:space="0"/>
            </w:tcBorders>
            <w:noWrap w:val="0"/>
            <w:vAlign w:val="center"/>
          </w:tcPr>
          <w:p>
            <w:pPr>
              <w:widowControl/>
              <w:numPr>
                <w:ilvl w:val="0"/>
                <w:numId w:val="2"/>
              </w:numPr>
              <w:tabs>
                <w:tab w:val="left" w:pos="420"/>
                <w:tab w:val="clear" w:pos="720"/>
              </w:tabs>
              <w:spacing w:line="400" w:lineRule="exact"/>
              <w:ind w:left="235" w:leftChars="103" w:right="199" w:rightChars="95" w:hanging="19" w:hangingChars="8"/>
              <w:rPr>
                <w:rFonts w:hint="eastAsia" w:ascii="宋体" w:hAnsi="宋体" w:cs="宋体"/>
                <w:color w:val="000000"/>
                <w:sz w:val="24"/>
              </w:rPr>
            </w:pPr>
          </w:p>
        </w:tc>
        <w:tc>
          <w:tcPr>
            <w:tcW w:w="1740" w:type="dxa"/>
            <w:tcBorders>
              <w:bottom w:val="single" w:color="auto" w:sz="12" w:space="0"/>
            </w:tcBorders>
            <w:noWrap w:val="0"/>
            <w:vAlign w:val="center"/>
          </w:tcPr>
          <w:p>
            <w:pPr>
              <w:spacing w:line="400" w:lineRule="exact"/>
              <w:ind w:left="12" w:right="199" w:rightChars="95" w:hanging="12" w:hangingChars="5"/>
              <w:rPr>
                <w:rFonts w:hint="eastAsia" w:ascii="宋体" w:hAnsi="宋体" w:cs="宋体"/>
                <w:color w:val="000000"/>
                <w:sz w:val="24"/>
              </w:rPr>
            </w:pPr>
            <w:r>
              <w:rPr>
                <w:rFonts w:hint="eastAsia" w:ascii="宋体" w:hAnsi="宋体" w:cs="宋体"/>
                <w:color w:val="000000"/>
                <w:sz w:val="24"/>
              </w:rPr>
              <w:t>注意事项</w:t>
            </w:r>
          </w:p>
        </w:tc>
        <w:tc>
          <w:tcPr>
            <w:tcW w:w="6577" w:type="dxa"/>
            <w:tcBorders>
              <w:bottom w:val="single" w:color="auto" w:sz="12" w:space="0"/>
            </w:tcBorders>
            <w:noWrap w:val="0"/>
            <w:vAlign w:val="center"/>
          </w:tcPr>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1.请务必确保磋商文件制作客户端为最新版本，旧版本可能导致磋商文件解密失败。</w:t>
            </w:r>
          </w:p>
          <w:p>
            <w:pPr>
              <w:spacing w:line="400" w:lineRule="exact"/>
              <w:ind w:left="19" w:right="199" w:rightChars="95" w:hanging="19" w:hangingChars="8"/>
              <w:rPr>
                <w:rFonts w:hint="eastAsia" w:ascii="宋体" w:hAnsi="宋体" w:cs="宋体"/>
                <w:color w:val="000000"/>
                <w:sz w:val="24"/>
              </w:rPr>
            </w:pPr>
            <w:r>
              <w:rPr>
                <w:rFonts w:hint="eastAsia" w:ascii="宋体" w:hAnsi="宋体" w:cs="宋体"/>
                <w:color w:val="000000"/>
                <w:sz w:val="24"/>
              </w:rPr>
              <w:t>2.请务必确保磋商文件制作时所用的 CA 锁与磋商文件解密时的 CA 锁为同一把，否则可能导致磋商文件解密失败。</w:t>
            </w:r>
          </w:p>
        </w:tc>
      </w:tr>
    </w:tbl>
    <w:p>
      <w:pPr>
        <w:pStyle w:val="11"/>
        <w:rPr>
          <w:rFonts w:hint="eastAsia"/>
          <w:color w:val="000000"/>
        </w:rPr>
      </w:pPr>
    </w:p>
    <w:p>
      <w:pPr>
        <w:pStyle w:val="11"/>
        <w:spacing w:before="21" w:line="184" w:lineRule="auto"/>
        <w:ind w:right="26" w:firstLine="480"/>
        <w:rPr>
          <w:rFonts w:ascii="宋体" w:hAnsi="宋体"/>
          <w:sz w:val="32"/>
          <w:szCs w:val="32"/>
        </w:rPr>
      </w:pPr>
      <w:r>
        <w:rPr>
          <w:rFonts w:hint="eastAsia" w:ascii="宋体" w:hAnsi="宋体"/>
          <w:sz w:val="32"/>
          <w:szCs w:val="32"/>
        </w:rPr>
        <w:t>为优化政府采购营商环境，缓解供应商资金难题，政采云平台已推广应用</w:t>
      </w:r>
      <w:r>
        <w:rPr>
          <w:rFonts w:ascii="宋体" w:hAnsi="宋体" w:cs="微软雅黑"/>
          <w:sz w:val="32"/>
          <w:szCs w:val="32"/>
        </w:rPr>
        <w:t>“</w:t>
      </w:r>
      <w:r>
        <w:rPr>
          <w:rFonts w:hint="eastAsia" w:ascii="宋体" w:hAnsi="宋体"/>
          <w:sz w:val="32"/>
          <w:szCs w:val="32"/>
        </w:rPr>
        <w:t>政采贷</w:t>
      </w:r>
      <w:r>
        <w:rPr>
          <w:rFonts w:ascii="宋体" w:hAnsi="宋体" w:cs="微软雅黑"/>
          <w:sz w:val="32"/>
          <w:szCs w:val="32"/>
        </w:rPr>
        <w:t>”</w:t>
      </w:r>
      <w:r>
        <w:rPr>
          <w:rFonts w:hint="eastAsia" w:ascii="宋体" w:hAnsi="宋体"/>
          <w:sz w:val="32"/>
          <w:szCs w:val="32"/>
        </w:rPr>
        <w:t>、</w:t>
      </w:r>
      <w:r>
        <w:rPr>
          <w:rFonts w:ascii="宋体" w:hAnsi="宋体" w:cs="微软雅黑"/>
          <w:spacing w:val="-14"/>
          <w:sz w:val="32"/>
          <w:szCs w:val="32"/>
        </w:rPr>
        <w:t>“</w:t>
      </w:r>
      <w:r>
        <w:rPr>
          <w:rFonts w:hint="eastAsia" w:ascii="宋体" w:hAnsi="宋体"/>
          <w:spacing w:val="-14"/>
          <w:sz w:val="32"/>
          <w:szCs w:val="32"/>
        </w:rPr>
        <w:t>政采保</w:t>
      </w:r>
      <w:r>
        <w:rPr>
          <w:rFonts w:ascii="宋体" w:hAnsi="宋体" w:cs="微软雅黑"/>
          <w:spacing w:val="-14"/>
          <w:sz w:val="32"/>
          <w:szCs w:val="32"/>
        </w:rPr>
        <w:t>”</w:t>
      </w:r>
      <w:r>
        <w:rPr>
          <w:rFonts w:hint="eastAsia" w:ascii="宋体" w:hAnsi="宋体"/>
          <w:spacing w:val="-14"/>
          <w:sz w:val="32"/>
          <w:szCs w:val="32"/>
        </w:rPr>
        <w:t>服务，中标供应商如有融资需求，可使用以下金融、保险机构的</w:t>
      </w:r>
      <w:r>
        <w:rPr>
          <w:rFonts w:ascii="宋体" w:hAnsi="宋体" w:cs="微软雅黑"/>
          <w:spacing w:val="-14"/>
          <w:sz w:val="32"/>
          <w:szCs w:val="32"/>
        </w:rPr>
        <w:t>“</w:t>
      </w:r>
      <w:r>
        <w:rPr>
          <w:rFonts w:hint="eastAsia" w:ascii="宋体" w:hAnsi="宋体"/>
          <w:spacing w:val="-14"/>
          <w:sz w:val="32"/>
          <w:szCs w:val="32"/>
        </w:rPr>
        <w:t>政采贷</w:t>
      </w:r>
      <w:r>
        <w:rPr>
          <w:rFonts w:ascii="宋体" w:hAnsi="宋体" w:cs="微软雅黑"/>
          <w:spacing w:val="-14"/>
          <w:sz w:val="32"/>
          <w:szCs w:val="32"/>
        </w:rPr>
        <w:t>”</w:t>
      </w:r>
      <w:r>
        <w:rPr>
          <w:rFonts w:hint="eastAsia" w:ascii="宋体" w:hAnsi="宋体"/>
          <w:spacing w:val="-14"/>
          <w:sz w:val="32"/>
          <w:szCs w:val="32"/>
        </w:rPr>
        <w:t>、</w:t>
      </w:r>
      <w:r>
        <w:rPr>
          <w:rFonts w:ascii="宋体" w:hAnsi="宋体" w:cs="微软雅黑"/>
          <w:spacing w:val="-14"/>
          <w:sz w:val="32"/>
          <w:szCs w:val="32"/>
        </w:rPr>
        <w:t>“</w:t>
      </w:r>
      <w:r>
        <w:rPr>
          <w:rFonts w:hint="eastAsia" w:ascii="宋体" w:hAnsi="宋体"/>
          <w:spacing w:val="-14"/>
          <w:sz w:val="32"/>
          <w:szCs w:val="32"/>
        </w:rPr>
        <w:t>政</w:t>
      </w:r>
      <w:r>
        <w:rPr>
          <w:rFonts w:hint="eastAsia" w:ascii="宋体" w:hAnsi="宋体"/>
          <w:sz w:val="32"/>
          <w:szCs w:val="32"/>
        </w:rPr>
        <w:t>采保</w:t>
      </w:r>
      <w:r>
        <w:rPr>
          <w:rFonts w:ascii="宋体" w:hAnsi="宋体" w:cs="微软雅黑"/>
          <w:sz w:val="32"/>
          <w:szCs w:val="32"/>
        </w:rPr>
        <w:t>”</w:t>
      </w:r>
      <w:r>
        <w:rPr>
          <w:rFonts w:hint="eastAsia" w:ascii="宋体" w:hAnsi="宋体"/>
          <w:sz w:val="32"/>
          <w:szCs w:val="32"/>
        </w:rPr>
        <w:t>服务。</w:t>
      </w:r>
    </w:p>
    <w:p>
      <w:pPr>
        <w:ind w:firstLine="640" w:firstLineChars="200"/>
        <w:rPr>
          <w:rFonts w:hint="eastAsia" w:ascii="宋体" w:hAnsi="宋体"/>
          <w:sz w:val="32"/>
          <w:szCs w:val="32"/>
        </w:rPr>
      </w:pPr>
      <w:r>
        <w:rPr>
          <w:rFonts w:hint="eastAsia" w:ascii="宋体" w:hAnsi="宋体"/>
          <w:sz w:val="32"/>
          <w:szCs w:val="32"/>
        </w:rPr>
        <w:t>政采贷联系方式:</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69"/>
        <w:gridCol w:w="1334"/>
        <w:gridCol w:w="1688"/>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pPr>
              <w:jc w:val="center"/>
              <w:rPr>
                <w:kern w:val="21"/>
                <w:szCs w:val="21"/>
              </w:rPr>
            </w:pPr>
            <w:r>
              <w:rPr>
                <w:rFonts w:hint="eastAsia"/>
                <w:kern w:val="21"/>
                <w:szCs w:val="21"/>
              </w:rPr>
              <w:t>银行</w:t>
            </w:r>
          </w:p>
        </w:tc>
        <w:tc>
          <w:tcPr>
            <w:tcW w:w="1334" w:type="dxa"/>
            <w:noWrap w:val="0"/>
            <w:vAlign w:val="center"/>
          </w:tcPr>
          <w:p>
            <w:pPr>
              <w:jc w:val="center"/>
              <w:rPr>
                <w:kern w:val="21"/>
                <w:szCs w:val="21"/>
              </w:rPr>
            </w:pPr>
            <w:r>
              <w:rPr>
                <w:rFonts w:hint="eastAsia"/>
                <w:kern w:val="21"/>
                <w:szCs w:val="21"/>
              </w:rPr>
              <w:t>贷款年利率</w:t>
            </w:r>
          </w:p>
        </w:tc>
        <w:tc>
          <w:tcPr>
            <w:tcW w:w="1688" w:type="dxa"/>
            <w:noWrap w:val="0"/>
            <w:vAlign w:val="center"/>
          </w:tcPr>
          <w:p>
            <w:pPr>
              <w:jc w:val="center"/>
              <w:rPr>
                <w:kern w:val="21"/>
                <w:szCs w:val="21"/>
              </w:rPr>
            </w:pPr>
            <w:r>
              <w:rPr>
                <w:rFonts w:hint="eastAsia"/>
                <w:kern w:val="21"/>
                <w:szCs w:val="21"/>
              </w:rPr>
              <w:t>联系人</w:t>
            </w:r>
          </w:p>
        </w:tc>
        <w:tc>
          <w:tcPr>
            <w:tcW w:w="2131" w:type="dxa"/>
            <w:noWrap w:val="0"/>
            <w:vAlign w:val="center"/>
          </w:tcPr>
          <w:p>
            <w:pPr>
              <w:jc w:val="center"/>
              <w:rPr>
                <w:kern w:val="21"/>
                <w:szCs w:val="21"/>
              </w:rPr>
            </w:pPr>
            <w:r>
              <w:rPr>
                <w:rFonts w:hint="eastAsia"/>
                <w:kern w:val="21"/>
                <w:szCs w:val="21"/>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pPr>
              <w:jc w:val="center"/>
              <w:rPr>
                <w:kern w:val="21"/>
                <w:szCs w:val="21"/>
              </w:rPr>
            </w:pPr>
            <w:r>
              <w:rPr>
                <w:rFonts w:hint="eastAsia"/>
                <w:kern w:val="21"/>
                <w:szCs w:val="21"/>
              </w:rPr>
              <w:t>中国工商银行</w:t>
            </w:r>
          </w:p>
        </w:tc>
        <w:tc>
          <w:tcPr>
            <w:tcW w:w="1334" w:type="dxa"/>
            <w:noWrap w:val="0"/>
            <w:vAlign w:val="center"/>
          </w:tcPr>
          <w:p>
            <w:pPr>
              <w:jc w:val="center"/>
              <w:rPr>
                <w:kern w:val="21"/>
                <w:szCs w:val="21"/>
              </w:rPr>
            </w:pPr>
            <w:r>
              <w:rPr>
                <w:kern w:val="21"/>
                <w:szCs w:val="21"/>
              </w:rPr>
              <w:t>3.8%</w:t>
            </w:r>
            <w:r>
              <w:rPr>
                <w:rFonts w:hint="eastAsia"/>
                <w:kern w:val="21"/>
                <w:szCs w:val="21"/>
              </w:rPr>
              <w:t>起</w:t>
            </w:r>
          </w:p>
        </w:tc>
        <w:tc>
          <w:tcPr>
            <w:tcW w:w="1688" w:type="dxa"/>
            <w:noWrap w:val="0"/>
            <w:vAlign w:val="center"/>
          </w:tcPr>
          <w:p>
            <w:pPr>
              <w:jc w:val="center"/>
              <w:rPr>
                <w:kern w:val="21"/>
                <w:szCs w:val="21"/>
              </w:rPr>
            </w:pPr>
            <w:r>
              <w:rPr>
                <w:rFonts w:hint="eastAsia"/>
                <w:kern w:val="21"/>
                <w:szCs w:val="21"/>
              </w:rPr>
              <w:t>谢美珍</w:t>
            </w:r>
          </w:p>
        </w:tc>
        <w:tc>
          <w:tcPr>
            <w:tcW w:w="2131" w:type="dxa"/>
            <w:noWrap w:val="0"/>
            <w:vAlign w:val="center"/>
          </w:tcPr>
          <w:p>
            <w:pPr>
              <w:jc w:val="center"/>
              <w:rPr>
                <w:kern w:val="21"/>
                <w:szCs w:val="21"/>
              </w:rPr>
            </w:pPr>
            <w:r>
              <w:rPr>
                <w:kern w:val="21"/>
                <w:szCs w:val="21"/>
              </w:rPr>
              <w:t>13586188090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pPr>
              <w:jc w:val="center"/>
              <w:rPr>
                <w:kern w:val="21"/>
                <w:szCs w:val="21"/>
              </w:rPr>
            </w:pPr>
            <w:r>
              <w:rPr>
                <w:rFonts w:hint="eastAsia"/>
                <w:kern w:val="21"/>
                <w:szCs w:val="21"/>
              </w:rPr>
              <w:t>中国农业银行</w:t>
            </w:r>
          </w:p>
        </w:tc>
        <w:tc>
          <w:tcPr>
            <w:tcW w:w="1334" w:type="dxa"/>
            <w:noWrap w:val="0"/>
            <w:vAlign w:val="center"/>
          </w:tcPr>
          <w:p>
            <w:pPr>
              <w:jc w:val="center"/>
              <w:rPr>
                <w:kern w:val="21"/>
                <w:szCs w:val="21"/>
              </w:rPr>
            </w:pPr>
            <w:r>
              <w:rPr>
                <w:kern w:val="21"/>
                <w:szCs w:val="21"/>
              </w:rPr>
              <w:t>3.8%</w:t>
            </w:r>
            <w:r>
              <w:rPr>
                <w:rFonts w:hint="eastAsia"/>
                <w:kern w:val="21"/>
                <w:szCs w:val="21"/>
              </w:rPr>
              <w:t>起</w:t>
            </w:r>
          </w:p>
        </w:tc>
        <w:tc>
          <w:tcPr>
            <w:tcW w:w="1688" w:type="dxa"/>
            <w:noWrap w:val="0"/>
            <w:vAlign w:val="center"/>
          </w:tcPr>
          <w:p>
            <w:pPr>
              <w:jc w:val="center"/>
              <w:rPr>
                <w:kern w:val="21"/>
                <w:szCs w:val="21"/>
              </w:rPr>
            </w:pPr>
            <w:r>
              <w:rPr>
                <w:rFonts w:hint="eastAsia"/>
                <w:kern w:val="21"/>
                <w:szCs w:val="21"/>
              </w:rPr>
              <w:t>吴佳怡</w:t>
            </w:r>
          </w:p>
        </w:tc>
        <w:tc>
          <w:tcPr>
            <w:tcW w:w="2131" w:type="dxa"/>
            <w:noWrap w:val="0"/>
            <w:vAlign w:val="center"/>
          </w:tcPr>
          <w:p>
            <w:pPr>
              <w:jc w:val="center"/>
              <w:rPr>
                <w:kern w:val="21"/>
                <w:szCs w:val="21"/>
              </w:rPr>
            </w:pPr>
            <w:r>
              <w:rPr>
                <w:kern w:val="21"/>
                <w:szCs w:val="21"/>
              </w:rPr>
              <w:t>13656869211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pPr>
              <w:jc w:val="center"/>
              <w:rPr>
                <w:kern w:val="21"/>
                <w:szCs w:val="21"/>
              </w:rPr>
            </w:pPr>
            <w:r>
              <w:rPr>
                <w:rFonts w:hint="eastAsia"/>
                <w:kern w:val="21"/>
                <w:szCs w:val="21"/>
              </w:rPr>
              <w:t>中国建设银行</w:t>
            </w:r>
          </w:p>
        </w:tc>
        <w:tc>
          <w:tcPr>
            <w:tcW w:w="1334" w:type="dxa"/>
            <w:noWrap w:val="0"/>
            <w:vAlign w:val="center"/>
          </w:tcPr>
          <w:p>
            <w:pPr>
              <w:jc w:val="center"/>
              <w:rPr>
                <w:kern w:val="21"/>
                <w:szCs w:val="21"/>
              </w:rPr>
            </w:pPr>
            <w:r>
              <w:rPr>
                <w:kern w:val="21"/>
                <w:szCs w:val="21"/>
              </w:rPr>
              <w:t>3.85%</w:t>
            </w:r>
            <w:r>
              <w:rPr>
                <w:rFonts w:hint="eastAsia"/>
                <w:kern w:val="21"/>
                <w:szCs w:val="21"/>
              </w:rPr>
              <w:t>起</w:t>
            </w:r>
          </w:p>
        </w:tc>
        <w:tc>
          <w:tcPr>
            <w:tcW w:w="1688" w:type="dxa"/>
            <w:noWrap w:val="0"/>
            <w:vAlign w:val="center"/>
          </w:tcPr>
          <w:p>
            <w:pPr>
              <w:jc w:val="center"/>
              <w:rPr>
                <w:kern w:val="21"/>
                <w:szCs w:val="21"/>
              </w:rPr>
            </w:pPr>
            <w:r>
              <w:rPr>
                <w:rFonts w:hint="eastAsia"/>
                <w:kern w:val="21"/>
                <w:szCs w:val="21"/>
              </w:rPr>
              <w:t>刘伟</w:t>
            </w:r>
          </w:p>
        </w:tc>
        <w:tc>
          <w:tcPr>
            <w:tcW w:w="2131" w:type="dxa"/>
            <w:noWrap w:val="0"/>
            <w:vAlign w:val="center"/>
          </w:tcPr>
          <w:p>
            <w:pPr>
              <w:jc w:val="center"/>
              <w:rPr>
                <w:kern w:val="21"/>
                <w:szCs w:val="21"/>
              </w:rPr>
            </w:pPr>
            <w:r>
              <w:rPr>
                <w:kern w:val="21"/>
                <w:szCs w:val="21"/>
              </w:rPr>
              <w:t>18658662636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pPr>
              <w:jc w:val="center"/>
              <w:rPr>
                <w:kern w:val="21"/>
                <w:szCs w:val="21"/>
              </w:rPr>
            </w:pPr>
            <w:r>
              <w:rPr>
                <w:rFonts w:hint="eastAsia"/>
                <w:kern w:val="21"/>
                <w:szCs w:val="21"/>
              </w:rPr>
              <w:t>中国银行</w:t>
            </w:r>
          </w:p>
        </w:tc>
        <w:tc>
          <w:tcPr>
            <w:tcW w:w="1334" w:type="dxa"/>
            <w:noWrap w:val="0"/>
            <w:vAlign w:val="center"/>
          </w:tcPr>
          <w:p>
            <w:pPr>
              <w:jc w:val="center"/>
              <w:rPr>
                <w:kern w:val="21"/>
                <w:szCs w:val="21"/>
              </w:rPr>
            </w:pPr>
            <w:r>
              <w:rPr>
                <w:kern w:val="21"/>
                <w:szCs w:val="21"/>
              </w:rPr>
              <w:t>3.8%</w:t>
            </w:r>
            <w:r>
              <w:rPr>
                <w:rFonts w:hint="eastAsia"/>
                <w:kern w:val="21"/>
                <w:szCs w:val="21"/>
              </w:rPr>
              <w:t>起</w:t>
            </w:r>
          </w:p>
        </w:tc>
        <w:tc>
          <w:tcPr>
            <w:tcW w:w="1688" w:type="dxa"/>
            <w:noWrap w:val="0"/>
            <w:vAlign w:val="center"/>
          </w:tcPr>
          <w:p>
            <w:pPr>
              <w:jc w:val="center"/>
              <w:rPr>
                <w:kern w:val="21"/>
                <w:szCs w:val="21"/>
              </w:rPr>
            </w:pPr>
            <w:r>
              <w:rPr>
                <w:rFonts w:hint="eastAsia"/>
                <w:kern w:val="21"/>
                <w:szCs w:val="21"/>
              </w:rPr>
              <w:t>张才国</w:t>
            </w:r>
          </w:p>
        </w:tc>
        <w:tc>
          <w:tcPr>
            <w:tcW w:w="2131" w:type="dxa"/>
            <w:noWrap w:val="0"/>
            <w:vAlign w:val="center"/>
          </w:tcPr>
          <w:p>
            <w:pPr>
              <w:jc w:val="center"/>
              <w:rPr>
                <w:kern w:val="21"/>
                <w:szCs w:val="21"/>
              </w:rPr>
            </w:pPr>
            <w:r>
              <w:rPr>
                <w:kern w:val="21"/>
                <w:szCs w:val="21"/>
              </w:rPr>
              <w:t>13967698881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pPr>
              <w:jc w:val="center"/>
              <w:rPr>
                <w:kern w:val="21"/>
                <w:szCs w:val="21"/>
              </w:rPr>
            </w:pPr>
            <w:r>
              <w:rPr>
                <w:rFonts w:hint="eastAsia"/>
                <w:kern w:val="21"/>
                <w:szCs w:val="21"/>
              </w:rPr>
              <w:t>浙商银行</w:t>
            </w:r>
          </w:p>
        </w:tc>
        <w:tc>
          <w:tcPr>
            <w:tcW w:w="1334" w:type="dxa"/>
            <w:noWrap w:val="0"/>
            <w:vAlign w:val="center"/>
          </w:tcPr>
          <w:p>
            <w:pPr>
              <w:jc w:val="center"/>
              <w:rPr>
                <w:kern w:val="21"/>
                <w:szCs w:val="21"/>
              </w:rPr>
            </w:pPr>
            <w:r>
              <w:rPr>
                <w:kern w:val="21"/>
                <w:szCs w:val="21"/>
              </w:rPr>
              <w:t>6.01%</w:t>
            </w:r>
            <w:r>
              <w:rPr>
                <w:rFonts w:hint="eastAsia"/>
                <w:kern w:val="21"/>
                <w:szCs w:val="21"/>
              </w:rPr>
              <w:t>起</w:t>
            </w:r>
          </w:p>
        </w:tc>
        <w:tc>
          <w:tcPr>
            <w:tcW w:w="1688" w:type="dxa"/>
            <w:noWrap w:val="0"/>
            <w:vAlign w:val="center"/>
          </w:tcPr>
          <w:p>
            <w:pPr>
              <w:jc w:val="center"/>
              <w:rPr>
                <w:kern w:val="21"/>
                <w:szCs w:val="21"/>
              </w:rPr>
            </w:pPr>
            <w:r>
              <w:rPr>
                <w:rFonts w:hint="eastAsia"/>
                <w:kern w:val="21"/>
                <w:szCs w:val="21"/>
              </w:rPr>
              <w:t>梅淑华</w:t>
            </w:r>
          </w:p>
        </w:tc>
        <w:tc>
          <w:tcPr>
            <w:tcW w:w="2131" w:type="dxa"/>
            <w:noWrap w:val="0"/>
            <w:vAlign w:val="center"/>
          </w:tcPr>
          <w:p>
            <w:pPr>
              <w:jc w:val="center"/>
              <w:rPr>
                <w:kern w:val="21"/>
                <w:szCs w:val="21"/>
              </w:rPr>
            </w:pPr>
            <w:r>
              <w:rPr>
                <w:kern w:val="21"/>
                <w:szCs w:val="21"/>
              </w:rPr>
              <w:t>13777607601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pPr>
              <w:jc w:val="center"/>
              <w:rPr>
                <w:kern w:val="21"/>
                <w:szCs w:val="21"/>
              </w:rPr>
            </w:pPr>
            <w:r>
              <w:rPr>
                <w:rFonts w:hint="eastAsia"/>
                <w:kern w:val="21"/>
                <w:szCs w:val="21"/>
              </w:rPr>
              <w:t>农商银行</w:t>
            </w:r>
          </w:p>
        </w:tc>
        <w:tc>
          <w:tcPr>
            <w:tcW w:w="1334" w:type="dxa"/>
            <w:noWrap w:val="0"/>
            <w:vAlign w:val="center"/>
          </w:tcPr>
          <w:p>
            <w:pPr>
              <w:jc w:val="center"/>
              <w:rPr>
                <w:kern w:val="21"/>
                <w:szCs w:val="21"/>
              </w:rPr>
            </w:pPr>
            <w:r>
              <w:rPr>
                <w:kern w:val="21"/>
                <w:szCs w:val="21"/>
              </w:rPr>
              <w:t>4.35%</w:t>
            </w:r>
            <w:r>
              <w:rPr>
                <w:rFonts w:hint="eastAsia"/>
                <w:kern w:val="21"/>
                <w:szCs w:val="21"/>
              </w:rPr>
              <w:t>起</w:t>
            </w:r>
          </w:p>
        </w:tc>
        <w:tc>
          <w:tcPr>
            <w:tcW w:w="1688" w:type="dxa"/>
            <w:noWrap w:val="0"/>
            <w:vAlign w:val="center"/>
          </w:tcPr>
          <w:p>
            <w:pPr>
              <w:jc w:val="center"/>
              <w:rPr>
                <w:kern w:val="21"/>
                <w:szCs w:val="21"/>
              </w:rPr>
            </w:pPr>
            <w:r>
              <w:rPr>
                <w:rFonts w:hint="eastAsia"/>
                <w:kern w:val="21"/>
                <w:szCs w:val="21"/>
              </w:rPr>
              <w:t>陈辉</w:t>
            </w:r>
          </w:p>
        </w:tc>
        <w:tc>
          <w:tcPr>
            <w:tcW w:w="2131" w:type="dxa"/>
            <w:noWrap w:val="0"/>
            <w:vAlign w:val="center"/>
          </w:tcPr>
          <w:p>
            <w:pPr>
              <w:jc w:val="center"/>
              <w:rPr>
                <w:kern w:val="21"/>
                <w:szCs w:val="21"/>
              </w:rPr>
            </w:pPr>
            <w:r>
              <w:rPr>
                <w:kern w:val="21"/>
                <w:szCs w:val="21"/>
              </w:rPr>
              <w:t>13516762382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69" w:type="dxa"/>
            <w:noWrap w:val="0"/>
            <w:vAlign w:val="center"/>
          </w:tcPr>
          <w:p>
            <w:pPr>
              <w:jc w:val="center"/>
              <w:rPr>
                <w:kern w:val="21"/>
                <w:szCs w:val="21"/>
              </w:rPr>
            </w:pPr>
            <w:r>
              <w:rPr>
                <w:rFonts w:hint="eastAsia"/>
                <w:kern w:val="21"/>
                <w:szCs w:val="21"/>
              </w:rPr>
              <w:t>泰隆银行</w:t>
            </w:r>
          </w:p>
        </w:tc>
        <w:tc>
          <w:tcPr>
            <w:tcW w:w="1334" w:type="dxa"/>
            <w:noWrap w:val="0"/>
            <w:vAlign w:val="center"/>
          </w:tcPr>
          <w:p>
            <w:pPr>
              <w:jc w:val="center"/>
              <w:rPr>
                <w:kern w:val="21"/>
                <w:szCs w:val="21"/>
              </w:rPr>
            </w:pPr>
            <w:r>
              <w:rPr>
                <w:kern w:val="21"/>
                <w:szCs w:val="21"/>
              </w:rPr>
              <w:t>6.00%</w:t>
            </w:r>
            <w:r>
              <w:rPr>
                <w:rFonts w:hint="eastAsia"/>
                <w:kern w:val="21"/>
                <w:szCs w:val="21"/>
              </w:rPr>
              <w:t>起</w:t>
            </w:r>
          </w:p>
        </w:tc>
        <w:tc>
          <w:tcPr>
            <w:tcW w:w="1688" w:type="dxa"/>
            <w:noWrap w:val="0"/>
            <w:vAlign w:val="center"/>
          </w:tcPr>
          <w:p>
            <w:pPr>
              <w:jc w:val="center"/>
              <w:rPr>
                <w:kern w:val="21"/>
                <w:szCs w:val="21"/>
              </w:rPr>
            </w:pPr>
            <w:r>
              <w:rPr>
                <w:rFonts w:hint="eastAsia"/>
                <w:kern w:val="21"/>
                <w:szCs w:val="21"/>
              </w:rPr>
              <w:t>许超</w:t>
            </w:r>
          </w:p>
        </w:tc>
        <w:tc>
          <w:tcPr>
            <w:tcW w:w="2131" w:type="dxa"/>
            <w:noWrap w:val="0"/>
            <w:vAlign w:val="center"/>
          </w:tcPr>
          <w:p>
            <w:pPr>
              <w:jc w:val="center"/>
              <w:rPr>
                <w:kern w:val="21"/>
                <w:szCs w:val="21"/>
              </w:rPr>
            </w:pPr>
            <w:r>
              <w:rPr>
                <w:kern w:val="21"/>
                <w:szCs w:val="21"/>
              </w:rPr>
              <w:t>17858683351</w:t>
            </w:r>
          </w:p>
        </w:tc>
      </w:tr>
    </w:tbl>
    <w:p>
      <w:pPr>
        <w:ind w:firstLine="640" w:firstLineChars="200"/>
        <w:rPr>
          <w:rFonts w:hint="eastAsia" w:ascii="宋体" w:hAnsi="宋体"/>
          <w:sz w:val="32"/>
          <w:szCs w:val="32"/>
        </w:rPr>
      </w:pPr>
      <w:r>
        <w:rPr>
          <w:rFonts w:hint="eastAsia" w:ascii="宋体" w:hAnsi="宋体"/>
          <w:sz w:val="32"/>
          <w:szCs w:val="32"/>
        </w:rPr>
        <w:t>政采保联系方式:</w:t>
      </w:r>
    </w:p>
    <w:tbl>
      <w:tblPr>
        <w:tblStyle w:val="30"/>
        <w:tblW w:w="85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8"/>
        <w:gridCol w:w="3173"/>
        <w:gridCol w:w="1327"/>
        <w:gridCol w:w="1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8" w:type="dxa"/>
            <w:noWrap w:val="0"/>
            <w:vAlign w:val="center"/>
          </w:tcPr>
          <w:p>
            <w:pPr>
              <w:spacing w:line="360" w:lineRule="auto"/>
              <w:jc w:val="center"/>
              <w:rPr>
                <w:rFonts w:ascii="宋体" w:hAnsi="宋体" w:cs="仿宋"/>
                <w:szCs w:val="21"/>
              </w:rPr>
            </w:pPr>
            <w:r>
              <w:rPr>
                <w:rFonts w:hint="eastAsia" w:ascii="宋体" w:hAnsi="宋体" w:cs="仿宋"/>
                <w:szCs w:val="21"/>
              </w:rPr>
              <w:t>保险机构</w:t>
            </w:r>
          </w:p>
        </w:tc>
        <w:tc>
          <w:tcPr>
            <w:tcW w:w="3173" w:type="dxa"/>
            <w:noWrap w:val="0"/>
            <w:vAlign w:val="center"/>
          </w:tcPr>
          <w:p>
            <w:pPr>
              <w:spacing w:line="360" w:lineRule="auto"/>
              <w:jc w:val="center"/>
              <w:rPr>
                <w:rFonts w:ascii="宋体" w:hAnsi="宋体" w:cs="仿宋"/>
                <w:szCs w:val="21"/>
              </w:rPr>
            </w:pPr>
            <w:r>
              <w:rPr>
                <w:rFonts w:hint="eastAsia" w:ascii="宋体" w:hAnsi="宋体" w:cs="仿宋"/>
                <w:szCs w:val="21"/>
              </w:rPr>
              <w:t>承保方案</w:t>
            </w:r>
          </w:p>
        </w:tc>
        <w:tc>
          <w:tcPr>
            <w:tcW w:w="1327" w:type="dxa"/>
            <w:noWrap w:val="0"/>
            <w:vAlign w:val="center"/>
          </w:tcPr>
          <w:p>
            <w:pPr>
              <w:spacing w:line="360" w:lineRule="auto"/>
              <w:jc w:val="center"/>
              <w:rPr>
                <w:rFonts w:ascii="宋体" w:hAnsi="宋体" w:cs="仿宋"/>
                <w:szCs w:val="21"/>
              </w:rPr>
            </w:pPr>
            <w:r>
              <w:rPr>
                <w:rFonts w:hint="eastAsia" w:ascii="宋体" w:hAnsi="宋体" w:cs="仿宋"/>
                <w:szCs w:val="21"/>
              </w:rPr>
              <w:t>联系人</w:t>
            </w:r>
          </w:p>
        </w:tc>
        <w:tc>
          <w:tcPr>
            <w:tcW w:w="1980" w:type="dxa"/>
            <w:noWrap w:val="0"/>
            <w:vAlign w:val="center"/>
          </w:tcPr>
          <w:p>
            <w:pPr>
              <w:spacing w:line="360" w:lineRule="auto"/>
              <w:jc w:val="center"/>
              <w:rPr>
                <w:rFonts w:ascii="宋体" w:hAnsi="宋体" w:cs="仿宋"/>
                <w:szCs w:val="21"/>
              </w:rPr>
            </w:pPr>
            <w:r>
              <w:rPr>
                <w:rFonts w:hint="eastAsia" w:ascii="宋体" w:hAnsi="宋体" w:cs="仿宋"/>
                <w:szCs w:val="21"/>
              </w:rPr>
              <w:t>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88" w:type="dxa"/>
            <w:noWrap w:val="0"/>
            <w:vAlign w:val="center"/>
          </w:tcPr>
          <w:p>
            <w:pPr>
              <w:spacing w:line="360" w:lineRule="auto"/>
              <w:jc w:val="center"/>
              <w:rPr>
                <w:rFonts w:ascii="宋体" w:hAnsi="宋体" w:cs="仿宋"/>
                <w:szCs w:val="21"/>
              </w:rPr>
            </w:pPr>
            <w:r>
              <w:rPr>
                <w:rFonts w:hint="eastAsia" w:ascii="宋体" w:hAnsi="宋体" w:cs="仿宋"/>
                <w:szCs w:val="21"/>
              </w:rPr>
              <w:t>阳光财产保险股份有限公司玉环支公司</w:t>
            </w:r>
          </w:p>
        </w:tc>
        <w:tc>
          <w:tcPr>
            <w:tcW w:w="3173" w:type="dxa"/>
            <w:noWrap w:val="0"/>
            <w:vAlign w:val="center"/>
          </w:tcPr>
          <w:p>
            <w:pPr>
              <w:spacing w:line="360" w:lineRule="auto"/>
              <w:jc w:val="center"/>
              <w:rPr>
                <w:rFonts w:ascii="宋体" w:hAnsi="宋体" w:cs="仿宋"/>
                <w:szCs w:val="21"/>
              </w:rPr>
            </w:pPr>
            <w:r>
              <w:rPr>
                <w:rFonts w:hint="eastAsia" w:ascii="宋体" w:hAnsi="宋体" w:cs="仿宋"/>
                <w:szCs w:val="21"/>
              </w:rPr>
              <w:t>合同（质量）履约按履约保证金年费率</w:t>
            </w:r>
            <w:r>
              <w:rPr>
                <w:rFonts w:ascii="宋体" w:hAnsi="宋体" w:cs="仿宋"/>
                <w:szCs w:val="21"/>
              </w:rPr>
              <w:t>1%</w:t>
            </w:r>
            <w:r>
              <w:rPr>
                <w:rFonts w:hint="eastAsia" w:ascii="宋体" w:hAnsi="宋体" w:cs="仿宋"/>
                <w:szCs w:val="21"/>
              </w:rPr>
              <w:t>（</w:t>
            </w:r>
            <w:r>
              <w:rPr>
                <w:rFonts w:ascii="宋体" w:hAnsi="宋体" w:cs="仿宋"/>
                <w:szCs w:val="21"/>
              </w:rPr>
              <w:t>1.5%</w:t>
            </w:r>
            <w:r>
              <w:rPr>
                <w:rFonts w:hint="eastAsia" w:ascii="宋体" w:hAnsi="宋体" w:cs="仿宋"/>
                <w:szCs w:val="21"/>
              </w:rPr>
              <w:t>），每单保函最低保险费为</w:t>
            </w:r>
            <w:r>
              <w:rPr>
                <w:rFonts w:ascii="宋体" w:hAnsi="宋体" w:cs="仿宋"/>
                <w:szCs w:val="21"/>
              </w:rPr>
              <w:t>500</w:t>
            </w:r>
            <w:r>
              <w:rPr>
                <w:rFonts w:hint="eastAsia" w:ascii="宋体" w:hAnsi="宋体" w:cs="仿宋"/>
                <w:szCs w:val="21"/>
              </w:rPr>
              <w:t>元（</w:t>
            </w:r>
            <w:r>
              <w:rPr>
                <w:rFonts w:ascii="宋体" w:hAnsi="宋体" w:cs="仿宋"/>
                <w:szCs w:val="21"/>
              </w:rPr>
              <w:t>300</w:t>
            </w:r>
            <w:r>
              <w:rPr>
                <w:rFonts w:hint="eastAsia" w:ascii="宋体" w:hAnsi="宋体" w:cs="仿宋"/>
                <w:szCs w:val="21"/>
              </w:rPr>
              <w:t>元）</w:t>
            </w:r>
          </w:p>
        </w:tc>
        <w:tc>
          <w:tcPr>
            <w:tcW w:w="1327" w:type="dxa"/>
            <w:noWrap w:val="0"/>
            <w:vAlign w:val="center"/>
          </w:tcPr>
          <w:p>
            <w:pPr>
              <w:spacing w:line="360" w:lineRule="auto"/>
              <w:rPr>
                <w:rFonts w:ascii="宋体" w:hAnsi="宋体"/>
                <w:szCs w:val="21"/>
              </w:rPr>
            </w:pPr>
            <w:r>
              <w:rPr>
                <w:rFonts w:hint="eastAsia" w:ascii="宋体" w:hAnsi="宋体" w:cs="仿宋"/>
                <w:szCs w:val="21"/>
              </w:rPr>
              <w:t>梁英超</w:t>
            </w:r>
          </w:p>
        </w:tc>
        <w:tc>
          <w:tcPr>
            <w:tcW w:w="1980" w:type="dxa"/>
            <w:noWrap w:val="0"/>
            <w:vAlign w:val="center"/>
          </w:tcPr>
          <w:p>
            <w:pPr>
              <w:spacing w:line="360" w:lineRule="auto"/>
              <w:jc w:val="center"/>
              <w:rPr>
                <w:rFonts w:ascii="宋体" w:hAnsi="宋体" w:cs="仿宋"/>
                <w:szCs w:val="21"/>
              </w:rPr>
            </w:pPr>
            <w:r>
              <w:rPr>
                <w:rFonts w:ascii="宋体" w:hAnsi="宋体" w:cs="仿宋"/>
                <w:szCs w:val="21"/>
              </w:rPr>
              <w:t>18067723172</w:t>
            </w:r>
            <w:r>
              <w:rPr>
                <w:rFonts w:hint="eastAsia" w:ascii="宋体" w:hAnsi="宋体" w:cs="仿宋"/>
                <w:szCs w:val="21"/>
              </w:rPr>
              <w:t>（微信同号）</w:t>
            </w:r>
          </w:p>
        </w:tc>
      </w:tr>
    </w:tbl>
    <w:p>
      <w:pPr>
        <w:pStyle w:val="3"/>
        <w:spacing w:line="400" w:lineRule="exact"/>
        <w:jc w:val="left"/>
        <w:rPr>
          <w:rFonts w:hint="eastAsia"/>
          <w:color w:val="000000"/>
          <w:sz w:val="24"/>
          <w:szCs w:val="24"/>
        </w:rPr>
      </w:pPr>
      <w:r>
        <w:rPr>
          <w:rFonts w:hint="eastAsia"/>
          <w:color w:val="000000"/>
          <w:sz w:val="24"/>
          <w:szCs w:val="24"/>
        </w:rPr>
        <w:t>一 、总  则</w:t>
      </w:r>
    </w:p>
    <w:p>
      <w:pPr>
        <w:pStyle w:val="4"/>
        <w:spacing w:line="400" w:lineRule="exact"/>
        <w:ind w:firstLine="482"/>
        <w:rPr>
          <w:rFonts w:ascii="宋体" w:hAnsi="宋体" w:eastAsia="宋体"/>
          <w:color w:val="000000"/>
          <w:sz w:val="24"/>
          <w:szCs w:val="24"/>
        </w:rPr>
      </w:pPr>
      <w:r>
        <w:rPr>
          <w:rFonts w:hint="eastAsia" w:ascii="宋体" w:hAnsi="宋体" w:eastAsia="宋体"/>
          <w:color w:val="000000"/>
          <w:sz w:val="24"/>
          <w:szCs w:val="24"/>
        </w:rPr>
        <w:t>（一）</w:t>
      </w:r>
      <w:r>
        <w:rPr>
          <w:rFonts w:ascii="宋体" w:hAnsi="宋体" w:eastAsia="宋体"/>
          <w:color w:val="000000"/>
          <w:sz w:val="24"/>
          <w:szCs w:val="24"/>
        </w:rPr>
        <w:t xml:space="preserve"> 适用范围</w:t>
      </w:r>
    </w:p>
    <w:p>
      <w:pPr>
        <w:snapToGrid w:val="0"/>
        <w:spacing w:line="400" w:lineRule="exact"/>
        <w:ind w:firstLine="480" w:firstLineChars="200"/>
        <w:jc w:val="left"/>
        <w:rPr>
          <w:rFonts w:hint="eastAsia" w:ascii="宋体" w:hAnsi="宋体"/>
          <w:color w:val="000000"/>
          <w:sz w:val="24"/>
        </w:rPr>
      </w:pPr>
      <w:r>
        <w:rPr>
          <w:rFonts w:hint="eastAsia" w:ascii="宋体" w:hAnsi="宋体"/>
          <w:color w:val="000000"/>
          <w:sz w:val="24"/>
        </w:rPr>
        <w:t>本</w:t>
      </w:r>
      <w:r>
        <w:rPr>
          <w:rFonts w:hint="eastAsia" w:ascii="宋体" w:hAnsi="宋体"/>
          <w:bCs/>
          <w:color w:val="000000"/>
          <w:sz w:val="24"/>
        </w:rPr>
        <w:t>磋商文件</w:t>
      </w:r>
      <w:r>
        <w:rPr>
          <w:rFonts w:hint="eastAsia" w:ascii="宋体" w:hAnsi="宋体"/>
          <w:color w:val="000000"/>
          <w:sz w:val="24"/>
        </w:rPr>
        <w:t>适用于</w:t>
      </w:r>
      <w:r>
        <w:rPr>
          <w:rFonts w:hint="eastAsia" w:ascii="宋体" w:hAnsi="宋体"/>
          <w:bCs/>
          <w:color w:val="000000"/>
          <w:sz w:val="24"/>
        </w:rPr>
        <w:t>本次</w:t>
      </w:r>
      <w:r>
        <w:rPr>
          <w:rFonts w:hint="eastAsia" w:ascii="宋体" w:hAnsi="宋体"/>
          <w:color w:val="000000"/>
          <w:sz w:val="24"/>
        </w:rPr>
        <w:t>项目的磋商、</w:t>
      </w:r>
      <w:r>
        <w:rPr>
          <w:rFonts w:hint="eastAsia" w:ascii="宋体" w:hAnsi="宋体"/>
          <w:bCs/>
          <w:color w:val="000000"/>
          <w:sz w:val="24"/>
        </w:rPr>
        <w:t>评审、确定成交供应商</w:t>
      </w:r>
      <w:r>
        <w:rPr>
          <w:rFonts w:hint="eastAsia" w:ascii="宋体" w:hAnsi="宋体"/>
          <w:color w:val="000000"/>
          <w:sz w:val="24"/>
        </w:rPr>
        <w:t>、验收、合同履约、付款等行为（法律、法规另有规定的，从其规定）。</w:t>
      </w:r>
    </w:p>
    <w:p>
      <w:pPr>
        <w:pStyle w:val="4"/>
        <w:spacing w:line="400" w:lineRule="exact"/>
        <w:ind w:firstLine="482"/>
        <w:rPr>
          <w:rFonts w:ascii="宋体" w:hAnsi="宋体" w:eastAsia="宋体"/>
          <w:color w:val="000000"/>
          <w:sz w:val="24"/>
          <w:szCs w:val="24"/>
        </w:rPr>
      </w:pPr>
      <w:r>
        <w:rPr>
          <w:rFonts w:hint="eastAsia" w:ascii="宋体" w:hAnsi="宋体" w:eastAsia="宋体"/>
          <w:color w:val="000000"/>
          <w:sz w:val="24"/>
          <w:szCs w:val="24"/>
        </w:rPr>
        <w:t>（二）定义</w:t>
      </w:r>
    </w:p>
    <w:p>
      <w:pPr>
        <w:pStyle w:val="15"/>
        <w:spacing w:line="400" w:lineRule="exact"/>
        <w:ind w:firstLine="566" w:firstLineChars="236"/>
        <w:rPr>
          <w:rFonts w:hint="eastAsia" w:hAnsi="宋体"/>
          <w:color w:val="000000"/>
          <w:sz w:val="24"/>
        </w:rPr>
      </w:pPr>
      <w:r>
        <w:rPr>
          <w:rFonts w:hint="eastAsia" w:hAnsi="宋体"/>
          <w:color w:val="000000"/>
          <w:sz w:val="24"/>
        </w:rPr>
        <w:t>1、“采购组织机构”指采购人委托组织磋商的集中采购机构或采购代理机构。</w:t>
      </w:r>
    </w:p>
    <w:p>
      <w:pPr>
        <w:snapToGrid w:val="0"/>
        <w:spacing w:line="400" w:lineRule="exact"/>
        <w:ind w:firstLine="566" w:firstLineChars="236"/>
        <w:rPr>
          <w:rFonts w:ascii="宋体" w:hAnsi="宋体"/>
          <w:color w:val="000000"/>
          <w:sz w:val="24"/>
        </w:rPr>
      </w:pPr>
      <w:r>
        <w:rPr>
          <w:rFonts w:hint="eastAsia" w:ascii="宋体" w:hAnsi="宋体"/>
          <w:color w:val="000000"/>
          <w:sz w:val="24"/>
        </w:rPr>
        <w:t>2、采购人：是指委托</w:t>
      </w:r>
      <w:r>
        <w:rPr>
          <w:rFonts w:hint="eastAsia" w:ascii="宋体" w:hAnsi="宋体"/>
          <w:color w:val="000000"/>
          <w:sz w:val="24"/>
          <w:lang w:val="zh-CN"/>
        </w:rPr>
        <w:t>集中采购机构或</w:t>
      </w:r>
      <w:r>
        <w:rPr>
          <w:rFonts w:hint="eastAsia" w:ascii="宋体" w:hAnsi="宋体"/>
          <w:color w:val="000000"/>
          <w:sz w:val="24"/>
        </w:rPr>
        <w:t>采购代理机构采购本次项目的国家机关、事业单位和团体组织。</w:t>
      </w:r>
    </w:p>
    <w:p>
      <w:pPr>
        <w:snapToGrid w:val="0"/>
        <w:spacing w:line="400" w:lineRule="exact"/>
        <w:ind w:left="424" w:leftChars="202" w:firstLine="141" w:firstLineChars="59"/>
        <w:jc w:val="left"/>
        <w:rPr>
          <w:rFonts w:hint="eastAsia" w:ascii="宋体" w:hAnsi="宋体"/>
          <w:color w:val="000000"/>
          <w:sz w:val="24"/>
        </w:rPr>
      </w:pPr>
      <w:r>
        <w:rPr>
          <w:rFonts w:hint="eastAsia" w:ascii="宋体" w:hAnsi="宋体"/>
          <w:color w:val="000000"/>
          <w:sz w:val="24"/>
        </w:rPr>
        <w:t>3、磋商供应商：是指向</w:t>
      </w:r>
      <w:r>
        <w:rPr>
          <w:rFonts w:hint="eastAsia" w:ascii="宋体" w:hAnsi="宋体"/>
          <w:color w:val="000000"/>
          <w:sz w:val="24"/>
          <w:lang w:val="zh-CN"/>
        </w:rPr>
        <w:t>采购组织机构</w:t>
      </w:r>
      <w:r>
        <w:rPr>
          <w:rFonts w:hint="eastAsia" w:ascii="宋体" w:hAnsi="宋体"/>
          <w:color w:val="000000"/>
          <w:sz w:val="24"/>
        </w:rPr>
        <w:t>提交磋商响应文件的单位或个人。</w:t>
      </w:r>
    </w:p>
    <w:p>
      <w:pPr>
        <w:snapToGrid w:val="0"/>
        <w:spacing w:line="400" w:lineRule="exact"/>
        <w:ind w:left="424" w:leftChars="202" w:firstLine="143"/>
        <w:jc w:val="left"/>
        <w:rPr>
          <w:rFonts w:hint="eastAsia" w:ascii="宋体" w:hAnsi="宋体"/>
          <w:color w:val="000000"/>
          <w:sz w:val="24"/>
        </w:rPr>
      </w:pPr>
      <w:r>
        <w:rPr>
          <w:rFonts w:hint="eastAsia" w:ascii="宋体" w:hAnsi="宋体"/>
          <w:color w:val="000000"/>
          <w:sz w:val="24"/>
        </w:rPr>
        <w:t>4、货物：是指各种形态和种类的物品，包括原材料、燃料、设备、产品等。</w:t>
      </w:r>
    </w:p>
    <w:p>
      <w:pPr>
        <w:snapToGrid w:val="0"/>
        <w:spacing w:line="400" w:lineRule="exact"/>
        <w:ind w:firstLine="566" w:firstLineChars="236"/>
        <w:jc w:val="left"/>
        <w:rPr>
          <w:rFonts w:ascii="宋体" w:hAnsi="宋体"/>
          <w:b/>
          <w:color w:val="000000"/>
          <w:sz w:val="24"/>
        </w:rPr>
      </w:pPr>
      <w:r>
        <w:rPr>
          <w:rFonts w:hint="eastAsia" w:ascii="宋体" w:hAnsi="宋体"/>
          <w:color w:val="000000"/>
          <w:sz w:val="24"/>
        </w:rPr>
        <w:t>5、服务：是指除货物和工程以外的政府采购</w:t>
      </w:r>
      <w:r>
        <w:rPr>
          <w:rFonts w:ascii="宋体" w:hAnsi="宋体"/>
          <w:color w:val="000000"/>
          <w:sz w:val="24"/>
        </w:rPr>
        <w:t>对象，包括各类专业服务、信息网络开发服务、金融保险服务、运输服务，以及维修与维护服务等。</w:t>
      </w:r>
    </w:p>
    <w:p>
      <w:pPr>
        <w:snapToGrid w:val="0"/>
        <w:spacing w:line="400" w:lineRule="exact"/>
        <w:ind w:firstLine="566" w:firstLineChars="236"/>
        <w:jc w:val="left"/>
        <w:rPr>
          <w:rFonts w:ascii="宋体" w:hAnsi="宋体"/>
          <w:color w:val="000000"/>
          <w:sz w:val="24"/>
        </w:rPr>
      </w:pPr>
      <w:r>
        <w:rPr>
          <w:rFonts w:hint="eastAsia" w:ascii="宋体" w:hAnsi="宋体"/>
          <w:color w:val="000000"/>
          <w:sz w:val="24"/>
        </w:rPr>
        <w:t>6、</w:t>
      </w:r>
      <w:r>
        <w:rPr>
          <w:rFonts w:ascii="宋体" w:hAnsi="宋体"/>
          <w:color w:val="000000"/>
          <w:sz w:val="24"/>
        </w:rPr>
        <w:t>“书面形式”包括信函、传真等。</w:t>
      </w:r>
    </w:p>
    <w:p>
      <w:pPr>
        <w:pStyle w:val="11"/>
        <w:ind w:firstLine="630" w:firstLineChars="300"/>
      </w:pPr>
      <w:r>
        <w:rPr>
          <w:rFonts w:hint="eastAsia"/>
        </w:rPr>
        <w:t>7.“▲”系指实质性要求条款。</w:t>
      </w:r>
    </w:p>
    <w:p>
      <w:pPr>
        <w:pStyle w:val="4"/>
        <w:spacing w:line="400" w:lineRule="exact"/>
        <w:ind w:firstLine="482"/>
        <w:rPr>
          <w:rFonts w:ascii="宋体" w:hAnsi="宋体" w:eastAsia="宋体"/>
          <w:color w:val="000000"/>
          <w:sz w:val="24"/>
          <w:szCs w:val="24"/>
        </w:rPr>
      </w:pPr>
      <w:r>
        <w:rPr>
          <w:rFonts w:hint="eastAsia" w:ascii="宋体" w:hAnsi="宋体" w:eastAsia="宋体"/>
          <w:color w:val="000000"/>
          <w:sz w:val="24"/>
          <w:szCs w:val="24"/>
        </w:rPr>
        <w:t>（三）磋商费用</w:t>
      </w:r>
    </w:p>
    <w:p>
      <w:pPr>
        <w:snapToGrid w:val="0"/>
        <w:spacing w:line="400" w:lineRule="exact"/>
        <w:ind w:firstLine="480" w:firstLineChars="200"/>
        <w:jc w:val="left"/>
        <w:rPr>
          <w:rFonts w:hint="eastAsia" w:ascii="宋体" w:hAnsi="宋体"/>
          <w:color w:val="000000"/>
          <w:sz w:val="24"/>
        </w:rPr>
      </w:pPr>
      <w:r>
        <w:rPr>
          <w:rFonts w:hint="eastAsia" w:ascii="宋体" w:hAnsi="宋体"/>
          <w:color w:val="000000"/>
          <w:sz w:val="24"/>
        </w:rPr>
        <w:t>不论磋商结果如何，供应商均应自行承担所有与磋商有关的全部费用（</w:t>
      </w:r>
      <w:r>
        <w:rPr>
          <w:rFonts w:hint="eastAsia" w:ascii="宋体" w:hAnsi="宋体"/>
          <w:bCs/>
          <w:color w:val="000000"/>
          <w:sz w:val="24"/>
        </w:rPr>
        <w:t>磋商文件</w:t>
      </w:r>
      <w:r>
        <w:rPr>
          <w:rFonts w:hint="eastAsia" w:ascii="宋体" w:hAnsi="宋体"/>
          <w:color w:val="000000"/>
          <w:sz w:val="24"/>
        </w:rPr>
        <w:t>有相关规定除外）。</w:t>
      </w:r>
    </w:p>
    <w:p>
      <w:pPr>
        <w:pStyle w:val="4"/>
        <w:spacing w:line="400" w:lineRule="exact"/>
        <w:ind w:firstLine="482"/>
        <w:rPr>
          <w:rFonts w:hint="eastAsia" w:ascii="宋体" w:hAnsi="宋体" w:eastAsia="宋体"/>
          <w:color w:val="000000"/>
          <w:sz w:val="24"/>
          <w:szCs w:val="24"/>
        </w:rPr>
      </w:pPr>
      <w:r>
        <w:rPr>
          <w:rFonts w:hint="eastAsia" w:ascii="宋体" w:hAnsi="宋体" w:eastAsia="宋体"/>
          <w:color w:val="000000"/>
          <w:sz w:val="24"/>
          <w:szCs w:val="24"/>
        </w:rPr>
        <w:t>（四）特别说明</w:t>
      </w:r>
    </w:p>
    <w:p>
      <w:pPr>
        <w:pStyle w:val="15"/>
        <w:snapToGrid w:val="0"/>
        <w:spacing w:line="400" w:lineRule="exact"/>
        <w:ind w:left="2" w:leftChars="1" w:firstLine="480" w:firstLineChars="200"/>
        <w:rPr>
          <w:rFonts w:hAnsi="宋体"/>
          <w:color w:val="000000"/>
          <w:sz w:val="24"/>
        </w:rPr>
      </w:pPr>
      <w:r>
        <w:rPr>
          <w:rFonts w:hint="eastAsia" w:hAnsi="宋体"/>
          <w:color w:val="000000"/>
          <w:sz w:val="24"/>
        </w:rPr>
        <w:t>1、供应商</w:t>
      </w:r>
      <w:r>
        <w:rPr>
          <w:rFonts w:hAnsi="宋体"/>
          <w:color w:val="000000"/>
          <w:sz w:val="24"/>
        </w:rPr>
        <w:t>磋商所使用的资格、信誉、荣誉、业绩与企业认证必须为本法人所拥有。</w:t>
      </w:r>
      <w:r>
        <w:rPr>
          <w:rFonts w:hint="eastAsia" w:hAnsi="宋体"/>
          <w:color w:val="000000"/>
          <w:sz w:val="24"/>
        </w:rPr>
        <w:t>供应商</w:t>
      </w:r>
      <w:r>
        <w:rPr>
          <w:rFonts w:hAnsi="宋体"/>
          <w:color w:val="000000"/>
          <w:sz w:val="24"/>
        </w:rPr>
        <w:t>磋商所使用的采购项目实施人员必须为本法人员工（</w:t>
      </w:r>
      <w:r>
        <w:rPr>
          <w:rFonts w:hint="eastAsia" w:hAnsi="宋体"/>
          <w:color w:val="000000"/>
          <w:sz w:val="24"/>
        </w:rPr>
        <w:t>指</w:t>
      </w:r>
      <w:r>
        <w:rPr>
          <w:rFonts w:hAnsi="宋体"/>
          <w:color w:val="000000"/>
          <w:sz w:val="24"/>
        </w:rPr>
        <w:t>必须为本法人或控股公司正式员工）。</w:t>
      </w:r>
    </w:p>
    <w:p>
      <w:pPr>
        <w:spacing w:line="400" w:lineRule="exact"/>
        <w:ind w:firstLine="480" w:firstLineChars="200"/>
        <w:rPr>
          <w:rFonts w:ascii="宋体" w:hAnsi="宋体"/>
          <w:color w:val="000000"/>
          <w:sz w:val="24"/>
        </w:rPr>
      </w:pPr>
      <w:r>
        <w:rPr>
          <w:rFonts w:hint="eastAsia" w:ascii="宋体" w:hAnsi="宋体"/>
          <w:color w:val="000000"/>
          <w:sz w:val="24"/>
        </w:rPr>
        <w:t>2</w:t>
      </w:r>
      <w:r>
        <w:rPr>
          <w:rFonts w:hint="eastAsia" w:hAnsi="宋体"/>
          <w:color w:val="000000"/>
          <w:sz w:val="24"/>
        </w:rPr>
        <w:t>、供应商所标产品除</w:t>
      </w:r>
      <w:r>
        <w:rPr>
          <w:rFonts w:hint="eastAsia" w:ascii="宋体" w:hAnsi="宋体"/>
          <w:bCs/>
          <w:color w:val="000000"/>
          <w:sz w:val="24"/>
        </w:rPr>
        <w:t>磋商文件</w:t>
      </w:r>
      <w:r>
        <w:rPr>
          <w:rFonts w:hint="eastAsia" w:hAnsi="宋体"/>
          <w:color w:val="000000"/>
          <w:sz w:val="24"/>
        </w:rPr>
        <w:t>中明确规定要求“提供官网截图或相应检测报告的证明材料”以外，所有技术参数描述均以</w:t>
      </w:r>
      <w:r>
        <w:rPr>
          <w:rFonts w:hint="eastAsia" w:ascii="宋体" w:hAnsi="宋体"/>
          <w:color w:val="000000"/>
          <w:sz w:val="24"/>
        </w:rPr>
        <w:t>磋商响应文件</w:t>
      </w:r>
      <w:r>
        <w:rPr>
          <w:rFonts w:hint="eastAsia" w:hAnsi="宋体"/>
          <w:color w:val="000000"/>
          <w:sz w:val="24"/>
        </w:rPr>
        <w:t>为准。</w:t>
      </w:r>
      <w:r>
        <w:rPr>
          <w:rFonts w:hint="eastAsia" w:hAnsi="宋体"/>
          <w:b/>
          <w:color w:val="000000"/>
          <w:sz w:val="24"/>
        </w:rPr>
        <w:t>磋商供应商对所标产品技术参数的真实性承担法律责任。</w:t>
      </w:r>
      <w:r>
        <w:rPr>
          <w:rFonts w:hint="eastAsia" w:hAnsi="宋体"/>
          <w:color w:val="000000"/>
          <w:sz w:val="24"/>
        </w:rPr>
        <w:t>项目</w:t>
      </w:r>
      <w:r>
        <w:rPr>
          <w:rFonts w:hint="eastAsia" w:ascii="宋体" w:hAnsi="宋体"/>
          <w:bCs/>
          <w:color w:val="000000"/>
          <w:sz w:val="24"/>
        </w:rPr>
        <w:t>磋商</w:t>
      </w:r>
      <w:r>
        <w:rPr>
          <w:rFonts w:hint="eastAsia" w:hAnsi="宋体"/>
          <w:color w:val="000000"/>
          <w:sz w:val="24"/>
        </w:rPr>
        <w:t>结束后、质疑期限内，如有质疑供应商认为成交供应商所标产品、</w:t>
      </w:r>
      <w:r>
        <w:rPr>
          <w:rFonts w:hint="eastAsia" w:ascii="宋体" w:hAnsi="宋体"/>
          <w:color w:val="000000"/>
          <w:sz w:val="24"/>
        </w:rPr>
        <w:t>磋商响应文件</w:t>
      </w:r>
      <w:r>
        <w:rPr>
          <w:rFonts w:hint="eastAsia" w:hAnsi="宋体"/>
          <w:color w:val="000000"/>
          <w:sz w:val="24"/>
        </w:rPr>
        <w:t>技术参数与采购需求存在重大偏离、错误、甚至造假的情况，应提供具体有效的证明材料。</w:t>
      </w:r>
      <w:r>
        <w:rPr>
          <w:rFonts w:hint="eastAsia"/>
          <w:color w:val="000000"/>
          <w:sz w:val="24"/>
        </w:rPr>
        <w:tab/>
      </w:r>
    </w:p>
    <w:p>
      <w:pPr>
        <w:pStyle w:val="45"/>
        <w:snapToGrid w:val="0"/>
        <w:spacing w:line="400" w:lineRule="exact"/>
        <w:ind w:firstLineChars="0"/>
        <w:rPr>
          <w:rFonts w:hint="eastAsia" w:ascii="宋体" w:hAnsi="宋体"/>
          <w:color w:val="000000"/>
          <w:sz w:val="24"/>
          <w:szCs w:val="24"/>
        </w:rPr>
      </w:pPr>
      <w:r>
        <w:rPr>
          <w:rFonts w:hint="eastAsia" w:ascii="宋体" w:hAnsi="宋体"/>
          <w:color w:val="000000"/>
          <w:sz w:val="24"/>
          <w:szCs w:val="24"/>
        </w:rPr>
        <w:t>3、供应商</w:t>
      </w:r>
      <w:r>
        <w:rPr>
          <w:rFonts w:ascii="宋体" w:hAnsi="宋体"/>
          <w:color w:val="000000"/>
          <w:sz w:val="24"/>
          <w:szCs w:val="24"/>
        </w:rPr>
        <w:t>在</w:t>
      </w:r>
      <w:r>
        <w:rPr>
          <w:rFonts w:hint="eastAsia" w:ascii="宋体" w:hAnsi="宋体"/>
          <w:bCs/>
          <w:color w:val="000000"/>
          <w:sz w:val="24"/>
          <w:szCs w:val="24"/>
        </w:rPr>
        <w:t>磋商</w:t>
      </w:r>
      <w:r>
        <w:rPr>
          <w:rFonts w:ascii="宋体" w:hAnsi="宋体"/>
          <w:color w:val="000000"/>
          <w:sz w:val="24"/>
          <w:szCs w:val="24"/>
        </w:rPr>
        <w:t>活动中提供任何虚假材料</w:t>
      </w:r>
      <w:r>
        <w:rPr>
          <w:rFonts w:hint="eastAsia" w:ascii="宋体" w:hAnsi="宋体"/>
          <w:color w:val="000000"/>
          <w:sz w:val="24"/>
          <w:szCs w:val="24"/>
        </w:rPr>
        <w:t>,</w:t>
      </w:r>
      <w:r>
        <w:rPr>
          <w:rFonts w:ascii="宋体" w:hAnsi="宋体"/>
          <w:color w:val="000000"/>
          <w:sz w:val="24"/>
          <w:szCs w:val="24"/>
        </w:rPr>
        <w:t>其</w:t>
      </w:r>
      <w:r>
        <w:rPr>
          <w:rFonts w:hint="eastAsia" w:ascii="宋体" w:hAnsi="宋体"/>
          <w:color w:val="000000"/>
          <w:sz w:val="24"/>
          <w:szCs w:val="24"/>
        </w:rPr>
        <w:t>响应</w:t>
      </w:r>
      <w:r>
        <w:rPr>
          <w:rFonts w:ascii="宋体" w:hAnsi="宋体"/>
          <w:color w:val="000000"/>
          <w:sz w:val="24"/>
          <w:szCs w:val="24"/>
        </w:rPr>
        <w:t>无效，并报监管部门查处；</w:t>
      </w:r>
      <w:r>
        <w:rPr>
          <w:rFonts w:hint="eastAsia" w:ascii="宋体" w:hAnsi="宋体"/>
          <w:color w:val="000000"/>
          <w:sz w:val="24"/>
          <w:szCs w:val="24"/>
        </w:rPr>
        <w:t>成交</w:t>
      </w:r>
      <w:r>
        <w:rPr>
          <w:rFonts w:ascii="宋体" w:hAnsi="宋体"/>
          <w:color w:val="000000"/>
          <w:sz w:val="24"/>
          <w:szCs w:val="24"/>
        </w:rPr>
        <w:t>后发现的,成交人须依照根据《中华人民共和国政府采购法》第七十七条第一款第一项之规定</w:t>
      </w:r>
      <w:r>
        <w:rPr>
          <w:rFonts w:hint="eastAsia" w:ascii="宋体" w:hAnsi="宋体"/>
          <w:color w:val="000000"/>
          <w:sz w:val="24"/>
          <w:szCs w:val="24"/>
        </w:rPr>
        <w:t>，</w:t>
      </w:r>
      <w:r>
        <w:rPr>
          <w:rFonts w:ascii="宋体" w:hAnsi="宋体"/>
          <w:color w:val="000000"/>
          <w:sz w:val="24"/>
          <w:szCs w:val="24"/>
        </w:rPr>
        <w:t>处以采购金额千分之五以上千分之十以下的罚款，列入不良行为记录名单，在一至三年内禁止参加政府采购活动，有违法所得的，并处没收违法所得，情节严重的，由工商行政管理机关吊销营业执照；构成犯罪的，依法追究刑事责任</w:t>
      </w:r>
      <w:r>
        <w:rPr>
          <w:rFonts w:hint="eastAsia" w:ascii="宋体" w:hAnsi="宋体"/>
          <w:color w:val="000000"/>
          <w:sz w:val="24"/>
          <w:szCs w:val="24"/>
        </w:rPr>
        <w:t>。</w:t>
      </w:r>
    </w:p>
    <w:p>
      <w:pPr>
        <w:pStyle w:val="45"/>
        <w:snapToGrid w:val="0"/>
        <w:spacing w:line="400" w:lineRule="exact"/>
        <w:ind w:firstLineChars="0"/>
        <w:rPr>
          <w:rFonts w:ascii="宋体" w:hAnsi="宋体"/>
          <w:color w:val="000000"/>
          <w:sz w:val="24"/>
          <w:szCs w:val="24"/>
        </w:rPr>
      </w:pPr>
      <w:r>
        <w:rPr>
          <w:rFonts w:hint="eastAsia" w:ascii="宋体" w:hAnsi="宋体"/>
          <w:color w:val="000000"/>
          <w:sz w:val="24"/>
          <w:szCs w:val="24"/>
        </w:rPr>
        <w:t>4、供应商不得相互串通磋商报价，不得妨碍其他供应商的公平竞争，不得损害采购人或其他供应商的合法权益，供应商不得以向采购人、磋商小组成员行贿或者采取其他不正当手段谋取成交。</w:t>
      </w:r>
    </w:p>
    <w:p>
      <w:pPr>
        <w:pStyle w:val="45"/>
        <w:snapToGrid w:val="0"/>
        <w:spacing w:line="400" w:lineRule="exact"/>
        <w:ind w:firstLineChars="0"/>
        <w:rPr>
          <w:rFonts w:hint="eastAsia" w:ascii="宋体" w:hAnsi="宋体"/>
          <w:color w:val="000000"/>
          <w:sz w:val="24"/>
          <w:szCs w:val="24"/>
        </w:rPr>
      </w:pPr>
      <w:r>
        <w:rPr>
          <w:rFonts w:hint="eastAsia" w:ascii="宋体" w:hAnsi="宋体"/>
          <w:color w:val="000000"/>
          <w:sz w:val="24"/>
          <w:szCs w:val="24"/>
        </w:rPr>
        <w:t>5、为采购项目提供整体设计、规范编制或者项目管理、监理、检测等服务的供应商，不得再参加该采购项目的其他采购活动。</w:t>
      </w:r>
    </w:p>
    <w:p>
      <w:pPr>
        <w:pStyle w:val="45"/>
        <w:snapToGrid w:val="0"/>
        <w:spacing w:line="400" w:lineRule="exact"/>
        <w:ind w:firstLineChars="0"/>
        <w:rPr>
          <w:rFonts w:ascii="宋体" w:hAnsi="宋体"/>
          <w:color w:val="000000"/>
          <w:sz w:val="24"/>
          <w:szCs w:val="24"/>
        </w:rPr>
      </w:pPr>
      <w:r>
        <w:rPr>
          <w:rFonts w:hint="eastAsia" w:ascii="宋体" w:hAnsi="宋体"/>
          <w:color w:val="000000"/>
          <w:sz w:val="24"/>
          <w:szCs w:val="24"/>
        </w:rPr>
        <w:t>6、磋商响应文件格式中的表格式样可以根据项目差别做适当调整,但应当保持表格样式基本形态不变。</w:t>
      </w:r>
    </w:p>
    <w:p>
      <w:pPr>
        <w:pStyle w:val="45"/>
        <w:snapToGrid w:val="0"/>
        <w:spacing w:line="400" w:lineRule="exact"/>
        <w:ind w:firstLineChars="0"/>
        <w:rPr>
          <w:rFonts w:ascii="宋体" w:hAnsi="宋体"/>
          <w:color w:val="000000"/>
          <w:sz w:val="24"/>
          <w:szCs w:val="24"/>
        </w:rPr>
      </w:pPr>
      <w:r>
        <w:rPr>
          <w:rFonts w:hint="eastAsia" w:ascii="宋体" w:hAnsi="宋体"/>
          <w:color w:val="000000"/>
          <w:sz w:val="24"/>
          <w:szCs w:val="24"/>
        </w:rPr>
        <w:t>7、单位负责人为同一人或者存在直接控股、管理关系的不同供应商，不得参加同一合同项下的政府采购活动。</w:t>
      </w:r>
    </w:p>
    <w:p>
      <w:pPr>
        <w:pStyle w:val="45"/>
        <w:snapToGrid w:val="0"/>
        <w:spacing w:line="400" w:lineRule="exact"/>
        <w:ind w:firstLineChars="0"/>
        <w:rPr>
          <w:rFonts w:hint="eastAsia" w:ascii="宋体" w:hAnsi="宋体"/>
          <w:color w:val="000000"/>
          <w:sz w:val="24"/>
          <w:szCs w:val="24"/>
        </w:rPr>
      </w:pPr>
      <w:r>
        <w:rPr>
          <w:rFonts w:hint="eastAsia" w:ascii="宋体" w:hAnsi="宋体"/>
          <w:color w:val="000000"/>
          <w:sz w:val="24"/>
          <w:szCs w:val="24"/>
        </w:rPr>
        <w:t>8、本项目不允许分包。</w:t>
      </w:r>
    </w:p>
    <w:p>
      <w:pPr>
        <w:pStyle w:val="3"/>
        <w:spacing w:line="400" w:lineRule="exact"/>
        <w:jc w:val="left"/>
        <w:rPr>
          <w:rFonts w:hint="eastAsia"/>
          <w:color w:val="000000"/>
          <w:sz w:val="24"/>
          <w:szCs w:val="24"/>
        </w:rPr>
      </w:pPr>
      <w:r>
        <w:rPr>
          <w:rFonts w:hint="eastAsia"/>
          <w:color w:val="000000"/>
          <w:sz w:val="24"/>
          <w:szCs w:val="24"/>
        </w:rPr>
        <w:t>二、磋商</w:t>
      </w:r>
      <w:r>
        <w:rPr>
          <w:color w:val="000000"/>
          <w:sz w:val="24"/>
          <w:szCs w:val="24"/>
        </w:rPr>
        <w:t>响应</w:t>
      </w:r>
      <w:r>
        <w:rPr>
          <w:rFonts w:hint="eastAsia"/>
          <w:color w:val="000000"/>
          <w:sz w:val="24"/>
          <w:szCs w:val="24"/>
        </w:rPr>
        <w:t>文件</w:t>
      </w:r>
    </w:p>
    <w:p>
      <w:pPr>
        <w:pStyle w:val="4"/>
        <w:spacing w:line="400" w:lineRule="exact"/>
        <w:ind w:firstLine="482"/>
        <w:rPr>
          <w:rFonts w:hint="eastAsia" w:ascii="宋体" w:hAnsi="宋体" w:eastAsia="宋体"/>
          <w:color w:val="000000"/>
          <w:sz w:val="24"/>
          <w:szCs w:val="24"/>
        </w:rPr>
      </w:pPr>
      <w:r>
        <w:rPr>
          <w:rFonts w:hint="eastAsia" w:ascii="宋体" w:hAnsi="宋体" w:eastAsia="宋体"/>
          <w:color w:val="000000"/>
          <w:sz w:val="24"/>
          <w:szCs w:val="24"/>
        </w:rPr>
        <w:t>（一）磋商</w:t>
      </w:r>
      <w:r>
        <w:rPr>
          <w:rFonts w:ascii="宋体" w:hAnsi="宋体" w:eastAsia="宋体"/>
          <w:color w:val="000000"/>
          <w:sz w:val="24"/>
          <w:szCs w:val="24"/>
        </w:rPr>
        <w:t>响应文件的</w:t>
      </w:r>
      <w:r>
        <w:rPr>
          <w:rFonts w:hint="eastAsia" w:ascii="宋体" w:hAnsi="宋体" w:eastAsia="宋体"/>
          <w:color w:val="000000"/>
          <w:sz w:val="24"/>
          <w:szCs w:val="24"/>
        </w:rPr>
        <w:t>组成</w:t>
      </w:r>
    </w:p>
    <w:p>
      <w:pPr>
        <w:snapToGrid w:val="0"/>
        <w:spacing w:line="360" w:lineRule="auto"/>
        <w:ind w:firstLine="480" w:firstLineChars="200"/>
        <w:rPr>
          <w:rFonts w:ascii="仿宋_GB2312" w:hAnsi="仿宋_GB2312" w:eastAsia="仿宋_GB2312" w:cs="仿宋_GB2312"/>
          <w:sz w:val="24"/>
          <w:lang w:val="zh-CN"/>
        </w:rPr>
      </w:pPr>
      <w:r>
        <w:rPr>
          <w:rFonts w:hint="eastAsia" w:ascii="宋体"/>
          <w:color w:val="000000"/>
          <w:kern w:val="0"/>
          <w:sz w:val="24"/>
        </w:rPr>
        <w:t>供应商应仔细阅读磋商采购文件的所有内容，按磋商采购文件的要求，详细编制磋商响应文件</w:t>
      </w:r>
      <w:r>
        <w:rPr>
          <w:rFonts w:hAnsi="宋体"/>
          <w:sz w:val="24"/>
        </w:rPr>
        <w:t>。</w:t>
      </w:r>
      <w:r>
        <w:rPr>
          <w:rFonts w:hint="eastAsia" w:ascii="宋体" w:hAnsi="宋体"/>
          <w:kern w:val="0"/>
          <w:sz w:val="24"/>
          <w:lang w:val="zh-CN"/>
        </w:rPr>
        <w:t>【特别提示：如有要求提供资料原件的，与磋商响应文件一起提交，磋商响应截止时间后所有原件不予接收。资料原件也可以用与原件相符的公证原件替代】</w:t>
      </w:r>
    </w:p>
    <w:p>
      <w:pPr>
        <w:snapToGrid w:val="0"/>
        <w:spacing w:line="360" w:lineRule="auto"/>
        <w:ind w:firstLine="482" w:firstLineChars="200"/>
        <w:rPr>
          <w:rFonts w:ascii="宋体" w:hAnsi="宋体"/>
          <w:kern w:val="0"/>
          <w:sz w:val="24"/>
        </w:rPr>
      </w:pPr>
      <w:r>
        <w:rPr>
          <w:rFonts w:hint="eastAsia" w:ascii="宋体" w:hAnsi="宋体" w:cs="宋体"/>
          <w:b/>
          <w:sz w:val="24"/>
        </w:rPr>
        <w:t>▲</w:t>
      </w:r>
      <w:r>
        <w:rPr>
          <w:rFonts w:hint="eastAsia" w:ascii="宋体" w:hAnsi="宋体"/>
          <w:b/>
          <w:sz w:val="24"/>
        </w:rPr>
        <w:t>1、资格证明内容</w:t>
      </w:r>
      <w:r>
        <w:rPr>
          <w:rFonts w:hint="eastAsia" w:ascii="宋体" w:hAnsi="宋体"/>
          <w:b/>
          <w:color w:val="000000"/>
          <w:sz w:val="24"/>
        </w:rPr>
        <w:t>的组成：</w:t>
      </w:r>
    </w:p>
    <w:p>
      <w:pPr>
        <w:pStyle w:val="24"/>
        <w:ind w:left="0" w:leftChars="0" w:firstLine="470"/>
        <w:rPr>
          <w:rStyle w:val="34"/>
          <w:b w:val="0"/>
          <w:color w:val="000000"/>
        </w:rPr>
      </w:pPr>
      <w:r>
        <w:rPr>
          <w:rStyle w:val="34"/>
          <w:rFonts w:hint="eastAsia"/>
          <w:b w:val="0"/>
          <w:color w:val="000000"/>
        </w:rPr>
        <w:t>（1）磋商声明书</w:t>
      </w:r>
    </w:p>
    <w:p>
      <w:pPr>
        <w:widowControl/>
        <w:spacing w:line="360" w:lineRule="auto"/>
        <w:ind w:right="60" w:firstLine="480" w:firstLineChars="200"/>
        <w:jc w:val="left"/>
        <w:outlineLvl w:val="0"/>
        <w:rPr>
          <w:rFonts w:ascii="宋体" w:hAnsi="宋体" w:cs="宋体"/>
          <w:sz w:val="24"/>
        </w:rPr>
      </w:pPr>
      <w:r>
        <w:rPr>
          <w:rFonts w:hint="eastAsia" w:ascii="宋体" w:hAnsi="宋体" w:cs="宋体"/>
          <w:sz w:val="24"/>
        </w:rPr>
        <w:t>（2）授权委托书（法定代表人亲自办理磋商响应事宜的，则无需提交)；</w:t>
      </w:r>
    </w:p>
    <w:p>
      <w:pPr>
        <w:widowControl/>
        <w:spacing w:line="360" w:lineRule="auto"/>
        <w:ind w:right="60" w:firstLine="480" w:firstLineChars="200"/>
        <w:jc w:val="left"/>
        <w:outlineLvl w:val="0"/>
        <w:rPr>
          <w:rFonts w:ascii="宋体" w:hAnsi="宋体" w:cs="宋体"/>
          <w:sz w:val="24"/>
        </w:rPr>
      </w:pPr>
      <w:r>
        <w:rPr>
          <w:rFonts w:hint="eastAsia" w:ascii="宋体" w:hAnsi="宋体" w:cs="宋体"/>
          <w:sz w:val="24"/>
        </w:rPr>
        <w:t>（3）法人或者其他组织的营业执照等证明文件，自然人的身份证明；</w:t>
      </w:r>
    </w:p>
    <w:p>
      <w:pPr>
        <w:widowControl/>
        <w:spacing w:line="360" w:lineRule="auto"/>
        <w:ind w:right="60" w:firstLine="480" w:firstLineChars="200"/>
        <w:jc w:val="left"/>
        <w:outlineLvl w:val="0"/>
        <w:rPr>
          <w:rFonts w:ascii="宋体" w:hAnsi="宋体" w:cs="宋体"/>
          <w:sz w:val="24"/>
        </w:rPr>
      </w:pPr>
      <w:r>
        <w:rPr>
          <w:rFonts w:hint="eastAsia" w:ascii="宋体" w:hAnsi="宋体" w:cs="宋体"/>
          <w:sz w:val="24"/>
        </w:rPr>
        <w:t>（4）财务状况报告，依法缴纳税收和社会保障资金的相关材料；</w:t>
      </w:r>
    </w:p>
    <w:p>
      <w:pPr>
        <w:snapToGrid w:val="0"/>
        <w:spacing w:line="360" w:lineRule="auto"/>
        <w:ind w:firstLine="480" w:firstLineChars="200"/>
        <w:rPr>
          <w:rFonts w:hint="eastAsia" w:ascii="宋体" w:hAnsi="宋体" w:cs="宋体"/>
          <w:sz w:val="24"/>
        </w:rPr>
      </w:pPr>
      <w:r>
        <w:rPr>
          <w:rFonts w:hint="eastAsia" w:ascii="宋体" w:hAnsi="宋体" w:cs="宋体"/>
          <w:sz w:val="24"/>
        </w:rPr>
        <w:t>（5）具备履行合同所必需的设备和专业技术能力的证明材料(根据项目性质提供)；</w:t>
      </w:r>
    </w:p>
    <w:p>
      <w:pPr>
        <w:widowControl/>
        <w:spacing w:line="360" w:lineRule="auto"/>
        <w:ind w:right="60" w:firstLine="480" w:firstLineChars="200"/>
        <w:jc w:val="left"/>
        <w:outlineLvl w:val="0"/>
        <w:rPr>
          <w:rStyle w:val="34"/>
          <w:rFonts w:ascii="宋体" w:hAnsi="宋体" w:cs="宋体"/>
          <w:color w:val="auto"/>
          <w:sz w:val="24"/>
          <w:u w:val="none"/>
        </w:rPr>
      </w:pPr>
      <w:r>
        <w:rPr>
          <w:rFonts w:hint="eastAsia" w:ascii="宋体" w:hAnsi="宋体" w:cs="宋体"/>
          <w:sz w:val="24"/>
        </w:rPr>
        <w:t>（6）提供采购公告中符合供应商特定条件的有效资质证书复印件（磋商供应商特定条件中有要求的必须提供），以及需要说明的其他资料；</w:t>
      </w:r>
    </w:p>
    <w:p>
      <w:pPr>
        <w:snapToGrid w:val="0"/>
        <w:spacing w:line="400" w:lineRule="exact"/>
        <w:ind w:firstLine="482" w:firstLineChars="200"/>
        <w:rPr>
          <w:rFonts w:ascii="宋体" w:hAnsi="宋体" w:cs="宋体"/>
          <w:color w:val="000000"/>
          <w:sz w:val="24"/>
          <w:u w:val="single"/>
        </w:rPr>
      </w:pPr>
      <w:r>
        <w:rPr>
          <w:rFonts w:hint="eastAsia" w:ascii="宋体" w:hAnsi="宋体"/>
          <w:b/>
          <w:color w:val="000000"/>
          <w:sz w:val="24"/>
        </w:rPr>
        <w:t>2、商务技术文件内容的组成：</w:t>
      </w:r>
    </w:p>
    <w:p>
      <w:pPr>
        <w:pStyle w:val="7"/>
        <w:widowControl/>
        <w:adjustRightInd w:val="0"/>
        <w:snapToGrid w:val="0"/>
        <w:spacing w:line="360" w:lineRule="auto"/>
        <w:ind w:firstLine="480" w:firstLineChars="200"/>
        <w:rPr>
          <w:rFonts w:ascii="宋体" w:hAnsi="宋体" w:cs="宋体"/>
          <w:sz w:val="24"/>
          <w:szCs w:val="24"/>
        </w:rPr>
      </w:pPr>
      <w:r>
        <w:rPr>
          <w:rFonts w:hint="eastAsia" w:ascii="宋体" w:hAnsi="宋体" w:cs="宋体"/>
          <w:color w:val="FF0000"/>
          <w:sz w:val="24"/>
          <w:szCs w:val="24"/>
        </w:rPr>
        <w:t xml:space="preserve"> </w:t>
      </w:r>
      <w:r>
        <w:rPr>
          <w:rFonts w:hint="eastAsia" w:ascii="宋体" w:hAnsi="宋体" w:cs="宋体"/>
          <w:sz w:val="24"/>
          <w:szCs w:val="24"/>
        </w:rPr>
        <w:t>（1）供应商情况介绍（人员与技术力量、企业规模、经营业绩等）。</w:t>
      </w:r>
    </w:p>
    <w:p>
      <w:pPr>
        <w:pStyle w:val="7"/>
        <w:widowControl/>
        <w:adjustRightInd w:val="0"/>
        <w:snapToGrid w:val="0"/>
        <w:spacing w:line="360" w:lineRule="auto"/>
        <w:ind w:firstLine="480" w:firstLineChars="200"/>
        <w:rPr>
          <w:rFonts w:ascii="宋体" w:hAnsi="宋体" w:cs="宋体"/>
          <w:color w:val="000000"/>
          <w:sz w:val="24"/>
          <w:szCs w:val="24"/>
        </w:rPr>
      </w:pPr>
      <w:r>
        <w:rPr>
          <w:rFonts w:hint="eastAsia" w:ascii="宋体" w:hAnsi="宋体" w:cs="宋体"/>
          <w:color w:val="000000"/>
          <w:sz w:val="24"/>
          <w:szCs w:val="24"/>
        </w:rPr>
        <w:t>（2）磋商响应方案描述：</w:t>
      </w:r>
    </w:p>
    <w:p>
      <w:pPr>
        <w:pStyle w:val="7"/>
        <w:widowControl/>
        <w:adjustRightInd w:val="0"/>
        <w:snapToGrid w:val="0"/>
        <w:spacing w:line="360" w:lineRule="auto"/>
        <w:ind w:left="218" w:leftChars="104" w:firstLine="619" w:firstLineChars="258"/>
        <w:rPr>
          <w:rFonts w:ascii="宋体" w:hAnsi="宋体" w:cs="宋体"/>
          <w:color w:val="000000"/>
          <w:sz w:val="24"/>
          <w:szCs w:val="24"/>
        </w:rPr>
      </w:pPr>
      <w:r>
        <w:rPr>
          <w:rFonts w:hint="eastAsia" w:ascii="宋体" w:hAnsi="宋体" w:cs="宋体"/>
          <w:color w:val="000000"/>
          <w:sz w:val="24"/>
          <w:szCs w:val="24"/>
        </w:rPr>
        <w:t>A.项目需求的理解与分析(供应商对项目现状及需求的理解情况，对项目现状和需求描述的全面性、准确性、针对性，项目功能设计完备、对系统各组成部分等功能进行准确的分析，对项目重点、难点的把握，解决方案及合理化建议)。</w:t>
      </w:r>
    </w:p>
    <w:p>
      <w:pPr>
        <w:pStyle w:val="7"/>
        <w:widowControl/>
        <w:adjustRightInd w:val="0"/>
        <w:snapToGrid w:val="0"/>
        <w:spacing w:line="360" w:lineRule="auto"/>
        <w:ind w:left="218" w:leftChars="104" w:firstLine="619" w:firstLineChars="258"/>
        <w:rPr>
          <w:rFonts w:ascii="宋体" w:hAnsi="宋体" w:cs="宋体"/>
          <w:sz w:val="24"/>
          <w:szCs w:val="24"/>
        </w:rPr>
      </w:pPr>
      <w:r>
        <w:rPr>
          <w:rFonts w:hint="eastAsia" w:ascii="宋体" w:hAnsi="宋体" w:cs="宋体"/>
          <w:color w:val="000000"/>
          <w:sz w:val="24"/>
          <w:szCs w:val="24"/>
        </w:rPr>
        <w:t>B.项目组织实施方案（包括项目工期、确保项目供货的措施或方案、项目实施进度安排、项目实施人员及项目负责人的资质、类似经验及社保证明等）。</w:t>
      </w:r>
    </w:p>
    <w:p>
      <w:pPr>
        <w:pStyle w:val="7"/>
        <w:widowControl/>
        <w:adjustRightInd w:val="0"/>
        <w:snapToGrid w:val="0"/>
        <w:spacing w:line="360" w:lineRule="auto"/>
        <w:ind w:left="218" w:leftChars="104" w:firstLine="619" w:firstLineChars="258"/>
        <w:rPr>
          <w:rFonts w:ascii="宋体" w:hAnsi="宋体" w:cs="宋体"/>
          <w:sz w:val="24"/>
          <w:szCs w:val="24"/>
        </w:rPr>
      </w:pPr>
      <w:r>
        <w:rPr>
          <w:rFonts w:hint="eastAsia" w:ascii="宋体" w:hAnsi="宋体" w:cs="宋体"/>
          <w:sz w:val="24"/>
          <w:szCs w:val="24"/>
        </w:rPr>
        <w:t>C.</w:t>
      </w:r>
      <w:r>
        <w:rPr>
          <w:rFonts w:ascii="宋体" w:hAnsi="宋体"/>
          <w:kern w:val="0"/>
          <w:sz w:val="24"/>
          <w:szCs w:val="24"/>
        </w:rPr>
        <w:t>安装、调试及验收方案</w:t>
      </w:r>
      <w:r>
        <w:rPr>
          <w:rFonts w:hint="eastAsia" w:ascii="宋体" w:hAnsi="宋体"/>
          <w:kern w:val="0"/>
          <w:sz w:val="24"/>
          <w:szCs w:val="24"/>
        </w:rPr>
        <w:t>（包括项目验收标准和验收方法等）</w:t>
      </w:r>
      <w:r>
        <w:rPr>
          <w:rFonts w:hint="eastAsia" w:ascii="宋体" w:hAnsi="宋体"/>
          <w:sz w:val="24"/>
          <w:szCs w:val="24"/>
        </w:rPr>
        <w:t>和措施；</w:t>
      </w:r>
    </w:p>
    <w:p>
      <w:pPr>
        <w:pStyle w:val="7"/>
        <w:widowControl/>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（3）磋商响应产品描述及相关资料：</w:t>
      </w:r>
    </w:p>
    <w:p>
      <w:pPr>
        <w:pStyle w:val="24"/>
        <w:rPr>
          <w:rFonts w:hint="eastAsia"/>
        </w:rPr>
      </w:pPr>
      <w:r>
        <w:rPr>
          <w:rFonts w:hint="eastAsia" w:cs="宋体"/>
        </w:rPr>
        <w:t>A.</w:t>
      </w:r>
      <w:r>
        <w:rPr>
          <w:rStyle w:val="34"/>
          <w:rFonts w:hint="eastAsia"/>
          <w:b w:val="0"/>
          <w:color w:val="auto"/>
        </w:rPr>
        <w:t>磋商项目供货清单</w:t>
      </w:r>
      <w:r>
        <w:t>（</w:t>
      </w:r>
      <w:r>
        <w:rPr>
          <w:rFonts w:hint="eastAsia"/>
        </w:rPr>
        <w:t>均</w:t>
      </w:r>
      <w:r>
        <w:t>不含报价）</w:t>
      </w:r>
      <w:r>
        <w:rPr>
          <w:rStyle w:val="34"/>
          <w:rFonts w:hint="eastAsia"/>
          <w:b w:val="0"/>
          <w:color w:val="auto"/>
        </w:rPr>
        <w:t>。</w:t>
      </w:r>
    </w:p>
    <w:p>
      <w:pPr>
        <w:pStyle w:val="7"/>
        <w:widowControl/>
        <w:adjustRightInd w:val="0"/>
        <w:snapToGrid w:val="0"/>
        <w:spacing w:line="360" w:lineRule="auto"/>
        <w:ind w:firstLine="720" w:firstLineChars="300"/>
        <w:jc w:val="left"/>
        <w:rPr>
          <w:rFonts w:ascii="宋体" w:hAnsi="宋体" w:cs="宋体"/>
          <w:color w:val="000000"/>
          <w:sz w:val="24"/>
          <w:szCs w:val="24"/>
        </w:rPr>
      </w:pPr>
      <w:r>
        <w:rPr>
          <w:rFonts w:hint="eastAsia" w:ascii="宋体" w:hAnsi="宋体" w:cs="宋体"/>
          <w:sz w:val="24"/>
          <w:szCs w:val="24"/>
        </w:rPr>
        <w:t>B.产品品牌及型号、技术参数指标、性能特点、图片资料以及所遵循的技术规范、产品质保期、出厂标准、产品质量相关</w:t>
      </w:r>
      <w:r>
        <w:rPr>
          <w:rFonts w:hint="eastAsia" w:ascii="宋体" w:hAnsi="宋体" w:cs="宋体"/>
          <w:color w:val="000000"/>
          <w:sz w:val="24"/>
          <w:szCs w:val="24"/>
        </w:rPr>
        <w:t>检测报告等内容。</w:t>
      </w:r>
    </w:p>
    <w:p>
      <w:pPr>
        <w:pStyle w:val="7"/>
        <w:widowControl/>
        <w:adjustRightInd w:val="0"/>
        <w:snapToGrid w:val="0"/>
        <w:spacing w:line="360" w:lineRule="auto"/>
        <w:ind w:left="218" w:leftChars="104" w:firstLine="619" w:firstLineChars="258"/>
        <w:rPr>
          <w:rFonts w:ascii="宋体" w:hAnsi="宋体" w:cs="宋体"/>
          <w:color w:val="000000"/>
          <w:sz w:val="24"/>
          <w:szCs w:val="24"/>
        </w:rPr>
      </w:pPr>
      <w:r>
        <w:rPr>
          <w:rFonts w:hint="eastAsia" w:ascii="宋体" w:hAnsi="宋体" w:cs="宋体"/>
          <w:color w:val="000000"/>
          <w:sz w:val="24"/>
          <w:szCs w:val="24"/>
        </w:rPr>
        <w:t>C.商务及技术响应表。</w:t>
      </w:r>
    </w:p>
    <w:p>
      <w:pPr>
        <w:spacing w:line="360" w:lineRule="auto"/>
        <w:ind w:left="218" w:leftChars="104" w:firstLine="619" w:firstLineChars="258"/>
        <w:rPr>
          <w:rFonts w:ascii="宋体" w:hAnsi="宋体" w:cs="宋体"/>
          <w:color w:val="000000"/>
          <w:sz w:val="24"/>
        </w:rPr>
      </w:pPr>
      <w:r>
        <w:rPr>
          <w:rFonts w:hint="eastAsia" w:ascii="宋体" w:hAnsi="宋体" w:cs="宋体"/>
          <w:color w:val="000000"/>
          <w:sz w:val="24"/>
        </w:rPr>
        <w:t>D.磋商响应产品中有节能产品的，应列明磋商响应产品中有列入最新一期财政部、发展改革委公布的“节能产品政府采购清单”明细（提供所响应产品在清单中所处的页码、截图，并以明显标识标注）；磋商响应产品中有环保产品的，应列明磋商响应产品中有列入最新一期财政部、环境保护部公布的“环境标志产品政府采购清单”明细（提供所响应产品在清单中所处的页码、截图，并以明显标识标注）。</w:t>
      </w:r>
    </w:p>
    <w:p>
      <w:pPr>
        <w:spacing w:line="360" w:lineRule="auto"/>
        <w:ind w:left="218" w:leftChars="104" w:firstLine="619" w:firstLineChars="258"/>
        <w:rPr>
          <w:rFonts w:ascii="宋体" w:hAnsi="宋体" w:cs="宋体"/>
          <w:color w:val="000000"/>
          <w:sz w:val="24"/>
        </w:rPr>
      </w:pPr>
      <w:r>
        <w:rPr>
          <w:rFonts w:hint="eastAsia" w:ascii="宋体" w:hAnsi="宋体" w:cs="宋体"/>
          <w:color w:val="000000"/>
          <w:sz w:val="24"/>
        </w:rPr>
        <w:t>【特别提示：节能和环境标志产品最新一期政府采购清单，可在“中国政府采购网”中查看】</w:t>
      </w:r>
    </w:p>
    <w:p>
      <w:pPr>
        <w:autoSpaceDE w:val="0"/>
        <w:autoSpaceDN w:val="0"/>
        <w:adjustRightInd w:val="0"/>
        <w:spacing w:line="360" w:lineRule="auto"/>
        <w:ind w:firstLine="424" w:firstLineChars="177"/>
        <w:rPr>
          <w:rFonts w:ascii="宋体" w:hAnsi="宋体" w:cs="宋体"/>
          <w:color w:val="000000"/>
          <w:sz w:val="24"/>
        </w:rPr>
      </w:pPr>
      <w:r>
        <w:rPr>
          <w:rFonts w:hint="eastAsia" w:ascii="宋体" w:hAnsi="宋体"/>
          <w:color w:val="000000"/>
          <w:kern w:val="0"/>
          <w:sz w:val="24"/>
        </w:rPr>
        <w:t>（4）供应商</w:t>
      </w:r>
      <w:r>
        <w:rPr>
          <w:rFonts w:ascii="宋体" w:hAnsi="宋体"/>
          <w:color w:val="000000"/>
          <w:kern w:val="0"/>
          <w:sz w:val="24"/>
        </w:rPr>
        <w:t>通过的</w:t>
      </w:r>
      <w:r>
        <w:rPr>
          <w:rFonts w:hint="eastAsia" w:ascii="宋体" w:hAnsi="宋体"/>
          <w:color w:val="000000"/>
          <w:kern w:val="0"/>
          <w:sz w:val="24"/>
        </w:rPr>
        <w:t>质量管理和</w:t>
      </w:r>
      <w:r>
        <w:rPr>
          <w:rFonts w:ascii="宋体" w:hAnsi="宋体"/>
          <w:color w:val="000000"/>
          <w:kern w:val="0"/>
          <w:sz w:val="24"/>
        </w:rPr>
        <w:t>质量</w:t>
      </w:r>
      <w:r>
        <w:rPr>
          <w:rFonts w:hint="eastAsia" w:ascii="宋体" w:hAnsi="宋体"/>
          <w:color w:val="000000"/>
          <w:kern w:val="0"/>
          <w:sz w:val="24"/>
        </w:rPr>
        <w:t>保证</w:t>
      </w:r>
      <w:r>
        <w:rPr>
          <w:rFonts w:ascii="宋体" w:hAnsi="宋体"/>
          <w:color w:val="000000"/>
          <w:kern w:val="0"/>
          <w:sz w:val="24"/>
        </w:rPr>
        <w:t>体系、环保体系、</w:t>
      </w:r>
      <w:r>
        <w:rPr>
          <w:rFonts w:hint="eastAsia" w:ascii="宋体" w:hAnsi="宋体"/>
          <w:color w:val="000000"/>
          <w:sz w:val="24"/>
        </w:rPr>
        <w:t>自主创新相关证书、软件著作权证等等与本项目相关</w:t>
      </w:r>
      <w:r>
        <w:rPr>
          <w:rFonts w:ascii="宋体" w:hAnsi="宋体"/>
          <w:color w:val="000000"/>
          <w:kern w:val="0"/>
          <w:sz w:val="24"/>
        </w:rPr>
        <w:t>的认证证书</w:t>
      </w:r>
      <w:r>
        <w:rPr>
          <w:rFonts w:hint="eastAsia" w:ascii="宋体" w:hAnsi="宋体"/>
          <w:color w:val="000000"/>
          <w:kern w:val="0"/>
          <w:sz w:val="24"/>
        </w:rPr>
        <w:t>或文件；</w:t>
      </w:r>
    </w:p>
    <w:p>
      <w:pPr>
        <w:pStyle w:val="7"/>
        <w:widowControl/>
        <w:adjustRightInd w:val="0"/>
        <w:snapToGrid w:val="0"/>
        <w:spacing w:line="360" w:lineRule="auto"/>
        <w:ind w:firstLine="480" w:firstLineChars="200"/>
        <w:rPr>
          <w:rFonts w:ascii="宋体" w:hAnsi="宋体" w:cs="宋体"/>
          <w:color w:val="000000"/>
          <w:sz w:val="24"/>
          <w:szCs w:val="24"/>
        </w:rPr>
      </w:pPr>
      <w:r>
        <w:rPr>
          <w:rFonts w:hint="eastAsia" w:ascii="宋体" w:hAnsi="宋体"/>
          <w:color w:val="000000"/>
          <w:kern w:val="0"/>
          <w:sz w:val="24"/>
          <w:szCs w:val="24"/>
        </w:rPr>
        <w:t>（5）近三年来类似项目的成功案例（供应商类似项目实施情况一览表、合同复印件及其相应的发票、用户验收报告等；</w:t>
      </w:r>
    </w:p>
    <w:p>
      <w:pPr>
        <w:snapToGrid w:val="0"/>
        <w:spacing w:line="360" w:lineRule="auto"/>
        <w:ind w:firstLine="480" w:firstLineChars="200"/>
        <w:rPr>
          <w:rFonts w:ascii="宋体"/>
          <w:color w:val="000000"/>
          <w:sz w:val="24"/>
          <w:lang w:val="zh-CN"/>
        </w:rPr>
      </w:pPr>
      <w:r>
        <w:rPr>
          <w:rFonts w:hint="eastAsia" w:ascii="宋体" w:hAnsi="宋体" w:cs="宋体"/>
          <w:color w:val="000000"/>
          <w:sz w:val="24"/>
        </w:rPr>
        <w:t>（6）供应商认为需要提供的其他资料（包括可能影响供应商商务与技术内容评分的各类证明材料）。</w:t>
      </w:r>
    </w:p>
    <w:p>
      <w:pPr>
        <w:pStyle w:val="7"/>
        <w:widowControl/>
        <w:adjustRightInd w:val="0"/>
        <w:snapToGrid w:val="0"/>
        <w:spacing w:line="360" w:lineRule="auto"/>
        <w:ind w:firstLine="480" w:firstLineChars="200"/>
        <w:rPr>
          <w:rFonts w:ascii="宋体" w:hAnsi="宋体" w:cs="宋体"/>
          <w:color w:val="000000"/>
          <w:sz w:val="24"/>
          <w:szCs w:val="24"/>
        </w:rPr>
      </w:pPr>
      <w:r>
        <w:rPr>
          <w:rFonts w:hint="eastAsia" w:ascii="宋体" w:hAnsi="宋体" w:cs="宋体"/>
          <w:color w:val="000000"/>
          <w:sz w:val="24"/>
          <w:szCs w:val="24"/>
        </w:rPr>
        <w:t>（7）售后服务描述及承诺：</w:t>
      </w:r>
    </w:p>
    <w:p>
      <w:pPr>
        <w:pStyle w:val="7"/>
        <w:widowControl/>
        <w:adjustRightInd w:val="0"/>
        <w:snapToGrid w:val="0"/>
        <w:spacing w:line="360" w:lineRule="auto"/>
        <w:ind w:left="218" w:leftChars="104" w:firstLine="619" w:firstLineChars="258"/>
        <w:rPr>
          <w:rFonts w:ascii="宋体" w:hAnsi="宋体" w:cs="宋体"/>
          <w:color w:val="000000"/>
          <w:sz w:val="24"/>
          <w:szCs w:val="24"/>
        </w:rPr>
      </w:pPr>
      <w:r>
        <w:rPr>
          <w:rFonts w:hint="eastAsia" w:ascii="宋体" w:hAnsi="宋体" w:cs="宋体"/>
          <w:color w:val="000000"/>
          <w:sz w:val="24"/>
          <w:szCs w:val="24"/>
        </w:rPr>
        <w:t>A.距采购人最近的服务网点详细介绍（包括地理位置、资质资格、技术力量、工作业绩、服务内容及联系电话等）。</w:t>
      </w:r>
    </w:p>
    <w:p>
      <w:pPr>
        <w:pStyle w:val="7"/>
        <w:widowControl/>
        <w:adjustRightInd w:val="0"/>
        <w:snapToGrid w:val="0"/>
        <w:spacing w:line="360" w:lineRule="auto"/>
        <w:ind w:left="218" w:leftChars="104" w:firstLine="619" w:firstLineChars="258"/>
        <w:rPr>
          <w:rFonts w:hint="eastAsia" w:ascii="宋体" w:hAnsi="宋体" w:cs="宋体"/>
          <w:color w:val="000000"/>
          <w:sz w:val="24"/>
          <w:szCs w:val="24"/>
        </w:rPr>
      </w:pPr>
      <w:r>
        <w:rPr>
          <w:rFonts w:hint="eastAsia" w:ascii="宋体" w:hAnsi="宋体" w:cs="宋体"/>
          <w:color w:val="000000"/>
          <w:sz w:val="24"/>
          <w:szCs w:val="24"/>
        </w:rPr>
        <w:t>B.针对本项目的售后服务措施及承诺（售后技术服务方案、人员配备、故障响应时间、技术培训方案等）。</w:t>
      </w:r>
    </w:p>
    <w:p>
      <w:pPr>
        <w:autoSpaceDE w:val="0"/>
        <w:autoSpaceDN w:val="0"/>
        <w:adjustRightInd w:val="0"/>
        <w:spacing w:line="400" w:lineRule="exact"/>
        <w:ind w:left="426" w:firstLine="65" w:firstLineChars="27"/>
        <w:rPr>
          <w:rFonts w:ascii="宋体" w:hAnsi="宋体"/>
          <w:b/>
          <w:color w:val="000000"/>
          <w:kern w:val="0"/>
          <w:sz w:val="24"/>
        </w:rPr>
      </w:pPr>
      <w:r>
        <w:rPr>
          <w:rFonts w:hint="eastAsia" w:ascii="宋体" w:hAnsi="宋体"/>
          <w:b/>
          <w:color w:val="000000"/>
          <w:kern w:val="0"/>
          <w:sz w:val="24"/>
        </w:rPr>
        <w:t>3、报价内容的组成</w:t>
      </w:r>
    </w:p>
    <w:p>
      <w:pPr>
        <w:snapToGrid w:val="0"/>
        <w:spacing w:line="360" w:lineRule="auto"/>
        <w:ind w:firstLine="480" w:firstLineChars="200"/>
        <w:rPr>
          <w:rFonts w:ascii="宋体" w:hAnsi="宋体"/>
          <w:color w:val="000000"/>
          <w:kern w:val="0"/>
          <w:sz w:val="24"/>
          <w:lang w:val="zh-CN"/>
        </w:rPr>
      </w:pPr>
      <w:r>
        <w:rPr>
          <w:rFonts w:hint="eastAsia" w:ascii="宋体" w:hAnsi="宋体"/>
          <w:color w:val="000000"/>
          <w:kern w:val="0"/>
          <w:sz w:val="24"/>
          <w:lang w:val="zh-CN"/>
        </w:rPr>
        <w:t>（1）报价内容由首次报价一览表、报价明细表，以及供应商认为其他需要说明的内容组成。</w:t>
      </w:r>
    </w:p>
    <w:p>
      <w:pPr>
        <w:snapToGrid w:val="0"/>
        <w:spacing w:line="360" w:lineRule="auto"/>
        <w:ind w:firstLine="480" w:firstLineChars="200"/>
        <w:rPr>
          <w:rFonts w:ascii="宋体" w:hAnsi="宋体"/>
          <w:kern w:val="0"/>
          <w:sz w:val="24"/>
        </w:rPr>
      </w:pPr>
      <w:r>
        <w:rPr>
          <w:rFonts w:hint="eastAsia" w:ascii="宋体" w:hAnsi="宋体"/>
          <w:color w:val="000000"/>
          <w:kern w:val="0"/>
          <w:sz w:val="24"/>
          <w:lang w:val="zh-CN"/>
        </w:rPr>
        <w:t>（2）此报价为供应商</w:t>
      </w:r>
      <w:r>
        <w:rPr>
          <w:rFonts w:hint="eastAsia" w:ascii="宋体" w:hAnsi="宋体"/>
          <w:kern w:val="0"/>
          <w:sz w:val="24"/>
        </w:rPr>
        <w:t>针对本项目报出的唯一的首次报价，包含其它一切所要涉及到的费用，有选择的报价将被拒绝。</w:t>
      </w:r>
    </w:p>
    <w:p>
      <w:pPr>
        <w:snapToGrid w:val="0"/>
        <w:spacing w:line="360" w:lineRule="auto"/>
        <w:ind w:firstLine="480" w:firstLineChars="200"/>
        <w:rPr>
          <w:rFonts w:ascii="宋体" w:hAnsi="宋体"/>
          <w:color w:val="000000"/>
          <w:kern w:val="0"/>
          <w:sz w:val="24"/>
          <w:lang w:val="zh-CN"/>
        </w:rPr>
      </w:pPr>
      <w:r>
        <w:rPr>
          <w:rFonts w:hint="eastAsia" w:ascii="宋体" w:hAnsi="宋体"/>
          <w:color w:val="000000"/>
          <w:kern w:val="0"/>
          <w:sz w:val="24"/>
          <w:lang w:val="zh-CN"/>
        </w:rPr>
        <w:t>（</w:t>
      </w:r>
      <w:r>
        <w:rPr>
          <w:rFonts w:hint="eastAsia" w:ascii="宋体" w:hAnsi="宋体"/>
          <w:color w:val="000000"/>
          <w:kern w:val="0"/>
          <w:sz w:val="24"/>
        </w:rPr>
        <w:t>3</w:t>
      </w:r>
      <w:r>
        <w:rPr>
          <w:rFonts w:hint="eastAsia" w:ascii="宋体" w:hAnsi="宋体"/>
          <w:color w:val="000000"/>
          <w:kern w:val="0"/>
          <w:sz w:val="24"/>
          <w:lang w:val="zh-CN"/>
        </w:rPr>
        <w:t>）总报价应当包括货款、标准附件、备品备件、专用工具、包装、运输、装卸、保险、税金、货到就位以及安装、调试、培训、保修、合同包含的所有风险责任等各项费用及不可预见费等所需的全部费用。</w:t>
      </w:r>
    </w:p>
    <w:p>
      <w:pPr>
        <w:snapToGrid w:val="0"/>
        <w:spacing w:line="360" w:lineRule="auto"/>
        <w:ind w:firstLine="480" w:firstLineChars="200"/>
        <w:rPr>
          <w:rFonts w:ascii="宋体" w:hAnsi="宋体"/>
          <w:color w:val="000000"/>
          <w:kern w:val="0"/>
          <w:sz w:val="24"/>
          <w:lang w:val="zh-CN"/>
        </w:rPr>
      </w:pPr>
      <w:r>
        <w:rPr>
          <w:rFonts w:hint="eastAsia" w:ascii="宋体" w:hAnsi="宋体"/>
          <w:color w:val="000000"/>
          <w:kern w:val="0"/>
          <w:sz w:val="24"/>
          <w:lang w:val="zh-CN"/>
        </w:rPr>
        <w:t>（</w:t>
      </w:r>
      <w:r>
        <w:rPr>
          <w:rFonts w:hint="eastAsia" w:ascii="宋体" w:hAnsi="宋体"/>
          <w:color w:val="000000"/>
          <w:kern w:val="0"/>
          <w:sz w:val="24"/>
        </w:rPr>
        <w:t>4</w:t>
      </w:r>
      <w:r>
        <w:rPr>
          <w:rFonts w:hint="eastAsia" w:ascii="宋体" w:hAnsi="宋体"/>
          <w:color w:val="000000"/>
          <w:kern w:val="0"/>
          <w:sz w:val="24"/>
          <w:lang w:val="zh-CN"/>
        </w:rPr>
        <w:t>）</w:t>
      </w:r>
      <w:r>
        <w:rPr>
          <w:rFonts w:hint="eastAsia" w:ascii="宋体" w:hAnsi="宋体"/>
          <w:color w:val="000000"/>
          <w:kern w:val="0"/>
          <w:sz w:val="24"/>
        </w:rPr>
        <w:t>政府采购优惠政策相关资料、产品适用政府采购政策情况表（如有）。</w:t>
      </w:r>
    </w:p>
    <w:p>
      <w:pPr>
        <w:autoSpaceDE w:val="0"/>
        <w:autoSpaceDN w:val="0"/>
        <w:adjustRightInd w:val="0"/>
        <w:spacing w:line="360" w:lineRule="auto"/>
        <w:ind w:firstLine="480" w:firstLineChars="200"/>
        <w:rPr>
          <w:rFonts w:ascii="宋体" w:hAnsi="宋体"/>
          <w:color w:val="000000"/>
          <w:kern w:val="0"/>
          <w:sz w:val="24"/>
        </w:rPr>
      </w:pPr>
      <w:r>
        <w:rPr>
          <w:rFonts w:hint="eastAsia" w:ascii="宋体" w:hAnsi="宋体"/>
          <w:color w:val="000000"/>
          <w:kern w:val="0"/>
          <w:sz w:val="24"/>
        </w:rPr>
        <w:t>（5）相关报价表需打印或用不退色的墨水填写， 磋商响应报价表不得涂改和增删，如有错漏必须修改，修改处须由同一签署人签字或盖章。由于字迹模糊或表达不清引起的后果由供应商负责。</w:t>
      </w:r>
    </w:p>
    <w:p>
      <w:pPr>
        <w:numPr>
          <w:ilvl w:val="0"/>
          <w:numId w:val="3"/>
        </w:numPr>
        <w:snapToGrid w:val="0"/>
        <w:spacing w:line="360" w:lineRule="auto"/>
        <w:rPr>
          <w:rFonts w:hint="eastAsia" w:ascii="宋体" w:hAnsi="宋体" w:cs="宋体"/>
          <w:sz w:val="24"/>
          <w:lang w:val="zh-CN"/>
        </w:rPr>
      </w:pPr>
      <w:r>
        <w:rPr>
          <w:rFonts w:ascii="宋体" w:hAnsi="宋体"/>
          <w:color w:val="000000"/>
          <w:sz w:val="24"/>
        </w:rPr>
        <w:t>报价</w:t>
      </w:r>
      <w:r>
        <w:rPr>
          <w:rFonts w:hint="eastAsia" w:ascii="宋体" w:hAnsi="宋体"/>
          <w:color w:val="000000"/>
          <w:sz w:val="24"/>
        </w:rPr>
        <w:t>有关表格</w:t>
      </w:r>
      <w:r>
        <w:rPr>
          <w:rFonts w:ascii="宋体" w:hAnsi="宋体"/>
          <w:color w:val="000000"/>
          <w:sz w:val="24"/>
        </w:rPr>
        <w:t>应按</w:t>
      </w:r>
      <w:r>
        <w:rPr>
          <w:rFonts w:hint="eastAsia" w:ascii="宋体" w:hAnsi="宋体"/>
          <w:color w:val="000000"/>
          <w:sz w:val="24"/>
        </w:rPr>
        <w:t>磋商采购</w:t>
      </w:r>
      <w:r>
        <w:rPr>
          <w:rFonts w:ascii="宋体" w:hAnsi="宋体"/>
          <w:color w:val="000000"/>
          <w:sz w:val="24"/>
        </w:rPr>
        <w:t>文件中相关附表格式填写。</w:t>
      </w:r>
    </w:p>
    <w:p>
      <w:pPr>
        <w:pStyle w:val="4"/>
        <w:spacing w:line="400" w:lineRule="exact"/>
        <w:ind w:firstLine="482"/>
        <w:rPr>
          <w:rFonts w:hint="eastAsia" w:ascii="宋体" w:hAnsi="宋体" w:eastAsia="宋体"/>
          <w:color w:val="000000"/>
          <w:sz w:val="24"/>
          <w:szCs w:val="24"/>
        </w:rPr>
      </w:pPr>
      <w:r>
        <w:rPr>
          <w:rFonts w:hint="eastAsia" w:ascii="宋体" w:hAnsi="宋体" w:eastAsia="宋体"/>
          <w:color w:val="000000"/>
          <w:sz w:val="24"/>
          <w:szCs w:val="24"/>
        </w:rPr>
        <w:t>（二）磋商响应文件的制作、递交要求</w:t>
      </w:r>
    </w:p>
    <w:p>
      <w:pPr>
        <w:autoSpaceDE w:val="0"/>
        <w:autoSpaceDN w:val="0"/>
        <w:adjustRightInd w:val="0"/>
        <w:spacing w:line="360" w:lineRule="auto"/>
        <w:ind w:firstLine="480"/>
        <w:rPr>
          <w:rFonts w:ascii="宋体" w:hAnsi="宋体"/>
          <w:b/>
          <w:bCs/>
          <w:color w:val="000000"/>
          <w:sz w:val="24"/>
        </w:rPr>
      </w:pPr>
      <w:r>
        <w:rPr>
          <w:rFonts w:hint="eastAsia" w:ascii="宋体" w:hAnsi="宋体"/>
          <w:b/>
          <w:bCs/>
          <w:color w:val="000000"/>
          <w:sz w:val="24"/>
        </w:rPr>
        <w:t>1、</w:t>
      </w:r>
      <w:r>
        <w:rPr>
          <w:rFonts w:hint="eastAsia" w:ascii="宋体" w:hAnsi="宋体"/>
          <w:b/>
          <w:bCs/>
          <w:color w:val="000000"/>
          <w:kern w:val="0"/>
          <w:sz w:val="24"/>
        </w:rPr>
        <w:t>磋商响应</w:t>
      </w:r>
      <w:r>
        <w:rPr>
          <w:rFonts w:hint="eastAsia" w:ascii="宋体" w:hAnsi="宋体"/>
          <w:b/>
          <w:bCs/>
          <w:color w:val="000000"/>
          <w:sz w:val="24"/>
        </w:rPr>
        <w:t>文件的制作要求</w:t>
      </w:r>
    </w:p>
    <w:p>
      <w:pPr>
        <w:autoSpaceDE w:val="0"/>
        <w:autoSpaceDN w:val="0"/>
        <w:adjustRightInd w:val="0"/>
        <w:spacing w:line="360" w:lineRule="auto"/>
        <w:ind w:firstLine="480"/>
        <w:rPr>
          <w:rFonts w:ascii="宋体" w:hAnsi="宋体"/>
          <w:color w:val="000000"/>
          <w:kern w:val="0"/>
          <w:sz w:val="24"/>
        </w:rPr>
      </w:pPr>
      <w:r>
        <w:rPr>
          <w:rFonts w:hint="eastAsia" w:ascii="宋体" w:hAnsi="宋体"/>
          <w:color w:val="000000"/>
          <w:sz w:val="24"/>
        </w:rPr>
        <w:t>（1）磋商人应按照磋商文件组成内容及项目采购需求制作磋商响应文件，</w:t>
      </w:r>
      <w:r>
        <w:rPr>
          <w:rFonts w:hint="eastAsia" w:ascii="宋体" w:hAnsi="宋体"/>
          <w:color w:val="000000"/>
          <w:kern w:val="0"/>
          <w:sz w:val="24"/>
        </w:rPr>
        <w:t>不按磋商采购文件要求制作磋商响应文件的将视情处理（拒收、扣分等），由此产生的责任由磋商人自行承担。</w:t>
      </w:r>
    </w:p>
    <w:p>
      <w:pPr>
        <w:autoSpaceDE w:val="0"/>
        <w:autoSpaceDN w:val="0"/>
        <w:adjustRightInd w:val="0"/>
        <w:spacing w:line="360" w:lineRule="auto"/>
        <w:ind w:firstLine="480" w:firstLineChars="200"/>
        <w:rPr>
          <w:rFonts w:ascii="宋体" w:hAnsi="宋体"/>
          <w:color w:val="000000"/>
          <w:kern w:val="0"/>
          <w:sz w:val="24"/>
          <w:lang w:val="zh-CN"/>
        </w:rPr>
      </w:pPr>
      <w:r>
        <w:rPr>
          <w:rFonts w:hint="eastAsia" w:ascii="宋体" w:hAnsi="宋体"/>
          <w:color w:val="000000"/>
          <w:sz w:val="24"/>
        </w:rPr>
        <w:t>（2）磋商人应对所提供的全部资料的真实性承担法律责任，磋商响应</w:t>
      </w:r>
      <w:r>
        <w:rPr>
          <w:rFonts w:hint="eastAsia" w:ascii="宋体" w:hAnsi="宋体"/>
          <w:color w:val="000000"/>
          <w:kern w:val="0"/>
          <w:sz w:val="24"/>
          <w:lang w:val="zh-CN"/>
        </w:rPr>
        <w:t>文件内容中有要求盖章或签字的地方必须加盖磋商人的公章以及法定代表人或全权代表的盖章或签字。</w:t>
      </w:r>
    </w:p>
    <w:p>
      <w:pPr>
        <w:snapToGrid w:val="0"/>
        <w:spacing w:line="360" w:lineRule="auto"/>
        <w:ind w:firstLine="480" w:firstLineChars="200"/>
        <w:jc w:val="left"/>
        <w:rPr>
          <w:rFonts w:ascii="宋体" w:hAnsi="宋体"/>
          <w:color w:val="000000"/>
          <w:sz w:val="24"/>
        </w:rPr>
      </w:pPr>
      <w:r>
        <w:rPr>
          <w:rFonts w:hint="eastAsia" w:ascii="宋体" w:hAnsi="宋体"/>
          <w:color w:val="000000"/>
          <w:kern w:val="0"/>
          <w:sz w:val="24"/>
          <w:lang w:val="zh-CN"/>
        </w:rPr>
        <w:t>（</w:t>
      </w:r>
      <w:r>
        <w:rPr>
          <w:rFonts w:hint="eastAsia" w:ascii="宋体" w:hAnsi="宋体"/>
          <w:color w:val="000000"/>
          <w:kern w:val="0"/>
          <w:sz w:val="24"/>
        </w:rPr>
        <w:t>3</w:t>
      </w:r>
      <w:r>
        <w:rPr>
          <w:rFonts w:hint="eastAsia" w:ascii="宋体" w:hAnsi="宋体"/>
          <w:color w:val="000000"/>
          <w:kern w:val="0"/>
          <w:sz w:val="24"/>
          <w:lang w:val="zh-CN"/>
        </w:rPr>
        <w:t>）磋商响应</w:t>
      </w:r>
      <w:r>
        <w:rPr>
          <w:rFonts w:ascii="宋体" w:hAnsi="宋体"/>
          <w:color w:val="000000"/>
          <w:sz w:val="24"/>
        </w:rPr>
        <w:t>文件以及</w:t>
      </w:r>
      <w:r>
        <w:rPr>
          <w:rFonts w:hint="eastAsia" w:ascii="宋体" w:hAnsi="宋体"/>
          <w:color w:val="000000"/>
          <w:sz w:val="24"/>
        </w:rPr>
        <w:t>磋商供应商</w:t>
      </w:r>
      <w:r>
        <w:rPr>
          <w:rFonts w:ascii="宋体" w:hAnsi="宋体"/>
          <w:color w:val="000000"/>
          <w:sz w:val="24"/>
        </w:rPr>
        <w:t>与</w:t>
      </w:r>
      <w:r>
        <w:rPr>
          <w:rFonts w:hint="eastAsia" w:ascii="宋体" w:hAnsi="宋体"/>
          <w:color w:val="000000"/>
          <w:sz w:val="24"/>
        </w:rPr>
        <w:t>采购组织机构</w:t>
      </w:r>
      <w:r>
        <w:rPr>
          <w:rFonts w:ascii="宋体" w:hAnsi="宋体"/>
          <w:color w:val="000000"/>
          <w:sz w:val="24"/>
        </w:rPr>
        <w:t>就有关</w:t>
      </w:r>
      <w:r>
        <w:rPr>
          <w:rFonts w:hint="eastAsia" w:ascii="宋体" w:hAnsi="宋体"/>
          <w:color w:val="000000"/>
          <w:sz w:val="24"/>
        </w:rPr>
        <w:t>磋商响应</w:t>
      </w:r>
      <w:r>
        <w:rPr>
          <w:rFonts w:ascii="宋体" w:hAnsi="宋体"/>
          <w:color w:val="000000"/>
          <w:sz w:val="24"/>
        </w:rPr>
        <w:t>事宜的所有来往函电，均应以中文汉语书写。除</w:t>
      </w:r>
      <w:r>
        <w:rPr>
          <w:rFonts w:hint="eastAsia" w:ascii="宋体" w:hAnsi="宋体"/>
          <w:color w:val="000000"/>
          <w:sz w:val="24"/>
        </w:rPr>
        <w:t>签字</w:t>
      </w:r>
      <w:r>
        <w:rPr>
          <w:rFonts w:ascii="宋体" w:hAnsi="宋体"/>
          <w:color w:val="000000"/>
          <w:sz w:val="24"/>
        </w:rPr>
        <w:t>、盖章、专用名称等特殊情形外，以中文汉语以外的文字表述的</w:t>
      </w:r>
      <w:r>
        <w:rPr>
          <w:rFonts w:hint="eastAsia" w:ascii="宋体" w:hAnsi="宋体"/>
          <w:color w:val="000000"/>
          <w:sz w:val="24"/>
        </w:rPr>
        <w:t>磋商</w:t>
      </w:r>
      <w:r>
        <w:rPr>
          <w:rFonts w:ascii="宋体" w:hAnsi="宋体"/>
          <w:color w:val="000000"/>
          <w:sz w:val="24"/>
        </w:rPr>
        <w:t>响应文件视同未提供。</w:t>
      </w:r>
    </w:p>
    <w:p>
      <w:pPr>
        <w:snapToGrid w:val="0"/>
        <w:spacing w:line="360" w:lineRule="auto"/>
        <w:ind w:firstLine="480" w:firstLineChars="200"/>
        <w:jc w:val="left"/>
        <w:rPr>
          <w:rFonts w:ascii="宋体" w:hAnsi="宋体"/>
          <w:color w:val="000000"/>
          <w:sz w:val="24"/>
        </w:rPr>
      </w:pPr>
      <w:r>
        <w:rPr>
          <w:rFonts w:hint="eastAsia" w:ascii="宋体" w:hAnsi="宋体"/>
          <w:color w:val="000000"/>
          <w:sz w:val="24"/>
        </w:rPr>
        <w:t>（4）磋商</w:t>
      </w:r>
      <w:r>
        <w:rPr>
          <w:rFonts w:ascii="宋体" w:hAnsi="宋体"/>
          <w:color w:val="000000"/>
          <w:sz w:val="24"/>
        </w:rPr>
        <w:t>计量单位，</w:t>
      </w:r>
      <w:r>
        <w:rPr>
          <w:rFonts w:hint="eastAsia" w:ascii="宋体" w:hAnsi="宋体"/>
          <w:color w:val="000000"/>
          <w:sz w:val="24"/>
        </w:rPr>
        <w:t>磋商</w:t>
      </w:r>
      <w:r>
        <w:rPr>
          <w:rFonts w:ascii="宋体" w:hAnsi="宋体"/>
          <w:color w:val="000000"/>
          <w:sz w:val="24"/>
        </w:rPr>
        <w:t>文件已有明确规定的，使用</w:t>
      </w:r>
      <w:r>
        <w:rPr>
          <w:rFonts w:hint="eastAsia" w:ascii="宋体" w:hAnsi="宋体"/>
          <w:color w:val="000000"/>
          <w:sz w:val="24"/>
        </w:rPr>
        <w:t>磋商</w:t>
      </w:r>
      <w:r>
        <w:rPr>
          <w:rFonts w:ascii="宋体" w:hAnsi="宋体"/>
          <w:color w:val="000000"/>
          <w:sz w:val="24"/>
        </w:rPr>
        <w:t>文件规定的计量单位；</w:t>
      </w:r>
      <w:r>
        <w:rPr>
          <w:rFonts w:hint="eastAsia" w:ascii="宋体" w:hAnsi="宋体"/>
          <w:color w:val="000000"/>
          <w:sz w:val="24"/>
        </w:rPr>
        <w:t>磋商</w:t>
      </w:r>
      <w:r>
        <w:rPr>
          <w:rFonts w:ascii="宋体" w:hAnsi="宋体"/>
          <w:color w:val="000000"/>
          <w:sz w:val="24"/>
        </w:rPr>
        <w:t>文件没有规定的，应采用中华人民共和国法定计量单位（货币单位：人民币元）。</w:t>
      </w:r>
    </w:p>
    <w:p>
      <w:pPr>
        <w:autoSpaceDE w:val="0"/>
        <w:autoSpaceDN w:val="0"/>
        <w:adjustRightInd w:val="0"/>
        <w:spacing w:line="360" w:lineRule="auto"/>
        <w:ind w:firstLine="480"/>
        <w:rPr>
          <w:rFonts w:ascii="宋体" w:hAnsi="宋体"/>
          <w:color w:val="000000"/>
          <w:sz w:val="24"/>
        </w:rPr>
      </w:pPr>
      <w:r>
        <w:rPr>
          <w:rFonts w:hint="eastAsia" w:ascii="宋体" w:hAnsi="宋体"/>
          <w:color w:val="000000"/>
          <w:sz w:val="24"/>
        </w:rPr>
        <w:t>（5）</w:t>
      </w:r>
      <w:r>
        <w:rPr>
          <w:rFonts w:ascii="宋体" w:hAnsi="宋体"/>
          <w:color w:val="000000"/>
          <w:sz w:val="24"/>
        </w:rPr>
        <w:t>若</w:t>
      </w:r>
      <w:r>
        <w:rPr>
          <w:rFonts w:hint="eastAsia" w:ascii="宋体" w:hAnsi="宋体"/>
          <w:color w:val="000000"/>
          <w:sz w:val="24"/>
        </w:rPr>
        <w:t>供应商</w:t>
      </w:r>
      <w:r>
        <w:rPr>
          <w:rFonts w:ascii="宋体" w:hAnsi="宋体"/>
          <w:color w:val="000000"/>
          <w:sz w:val="24"/>
        </w:rPr>
        <w:t>不按</w:t>
      </w:r>
      <w:r>
        <w:rPr>
          <w:rFonts w:hint="eastAsia" w:ascii="宋体" w:hAnsi="宋体"/>
          <w:color w:val="000000"/>
          <w:sz w:val="24"/>
        </w:rPr>
        <w:t>磋商</w:t>
      </w:r>
      <w:r>
        <w:rPr>
          <w:rFonts w:ascii="宋体" w:hAnsi="宋体"/>
          <w:color w:val="000000"/>
          <w:sz w:val="24"/>
        </w:rPr>
        <w:t>文件的要求提供资格审查材料，其风险由</w:t>
      </w:r>
      <w:r>
        <w:rPr>
          <w:rFonts w:hint="eastAsia" w:ascii="宋体" w:hAnsi="宋体"/>
          <w:color w:val="000000"/>
          <w:sz w:val="24"/>
        </w:rPr>
        <w:t>供应商</w:t>
      </w:r>
      <w:r>
        <w:rPr>
          <w:rFonts w:ascii="宋体" w:hAnsi="宋体"/>
          <w:color w:val="000000"/>
          <w:sz w:val="24"/>
        </w:rPr>
        <w:t>自行承担。</w:t>
      </w:r>
    </w:p>
    <w:p>
      <w:pPr>
        <w:autoSpaceDE w:val="0"/>
        <w:autoSpaceDN w:val="0"/>
        <w:adjustRightInd w:val="0"/>
        <w:spacing w:line="360" w:lineRule="auto"/>
        <w:ind w:firstLine="480"/>
        <w:rPr>
          <w:rFonts w:ascii="宋体" w:hAnsi="宋体"/>
          <w:color w:val="000000"/>
          <w:sz w:val="24"/>
        </w:rPr>
      </w:pPr>
      <w:r>
        <w:rPr>
          <w:rFonts w:hint="eastAsia" w:ascii="宋体" w:hAnsi="宋体"/>
          <w:color w:val="000000"/>
          <w:kern w:val="0"/>
          <w:sz w:val="24"/>
        </w:rPr>
        <w:t>（6）</w:t>
      </w:r>
      <w:r>
        <w:rPr>
          <w:rFonts w:hint="eastAsia" w:ascii="宋体" w:hAnsi="宋体"/>
          <w:color w:val="000000"/>
          <w:sz w:val="24"/>
        </w:rPr>
        <w:t>与本次磋商无关的内容请不要制作在内，确保磋商文件有针对性、简洁明了。</w:t>
      </w:r>
    </w:p>
    <w:p>
      <w:pPr>
        <w:autoSpaceDE w:val="0"/>
        <w:autoSpaceDN w:val="0"/>
        <w:adjustRightInd w:val="0"/>
        <w:spacing w:line="360" w:lineRule="auto"/>
        <w:ind w:firstLine="480"/>
        <w:rPr>
          <w:rFonts w:ascii="宋体" w:hAnsi="宋体"/>
          <w:b/>
          <w:bCs/>
          <w:color w:val="000000"/>
          <w:sz w:val="24"/>
        </w:rPr>
      </w:pPr>
      <w:r>
        <w:rPr>
          <w:rFonts w:hint="eastAsia" w:ascii="宋体" w:hAnsi="宋体"/>
          <w:b/>
          <w:bCs/>
          <w:color w:val="000000"/>
          <w:sz w:val="24"/>
        </w:rPr>
        <w:t>2、磋商响应文件的</w:t>
      </w:r>
      <w:r>
        <w:rPr>
          <w:rFonts w:hint="eastAsia" w:ascii="宋体" w:hAnsi="宋体" w:cs="宋体"/>
          <w:b/>
          <w:color w:val="000000"/>
          <w:sz w:val="24"/>
        </w:rPr>
        <w:t>签署及规定</w:t>
      </w:r>
    </w:p>
    <w:p>
      <w:pPr>
        <w:autoSpaceDE w:val="0"/>
        <w:autoSpaceDN w:val="0"/>
        <w:adjustRightInd w:val="0"/>
        <w:spacing w:line="360" w:lineRule="auto"/>
        <w:ind w:firstLine="480"/>
        <w:rPr>
          <w:rFonts w:hint="eastAsia" w:ascii="宋体" w:hAnsi="宋体"/>
          <w:color w:val="000000"/>
          <w:kern w:val="0"/>
          <w:sz w:val="24"/>
        </w:rPr>
      </w:pPr>
      <w:r>
        <w:rPr>
          <w:rFonts w:hint="eastAsia" w:ascii="宋体" w:hAnsi="宋体"/>
          <w:color w:val="000000"/>
          <w:kern w:val="0"/>
          <w:sz w:val="24"/>
        </w:rPr>
        <w:t>（1）供应商应按本须知的相关要求准备磋商响应文件，注明 “项目编号”、“项目名称”、“资格文件”或“商务技术文件”或“报价文件”、 “磋商供应商”、“时间”等字样。</w:t>
      </w:r>
    </w:p>
    <w:p>
      <w:pPr>
        <w:autoSpaceDE w:val="0"/>
        <w:autoSpaceDN w:val="0"/>
        <w:adjustRightInd w:val="0"/>
        <w:spacing w:line="360" w:lineRule="auto"/>
        <w:ind w:firstLine="480"/>
        <w:rPr>
          <w:rFonts w:hint="eastAsia" w:ascii="宋体" w:hAnsi="宋体"/>
          <w:color w:val="000000"/>
          <w:kern w:val="0"/>
          <w:sz w:val="24"/>
        </w:rPr>
      </w:pPr>
      <w:r>
        <w:rPr>
          <w:rFonts w:hint="eastAsia" w:ascii="宋体" w:hAnsi="宋体"/>
          <w:color w:val="000000"/>
          <w:kern w:val="0"/>
          <w:sz w:val="24"/>
        </w:rPr>
        <w:t>（2）磋商响应文件封面和内部有要求盖章或签字的地方必须加盖磋商供应商的单位公章（或CA电子公章）以及法定代表人或全权代表（CA电子签章或签字）。</w:t>
      </w:r>
    </w:p>
    <w:p>
      <w:pPr>
        <w:autoSpaceDE w:val="0"/>
        <w:autoSpaceDN w:val="0"/>
        <w:adjustRightInd w:val="0"/>
        <w:spacing w:line="360" w:lineRule="auto"/>
        <w:ind w:firstLine="480"/>
        <w:rPr>
          <w:rFonts w:hint="eastAsia" w:ascii="宋体" w:hAnsi="宋体"/>
          <w:color w:val="000000"/>
          <w:kern w:val="0"/>
          <w:sz w:val="24"/>
        </w:rPr>
      </w:pPr>
      <w:r>
        <w:rPr>
          <w:rFonts w:hint="eastAsia" w:ascii="宋体" w:hAnsi="宋体"/>
          <w:color w:val="000000"/>
          <w:kern w:val="0"/>
          <w:sz w:val="24"/>
        </w:rPr>
        <w:t>（3）电子磋商响应文件：按政采云平台供应商项目采购-电子招投标操作指南及本磋商文件要求提交。</w:t>
      </w:r>
    </w:p>
    <w:p>
      <w:pPr>
        <w:autoSpaceDE w:val="0"/>
        <w:autoSpaceDN w:val="0"/>
        <w:adjustRightInd w:val="0"/>
        <w:spacing w:line="360" w:lineRule="auto"/>
        <w:ind w:firstLine="480"/>
        <w:rPr>
          <w:rFonts w:hint="eastAsia" w:ascii="宋体" w:hAnsi="宋体"/>
          <w:color w:val="000000"/>
          <w:kern w:val="0"/>
          <w:sz w:val="24"/>
        </w:rPr>
      </w:pPr>
      <w:r>
        <w:rPr>
          <w:rFonts w:hint="eastAsia" w:ascii="宋体" w:hAnsi="宋体"/>
          <w:color w:val="000000"/>
          <w:kern w:val="0"/>
          <w:sz w:val="24"/>
        </w:rPr>
        <w:t>（4）介质存储的数据电文形式的备份电子磋商响应文件：U盘</w:t>
      </w:r>
      <w:r>
        <w:rPr>
          <w:rFonts w:hint="eastAsia" w:ascii="宋体" w:hAnsi="宋体"/>
          <w:color w:val="000000"/>
          <w:kern w:val="0"/>
          <w:sz w:val="24"/>
          <w:lang w:eastAsia="zh-CN"/>
        </w:rPr>
        <w:t>或电子邮件</w:t>
      </w:r>
      <w:r>
        <w:rPr>
          <w:rFonts w:hint="eastAsia" w:ascii="宋体" w:hAnsi="宋体"/>
          <w:color w:val="000000"/>
          <w:kern w:val="0"/>
          <w:sz w:val="24"/>
        </w:rPr>
        <w:t>。</w:t>
      </w:r>
    </w:p>
    <w:p>
      <w:pPr>
        <w:autoSpaceDE w:val="0"/>
        <w:autoSpaceDN w:val="0"/>
        <w:adjustRightInd w:val="0"/>
        <w:spacing w:line="360" w:lineRule="auto"/>
        <w:ind w:firstLine="480"/>
        <w:rPr>
          <w:rFonts w:hint="eastAsia" w:ascii="宋体" w:hAnsi="宋体"/>
          <w:color w:val="000000"/>
          <w:kern w:val="0"/>
          <w:sz w:val="24"/>
        </w:rPr>
      </w:pPr>
      <w:r>
        <w:rPr>
          <w:rFonts w:hint="eastAsia" w:ascii="宋体" w:hAnsi="宋体"/>
          <w:color w:val="000000"/>
          <w:kern w:val="0"/>
          <w:sz w:val="24"/>
        </w:rPr>
        <w:t>（5）磋商响应文件不得涂改，若有修改错漏处，须加盖单位公章（或CA电子公章）或者法定代表人或授权委托人签字（或CA电子签章）。磋商响应文件因字迹潦草或表达不清所引起的后果由磋商供应商负责。</w:t>
      </w:r>
    </w:p>
    <w:p>
      <w:pPr>
        <w:autoSpaceDE w:val="0"/>
        <w:autoSpaceDN w:val="0"/>
        <w:adjustRightInd w:val="0"/>
        <w:spacing w:line="360" w:lineRule="auto"/>
        <w:ind w:firstLine="480"/>
        <w:rPr>
          <w:rFonts w:ascii="宋体" w:hAnsi="宋体"/>
          <w:b/>
          <w:bCs/>
          <w:color w:val="000000"/>
          <w:sz w:val="24"/>
        </w:rPr>
      </w:pPr>
      <w:r>
        <w:rPr>
          <w:rFonts w:hint="eastAsia" w:ascii="宋体" w:hAnsi="宋体"/>
          <w:b/>
          <w:bCs/>
          <w:color w:val="000000"/>
          <w:kern w:val="0"/>
          <w:sz w:val="24"/>
        </w:rPr>
        <w:t>3、</w:t>
      </w:r>
      <w:r>
        <w:rPr>
          <w:rFonts w:hint="eastAsia" w:ascii="宋体" w:hAnsi="宋体"/>
          <w:b/>
          <w:bCs/>
          <w:color w:val="000000"/>
          <w:sz w:val="24"/>
        </w:rPr>
        <w:t>磋商响应文件的递交要求</w:t>
      </w:r>
    </w:p>
    <w:p>
      <w:pPr>
        <w:tabs>
          <w:tab w:val="left" w:pos="1898"/>
        </w:tabs>
        <w:autoSpaceDE w:val="0"/>
        <w:autoSpaceDN w:val="0"/>
        <w:adjustRightInd w:val="0"/>
        <w:spacing w:line="360" w:lineRule="auto"/>
        <w:ind w:firstLine="480" w:firstLineChars="200"/>
        <w:rPr>
          <w:rFonts w:hint="eastAsia" w:ascii="宋体" w:hAnsi="宋体"/>
          <w:color w:val="000000"/>
          <w:kern w:val="0"/>
          <w:sz w:val="24"/>
        </w:rPr>
      </w:pPr>
      <w:r>
        <w:rPr>
          <w:rFonts w:hint="eastAsia" w:ascii="宋体" w:hAnsi="宋体"/>
          <w:color w:val="000000"/>
          <w:kern w:val="0"/>
          <w:sz w:val="24"/>
        </w:rPr>
        <w:t>（1）▲在投标截止时间前，磋商供应商应按磋商文件规定的时间、形式上传电子磋商响应文件至政采云平台采购项目中。在投标截止时间后上传提交磋商响应文件的，将被政采云平台拒绝。</w:t>
      </w:r>
    </w:p>
    <w:p>
      <w:pPr>
        <w:tabs>
          <w:tab w:val="left" w:pos="1898"/>
        </w:tabs>
        <w:autoSpaceDE w:val="0"/>
        <w:autoSpaceDN w:val="0"/>
        <w:adjustRightInd w:val="0"/>
        <w:spacing w:line="360" w:lineRule="auto"/>
        <w:ind w:firstLine="480" w:firstLineChars="200"/>
        <w:rPr>
          <w:rFonts w:hint="eastAsia" w:ascii="宋体" w:hAnsi="宋体"/>
          <w:color w:val="000000"/>
          <w:kern w:val="0"/>
          <w:sz w:val="24"/>
        </w:rPr>
      </w:pPr>
      <w:r>
        <w:rPr>
          <w:rFonts w:hint="eastAsia" w:ascii="宋体" w:hAnsi="宋体"/>
          <w:color w:val="000000"/>
          <w:kern w:val="0"/>
          <w:sz w:val="24"/>
        </w:rPr>
        <w:t>（2）采购代理机构工作人员将明确电子磋商响应文件的提交时间、磋商响应文件的份数、提交人等信息。</w:t>
      </w:r>
    </w:p>
    <w:p>
      <w:pPr>
        <w:tabs>
          <w:tab w:val="left" w:pos="1898"/>
        </w:tabs>
        <w:autoSpaceDE w:val="0"/>
        <w:autoSpaceDN w:val="0"/>
        <w:adjustRightInd w:val="0"/>
        <w:spacing w:line="360" w:lineRule="auto"/>
        <w:ind w:firstLine="480" w:firstLineChars="200"/>
        <w:rPr>
          <w:rFonts w:hint="eastAsia" w:ascii="宋体" w:hAnsi="宋体"/>
          <w:color w:val="000000"/>
          <w:kern w:val="0"/>
          <w:sz w:val="24"/>
        </w:rPr>
      </w:pPr>
      <w:r>
        <w:rPr>
          <w:rFonts w:hint="eastAsia" w:ascii="宋体" w:hAnsi="宋体"/>
          <w:color w:val="000000"/>
          <w:kern w:val="0"/>
          <w:sz w:val="24"/>
        </w:rPr>
        <w:t>（3）因密封不严、标记不明而造成过早启封、失密等情况，采购代理机构概不负责。</w:t>
      </w:r>
    </w:p>
    <w:p>
      <w:pPr>
        <w:tabs>
          <w:tab w:val="left" w:pos="1898"/>
        </w:tabs>
        <w:autoSpaceDE w:val="0"/>
        <w:autoSpaceDN w:val="0"/>
        <w:adjustRightInd w:val="0"/>
        <w:spacing w:line="360" w:lineRule="auto"/>
        <w:ind w:firstLine="480" w:firstLineChars="200"/>
        <w:rPr>
          <w:rFonts w:hint="eastAsia" w:ascii="宋体" w:hAnsi="宋体"/>
          <w:color w:val="000000"/>
          <w:kern w:val="0"/>
          <w:sz w:val="24"/>
        </w:rPr>
      </w:pPr>
      <w:r>
        <w:rPr>
          <w:rFonts w:hint="eastAsia" w:ascii="宋体" w:hAnsi="宋体"/>
          <w:color w:val="000000"/>
          <w:kern w:val="0"/>
          <w:sz w:val="24"/>
        </w:rPr>
        <w:t>（4）如因故推迟磋商响应文件提交截止时间的，招标采购单位和磋商供应商的权利和义务将受到新的截止时间约束。</w:t>
      </w:r>
    </w:p>
    <w:p>
      <w:pPr>
        <w:tabs>
          <w:tab w:val="left" w:pos="1898"/>
        </w:tabs>
        <w:autoSpaceDE w:val="0"/>
        <w:autoSpaceDN w:val="0"/>
        <w:adjustRightInd w:val="0"/>
        <w:spacing w:line="360" w:lineRule="auto"/>
        <w:ind w:firstLine="480" w:firstLineChars="200"/>
        <w:rPr>
          <w:rFonts w:hint="eastAsia" w:ascii="宋体" w:hAnsi="宋体"/>
          <w:color w:val="000000"/>
          <w:kern w:val="0"/>
          <w:sz w:val="24"/>
        </w:rPr>
      </w:pPr>
      <w:r>
        <w:rPr>
          <w:rFonts w:hint="eastAsia" w:ascii="宋体" w:hAnsi="宋体"/>
          <w:color w:val="000000"/>
          <w:kern w:val="0"/>
          <w:sz w:val="24"/>
        </w:rPr>
        <w:t>（5）已提交磋商响应文件的供应商，在提交最后报价之前，可以根据磋商情况退出磋商。</w:t>
      </w:r>
    </w:p>
    <w:p>
      <w:pPr>
        <w:pStyle w:val="4"/>
        <w:spacing w:line="400" w:lineRule="exact"/>
        <w:ind w:firstLine="482"/>
        <w:rPr>
          <w:rFonts w:ascii="宋体" w:hAnsi="宋体" w:eastAsia="宋体"/>
          <w:color w:val="000000"/>
          <w:sz w:val="24"/>
          <w:szCs w:val="24"/>
        </w:rPr>
      </w:pPr>
      <w:r>
        <w:rPr>
          <w:rFonts w:hint="eastAsia" w:ascii="宋体" w:hAnsi="宋体" w:eastAsia="宋体"/>
          <w:color w:val="000000"/>
          <w:sz w:val="24"/>
          <w:szCs w:val="24"/>
        </w:rPr>
        <w:t>（三）磋商响应文件的有效期</w:t>
      </w:r>
    </w:p>
    <w:p>
      <w:pPr>
        <w:pStyle w:val="6"/>
        <w:widowControl w:val="0"/>
        <w:numPr>
          <w:ilvl w:val="0"/>
          <w:numId w:val="0"/>
        </w:numPr>
        <w:tabs>
          <w:tab w:val="left" w:pos="0"/>
          <w:tab w:val="left" w:pos="1200"/>
          <w:tab w:val="clear" w:pos="454"/>
        </w:tabs>
        <w:snapToGrid w:val="0"/>
        <w:spacing w:after="156" w:line="400" w:lineRule="exact"/>
        <w:ind w:firstLine="480" w:firstLineChars="200"/>
        <w:rPr>
          <w:rFonts w:hint="eastAsia" w:ascii="宋体" w:hAnsi="宋体"/>
          <w:color w:val="000000"/>
          <w:szCs w:val="24"/>
          <w:lang w:val="en-GB"/>
        </w:rPr>
      </w:pPr>
      <w:r>
        <w:rPr>
          <w:rFonts w:hint="eastAsia" w:ascii="宋体" w:hAnsi="宋体"/>
          <w:color w:val="000000"/>
          <w:szCs w:val="24"/>
        </w:rPr>
        <w:t>1、</w:t>
      </w:r>
      <w:r>
        <w:rPr>
          <w:rFonts w:hint="eastAsia" w:ascii="宋体" w:hAnsi="宋体"/>
          <w:color w:val="000000"/>
          <w:szCs w:val="24"/>
          <w:lang w:val="en-GB"/>
        </w:rPr>
        <w:t>自磋商响应截止日起90天磋商响应文件应保持有效。有效期不足的磋商响应文件将被拒绝。</w:t>
      </w:r>
    </w:p>
    <w:p>
      <w:pPr>
        <w:pStyle w:val="6"/>
        <w:widowControl w:val="0"/>
        <w:numPr>
          <w:ilvl w:val="0"/>
          <w:numId w:val="0"/>
        </w:numPr>
        <w:tabs>
          <w:tab w:val="left" w:pos="0"/>
          <w:tab w:val="left" w:pos="1200"/>
          <w:tab w:val="clear" w:pos="454"/>
        </w:tabs>
        <w:snapToGrid w:val="0"/>
        <w:spacing w:after="156" w:line="400" w:lineRule="exact"/>
        <w:ind w:firstLine="480" w:firstLineChars="200"/>
        <w:rPr>
          <w:rFonts w:hint="eastAsia" w:ascii="宋体" w:hAnsi="宋体"/>
          <w:color w:val="000000"/>
          <w:szCs w:val="24"/>
        </w:rPr>
      </w:pPr>
      <w:r>
        <w:rPr>
          <w:rFonts w:hint="eastAsia" w:ascii="宋体" w:hAnsi="宋体"/>
          <w:color w:val="000000"/>
          <w:szCs w:val="24"/>
        </w:rPr>
        <w:t>2、在特殊情况下，采购人可与磋商供应商协商延长磋商响应文件的有效期，这种要求和答复均以书面形式进行。</w:t>
      </w:r>
    </w:p>
    <w:p>
      <w:pPr>
        <w:pStyle w:val="6"/>
        <w:widowControl w:val="0"/>
        <w:numPr>
          <w:ilvl w:val="0"/>
          <w:numId w:val="0"/>
        </w:numPr>
        <w:tabs>
          <w:tab w:val="left" w:pos="0"/>
          <w:tab w:val="left" w:pos="1200"/>
          <w:tab w:val="clear" w:pos="454"/>
        </w:tabs>
        <w:snapToGrid w:val="0"/>
        <w:spacing w:after="156" w:line="400" w:lineRule="exact"/>
        <w:ind w:firstLine="480" w:firstLineChars="200"/>
        <w:rPr>
          <w:rFonts w:ascii="宋体" w:hAnsi="宋体"/>
          <w:color w:val="000000"/>
          <w:szCs w:val="24"/>
        </w:rPr>
      </w:pPr>
      <w:r>
        <w:rPr>
          <w:rFonts w:hint="eastAsia" w:ascii="宋体" w:hAnsi="宋体"/>
          <w:color w:val="000000"/>
          <w:szCs w:val="24"/>
        </w:rPr>
        <w:t>3.成交供应商</w:t>
      </w:r>
      <w:r>
        <w:rPr>
          <w:rFonts w:ascii="宋体" w:hAnsi="宋体"/>
          <w:color w:val="000000"/>
          <w:szCs w:val="24"/>
        </w:rPr>
        <w:t>的</w:t>
      </w:r>
      <w:r>
        <w:rPr>
          <w:rFonts w:hint="eastAsia" w:ascii="宋体" w:hAnsi="宋体"/>
          <w:color w:val="000000"/>
          <w:szCs w:val="24"/>
        </w:rPr>
        <w:t>磋商响应文件</w:t>
      </w:r>
      <w:r>
        <w:rPr>
          <w:rFonts w:ascii="宋体" w:hAnsi="宋体"/>
          <w:color w:val="000000"/>
          <w:szCs w:val="24"/>
        </w:rPr>
        <w:t>自磋商之日起至合同履行完毕均应保持有效。</w:t>
      </w:r>
    </w:p>
    <w:p>
      <w:pPr>
        <w:pStyle w:val="3"/>
        <w:spacing w:line="400" w:lineRule="exact"/>
        <w:jc w:val="left"/>
        <w:rPr>
          <w:rFonts w:hint="eastAsia" w:ascii="宋体" w:hAnsi="宋体" w:cs="宋体"/>
          <w:color w:val="000000"/>
          <w:sz w:val="24"/>
          <w:szCs w:val="24"/>
        </w:rPr>
      </w:pPr>
      <w:r>
        <w:rPr>
          <w:rFonts w:hint="eastAsia" w:ascii="宋体" w:hAnsi="宋体" w:cs="宋体"/>
          <w:color w:val="000000"/>
          <w:sz w:val="24"/>
          <w:szCs w:val="24"/>
        </w:rPr>
        <w:t>三、磋商</w:t>
      </w:r>
    </w:p>
    <w:p>
      <w:pPr>
        <w:pStyle w:val="4"/>
        <w:spacing w:line="400" w:lineRule="exact"/>
        <w:ind w:firstLine="482"/>
        <w:rPr>
          <w:rFonts w:hint="eastAsia" w:ascii="宋体" w:hAnsi="宋体" w:eastAsia="宋体" w:cs="宋体"/>
          <w:color w:val="000000"/>
          <w:sz w:val="24"/>
          <w:szCs w:val="24"/>
        </w:rPr>
      </w:pPr>
      <w:r>
        <w:rPr>
          <w:rFonts w:hint="eastAsia" w:ascii="宋体" w:hAnsi="宋体" w:eastAsia="宋体" w:cs="宋体"/>
          <w:color w:val="000000"/>
          <w:sz w:val="24"/>
          <w:szCs w:val="24"/>
        </w:rPr>
        <w:t>（一）磋商程序</w:t>
      </w:r>
    </w:p>
    <w:p>
      <w:pPr>
        <w:spacing w:line="400" w:lineRule="atLeast"/>
        <w:ind w:firstLine="456" w:firstLineChars="190"/>
        <w:rPr>
          <w:rFonts w:hint="eastAsia" w:ascii="宋体" w:hAnsi="宋体" w:cs="宋体"/>
          <w:color w:val="000000"/>
          <w:kern w:val="0"/>
          <w:sz w:val="24"/>
        </w:rPr>
      </w:pPr>
      <w:r>
        <w:rPr>
          <w:rFonts w:hint="eastAsia" w:ascii="宋体" w:hAnsi="宋体" w:cs="宋体"/>
          <w:color w:val="000000"/>
          <w:kern w:val="0"/>
          <w:sz w:val="24"/>
        </w:rPr>
        <w:t>1、 开标程序</w:t>
      </w:r>
    </w:p>
    <w:p>
      <w:pPr>
        <w:numPr>
          <w:ilvl w:val="0"/>
          <w:numId w:val="4"/>
        </w:numPr>
        <w:spacing w:line="400" w:lineRule="atLeast"/>
        <w:ind w:firstLine="456" w:firstLineChars="190"/>
        <w:rPr>
          <w:rFonts w:hint="eastAsia" w:ascii="宋体" w:hAnsi="宋体" w:cs="宋体"/>
          <w:color w:val="000000"/>
          <w:kern w:val="0"/>
          <w:sz w:val="24"/>
        </w:rPr>
      </w:pPr>
      <w:r>
        <w:rPr>
          <w:rFonts w:hint="eastAsia" w:ascii="宋体" w:hAnsi="宋体" w:cs="宋体"/>
          <w:color w:val="000000"/>
          <w:kern w:val="0"/>
          <w:sz w:val="24"/>
        </w:rPr>
        <w:t>到开标时间后，供应商登录政采云平台，用“项目采购-开标评标”功能对电子磋商响应文件进行在线解密。在线解密电子磋商文件时间为开标时间起半个小时内；</w:t>
      </w:r>
    </w:p>
    <w:p>
      <w:pPr>
        <w:numPr>
          <w:ilvl w:val="0"/>
          <w:numId w:val="4"/>
        </w:numPr>
        <w:spacing w:line="400" w:lineRule="atLeast"/>
        <w:ind w:firstLine="456" w:firstLineChars="190"/>
        <w:rPr>
          <w:rFonts w:hint="eastAsia" w:ascii="宋体" w:hAnsi="宋体" w:cs="宋体"/>
          <w:color w:val="000000"/>
          <w:kern w:val="0"/>
          <w:sz w:val="24"/>
        </w:rPr>
      </w:pPr>
      <w:r>
        <w:rPr>
          <w:rFonts w:hint="eastAsia" w:ascii="宋体" w:hAnsi="宋体" w:cs="宋体"/>
          <w:bCs/>
          <w:color w:val="000000"/>
          <w:sz w:val="24"/>
        </w:rPr>
        <w:t>开标结束后，采购人或采购代理机构依法对供应商的资格进行审查。</w:t>
      </w:r>
      <w:r>
        <w:rPr>
          <w:rFonts w:hint="eastAsia" w:ascii="宋体" w:hAnsi="宋体" w:cs="宋体"/>
          <w:color w:val="000000"/>
          <w:kern w:val="0"/>
          <w:sz w:val="24"/>
        </w:rPr>
        <w:t>审查内容见。2、通过资格审查视作具备磋商资格，审查不合格的磋商响应文件将不进入后续详细评审。</w:t>
      </w:r>
    </w:p>
    <w:p>
      <w:pPr>
        <w:spacing w:line="400" w:lineRule="atLeast"/>
        <w:ind w:firstLine="456" w:firstLineChars="190"/>
        <w:rPr>
          <w:rFonts w:hint="eastAsia" w:ascii="宋体" w:hAnsi="宋体" w:cs="宋体"/>
          <w:kern w:val="0"/>
          <w:sz w:val="24"/>
        </w:rPr>
      </w:pPr>
      <w:r>
        <w:rPr>
          <w:rFonts w:hint="eastAsia" w:ascii="宋体" w:hAnsi="宋体" w:cs="宋体"/>
          <w:color w:val="000000"/>
          <w:kern w:val="0"/>
          <w:sz w:val="24"/>
        </w:rPr>
        <w:t>3、 磋商小组</w:t>
      </w:r>
      <w:r>
        <w:rPr>
          <w:rFonts w:hint="eastAsia" w:ascii="宋体" w:hAnsi="宋体" w:cs="宋体"/>
          <w:kern w:val="0"/>
          <w:sz w:val="24"/>
        </w:rPr>
        <w:t>根据磋商文件的规定，对磋商响应文件的有效性、完整性和对磋商文件的响应程度进行审查，以确定其是否对磋商文件作出了实质性响应。实质上没有响应磋商文件要求的磋商响应文件将被否决。</w:t>
      </w:r>
    </w:p>
    <w:p>
      <w:pPr>
        <w:spacing w:line="400" w:lineRule="atLeast"/>
        <w:ind w:firstLine="456" w:firstLineChars="190"/>
        <w:rPr>
          <w:rFonts w:hint="eastAsia" w:ascii="宋体" w:hAnsi="宋体" w:cs="宋体"/>
          <w:sz w:val="24"/>
        </w:rPr>
      </w:pPr>
      <w:r>
        <w:rPr>
          <w:rFonts w:hint="eastAsia" w:ascii="宋体" w:hAnsi="宋体" w:cs="宋体"/>
          <w:kern w:val="0"/>
          <w:sz w:val="24"/>
        </w:rPr>
        <w:t>4、 评审过程中磋商供应商有义务对磋商小组提出就磋商响应文件中含义不明确、同类问题表述不</w:t>
      </w:r>
      <w:r>
        <w:rPr>
          <w:rFonts w:hint="eastAsia" w:ascii="宋体" w:hAnsi="宋体" w:cs="宋体"/>
          <w:sz w:val="24"/>
        </w:rPr>
        <w:t>一致或者有明显的文字和计算错误的内容进行澄清、说明、或者纠正。并在磋商结束前，对澄清、说明或者纠正的相关内容在政采云平台以书面形式进行最终确认承诺，并由磋商供应商代表签字（签章），但不得改变磋商响应文件的实质性内容。供应商的澄清、说明或者更正应当由法定代表人或其授权代表签字或者加盖公章（CA电子公章）。</w:t>
      </w:r>
    </w:p>
    <w:p>
      <w:pPr>
        <w:spacing w:line="400" w:lineRule="atLeast"/>
        <w:ind w:firstLine="456" w:firstLineChars="190"/>
        <w:rPr>
          <w:rFonts w:hint="eastAsia" w:ascii="宋体" w:hAnsi="宋体" w:cs="宋体"/>
          <w:sz w:val="24"/>
        </w:rPr>
      </w:pPr>
      <w:r>
        <w:rPr>
          <w:rFonts w:hint="eastAsia" w:ascii="宋体" w:hAnsi="宋体" w:cs="宋体"/>
          <w:sz w:val="24"/>
        </w:rPr>
        <w:t xml:space="preserve">5、 </w:t>
      </w:r>
      <w:r>
        <w:rPr>
          <w:rFonts w:hint="eastAsia" w:ascii="宋体" w:hAnsi="宋体" w:cs="宋体"/>
          <w:sz w:val="24"/>
          <w:u w:val="single"/>
        </w:rPr>
        <w:t>▲</w:t>
      </w:r>
      <w:r>
        <w:rPr>
          <w:rFonts w:hint="eastAsia" w:ascii="宋体" w:hAnsi="宋体" w:cs="宋体"/>
          <w:b/>
          <w:bCs/>
          <w:sz w:val="24"/>
          <w:u w:val="single"/>
        </w:rPr>
        <w:t>经澄清后，若偏差仍存在，且不可接受，磋商供应商则被认为是“没有实质性响应竞争性磋商文件要求”，其磋商不进入下一步评审</w:t>
      </w:r>
      <w:r>
        <w:rPr>
          <w:rFonts w:hint="eastAsia" w:ascii="宋体" w:hAnsi="宋体" w:cs="宋体"/>
          <w:sz w:val="24"/>
        </w:rPr>
        <w:t>。</w:t>
      </w:r>
    </w:p>
    <w:p>
      <w:pPr>
        <w:spacing w:line="400" w:lineRule="atLeast"/>
        <w:ind w:firstLine="456" w:firstLineChars="190"/>
        <w:rPr>
          <w:rFonts w:hint="eastAsia" w:ascii="宋体" w:hAnsi="宋体" w:cs="宋体"/>
          <w:color w:val="000000"/>
          <w:sz w:val="24"/>
        </w:rPr>
      </w:pPr>
      <w:r>
        <w:rPr>
          <w:rFonts w:hint="eastAsia" w:ascii="宋体" w:hAnsi="宋体" w:cs="宋体"/>
          <w:sz w:val="24"/>
        </w:rPr>
        <w:t>6、磋商小组所有成员将遵循“公开、公平、公正”的原则，采用相同的程序和标准。如有必要，所有成员按顺序与单一供应商分别进行单独</w:t>
      </w:r>
      <w:r>
        <w:rPr>
          <w:rFonts w:hint="eastAsia" w:ascii="宋体" w:hAnsi="宋体" w:cs="宋体"/>
          <w:color w:val="000000"/>
          <w:sz w:val="24"/>
        </w:rPr>
        <w:t>封闭式磋商。磋商内容包括服务价格、服务质量水平和保障措施、服务期限、服务方案、履约能力、培训计划、付款方式等方面进行磋商和综合分析考评，以确定是否满足采购要求。在磋商过程中，磋商的任何一方都不得透露与磋商有关的其他供应商的技术资料、价格和其他信息。磋商供应商在磋商过程中所作出的各种承诺都必须用书面形式（或经电子签章的政采云平台上传文件，下同），并由磋商供应商代表签字。磋商轮次最多不超过3轮。</w:t>
      </w:r>
    </w:p>
    <w:p>
      <w:pPr>
        <w:spacing w:line="400" w:lineRule="atLeast"/>
        <w:ind w:firstLine="456" w:firstLineChars="190"/>
        <w:rPr>
          <w:rFonts w:hint="eastAsia" w:ascii="宋体" w:hAnsi="宋体" w:cs="宋体"/>
          <w:color w:val="000000"/>
          <w:sz w:val="24"/>
        </w:rPr>
      </w:pPr>
      <w:r>
        <w:rPr>
          <w:rFonts w:hint="eastAsia" w:ascii="宋体" w:hAnsi="宋体" w:cs="宋体"/>
          <w:color w:val="000000"/>
          <w:sz w:val="24"/>
        </w:rPr>
        <w:t>7、在磋商过程中，磋商小组可以根据磋商文件和磋商情况实质性变动采购需求中的技术、服务要求以及合同草案条款，但不得变动磋商文件中的其他内容。实质性变动的内容，须经采购人代表确认。对磋商文件作出的实质性变动是磋商文件的有效组成部分，磋商小组应当及时以书面形式同时通知所有参加磋商的供应商。供应商应当按照磋商文件的变动情况和磋商小组的要求重新提交响应文件，并由其供应商代表签字或者加盖公章。由授权代表签字的，应当附法定代表人授权书。供应商为自然人的，应当由本人签字并附身份证明。</w:t>
      </w:r>
    </w:p>
    <w:p>
      <w:pPr>
        <w:spacing w:line="400" w:lineRule="atLeast"/>
        <w:ind w:firstLine="456" w:firstLineChars="190"/>
        <w:rPr>
          <w:rFonts w:hint="eastAsia" w:ascii="宋体" w:hAnsi="宋体" w:cs="宋体"/>
          <w:color w:val="000000"/>
          <w:sz w:val="24"/>
        </w:rPr>
      </w:pPr>
      <w:r>
        <w:rPr>
          <w:rFonts w:hint="eastAsia" w:ascii="宋体" w:hAnsi="宋体" w:cs="宋体"/>
          <w:color w:val="000000"/>
          <w:sz w:val="24"/>
        </w:rPr>
        <w:t>8、在磋商过程中，磋商供应商不得向磋商小组成员询问磋商情况，不得进行旨在影响磋商结果的活动，否则将取消其磋商资格。</w:t>
      </w:r>
    </w:p>
    <w:p>
      <w:pPr>
        <w:spacing w:line="400" w:lineRule="atLeast"/>
        <w:ind w:firstLine="456" w:firstLineChars="190"/>
        <w:rPr>
          <w:rFonts w:hint="eastAsia" w:ascii="宋体" w:hAnsi="宋体" w:cs="宋体"/>
          <w:color w:val="000000"/>
          <w:sz w:val="24"/>
        </w:rPr>
      </w:pPr>
      <w:r>
        <w:rPr>
          <w:rFonts w:hint="eastAsia" w:ascii="宋体" w:hAnsi="宋体" w:cs="宋体"/>
          <w:color w:val="000000"/>
          <w:sz w:val="24"/>
        </w:rPr>
        <w:t>9、在磋商过程中，磋商小组成员不得与磋商供应商私下交换意见，在竞争性磋商结束后，凡与磋商情况有接触的人不得将磋商情况扩散出磋商小组成员外。</w:t>
      </w:r>
    </w:p>
    <w:p>
      <w:pPr>
        <w:spacing w:line="400" w:lineRule="atLeast"/>
        <w:ind w:firstLine="458" w:firstLineChars="190"/>
        <w:rPr>
          <w:rFonts w:hint="eastAsia" w:ascii="宋体" w:hAnsi="宋体" w:cs="宋体"/>
          <w:color w:val="000000"/>
          <w:sz w:val="24"/>
        </w:rPr>
      </w:pPr>
      <w:r>
        <w:rPr>
          <w:rFonts w:hint="eastAsia" w:ascii="宋体" w:hAnsi="宋体" w:cs="宋体"/>
          <w:b/>
          <w:bCs/>
          <w:color w:val="000000"/>
          <w:sz w:val="24"/>
        </w:rPr>
        <w:t>10、磋商结束后，磋商小组将要求磋商供应商在规定的时间内，统一进行最后报价，最后报价不得高于第一次报价（磋商小组另有决议的除外）。</w:t>
      </w:r>
    </w:p>
    <w:p>
      <w:pPr>
        <w:spacing w:line="400" w:lineRule="atLeast"/>
        <w:ind w:firstLine="456" w:firstLineChars="190"/>
        <w:rPr>
          <w:rFonts w:hint="eastAsia" w:ascii="宋体" w:hAnsi="宋体" w:cs="宋体"/>
          <w:color w:val="000000"/>
          <w:sz w:val="24"/>
        </w:rPr>
      </w:pPr>
      <w:r>
        <w:rPr>
          <w:rFonts w:hint="eastAsia" w:ascii="宋体" w:hAnsi="宋体" w:cs="宋体"/>
          <w:color w:val="000000"/>
          <w:sz w:val="24"/>
        </w:rPr>
        <w:t>11、宣布评分结果以及最终报价</w:t>
      </w:r>
    </w:p>
    <w:p>
      <w:pPr>
        <w:spacing w:line="400" w:lineRule="atLeast"/>
        <w:ind w:firstLine="456" w:firstLineChars="190"/>
        <w:rPr>
          <w:rFonts w:hint="eastAsia" w:ascii="宋体" w:hAnsi="宋体" w:cs="宋体"/>
          <w:color w:val="000000"/>
          <w:sz w:val="24"/>
        </w:rPr>
      </w:pPr>
      <w:r>
        <w:rPr>
          <w:rFonts w:hint="eastAsia" w:ascii="宋体" w:hAnsi="宋体" w:cs="宋体"/>
          <w:color w:val="000000"/>
          <w:sz w:val="24"/>
        </w:rPr>
        <w:t>宣布评分结果以及最终报价在政采云电子招投标开标及评审程序中进行。</w:t>
      </w:r>
    </w:p>
    <w:p>
      <w:pPr>
        <w:pStyle w:val="4"/>
        <w:spacing w:line="400" w:lineRule="exact"/>
        <w:ind w:firstLine="482"/>
        <w:rPr>
          <w:rFonts w:ascii="宋体" w:hAnsi="宋体" w:eastAsia="宋体"/>
          <w:color w:val="000000"/>
          <w:sz w:val="24"/>
          <w:szCs w:val="24"/>
        </w:rPr>
      </w:pPr>
      <w:r>
        <w:rPr>
          <w:rFonts w:hint="eastAsia" w:ascii="宋体" w:hAnsi="宋体" w:eastAsia="宋体"/>
          <w:color w:val="000000"/>
          <w:sz w:val="24"/>
          <w:szCs w:val="24"/>
        </w:rPr>
        <w:t>（二）澄清问题的形式</w:t>
      </w:r>
    </w:p>
    <w:p>
      <w:pPr>
        <w:snapToGrid w:val="0"/>
        <w:spacing w:line="400" w:lineRule="exact"/>
        <w:ind w:firstLine="480" w:firstLineChars="200"/>
        <w:rPr>
          <w:rFonts w:hint="eastAsia" w:ascii="宋体" w:hAnsi="宋体"/>
          <w:color w:val="000000"/>
          <w:sz w:val="24"/>
        </w:rPr>
      </w:pPr>
      <w:r>
        <w:rPr>
          <w:rFonts w:hint="eastAsia" w:ascii="宋体" w:hAnsi="宋体"/>
          <w:color w:val="000000"/>
          <w:sz w:val="24"/>
        </w:rPr>
        <w:t>磋商供应商的澄清、说明或者补正应当采用书面形式，并加盖公章，或者由法定代理人或其授权的代表签字，并不得超出磋商响应文件的范围或者改变磋商响应文件的实质性内容。</w:t>
      </w:r>
    </w:p>
    <w:p>
      <w:pPr>
        <w:pStyle w:val="4"/>
        <w:spacing w:line="400" w:lineRule="exact"/>
        <w:ind w:firstLine="482"/>
        <w:rPr>
          <w:rFonts w:ascii="宋体" w:hAnsi="宋体" w:eastAsia="宋体"/>
          <w:color w:val="000000"/>
          <w:sz w:val="24"/>
          <w:szCs w:val="24"/>
        </w:rPr>
      </w:pPr>
      <w:r>
        <w:rPr>
          <w:rFonts w:hint="eastAsia" w:ascii="宋体" w:hAnsi="宋体" w:eastAsia="宋体"/>
          <w:color w:val="000000"/>
          <w:sz w:val="24"/>
          <w:szCs w:val="24"/>
        </w:rPr>
        <w:t>（三）错误修正</w:t>
      </w:r>
    </w:p>
    <w:p>
      <w:pPr>
        <w:pStyle w:val="25"/>
        <w:spacing w:before="0" w:beforeAutospacing="0" w:after="0" w:afterAutospacing="0" w:line="400" w:lineRule="exact"/>
        <w:ind w:firstLine="480" w:firstLineChars="200"/>
        <w:jc w:val="both"/>
        <w:rPr>
          <w:rFonts w:hint="default"/>
          <w:color w:val="000000"/>
        </w:rPr>
      </w:pPr>
      <w:r>
        <w:rPr>
          <w:color w:val="000000"/>
        </w:rPr>
        <w:t>磋商响应文件报价出现前后不一致的，除</w:t>
      </w:r>
      <w:r>
        <w:rPr>
          <w:bCs/>
          <w:color w:val="000000"/>
        </w:rPr>
        <w:t>磋商采购文件</w:t>
      </w:r>
      <w:r>
        <w:rPr>
          <w:color w:val="000000"/>
        </w:rPr>
        <w:t>另有规定外，按照下列规定修正：</w:t>
      </w:r>
    </w:p>
    <w:p>
      <w:pPr>
        <w:pStyle w:val="25"/>
        <w:spacing w:before="0" w:beforeAutospacing="0" w:after="0" w:afterAutospacing="0" w:line="400" w:lineRule="exact"/>
        <w:jc w:val="both"/>
        <w:rPr>
          <w:rFonts w:hint="default"/>
          <w:color w:val="000000"/>
        </w:rPr>
      </w:pPr>
      <w:r>
        <w:rPr>
          <w:color w:val="000000"/>
        </w:rPr>
        <w:t>　　1、磋商响应文件中首次报价一览表内容与磋商响应文件中相应内容不一致的，以首次报价一览表为准；</w:t>
      </w:r>
    </w:p>
    <w:p>
      <w:pPr>
        <w:pStyle w:val="25"/>
        <w:spacing w:before="0" w:beforeAutospacing="0" w:after="0" w:afterAutospacing="0" w:line="400" w:lineRule="exact"/>
        <w:jc w:val="both"/>
        <w:rPr>
          <w:rFonts w:hint="default"/>
          <w:color w:val="000000"/>
        </w:rPr>
      </w:pPr>
      <w:r>
        <w:rPr>
          <w:color w:val="000000"/>
        </w:rPr>
        <w:t>　　2、大写金额和小写金额不一致的，以大写金额为准；</w:t>
      </w:r>
    </w:p>
    <w:p>
      <w:pPr>
        <w:pStyle w:val="25"/>
        <w:spacing w:before="0" w:beforeAutospacing="0" w:after="0" w:afterAutospacing="0" w:line="400" w:lineRule="exact"/>
        <w:jc w:val="both"/>
        <w:rPr>
          <w:rFonts w:hint="default"/>
          <w:color w:val="000000"/>
        </w:rPr>
      </w:pPr>
      <w:r>
        <w:rPr>
          <w:color w:val="000000"/>
        </w:rPr>
        <w:t>　　3、单价金额小数点或者百分比有明显错位的，以首次报价一览表的总价为准，并修改单价；</w:t>
      </w:r>
    </w:p>
    <w:p>
      <w:pPr>
        <w:pStyle w:val="25"/>
        <w:spacing w:before="0" w:beforeAutospacing="0" w:after="0" w:afterAutospacing="0" w:line="400" w:lineRule="exact"/>
        <w:jc w:val="both"/>
        <w:rPr>
          <w:rFonts w:hint="default"/>
          <w:color w:val="000000"/>
        </w:rPr>
      </w:pPr>
      <w:r>
        <w:rPr>
          <w:color w:val="000000"/>
        </w:rPr>
        <w:t>　　4、总价金额与按单价汇总金额不一致的，以单价金额计算结果为准。</w:t>
      </w:r>
    </w:p>
    <w:p>
      <w:pPr>
        <w:pStyle w:val="25"/>
        <w:spacing w:before="0" w:beforeAutospacing="0" w:after="0" w:afterAutospacing="0" w:line="400" w:lineRule="exact"/>
        <w:ind w:firstLine="480"/>
        <w:jc w:val="both"/>
        <w:rPr>
          <w:color w:val="000000"/>
        </w:rPr>
      </w:pPr>
      <w:r>
        <w:rPr>
          <w:color w:val="000000"/>
        </w:rPr>
        <w:t>同时出现两种以上不一致的，按照前款规定的顺序修正。修正应当采用书面形式，并加盖公章，或者由法定代表人或其授权的代表签字。修正后的报价经磋商供应商确认后产生约束力，磋商供应商不确认的，将终止磋商。</w:t>
      </w:r>
    </w:p>
    <w:p>
      <w:pPr>
        <w:pStyle w:val="4"/>
        <w:spacing w:line="400" w:lineRule="exact"/>
        <w:ind w:firstLine="482"/>
        <w:rPr>
          <w:rFonts w:ascii="宋体" w:hAnsi="宋体" w:eastAsia="宋体"/>
          <w:color w:val="000000"/>
          <w:sz w:val="24"/>
          <w:szCs w:val="24"/>
        </w:rPr>
      </w:pPr>
      <w:r>
        <w:rPr>
          <w:rFonts w:ascii="宋体" w:hAnsi="宋体" w:eastAsia="宋体"/>
          <w:color w:val="000000"/>
          <w:sz w:val="24"/>
          <w:szCs w:val="24"/>
        </w:rPr>
        <w:t>（四）磋商供应商存在下列情况之一的，响应无效，终止磋商</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1、实质上没有响应磋商文件要求的磋商响应文件将被视为无效磋商。供应商不得通过修正或撤消不合要求的偏离或保留从而使其磋商成为实质上响应的磋商。如发生下列情况之一的，其磋商响应文件视为无效：</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2、未提交电子磋商响应文件的；</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3、供应商仅提交备份电子磋商响应文件的；</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4、采用电子投标的，电子磋商响应文件未在规定时间内解密的（出现特殊情况，采用介质存储的数据电文形式的备份响应文件开标、评标的情形除外）；</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5、磋商响应文件未有效授权的；</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6、供应商未按磋商文件规定参加磋商的；</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7、未按规定要求盖章和签字（包括CA签章）的；</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8、磋商小组认为供应商的报价明显低于其他通过符合性审查供应商的报价，有可能影响产品质量或者不能诚信履约的，应当要求其在磋商合理的时间内提供书面说明，必要时提交相关证明材料；关于不能证明其报价合理性的，磋商小组应当将其作为无效投标处理；</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9、未按规定要求递交资格文件、商务技术文件、报价文件的磋商响应文件的；</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10、同一供应商最终报价具有选择性（即出现二个及以上投标总报价的）；</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11、带“▲”系指实质性要求条款，未实质性响应的；</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12、符合竞争性磋商文件中明确作无效标处理或被拒绝的条款；</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13、报价超出磋商文件中规定的预算金额或者最高限价的；</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14、提供虚假材料谋取成交的；</w:t>
      </w:r>
    </w:p>
    <w:p>
      <w:pPr>
        <w:autoSpaceDE w:val="0"/>
        <w:autoSpaceDN w:val="0"/>
        <w:adjustRightInd w:val="0"/>
        <w:spacing w:line="360" w:lineRule="auto"/>
        <w:ind w:firstLine="480" w:firstLineChars="200"/>
        <w:rPr>
          <w:rFonts w:hint="eastAsia" w:ascii="宋体" w:hAnsi="宋体"/>
          <w:bCs/>
          <w:color w:val="000000"/>
          <w:kern w:val="0"/>
          <w:sz w:val="24"/>
        </w:rPr>
      </w:pPr>
      <w:r>
        <w:rPr>
          <w:rFonts w:hint="eastAsia" w:ascii="宋体" w:hAnsi="宋体"/>
          <w:bCs/>
          <w:color w:val="000000"/>
          <w:kern w:val="0"/>
          <w:sz w:val="24"/>
        </w:rPr>
        <w:t>15、不符合法律、法规和磋商文件规定的其他实质性要求的。</w:t>
      </w:r>
    </w:p>
    <w:p>
      <w:pPr>
        <w:pStyle w:val="4"/>
        <w:spacing w:line="400" w:lineRule="exact"/>
        <w:ind w:firstLine="482"/>
        <w:rPr>
          <w:rFonts w:ascii="宋体" w:hAnsi="宋体" w:eastAsia="宋体"/>
          <w:color w:val="000000"/>
          <w:sz w:val="24"/>
          <w:szCs w:val="24"/>
        </w:rPr>
      </w:pPr>
      <w:r>
        <w:rPr>
          <w:rFonts w:hint="eastAsia" w:ascii="宋体" w:hAnsi="宋体" w:eastAsia="宋体"/>
          <w:color w:val="000000"/>
          <w:sz w:val="24"/>
          <w:szCs w:val="24"/>
        </w:rPr>
        <w:t>（五）有下列情况之一的，本次磋商终止。</w:t>
      </w:r>
    </w:p>
    <w:p>
      <w:pPr>
        <w:pStyle w:val="25"/>
        <w:spacing w:before="0" w:beforeAutospacing="0" w:after="0" w:afterAutospacing="0" w:line="400" w:lineRule="exact"/>
        <w:ind w:firstLine="600" w:firstLineChars="250"/>
        <w:jc w:val="both"/>
        <w:rPr>
          <w:rFonts w:hint="default"/>
          <w:color w:val="000000"/>
        </w:rPr>
      </w:pPr>
      <w:r>
        <w:rPr>
          <w:color w:val="000000"/>
        </w:rPr>
        <w:t>1、出现影响采购公正的违法、违规行为的；</w:t>
      </w:r>
    </w:p>
    <w:p>
      <w:pPr>
        <w:pStyle w:val="25"/>
        <w:spacing w:before="0" w:beforeAutospacing="0" w:after="0" w:afterAutospacing="0" w:line="400" w:lineRule="exact"/>
        <w:ind w:firstLine="600" w:firstLineChars="250"/>
        <w:jc w:val="both"/>
        <w:rPr>
          <w:rFonts w:hint="default"/>
          <w:color w:val="000000"/>
        </w:rPr>
      </w:pPr>
      <w:r>
        <w:rPr>
          <w:color w:val="000000"/>
        </w:rPr>
        <w:t xml:space="preserve">2、磋商小组发现磋商文件存在歧义、重大缺陷导致评审工作无法进行，或者磋商文件内容违反国家有关强制性规定的； </w:t>
      </w:r>
    </w:p>
    <w:p>
      <w:pPr>
        <w:pStyle w:val="25"/>
        <w:spacing w:before="0" w:beforeAutospacing="0" w:after="0" w:afterAutospacing="0" w:line="400" w:lineRule="exact"/>
        <w:ind w:firstLine="600" w:firstLineChars="250"/>
        <w:jc w:val="both"/>
        <w:rPr>
          <w:rFonts w:hint="default"/>
          <w:color w:val="000000"/>
        </w:rPr>
      </w:pPr>
      <w:r>
        <w:rPr>
          <w:color w:val="000000"/>
        </w:rPr>
        <w:t>3、因重大变故，采购任务取消的；</w:t>
      </w:r>
    </w:p>
    <w:p>
      <w:pPr>
        <w:pStyle w:val="25"/>
        <w:spacing w:before="0" w:beforeAutospacing="0" w:after="0" w:afterAutospacing="0" w:line="400" w:lineRule="exact"/>
        <w:ind w:firstLine="600" w:firstLineChars="250"/>
        <w:jc w:val="both"/>
        <w:rPr>
          <w:color w:val="000000"/>
        </w:rPr>
      </w:pPr>
      <w:r>
        <w:rPr>
          <w:color w:val="000000"/>
        </w:rPr>
        <w:t>4、法律、法规和磋商文件规定的其他导致评审结果无效的。</w:t>
      </w:r>
    </w:p>
    <w:p>
      <w:pPr>
        <w:pStyle w:val="4"/>
        <w:spacing w:line="400" w:lineRule="exact"/>
        <w:ind w:firstLine="482"/>
        <w:rPr>
          <w:rFonts w:ascii="宋体" w:hAnsi="宋体" w:eastAsia="宋体"/>
          <w:color w:val="000000"/>
          <w:sz w:val="24"/>
          <w:szCs w:val="24"/>
        </w:rPr>
      </w:pPr>
      <w:r>
        <w:rPr>
          <w:rFonts w:hint="eastAsia" w:ascii="宋体" w:hAnsi="宋体" w:eastAsia="宋体"/>
          <w:color w:val="000000"/>
          <w:sz w:val="24"/>
          <w:szCs w:val="24"/>
        </w:rPr>
        <w:t>（六）磋商原则和方法</w:t>
      </w:r>
    </w:p>
    <w:p>
      <w:pPr>
        <w:pStyle w:val="15"/>
        <w:snapToGrid w:val="0"/>
        <w:spacing w:line="400" w:lineRule="exact"/>
        <w:ind w:firstLine="600" w:firstLineChars="250"/>
        <w:rPr>
          <w:rFonts w:hAnsi="宋体"/>
          <w:color w:val="000000"/>
          <w:sz w:val="24"/>
        </w:rPr>
      </w:pPr>
      <w:r>
        <w:rPr>
          <w:rFonts w:hAnsi="宋体"/>
          <w:color w:val="000000"/>
          <w:sz w:val="24"/>
        </w:rPr>
        <w:t>1</w:t>
      </w:r>
      <w:r>
        <w:rPr>
          <w:rFonts w:hint="eastAsia" w:hAnsi="宋体"/>
          <w:color w:val="000000"/>
          <w:sz w:val="24"/>
        </w:rPr>
        <w:t>、磋商</w:t>
      </w:r>
      <w:r>
        <w:rPr>
          <w:rFonts w:hAnsi="宋体"/>
          <w:color w:val="000000"/>
          <w:sz w:val="24"/>
        </w:rPr>
        <w:t>原则。磋商小组必须公平、公正、客观，不带任何倾向性和启发性；不得向外界透露任何与评</w:t>
      </w:r>
      <w:r>
        <w:rPr>
          <w:color w:val="000000"/>
          <w:sz w:val="24"/>
        </w:rPr>
        <w:t>审</w:t>
      </w:r>
      <w:r>
        <w:rPr>
          <w:rFonts w:hAnsi="宋体"/>
          <w:color w:val="000000"/>
          <w:sz w:val="24"/>
        </w:rPr>
        <w:t>有关的内容；任何单位和个人不得干扰、影响评</w:t>
      </w:r>
      <w:r>
        <w:rPr>
          <w:color w:val="000000"/>
          <w:sz w:val="24"/>
        </w:rPr>
        <w:t>审</w:t>
      </w:r>
      <w:r>
        <w:rPr>
          <w:rFonts w:hAnsi="宋体"/>
          <w:color w:val="000000"/>
          <w:sz w:val="24"/>
        </w:rPr>
        <w:t>的正常进行；磋商小组及有关工作人员不得私下与</w:t>
      </w:r>
      <w:r>
        <w:rPr>
          <w:rFonts w:hint="eastAsia" w:hAnsi="宋体"/>
          <w:color w:val="000000"/>
          <w:sz w:val="24"/>
        </w:rPr>
        <w:t>磋商供应商</w:t>
      </w:r>
      <w:r>
        <w:rPr>
          <w:rFonts w:hAnsi="宋体"/>
          <w:color w:val="000000"/>
          <w:sz w:val="24"/>
        </w:rPr>
        <w:t>接触。</w:t>
      </w:r>
    </w:p>
    <w:p>
      <w:pPr>
        <w:pStyle w:val="15"/>
        <w:snapToGrid w:val="0"/>
        <w:spacing w:line="400" w:lineRule="exact"/>
        <w:ind w:firstLine="600" w:firstLineChars="250"/>
        <w:rPr>
          <w:rFonts w:hint="eastAsia" w:hAnsi="宋体"/>
          <w:color w:val="000000"/>
          <w:sz w:val="24"/>
        </w:rPr>
      </w:pPr>
      <w:r>
        <w:rPr>
          <w:rFonts w:hAnsi="宋体"/>
          <w:color w:val="000000"/>
          <w:sz w:val="24"/>
        </w:rPr>
        <w:t>2</w:t>
      </w:r>
      <w:r>
        <w:rPr>
          <w:rFonts w:hint="eastAsia" w:hAnsi="宋体"/>
          <w:color w:val="000000"/>
          <w:sz w:val="24"/>
        </w:rPr>
        <w:t>、磋商</w:t>
      </w:r>
      <w:r>
        <w:rPr>
          <w:rFonts w:hAnsi="宋体"/>
          <w:color w:val="000000"/>
          <w:sz w:val="24"/>
        </w:rPr>
        <w:t>办法。具体</w:t>
      </w:r>
      <w:r>
        <w:rPr>
          <w:rFonts w:hint="eastAsia" w:hAnsi="宋体"/>
          <w:color w:val="000000"/>
          <w:sz w:val="24"/>
        </w:rPr>
        <w:t>磋商</w:t>
      </w:r>
      <w:r>
        <w:rPr>
          <w:rFonts w:hAnsi="宋体"/>
          <w:color w:val="000000"/>
          <w:sz w:val="24"/>
        </w:rPr>
        <w:t>内容及评分标准等详见《第</w:t>
      </w:r>
      <w:r>
        <w:rPr>
          <w:rFonts w:hint="eastAsia" w:hAnsi="宋体"/>
          <w:color w:val="000000"/>
          <w:sz w:val="24"/>
        </w:rPr>
        <w:t>三章</w:t>
      </w:r>
      <w:r>
        <w:rPr>
          <w:rFonts w:hAnsi="宋体"/>
          <w:color w:val="000000"/>
          <w:sz w:val="24"/>
        </w:rPr>
        <w:t>：评</w:t>
      </w:r>
      <w:r>
        <w:rPr>
          <w:color w:val="000000"/>
          <w:sz w:val="24"/>
        </w:rPr>
        <w:t>审</w:t>
      </w:r>
      <w:r>
        <w:rPr>
          <w:rFonts w:hint="eastAsia" w:hAnsi="宋体"/>
          <w:color w:val="000000"/>
          <w:sz w:val="24"/>
        </w:rPr>
        <w:t>方</w:t>
      </w:r>
      <w:r>
        <w:rPr>
          <w:rFonts w:hAnsi="宋体"/>
          <w:color w:val="000000"/>
          <w:sz w:val="24"/>
        </w:rPr>
        <w:t>法及评分标准》。</w:t>
      </w:r>
    </w:p>
    <w:p>
      <w:pPr>
        <w:pStyle w:val="4"/>
        <w:spacing w:line="400" w:lineRule="exact"/>
        <w:ind w:firstLine="482"/>
        <w:rPr>
          <w:rFonts w:ascii="宋体" w:hAnsi="宋体" w:eastAsia="宋体"/>
          <w:color w:val="000000"/>
          <w:sz w:val="24"/>
          <w:szCs w:val="24"/>
        </w:rPr>
      </w:pPr>
      <w:r>
        <w:rPr>
          <w:rFonts w:ascii="宋体" w:hAnsi="宋体" w:eastAsia="宋体"/>
          <w:color w:val="000000"/>
          <w:sz w:val="24"/>
          <w:szCs w:val="24"/>
        </w:rPr>
        <w:t>（</w:t>
      </w:r>
      <w:r>
        <w:rPr>
          <w:rFonts w:hint="eastAsia" w:ascii="宋体" w:hAnsi="宋体" w:eastAsia="宋体"/>
          <w:color w:val="000000"/>
          <w:sz w:val="24"/>
          <w:szCs w:val="24"/>
        </w:rPr>
        <w:t>七</w:t>
      </w:r>
      <w:r>
        <w:rPr>
          <w:rFonts w:ascii="宋体" w:hAnsi="宋体" w:eastAsia="宋体"/>
          <w:color w:val="000000"/>
          <w:sz w:val="24"/>
          <w:szCs w:val="24"/>
        </w:rPr>
        <w:t>）评审过程的监控</w:t>
      </w:r>
    </w:p>
    <w:p>
      <w:pPr>
        <w:pStyle w:val="25"/>
        <w:spacing w:before="0" w:beforeAutospacing="0" w:after="0" w:afterAutospacing="0" w:line="400" w:lineRule="exact"/>
        <w:ind w:firstLine="480" w:firstLineChars="200"/>
        <w:jc w:val="both"/>
        <w:rPr>
          <w:color w:val="000000"/>
        </w:rPr>
      </w:pPr>
      <w:r>
        <w:rPr>
          <w:color w:val="000000"/>
        </w:rPr>
        <w:t>本项目评审过程实行全程录音、录像监控，政府采购监管部门视情进行现场监督，供应商在评审过程中所进行的试图影响评审结果的不公正活动，可能导致其被拒绝磋商。</w:t>
      </w:r>
    </w:p>
    <w:p>
      <w:pPr>
        <w:pStyle w:val="3"/>
        <w:spacing w:line="400" w:lineRule="exact"/>
        <w:jc w:val="left"/>
        <w:rPr>
          <w:color w:val="000000"/>
          <w:sz w:val="24"/>
          <w:szCs w:val="24"/>
        </w:rPr>
      </w:pPr>
      <w:r>
        <w:rPr>
          <w:rFonts w:hint="eastAsia"/>
          <w:color w:val="000000"/>
          <w:sz w:val="24"/>
          <w:szCs w:val="24"/>
        </w:rPr>
        <w:t>四</w:t>
      </w:r>
      <w:r>
        <w:rPr>
          <w:color w:val="000000"/>
          <w:sz w:val="24"/>
          <w:szCs w:val="24"/>
        </w:rPr>
        <w:t>、磋商结果确定</w:t>
      </w:r>
    </w:p>
    <w:p>
      <w:pPr>
        <w:pStyle w:val="25"/>
        <w:spacing w:before="0" w:beforeAutospacing="0" w:after="0" w:afterAutospacing="0" w:line="400" w:lineRule="exact"/>
        <w:ind w:firstLine="600" w:firstLineChars="250"/>
        <w:jc w:val="both"/>
        <w:rPr>
          <w:color w:val="000000"/>
        </w:rPr>
      </w:pPr>
      <w:r>
        <w:rPr>
          <w:color w:val="000000"/>
        </w:rPr>
        <w:t>1、确定成交供应商。磋商小组根据采购人的《授权意见确认书》，推荐成交候选供应商或直接确定成交供应商。其中推荐成交候选供应商的，采购组织机构在评审结束之日起2个工作日内将评审报告送交采购人，采购人自收到评审报告之日起5个工作日内在评审报告推荐的成交候选人中按顺序确定成交供应商。</w:t>
      </w:r>
    </w:p>
    <w:p>
      <w:pPr>
        <w:spacing w:line="400" w:lineRule="exact"/>
        <w:ind w:firstLine="480" w:firstLineChars="200"/>
        <w:rPr>
          <w:rFonts w:ascii="宋体" w:hAnsi="宋体"/>
          <w:color w:val="000000"/>
          <w:kern w:val="0"/>
          <w:sz w:val="24"/>
        </w:rPr>
      </w:pPr>
      <w:r>
        <w:rPr>
          <w:rFonts w:hint="eastAsia" w:ascii="宋体" w:hAnsi="宋体"/>
          <w:color w:val="000000"/>
          <w:kern w:val="0"/>
          <w:sz w:val="24"/>
        </w:rPr>
        <w:t>2、发布成交结果公告。采购组织机构应当在</w:t>
      </w:r>
      <w:r>
        <w:rPr>
          <w:rFonts w:ascii="宋体" w:hAnsi="宋体"/>
          <w:color w:val="000000"/>
          <w:kern w:val="0"/>
          <w:sz w:val="24"/>
        </w:rPr>
        <w:t>成交供应商确定</w:t>
      </w:r>
      <w:r>
        <w:rPr>
          <w:rFonts w:hint="eastAsia" w:ascii="宋体" w:hAnsi="宋体"/>
          <w:color w:val="000000"/>
          <w:kern w:val="0"/>
          <w:sz w:val="24"/>
        </w:rPr>
        <w:t>后</w:t>
      </w:r>
      <w:r>
        <w:rPr>
          <w:rFonts w:ascii="宋体" w:hAnsi="宋体"/>
          <w:color w:val="000000"/>
          <w:kern w:val="0"/>
          <w:sz w:val="24"/>
        </w:rPr>
        <w:t>2个工作日内</w:t>
      </w:r>
      <w:r>
        <w:rPr>
          <w:rFonts w:hint="eastAsia" w:ascii="宋体" w:hAnsi="宋体"/>
          <w:color w:val="000000"/>
          <w:kern w:val="0"/>
          <w:sz w:val="24"/>
        </w:rPr>
        <w:t>，</w:t>
      </w:r>
      <w:r>
        <w:rPr>
          <w:rFonts w:ascii="宋体" w:hAnsi="宋体"/>
          <w:color w:val="000000"/>
          <w:kern w:val="0"/>
          <w:sz w:val="24"/>
        </w:rPr>
        <w:t>在省级以上财政部门指定的</w:t>
      </w:r>
      <w:r>
        <w:rPr>
          <w:rFonts w:hint="eastAsia" w:ascii="宋体" w:hAnsi="宋体"/>
          <w:color w:val="000000"/>
          <w:kern w:val="0"/>
          <w:sz w:val="24"/>
        </w:rPr>
        <w:t>政府采购信息发布</w:t>
      </w:r>
      <w:r>
        <w:rPr>
          <w:rFonts w:ascii="宋体" w:hAnsi="宋体"/>
          <w:color w:val="000000"/>
          <w:kern w:val="0"/>
          <w:sz w:val="24"/>
        </w:rPr>
        <w:t>媒体及相关网站</w:t>
      </w:r>
      <w:r>
        <w:rPr>
          <w:rFonts w:hint="eastAsia" w:ascii="宋体" w:hAnsi="宋体"/>
          <w:color w:val="000000"/>
          <w:kern w:val="0"/>
          <w:sz w:val="24"/>
        </w:rPr>
        <w:t>上</w:t>
      </w:r>
      <w:r>
        <w:rPr>
          <w:rFonts w:ascii="宋体" w:hAnsi="宋体"/>
          <w:color w:val="000000"/>
          <w:kern w:val="0"/>
          <w:sz w:val="24"/>
        </w:rPr>
        <w:t>公告</w:t>
      </w:r>
      <w:r>
        <w:rPr>
          <w:rFonts w:hint="eastAsia" w:ascii="宋体" w:hAnsi="宋体"/>
          <w:color w:val="000000"/>
          <w:kern w:val="0"/>
          <w:sz w:val="24"/>
        </w:rPr>
        <w:t>成交结果，并将磋商文件随同公告。</w:t>
      </w:r>
    </w:p>
    <w:p>
      <w:pPr>
        <w:spacing w:line="400" w:lineRule="exact"/>
        <w:ind w:firstLine="480" w:firstLineChars="200"/>
        <w:rPr>
          <w:rFonts w:hint="eastAsia" w:ascii="宋体" w:hAnsi="宋体"/>
          <w:color w:val="000000"/>
          <w:kern w:val="0"/>
          <w:sz w:val="24"/>
        </w:rPr>
      </w:pPr>
      <w:r>
        <w:rPr>
          <w:rFonts w:hint="eastAsia" w:ascii="宋体" w:hAnsi="宋体"/>
          <w:color w:val="000000"/>
          <w:kern w:val="0"/>
          <w:sz w:val="24"/>
        </w:rPr>
        <w:t>3、发出成交通知书。采购组织机构在发布成交结果同时，向成交供应商发出成交通知书。</w:t>
      </w:r>
    </w:p>
    <w:p>
      <w:pPr>
        <w:pStyle w:val="3"/>
        <w:spacing w:line="400" w:lineRule="exact"/>
        <w:jc w:val="left"/>
        <w:rPr>
          <w:color w:val="000000"/>
          <w:sz w:val="24"/>
          <w:szCs w:val="24"/>
        </w:rPr>
      </w:pPr>
      <w:r>
        <w:rPr>
          <w:rFonts w:hint="eastAsia"/>
          <w:color w:val="000000"/>
          <w:sz w:val="24"/>
          <w:szCs w:val="24"/>
        </w:rPr>
        <w:t>五、合同签订及公告</w:t>
      </w:r>
    </w:p>
    <w:p>
      <w:pPr>
        <w:pStyle w:val="4"/>
        <w:spacing w:line="400" w:lineRule="exact"/>
        <w:ind w:firstLine="482"/>
        <w:rPr>
          <w:rFonts w:hint="eastAsia" w:ascii="宋体" w:hAnsi="宋体" w:eastAsia="宋体"/>
          <w:color w:val="000000"/>
          <w:sz w:val="24"/>
          <w:szCs w:val="24"/>
        </w:rPr>
      </w:pPr>
      <w:r>
        <w:rPr>
          <w:rFonts w:hint="eastAsia" w:ascii="宋体" w:hAnsi="宋体" w:eastAsia="宋体"/>
          <w:color w:val="000000"/>
          <w:sz w:val="24"/>
          <w:szCs w:val="24"/>
        </w:rPr>
        <w:t>（一）签订合同</w:t>
      </w:r>
    </w:p>
    <w:p>
      <w:pPr>
        <w:pStyle w:val="13"/>
        <w:spacing w:line="400" w:lineRule="exact"/>
        <w:ind w:firstLine="480" w:firstLineChars="200"/>
        <w:rPr>
          <w:rFonts w:hAnsi="宋体"/>
          <w:szCs w:val="24"/>
        </w:rPr>
      </w:pPr>
      <w:r>
        <w:rPr>
          <w:rFonts w:hint="eastAsia" w:hAnsi="宋体"/>
          <w:szCs w:val="24"/>
        </w:rPr>
        <w:t>1．采购人应当自成交通知书发出之日起10个工作日内，</w:t>
      </w:r>
      <w:r>
        <w:rPr>
          <w:szCs w:val="24"/>
        </w:rPr>
        <w:t>按照磋商采购文件</w:t>
      </w:r>
      <w:r>
        <w:rPr>
          <w:rFonts w:hint="eastAsia"/>
          <w:szCs w:val="24"/>
        </w:rPr>
        <w:t>确定的合同文本以及采购标的、规格型号、采购金额、采购数量和服务要求等事项签订政府采购合同。</w:t>
      </w:r>
    </w:p>
    <w:p>
      <w:pPr>
        <w:pStyle w:val="25"/>
        <w:spacing w:before="0" w:beforeAutospacing="0" w:after="0" w:afterAutospacing="0" w:line="400" w:lineRule="exact"/>
        <w:ind w:firstLine="600" w:firstLineChars="250"/>
        <w:jc w:val="both"/>
        <w:rPr>
          <w:rFonts w:hint="default"/>
          <w:color w:val="000000"/>
        </w:rPr>
      </w:pPr>
      <w:r>
        <w:rPr>
          <w:color w:val="000000"/>
        </w:rPr>
        <w:t>2．采购人不得向成交供应商提出超出磋商文件以外的任何要求作为签订合同的条件，不得与成交供应商订立背离磋商文件确定的合同文本以及采购标的、规格型号、采购金额、采购数量和服务要求等实质性内容的协议。</w:t>
      </w:r>
    </w:p>
    <w:p>
      <w:pPr>
        <w:pStyle w:val="25"/>
        <w:spacing w:before="0" w:beforeAutospacing="0" w:after="0" w:afterAutospacing="0" w:line="400" w:lineRule="exact"/>
        <w:ind w:firstLine="600" w:firstLineChars="250"/>
        <w:jc w:val="both"/>
        <w:rPr>
          <w:rFonts w:hint="default"/>
          <w:color w:val="000000"/>
        </w:rPr>
      </w:pPr>
      <w:r>
        <w:rPr>
          <w:color w:val="000000"/>
        </w:rPr>
        <w:t>3．成交供应商无故拖延、拒签合同的,取消成交资格。</w:t>
      </w:r>
    </w:p>
    <w:p>
      <w:pPr>
        <w:pStyle w:val="25"/>
        <w:spacing w:before="0" w:beforeAutospacing="0" w:after="0" w:afterAutospacing="0" w:line="400" w:lineRule="exact"/>
        <w:ind w:firstLine="600" w:firstLineChars="250"/>
        <w:jc w:val="both"/>
        <w:rPr>
          <w:rFonts w:hint="default"/>
          <w:color w:val="000000"/>
        </w:rPr>
      </w:pPr>
      <w:r>
        <w:rPr>
          <w:color w:val="000000"/>
        </w:rPr>
        <w:t>4．成交供应商拒绝与采购人签订合同的，采购人可以按照评审报告推荐的成交候选供应商名单排序，确定下一候选供应商为成交供应商，也可以重新开展政府采购活动。同时，拒绝与采购人签订合同的供应商，由同级财政部门依法作出处理。</w:t>
      </w:r>
    </w:p>
    <w:p>
      <w:pPr>
        <w:pStyle w:val="25"/>
        <w:spacing w:line="400" w:lineRule="exact"/>
        <w:ind w:firstLine="600" w:firstLineChars="250"/>
        <w:rPr>
          <w:color w:val="000000"/>
        </w:rPr>
      </w:pPr>
      <w:r>
        <w:rPr>
          <w:color w:val="000000"/>
        </w:rPr>
        <w:t>5．询问或者质疑事项可能影响成交结果的，采购人应当暂停签订合同，已经签订合同的，应当中止履行合同（成交结果的质疑期为成交结果公告期限届满之日起七个工作日）。</w:t>
      </w:r>
    </w:p>
    <w:p>
      <w:pPr>
        <w:pStyle w:val="4"/>
        <w:spacing w:line="400" w:lineRule="exact"/>
        <w:ind w:firstLine="482"/>
        <w:rPr>
          <w:rFonts w:ascii="宋体" w:hAnsi="宋体" w:eastAsia="宋体"/>
          <w:color w:val="000000"/>
          <w:sz w:val="24"/>
          <w:szCs w:val="24"/>
        </w:rPr>
      </w:pPr>
      <w:r>
        <w:rPr>
          <w:rFonts w:ascii="宋体" w:hAnsi="宋体" w:eastAsia="宋体"/>
          <w:color w:val="000000"/>
          <w:sz w:val="24"/>
          <w:szCs w:val="24"/>
        </w:rPr>
        <w:t>（二）合同公告及备案</w:t>
      </w:r>
    </w:p>
    <w:p>
      <w:pPr>
        <w:pStyle w:val="13"/>
        <w:spacing w:line="400" w:lineRule="exact"/>
        <w:ind w:firstLine="480" w:firstLineChars="200"/>
        <w:rPr>
          <w:rFonts w:hint="eastAsia" w:hAnsi="宋体"/>
          <w:szCs w:val="24"/>
        </w:rPr>
      </w:pPr>
      <w:r>
        <w:rPr>
          <w:rFonts w:hint="eastAsia" w:hAnsi="宋体"/>
          <w:szCs w:val="24"/>
        </w:rPr>
        <w:t>1．采购人应当自政府采购合同签订之日起2个工作日内，</w:t>
      </w:r>
      <w:r>
        <w:rPr>
          <w:rFonts w:hAnsi="宋体"/>
          <w:szCs w:val="24"/>
        </w:rPr>
        <w:t>在省级以上财政部门指定的</w:t>
      </w:r>
      <w:r>
        <w:rPr>
          <w:rFonts w:hint="eastAsia" w:hAnsi="宋体"/>
          <w:szCs w:val="24"/>
        </w:rPr>
        <w:t>政府采购信息发布</w:t>
      </w:r>
      <w:r>
        <w:rPr>
          <w:rFonts w:hAnsi="宋体"/>
          <w:szCs w:val="24"/>
        </w:rPr>
        <w:t>媒体及相关网站</w:t>
      </w:r>
      <w:r>
        <w:rPr>
          <w:rFonts w:hint="eastAsia" w:hAnsi="宋体"/>
          <w:szCs w:val="24"/>
        </w:rPr>
        <w:t>上</w:t>
      </w:r>
      <w:r>
        <w:rPr>
          <w:rFonts w:hAnsi="宋体"/>
          <w:szCs w:val="24"/>
        </w:rPr>
        <w:t>公告</w:t>
      </w:r>
      <w:r>
        <w:rPr>
          <w:rFonts w:hint="eastAsia" w:hAnsi="宋体"/>
          <w:szCs w:val="24"/>
        </w:rPr>
        <w:t>。</w:t>
      </w:r>
    </w:p>
    <w:p>
      <w:pPr>
        <w:pStyle w:val="13"/>
        <w:spacing w:line="400" w:lineRule="exact"/>
        <w:ind w:firstLine="480" w:firstLineChars="200"/>
        <w:rPr>
          <w:rFonts w:hint="eastAsia" w:hAnsi="宋体"/>
          <w:szCs w:val="24"/>
        </w:rPr>
      </w:pPr>
      <w:r>
        <w:rPr>
          <w:rFonts w:hint="eastAsia" w:hAnsi="宋体"/>
          <w:szCs w:val="24"/>
        </w:rPr>
        <w:t>2．采购人应当自政府采购合同签订之日起7个工作日内，将政府采购合同副本报同级人民政府财政部门备案以及采购组织机构存档。</w:t>
      </w:r>
    </w:p>
    <w:p>
      <w:pPr>
        <w:rPr>
          <w:rFonts w:hint="eastAsia"/>
          <w:color w:val="000000"/>
        </w:rPr>
      </w:pPr>
    </w:p>
    <w:p>
      <w:pPr>
        <w:ind w:firstLine="420" w:firstLineChars="200"/>
        <w:rPr>
          <w:rFonts w:hint="eastAsia"/>
        </w:rPr>
      </w:pPr>
    </w:p>
    <w:p>
      <w:pPr>
        <w:rPr>
          <w:rFonts w:hint="eastAsia"/>
          <w:color w:val="000000"/>
        </w:rPr>
      </w:pPr>
    </w:p>
    <w:p>
      <w:pPr>
        <w:pStyle w:val="2"/>
        <w:jc w:val="center"/>
        <w:rPr>
          <w:rFonts w:hint="eastAsia"/>
        </w:rPr>
      </w:pPr>
      <w:r>
        <w:rPr>
          <w:rFonts w:hint="eastAsia"/>
          <w:color w:val="000000"/>
        </w:rPr>
        <w:t>第三章</w:t>
      </w:r>
      <w:r>
        <w:rPr>
          <w:rFonts w:hint="eastAsia"/>
        </w:rPr>
        <w:t>　评审办法及评审标准</w:t>
      </w:r>
    </w:p>
    <w:p>
      <w:pPr>
        <w:autoSpaceDE w:val="0"/>
        <w:autoSpaceDN w:val="0"/>
        <w:spacing w:line="360" w:lineRule="auto"/>
        <w:ind w:firstLine="480" w:firstLineChars="200"/>
        <w:rPr>
          <w:rFonts w:ascii="宋体" w:hAnsi="宋体"/>
          <w:b/>
          <w:i/>
          <w:color w:val="000000"/>
          <w:kern w:val="0"/>
          <w:sz w:val="24"/>
        </w:rPr>
      </w:pPr>
      <w:r>
        <w:rPr>
          <w:rFonts w:hint="eastAsia" w:ascii="宋体" w:hAnsi="宋体"/>
          <w:color w:val="000000"/>
          <w:kern w:val="0"/>
          <w:sz w:val="24"/>
        </w:rPr>
        <w:t>一、采购组织机构将组织</w:t>
      </w:r>
      <w:r>
        <w:rPr>
          <w:rFonts w:hint="eastAsia" w:ascii="宋体" w:hAnsi="宋体"/>
          <w:color w:val="000000"/>
          <w:sz w:val="24"/>
        </w:rPr>
        <w:t>磋商小组</w:t>
      </w:r>
      <w:r>
        <w:rPr>
          <w:rFonts w:hint="eastAsia" w:ascii="宋体" w:hAnsi="宋体"/>
          <w:color w:val="000000"/>
          <w:kern w:val="0"/>
          <w:sz w:val="24"/>
        </w:rPr>
        <w:t>，对</w:t>
      </w:r>
      <w:r>
        <w:rPr>
          <w:rFonts w:hint="eastAsia" w:ascii="宋体" w:hAnsi="宋体"/>
          <w:color w:val="000000"/>
          <w:sz w:val="24"/>
        </w:rPr>
        <w:t>供应商</w:t>
      </w:r>
      <w:r>
        <w:rPr>
          <w:rFonts w:hint="eastAsia" w:ascii="宋体" w:hAnsi="宋体"/>
          <w:color w:val="000000"/>
          <w:kern w:val="0"/>
          <w:sz w:val="24"/>
        </w:rPr>
        <w:t>提供的</w:t>
      </w:r>
      <w:r>
        <w:rPr>
          <w:rFonts w:hint="eastAsia" w:ascii="宋体" w:hAnsi="宋体"/>
          <w:color w:val="000000"/>
          <w:sz w:val="24"/>
        </w:rPr>
        <w:t>磋商响应文件</w:t>
      </w:r>
      <w:r>
        <w:rPr>
          <w:rFonts w:hint="eastAsia" w:ascii="宋体" w:hAnsi="宋体"/>
          <w:color w:val="000000"/>
          <w:kern w:val="0"/>
          <w:sz w:val="24"/>
        </w:rPr>
        <w:t>进行综合评审。</w:t>
      </w:r>
      <w:r>
        <w:rPr>
          <w:rFonts w:ascii="宋体" w:hAnsi="宋体"/>
          <w:color w:val="000000"/>
          <w:kern w:val="0"/>
          <w:sz w:val="24"/>
        </w:rPr>
        <w:t xml:space="preserve">   </w:t>
      </w:r>
    </w:p>
    <w:p>
      <w:pPr>
        <w:autoSpaceDE w:val="0"/>
        <w:autoSpaceDN w:val="0"/>
        <w:adjustRightInd w:val="0"/>
        <w:spacing w:line="360" w:lineRule="auto"/>
        <w:ind w:right="84" w:firstLine="472"/>
        <w:rPr>
          <w:rFonts w:hint="eastAsia" w:ascii="宋体" w:hAnsi="宋体" w:cs="宋体"/>
          <w:b/>
          <w:bCs/>
          <w:color w:val="FF0000"/>
          <w:sz w:val="24"/>
          <w:lang w:val="zh-CN"/>
        </w:rPr>
      </w:pPr>
      <w:r>
        <w:rPr>
          <w:rFonts w:hint="eastAsia" w:ascii="宋体" w:hAnsi="宋体" w:cs="宋体"/>
          <w:b/>
          <w:bCs/>
          <w:color w:val="000000"/>
          <w:kern w:val="0"/>
          <w:sz w:val="24"/>
        </w:rPr>
        <w:t>二、本次磋商项目的评审方法为综合评分法，</w:t>
      </w:r>
      <w:r>
        <w:rPr>
          <w:rFonts w:hint="eastAsia" w:ascii="宋体" w:hAnsi="宋体" w:cs="宋体"/>
          <w:b/>
          <w:bCs/>
          <w:color w:val="FF0000"/>
          <w:kern w:val="0"/>
          <w:sz w:val="24"/>
        </w:rPr>
        <w:t>总计100分。</w:t>
      </w:r>
      <w:r>
        <w:rPr>
          <w:rFonts w:hint="eastAsia" w:ascii="宋体" w:hAnsi="宋体" w:cs="宋体"/>
          <w:b/>
          <w:bCs/>
          <w:color w:val="FF0000"/>
          <w:sz w:val="24"/>
        </w:rPr>
        <w:t>报价评分</w:t>
      </w:r>
      <w:r>
        <w:rPr>
          <w:rFonts w:hint="eastAsia" w:ascii="宋体" w:hAnsi="宋体" w:cs="宋体"/>
          <w:b/>
          <w:bCs/>
          <w:color w:val="FF0000"/>
          <w:sz w:val="24"/>
          <w:lang w:val="en-US" w:eastAsia="zh-CN"/>
        </w:rPr>
        <w:t>4</w:t>
      </w:r>
      <w:r>
        <w:rPr>
          <w:rFonts w:hint="eastAsia" w:ascii="宋体" w:hAnsi="宋体" w:cs="宋体"/>
          <w:b/>
          <w:bCs/>
          <w:color w:val="FF0000"/>
          <w:sz w:val="24"/>
        </w:rPr>
        <w:t>0分，商务技术评分</w:t>
      </w:r>
      <w:r>
        <w:rPr>
          <w:rFonts w:hint="eastAsia" w:ascii="宋体" w:hAnsi="宋体" w:cs="宋体"/>
          <w:b/>
          <w:bCs/>
          <w:color w:val="FF0000"/>
          <w:sz w:val="24"/>
          <w:lang w:val="en-US" w:eastAsia="zh-CN"/>
        </w:rPr>
        <w:t>6</w:t>
      </w:r>
      <w:r>
        <w:rPr>
          <w:rFonts w:hint="eastAsia" w:ascii="宋体" w:hAnsi="宋体" w:cs="宋体"/>
          <w:b/>
          <w:bCs/>
          <w:color w:val="FF0000"/>
          <w:sz w:val="24"/>
        </w:rPr>
        <w:t>0分。</w:t>
      </w:r>
    </w:p>
    <w:p>
      <w:pPr>
        <w:autoSpaceDE w:val="0"/>
        <w:autoSpaceDN w:val="0"/>
        <w:adjustRightInd w:val="0"/>
        <w:spacing w:line="360" w:lineRule="auto"/>
        <w:ind w:right="84" w:firstLine="472"/>
        <w:rPr>
          <w:rFonts w:ascii="宋体"/>
          <w:bCs/>
          <w:color w:val="000000"/>
          <w:sz w:val="24"/>
          <w:lang w:val="zh-CN"/>
        </w:rPr>
      </w:pPr>
      <w:r>
        <w:rPr>
          <w:rFonts w:hint="eastAsia" w:ascii="宋体"/>
          <w:bCs/>
          <w:color w:val="000000"/>
          <w:sz w:val="24"/>
          <w:lang w:val="zh-CN"/>
        </w:rPr>
        <w:t>（一）商务与技术文件中的客观分由</w:t>
      </w:r>
      <w:r>
        <w:rPr>
          <w:rFonts w:hint="eastAsia" w:ascii="宋体" w:hAnsi="宋体"/>
          <w:color w:val="000000"/>
          <w:sz w:val="24"/>
        </w:rPr>
        <w:t>磋商小组</w:t>
      </w:r>
      <w:r>
        <w:rPr>
          <w:rFonts w:hint="eastAsia" w:ascii="宋体"/>
          <w:bCs/>
          <w:color w:val="000000"/>
          <w:sz w:val="24"/>
          <w:lang w:val="zh-CN"/>
        </w:rPr>
        <w:t>讨论后统一打分；其余在规定的分值内单独评定打分。</w:t>
      </w:r>
    </w:p>
    <w:p>
      <w:pPr>
        <w:autoSpaceDE w:val="0"/>
        <w:autoSpaceDN w:val="0"/>
        <w:adjustRightInd w:val="0"/>
        <w:spacing w:line="360" w:lineRule="auto"/>
        <w:ind w:right="84" w:firstLine="472"/>
        <w:rPr>
          <w:rFonts w:ascii="宋体"/>
          <w:bCs/>
          <w:color w:val="000000"/>
          <w:sz w:val="24"/>
          <w:shd w:val="clear" w:color="FFFFFF" w:fill="D9D9D9"/>
          <w:lang w:val="zh-CN"/>
        </w:rPr>
      </w:pPr>
      <w:r>
        <w:rPr>
          <w:rFonts w:hint="eastAsia" w:ascii="宋体"/>
          <w:bCs/>
          <w:color w:val="000000"/>
          <w:sz w:val="24"/>
          <w:lang w:val="zh-CN"/>
        </w:rPr>
        <w:t>（二）各磋商供应商商务与技术文件</w:t>
      </w:r>
      <w:r>
        <w:rPr>
          <w:rFonts w:hint="eastAsia" w:ascii="宋体"/>
          <w:color w:val="000000"/>
          <w:kern w:val="0"/>
          <w:sz w:val="24"/>
          <w:lang w:val="zh-CN"/>
        </w:rPr>
        <w:t>得分按照</w:t>
      </w:r>
      <w:r>
        <w:rPr>
          <w:rFonts w:hint="eastAsia" w:ascii="宋体" w:hAnsi="宋体"/>
          <w:color w:val="000000"/>
          <w:sz w:val="24"/>
        </w:rPr>
        <w:t>磋商小组</w:t>
      </w:r>
      <w:r>
        <w:rPr>
          <w:rFonts w:hint="eastAsia" w:ascii="宋体"/>
          <w:color w:val="000000"/>
          <w:kern w:val="0"/>
          <w:sz w:val="24"/>
          <w:lang w:val="zh-CN"/>
        </w:rPr>
        <w:t>成</w:t>
      </w:r>
      <w:r>
        <w:rPr>
          <w:rFonts w:hint="eastAsia" w:ascii="宋体"/>
          <w:bCs/>
          <w:color w:val="000000"/>
          <w:sz w:val="24"/>
          <w:lang w:val="zh-CN"/>
        </w:rPr>
        <w:t>员的独立评分结果汇总后的算术平均分计算，计算公式为：</w:t>
      </w:r>
    </w:p>
    <w:p>
      <w:pPr>
        <w:autoSpaceDE w:val="0"/>
        <w:autoSpaceDN w:val="0"/>
        <w:adjustRightInd w:val="0"/>
        <w:spacing w:line="360" w:lineRule="auto"/>
        <w:ind w:right="84" w:firstLine="472"/>
        <w:rPr>
          <w:rFonts w:ascii="宋体"/>
          <w:bCs/>
          <w:color w:val="000000"/>
          <w:sz w:val="24"/>
          <w:shd w:val="clear" w:color="FFFFFF" w:fill="D9D9D9"/>
          <w:lang w:val="zh-CN"/>
        </w:rPr>
      </w:pPr>
      <w:r>
        <w:rPr>
          <w:rFonts w:hint="eastAsia" w:ascii="宋体" w:hAnsi="宋体"/>
          <w:color w:val="000000"/>
          <w:sz w:val="24"/>
        </w:rPr>
        <w:t>商务与技术文件得分</w:t>
      </w:r>
      <w:r>
        <w:rPr>
          <w:rFonts w:hint="eastAsia" w:ascii="宋体"/>
          <w:bCs/>
          <w:color w:val="000000"/>
          <w:sz w:val="24"/>
          <w:lang w:val="zh-CN"/>
        </w:rPr>
        <w:t>=</w:t>
      </w:r>
      <w:r>
        <w:rPr>
          <w:rFonts w:hint="eastAsia" w:ascii="宋体" w:hAnsi="宋体"/>
          <w:color w:val="000000"/>
          <w:sz w:val="24"/>
        </w:rPr>
        <w:t>磋商小组</w:t>
      </w:r>
      <w:r>
        <w:rPr>
          <w:rFonts w:hint="eastAsia" w:ascii="宋体"/>
          <w:bCs/>
          <w:color w:val="000000"/>
          <w:sz w:val="24"/>
          <w:lang w:val="zh-CN"/>
        </w:rPr>
        <w:t>所有成员评分合计数/</w:t>
      </w:r>
      <w:r>
        <w:rPr>
          <w:rFonts w:hint="eastAsia" w:ascii="宋体" w:hAnsi="宋体"/>
          <w:color w:val="000000"/>
          <w:sz w:val="24"/>
        </w:rPr>
        <w:t>磋商小组</w:t>
      </w:r>
      <w:r>
        <w:rPr>
          <w:rFonts w:hint="eastAsia" w:ascii="宋体"/>
          <w:bCs/>
          <w:color w:val="000000"/>
          <w:sz w:val="24"/>
          <w:lang w:val="zh-CN"/>
        </w:rPr>
        <w:t>组成人员数。</w:t>
      </w:r>
    </w:p>
    <w:p>
      <w:pPr>
        <w:autoSpaceDE w:val="0"/>
        <w:autoSpaceDN w:val="0"/>
        <w:adjustRightInd w:val="0"/>
        <w:spacing w:line="360" w:lineRule="auto"/>
        <w:ind w:right="85" w:firstLine="480" w:firstLineChars="200"/>
        <w:rPr>
          <w:rFonts w:ascii="宋体"/>
          <w:color w:val="000000"/>
          <w:sz w:val="24"/>
          <w:lang w:val="zh-CN"/>
        </w:rPr>
      </w:pPr>
      <w:r>
        <w:rPr>
          <w:rFonts w:hint="eastAsia" w:ascii="宋体"/>
          <w:bCs/>
          <w:color w:val="000000"/>
          <w:sz w:val="24"/>
          <w:lang w:val="zh-CN"/>
        </w:rPr>
        <w:t>（三）</w:t>
      </w:r>
      <w:r>
        <w:rPr>
          <w:rFonts w:hint="eastAsia"/>
          <w:color w:val="000000"/>
          <w:sz w:val="24"/>
          <w:u w:val="single"/>
        </w:rPr>
        <w:t>综合评分法中的价格分统一</w:t>
      </w:r>
      <w:r>
        <w:rPr>
          <w:rFonts w:hint="eastAsia" w:ascii="宋体"/>
          <w:color w:val="000000"/>
          <w:sz w:val="24"/>
          <w:lang w:val="zh-CN"/>
        </w:rPr>
        <w:t>采用</w:t>
      </w:r>
      <w:r>
        <w:rPr>
          <w:rFonts w:hint="eastAsia" w:ascii="宋体"/>
          <w:color w:val="FF0000"/>
          <w:sz w:val="24"/>
          <w:lang w:val="zh-CN"/>
        </w:rPr>
        <w:t>低价优先法</w:t>
      </w:r>
      <w:r>
        <w:rPr>
          <w:rFonts w:hint="eastAsia" w:ascii="宋体"/>
          <w:color w:val="000000"/>
          <w:sz w:val="24"/>
          <w:lang w:val="zh-CN"/>
        </w:rPr>
        <w:t>计算，即满足磋商文件要求且最后报价最低的供应商的价格作为磋商基准价，其报价得满分。其他供应商的价格分统一按照下列公式计算：</w:t>
      </w:r>
    </w:p>
    <w:p>
      <w:pPr>
        <w:autoSpaceDE w:val="0"/>
        <w:autoSpaceDN w:val="0"/>
        <w:adjustRightInd w:val="0"/>
        <w:spacing w:line="360" w:lineRule="auto"/>
        <w:ind w:right="85" w:firstLine="482" w:firstLineChars="200"/>
        <w:rPr>
          <w:rFonts w:ascii="宋体" w:hAnsi="宋体"/>
          <w:b/>
          <w:bCs/>
          <w:color w:val="FF0000"/>
          <w:sz w:val="24"/>
          <w:u w:val="single"/>
        </w:rPr>
      </w:pPr>
      <w:r>
        <w:rPr>
          <w:rFonts w:hint="eastAsia"/>
          <w:b/>
          <w:bCs/>
          <w:color w:val="FF0000"/>
          <w:sz w:val="24"/>
          <w:u w:val="single"/>
        </w:rPr>
        <w:t>磋商报价得</w:t>
      </w:r>
      <w:r>
        <w:rPr>
          <w:b/>
          <w:bCs/>
          <w:color w:val="FF0000"/>
          <w:sz w:val="24"/>
          <w:u w:val="single"/>
        </w:rPr>
        <w:t>分=(</w:t>
      </w:r>
      <w:r>
        <w:rPr>
          <w:rFonts w:hint="eastAsia" w:ascii="宋体"/>
          <w:b/>
          <w:bCs/>
          <w:color w:val="FF0000"/>
          <w:sz w:val="24"/>
          <w:u w:val="single"/>
          <w:lang w:val="zh-CN"/>
        </w:rPr>
        <w:t>磋商基准价（最低</w:t>
      </w:r>
      <w:r>
        <w:rPr>
          <w:rFonts w:ascii="宋体"/>
          <w:b/>
          <w:bCs/>
          <w:color w:val="FF0000"/>
          <w:sz w:val="24"/>
          <w:u w:val="single"/>
          <w:lang w:val="zh-CN"/>
        </w:rPr>
        <w:t>价</w:t>
      </w:r>
      <w:r>
        <w:rPr>
          <w:rFonts w:hint="eastAsia" w:ascii="宋体"/>
          <w:b/>
          <w:bCs/>
          <w:color w:val="FF0000"/>
          <w:sz w:val="24"/>
          <w:u w:val="single"/>
          <w:lang w:val="zh-CN"/>
        </w:rPr>
        <w:t>）</w:t>
      </w:r>
      <w:r>
        <w:rPr>
          <w:b/>
          <w:bCs/>
          <w:color w:val="FF0000"/>
          <w:sz w:val="24"/>
          <w:u w:val="single"/>
        </w:rPr>
        <w:t>／</w:t>
      </w:r>
      <w:r>
        <w:rPr>
          <w:rFonts w:hint="eastAsia"/>
          <w:b/>
          <w:bCs/>
          <w:color w:val="FF0000"/>
          <w:sz w:val="24"/>
          <w:u w:val="single"/>
        </w:rPr>
        <w:t>最后磋商</w:t>
      </w:r>
      <w:r>
        <w:rPr>
          <w:rFonts w:ascii="宋体" w:hAnsi="宋体"/>
          <w:b/>
          <w:bCs/>
          <w:color w:val="FF0000"/>
          <w:sz w:val="24"/>
          <w:u w:val="single"/>
        </w:rPr>
        <w:t>报价)×</w:t>
      </w:r>
      <w:r>
        <w:rPr>
          <w:rFonts w:hint="eastAsia" w:ascii="宋体" w:hAnsi="宋体"/>
          <w:b/>
          <w:bCs/>
          <w:color w:val="FF0000"/>
          <w:sz w:val="24"/>
          <w:u w:val="single"/>
          <w:lang w:val="en-US" w:eastAsia="zh-CN"/>
        </w:rPr>
        <w:t>4</w:t>
      </w:r>
      <w:r>
        <w:rPr>
          <w:rFonts w:hint="eastAsia" w:ascii="宋体" w:hAnsi="宋体"/>
          <w:b/>
          <w:bCs/>
          <w:color w:val="FF0000"/>
          <w:sz w:val="24"/>
          <w:u w:val="single"/>
        </w:rPr>
        <w:t>0%</w:t>
      </w:r>
      <w:r>
        <w:rPr>
          <w:rFonts w:ascii="宋体" w:hAnsi="宋体"/>
          <w:b/>
          <w:bCs/>
          <w:color w:val="FF0000"/>
          <w:sz w:val="24"/>
          <w:u w:val="single"/>
        </w:rPr>
        <w:t>×100</w:t>
      </w:r>
      <w:r>
        <w:rPr>
          <w:rFonts w:hint="eastAsia" w:ascii="宋体" w:hAnsi="宋体"/>
          <w:b/>
          <w:bCs/>
          <w:color w:val="FF0000"/>
          <w:sz w:val="24"/>
          <w:u w:val="single"/>
        </w:rPr>
        <w:t xml:space="preserve"> 。（价格</w:t>
      </w:r>
      <w:r>
        <w:rPr>
          <w:rFonts w:ascii="宋体" w:hAnsi="宋体"/>
          <w:b/>
          <w:bCs/>
          <w:color w:val="FF0000"/>
          <w:sz w:val="24"/>
          <w:u w:val="single"/>
        </w:rPr>
        <w:t>占3</w:t>
      </w:r>
      <w:r>
        <w:rPr>
          <w:rFonts w:hint="eastAsia" w:ascii="宋体" w:hAnsi="宋体"/>
          <w:b/>
          <w:bCs/>
          <w:color w:val="FF0000"/>
          <w:sz w:val="24"/>
          <w:u w:val="single"/>
        </w:rPr>
        <w:t>0分）</w:t>
      </w:r>
    </w:p>
    <w:p>
      <w:pPr>
        <w:autoSpaceDE w:val="0"/>
        <w:autoSpaceDN w:val="0"/>
        <w:adjustRightInd w:val="0"/>
        <w:spacing w:line="360" w:lineRule="auto"/>
        <w:ind w:right="84" w:firstLine="472"/>
        <w:rPr>
          <w:strike/>
          <w:dstrike w:val="0"/>
          <w:color w:val="FF0000"/>
          <w:lang w:val="zh-CN"/>
        </w:rPr>
      </w:pPr>
    </w:p>
    <w:p>
      <w:pPr>
        <w:autoSpaceDE w:val="0"/>
        <w:autoSpaceDN w:val="0"/>
        <w:adjustRightInd w:val="0"/>
        <w:spacing w:line="360" w:lineRule="auto"/>
        <w:ind w:right="85" w:firstLine="480" w:firstLineChars="200"/>
        <w:rPr>
          <w:rFonts w:ascii="宋体"/>
          <w:color w:val="000000"/>
          <w:sz w:val="24"/>
          <w:lang w:val="zh-CN"/>
        </w:rPr>
      </w:pPr>
      <w:r>
        <w:rPr>
          <w:rFonts w:hint="eastAsia" w:ascii="宋体"/>
          <w:color w:val="000000"/>
          <w:sz w:val="24"/>
          <w:lang w:val="zh-CN"/>
        </w:rPr>
        <w:t>三、在最大限度地满足磋商文件实质性要求前提下，</w:t>
      </w:r>
      <w:r>
        <w:rPr>
          <w:rFonts w:hint="eastAsia" w:ascii="宋体" w:hAnsi="宋体"/>
          <w:color w:val="000000"/>
          <w:sz w:val="24"/>
        </w:rPr>
        <w:t>磋商小组</w:t>
      </w:r>
      <w:r>
        <w:rPr>
          <w:rFonts w:hint="eastAsia" w:ascii="宋体"/>
          <w:color w:val="000000"/>
          <w:sz w:val="24"/>
          <w:lang w:val="zh-CN"/>
        </w:rPr>
        <w:t>按照磋商文件中规定的各项因素进行综合评审后，以评审总得分最高的供应商为成交候选供应商。</w:t>
      </w:r>
    </w:p>
    <w:p>
      <w:pPr>
        <w:autoSpaceDE w:val="0"/>
        <w:autoSpaceDN w:val="0"/>
        <w:adjustRightInd w:val="0"/>
        <w:spacing w:line="360" w:lineRule="auto"/>
        <w:ind w:right="85" w:firstLine="480" w:firstLineChars="200"/>
        <w:rPr>
          <w:rFonts w:ascii="宋体"/>
          <w:color w:val="000000"/>
          <w:sz w:val="24"/>
          <w:lang w:val="zh-CN"/>
        </w:rPr>
      </w:pPr>
      <w:r>
        <w:rPr>
          <w:rFonts w:hint="eastAsia" w:ascii="宋体"/>
          <w:color w:val="000000"/>
          <w:sz w:val="24"/>
          <w:lang w:val="zh-CN"/>
        </w:rPr>
        <w:t>四、如综合得分相同，最后报价低者为先；如综合得分且最后报价相同的，货物类采购项目以技术性能得分较高者为先，服务类采购项目以实力信誉及业绩得分较高者为先。</w:t>
      </w:r>
    </w:p>
    <w:p>
      <w:pPr>
        <w:autoSpaceDE w:val="0"/>
        <w:autoSpaceDN w:val="0"/>
        <w:adjustRightInd w:val="0"/>
        <w:spacing w:line="360" w:lineRule="auto"/>
        <w:ind w:right="85" w:firstLine="480" w:firstLineChars="200"/>
        <w:rPr>
          <w:rFonts w:ascii="宋体"/>
          <w:color w:val="000000"/>
          <w:sz w:val="24"/>
          <w:lang w:val="zh-CN"/>
        </w:rPr>
      </w:pPr>
      <w:r>
        <w:rPr>
          <w:rFonts w:hint="eastAsia" w:ascii="宋体"/>
          <w:color w:val="000000"/>
          <w:sz w:val="24"/>
          <w:lang w:val="zh-CN"/>
        </w:rPr>
        <w:t>五、提供相同品牌产品的不同供应商参加同一合同项下磋商的，按一家供应商认定：（1）采用最低评标价法的采购项目，以其中通过资格审查、符合性审查且报价最低的参加评标；报价相同的，由</w:t>
      </w:r>
      <w:r>
        <w:rPr>
          <w:rFonts w:hint="eastAsia" w:ascii="宋体" w:hAnsi="宋体"/>
          <w:color w:val="000000"/>
          <w:sz w:val="24"/>
        </w:rPr>
        <w:t>磋商小组</w:t>
      </w:r>
      <w:r>
        <w:rPr>
          <w:rFonts w:hint="eastAsia" w:ascii="宋体"/>
          <w:color w:val="000000"/>
          <w:sz w:val="24"/>
          <w:lang w:val="zh-CN"/>
        </w:rPr>
        <w:t>集体确定一个供应商参加磋商，其他供应商不再参加。（2）使用综合评分法的采购项目，评审后得分最高的同品牌供应商获得成交推荐资格；评审得分相同的，由</w:t>
      </w:r>
      <w:r>
        <w:rPr>
          <w:rFonts w:hint="eastAsia" w:ascii="宋体" w:hAnsi="宋体"/>
          <w:color w:val="000000"/>
          <w:sz w:val="24"/>
        </w:rPr>
        <w:t>磋商小组</w:t>
      </w:r>
      <w:r>
        <w:rPr>
          <w:rFonts w:hint="eastAsia" w:ascii="宋体"/>
          <w:color w:val="000000"/>
          <w:sz w:val="24"/>
          <w:lang w:val="zh-CN"/>
        </w:rPr>
        <w:t>集体推荐一个供应商作为成交候选人，其他同品牌供应商不作为成交候选人。</w:t>
      </w:r>
    </w:p>
    <w:p>
      <w:pPr>
        <w:pStyle w:val="2"/>
        <w:spacing w:before="0" w:after="0" w:line="579" w:lineRule="auto"/>
        <w:rPr>
          <w:rFonts w:hint="eastAsia"/>
        </w:rPr>
      </w:pPr>
      <w:r>
        <w:rPr>
          <w:rFonts w:hint="eastAsia" w:ascii="宋体" w:hAnsi="宋体"/>
          <w:color w:val="000000"/>
          <w:kern w:val="0"/>
          <w:sz w:val="24"/>
        </w:rPr>
        <w:t>六、本次评分具体分值细化条款如下表：</w:t>
      </w:r>
    </w:p>
    <w:tbl>
      <w:tblPr>
        <w:tblStyle w:val="30"/>
        <w:tblpPr w:leftFromText="180" w:rightFromText="180" w:vertAnchor="text" w:horzAnchor="page" w:tblpX="1431" w:tblpY="417"/>
        <w:tblOverlap w:val="never"/>
        <w:tblW w:w="9543" w:type="dxa"/>
        <w:tblInd w:w="0" w:type="dxa"/>
        <w:tblLayout w:type="fixed"/>
        <w:tblCellMar>
          <w:top w:w="0" w:type="dxa"/>
          <w:left w:w="30" w:type="dxa"/>
          <w:bottom w:w="0" w:type="dxa"/>
          <w:right w:w="30" w:type="dxa"/>
        </w:tblCellMar>
      </w:tblPr>
      <w:tblGrid>
        <w:gridCol w:w="905"/>
        <w:gridCol w:w="1393"/>
        <w:gridCol w:w="426"/>
        <w:gridCol w:w="6819"/>
      </w:tblGrid>
      <w:tr>
        <w:tblPrEx>
          <w:tblCellMar>
            <w:top w:w="0" w:type="dxa"/>
            <w:left w:w="30" w:type="dxa"/>
            <w:bottom w:w="0" w:type="dxa"/>
            <w:right w:w="30" w:type="dxa"/>
          </w:tblCellMar>
        </w:tblPrEx>
        <w:trPr>
          <w:trHeight w:val="487" w:hRule="atLeast"/>
        </w:trPr>
        <w:tc>
          <w:tcPr>
            <w:tcW w:w="905" w:type="dxa"/>
            <w:tcBorders>
              <w:top w:val="single" w:color="auto" w:sz="6" w:space="0"/>
              <w:left w:val="single" w:color="auto" w:sz="6" w:space="0"/>
              <w:bottom w:val="single" w:color="auto" w:sz="6" w:space="0"/>
              <w:right w:val="single" w:color="auto" w:sz="6" w:space="0"/>
            </w:tcBorders>
            <w:noWrap w:val="0"/>
            <w:vAlign w:val="center"/>
          </w:tcPr>
          <w:p>
            <w:pPr>
              <w:keepLines/>
              <w:jc w:val="center"/>
              <w:rPr>
                <w:rFonts w:ascii="宋体" w:hAnsi="宋体" w:cs="宋体"/>
                <w:color w:val="auto"/>
                <w:kern w:val="0"/>
                <w:szCs w:val="21"/>
              </w:rPr>
            </w:pPr>
            <w:r>
              <w:rPr>
                <w:rFonts w:hint="eastAsia" w:ascii="宋体" w:hAnsi="宋体" w:cs="宋体"/>
                <w:b/>
                <w:bCs/>
                <w:color w:val="auto"/>
                <w:szCs w:val="21"/>
              </w:rPr>
              <w:t>序号</w:t>
            </w:r>
          </w:p>
        </w:tc>
        <w:tc>
          <w:tcPr>
            <w:tcW w:w="1393" w:type="dxa"/>
            <w:tcBorders>
              <w:top w:val="single" w:color="auto" w:sz="6" w:space="0"/>
              <w:left w:val="single" w:color="auto" w:sz="6" w:space="0"/>
              <w:bottom w:val="single" w:color="auto" w:sz="6" w:space="0"/>
              <w:right w:val="single" w:color="auto" w:sz="4" w:space="0"/>
            </w:tcBorders>
            <w:noWrap w:val="0"/>
            <w:vAlign w:val="center"/>
          </w:tcPr>
          <w:p>
            <w:pPr>
              <w:keepLines/>
              <w:jc w:val="center"/>
              <w:rPr>
                <w:rFonts w:ascii="宋体" w:hAnsi="宋体" w:cs="宋体"/>
                <w:color w:val="auto"/>
                <w:kern w:val="0"/>
                <w:szCs w:val="21"/>
              </w:rPr>
            </w:pPr>
            <w:r>
              <w:rPr>
                <w:rFonts w:hint="eastAsia" w:ascii="宋体" w:hAnsi="宋体" w:cs="宋体"/>
                <w:b/>
                <w:bCs/>
                <w:color w:val="auto"/>
                <w:szCs w:val="21"/>
              </w:rPr>
              <w:t>评分项目及分值</w:t>
            </w:r>
          </w:p>
        </w:tc>
        <w:tc>
          <w:tcPr>
            <w:tcW w:w="426" w:type="dxa"/>
            <w:tcBorders>
              <w:top w:val="single" w:color="auto" w:sz="6" w:space="0"/>
              <w:left w:val="single" w:color="auto" w:sz="4" w:space="0"/>
              <w:bottom w:val="single" w:color="auto" w:sz="6" w:space="0"/>
              <w:right w:val="single" w:color="auto" w:sz="6" w:space="0"/>
            </w:tcBorders>
            <w:noWrap w:val="0"/>
            <w:vAlign w:val="center"/>
          </w:tcPr>
          <w:p>
            <w:pPr>
              <w:keepLines/>
              <w:jc w:val="center"/>
              <w:rPr>
                <w:rFonts w:ascii="宋体" w:hAnsi="宋体" w:cs="宋体"/>
                <w:color w:val="auto"/>
                <w:kern w:val="0"/>
                <w:szCs w:val="21"/>
              </w:rPr>
            </w:pPr>
            <w:r>
              <w:rPr>
                <w:rFonts w:hint="eastAsia" w:ascii="宋体" w:hAnsi="宋体" w:cs="宋体"/>
                <w:color w:val="auto"/>
                <w:kern w:val="0"/>
                <w:szCs w:val="21"/>
              </w:rPr>
              <w:t>分数</w:t>
            </w:r>
          </w:p>
        </w:tc>
        <w:tc>
          <w:tcPr>
            <w:tcW w:w="6819" w:type="dxa"/>
            <w:tcBorders>
              <w:top w:val="single" w:color="auto" w:sz="6" w:space="0"/>
              <w:left w:val="single" w:color="auto" w:sz="6" w:space="0"/>
              <w:bottom w:val="single" w:color="auto" w:sz="6" w:space="0"/>
              <w:right w:val="single" w:color="auto" w:sz="6" w:space="0"/>
            </w:tcBorders>
            <w:noWrap w:val="0"/>
            <w:vAlign w:val="center"/>
          </w:tcPr>
          <w:p>
            <w:pPr>
              <w:keepLines/>
              <w:jc w:val="center"/>
              <w:rPr>
                <w:rFonts w:ascii="宋体" w:hAnsi="宋体" w:cs="宋体"/>
                <w:color w:val="auto"/>
                <w:kern w:val="0"/>
                <w:szCs w:val="21"/>
              </w:rPr>
            </w:pPr>
            <w:r>
              <w:rPr>
                <w:rFonts w:hint="eastAsia" w:ascii="宋体" w:hAnsi="宋体" w:cs="宋体"/>
                <w:b/>
                <w:bCs/>
                <w:color w:val="auto"/>
                <w:szCs w:val="21"/>
              </w:rPr>
              <w:t>评分标准</w:t>
            </w:r>
          </w:p>
        </w:tc>
      </w:tr>
      <w:tr>
        <w:tblPrEx>
          <w:tblCellMar>
            <w:top w:w="0" w:type="dxa"/>
            <w:left w:w="30" w:type="dxa"/>
            <w:bottom w:w="0" w:type="dxa"/>
            <w:right w:w="30" w:type="dxa"/>
          </w:tblCellMar>
        </w:tblPrEx>
        <w:trPr>
          <w:trHeight w:val="1136" w:hRule="atLeast"/>
        </w:trPr>
        <w:tc>
          <w:tcPr>
            <w:tcW w:w="905" w:type="dxa"/>
            <w:tcBorders>
              <w:top w:val="single" w:color="auto" w:sz="6" w:space="0"/>
              <w:left w:val="single" w:color="auto" w:sz="6" w:space="0"/>
              <w:bottom w:val="single" w:color="auto" w:sz="6" w:space="0"/>
              <w:right w:val="single" w:color="auto" w:sz="6" w:space="0"/>
            </w:tcBorders>
            <w:noWrap w:val="0"/>
            <w:vAlign w:val="center"/>
          </w:tcPr>
          <w:p>
            <w:pPr>
              <w:keepLines/>
              <w:jc w:val="center"/>
              <w:rPr>
                <w:rFonts w:ascii="宋体" w:hAnsi="宋体" w:cs="宋体"/>
                <w:color w:val="auto"/>
                <w:kern w:val="0"/>
                <w:szCs w:val="21"/>
              </w:rPr>
            </w:pPr>
            <w:r>
              <w:rPr>
                <w:rFonts w:hint="eastAsia" w:ascii="宋体" w:hAnsi="宋体" w:cs="宋体"/>
                <w:color w:val="auto"/>
                <w:szCs w:val="21"/>
              </w:rPr>
              <w:t>1</w:t>
            </w:r>
          </w:p>
        </w:tc>
        <w:tc>
          <w:tcPr>
            <w:tcW w:w="1393" w:type="dxa"/>
            <w:tcBorders>
              <w:top w:val="single" w:color="auto" w:sz="6" w:space="0"/>
              <w:left w:val="single" w:color="auto" w:sz="6" w:space="0"/>
              <w:bottom w:val="single" w:color="auto" w:sz="6" w:space="0"/>
              <w:right w:val="single" w:color="auto" w:sz="4" w:space="0"/>
            </w:tcBorders>
            <w:noWrap w:val="0"/>
            <w:vAlign w:val="center"/>
          </w:tcPr>
          <w:p>
            <w:pPr>
              <w:keepLines/>
              <w:jc w:val="center"/>
              <w:rPr>
                <w:rFonts w:ascii="宋体" w:hAnsi="宋体" w:cs="宋体"/>
                <w:color w:val="auto"/>
                <w:kern w:val="0"/>
                <w:szCs w:val="21"/>
              </w:rPr>
            </w:pPr>
            <w:r>
              <w:rPr>
                <w:rFonts w:hint="eastAsia" w:ascii="宋体" w:hAnsi="宋体" w:cs="宋体"/>
                <w:color w:val="auto"/>
                <w:szCs w:val="21"/>
              </w:rPr>
              <w:t>产品质量相关证书</w:t>
            </w:r>
          </w:p>
        </w:tc>
        <w:tc>
          <w:tcPr>
            <w:tcW w:w="426" w:type="dxa"/>
            <w:tcBorders>
              <w:top w:val="single" w:color="auto" w:sz="6" w:space="0"/>
              <w:left w:val="single" w:color="auto" w:sz="4" w:space="0"/>
              <w:bottom w:val="single" w:color="auto" w:sz="6" w:space="0"/>
              <w:right w:val="single" w:color="auto" w:sz="6" w:space="0"/>
            </w:tcBorders>
            <w:noWrap w:val="0"/>
            <w:vAlign w:val="center"/>
          </w:tcPr>
          <w:p>
            <w:pPr>
              <w:keepLines/>
              <w:jc w:val="center"/>
              <w:rPr>
                <w:rFonts w:ascii="宋体" w:hAnsi="宋体" w:cs="宋体"/>
                <w:color w:val="auto"/>
                <w:kern w:val="0"/>
                <w:szCs w:val="21"/>
              </w:rPr>
            </w:pPr>
            <w:r>
              <w:rPr>
                <w:rFonts w:hint="eastAsia" w:ascii="宋体" w:hAnsi="宋体" w:cs="宋体"/>
                <w:color w:val="auto"/>
                <w:kern w:val="0"/>
                <w:szCs w:val="21"/>
              </w:rPr>
              <w:t>6</w:t>
            </w:r>
          </w:p>
        </w:tc>
        <w:tc>
          <w:tcPr>
            <w:tcW w:w="6819" w:type="dxa"/>
            <w:tcBorders>
              <w:top w:val="single" w:color="auto" w:sz="6" w:space="0"/>
              <w:left w:val="single" w:color="auto" w:sz="6" w:space="0"/>
              <w:bottom w:val="single" w:color="auto" w:sz="6" w:space="0"/>
              <w:right w:val="single" w:color="auto" w:sz="6" w:space="0"/>
            </w:tcBorders>
            <w:noWrap w:val="0"/>
            <w:vAlign w:val="center"/>
          </w:tcPr>
          <w:p>
            <w:pPr>
              <w:keepLines/>
              <w:rPr>
                <w:rFonts w:ascii="宋体" w:hAnsi="宋体" w:cs="宋体"/>
                <w:color w:val="auto"/>
                <w:szCs w:val="21"/>
              </w:rPr>
            </w:pPr>
            <w:r>
              <w:rPr>
                <w:rFonts w:hint="eastAsia" w:ascii="宋体" w:hAnsi="宋体" w:cs="宋体"/>
                <w:bCs/>
                <w:color w:val="auto"/>
                <w:szCs w:val="21"/>
              </w:rPr>
              <w:t>1.</w:t>
            </w:r>
            <w:r>
              <w:rPr>
                <w:rFonts w:hint="eastAsia" w:ascii="宋体" w:hAnsi="宋体" w:cs="宋体"/>
                <w:color w:val="auto"/>
                <w:szCs w:val="21"/>
              </w:rPr>
              <w:t>投标人具有中国环境标志认证证书（软体家具、钢木家具、实木类家具、人造板类家具、金属家具，全部提供得</w:t>
            </w:r>
            <w:r>
              <w:rPr>
                <w:rFonts w:hint="eastAsia" w:ascii="宋体" w:hAnsi="宋体" w:cs="宋体"/>
                <w:color w:val="auto"/>
                <w:szCs w:val="21"/>
                <w:lang w:val="en-US" w:eastAsia="zh-CN"/>
              </w:rPr>
              <w:t>1</w:t>
            </w:r>
            <w:r>
              <w:rPr>
                <w:rFonts w:hint="eastAsia" w:ascii="宋体" w:hAnsi="宋体" w:cs="宋体"/>
                <w:color w:val="auto"/>
                <w:szCs w:val="21"/>
              </w:rPr>
              <w:t>分</w:t>
            </w:r>
            <w:r>
              <w:rPr>
                <w:rFonts w:hint="eastAsia" w:ascii="宋体" w:hAnsi="宋体" w:cs="宋体"/>
                <w:color w:val="auto"/>
                <w:szCs w:val="21"/>
                <w:lang w:eastAsia="zh-CN"/>
              </w:rPr>
              <w:t>，提供不全的酌情扣分，</w:t>
            </w:r>
            <w:r>
              <w:rPr>
                <w:rFonts w:hint="eastAsia" w:ascii="宋体" w:hAnsi="宋体" w:cs="宋体"/>
                <w:color w:val="auto"/>
                <w:szCs w:val="21"/>
              </w:rPr>
              <w:t>不提供不得分。</w:t>
            </w:r>
          </w:p>
          <w:p>
            <w:pPr>
              <w:keepLines/>
              <w:rPr>
                <w:rFonts w:ascii="宋体" w:hAnsi="宋体" w:cs="宋体"/>
                <w:color w:val="auto"/>
                <w:szCs w:val="21"/>
              </w:rPr>
            </w:pPr>
            <w:r>
              <w:rPr>
                <w:rFonts w:hint="eastAsia" w:ascii="宋体" w:hAnsi="宋体" w:cs="宋体"/>
                <w:color w:val="auto"/>
                <w:szCs w:val="21"/>
              </w:rPr>
              <w:t>2、投标人具有有效期内的CQC中国环保产品认证证书（覆盖木制办公家具</w:t>
            </w:r>
            <w:r>
              <w:rPr>
                <w:rFonts w:hint="eastAsia" w:ascii="宋体" w:hAnsi="宋体" w:cs="宋体"/>
                <w:color w:val="auto"/>
                <w:szCs w:val="21"/>
                <w:lang w:eastAsia="zh-CN"/>
              </w:rPr>
              <w:t>类、</w:t>
            </w:r>
            <w:r>
              <w:rPr>
                <w:rFonts w:hint="eastAsia" w:ascii="宋体" w:hAnsi="宋体" w:cs="宋体"/>
                <w:color w:val="auto"/>
                <w:szCs w:val="21"/>
              </w:rPr>
              <w:t>木制公寓家具</w:t>
            </w:r>
            <w:r>
              <w:rPr>
                <w:rFonts w:hint="eastAsia" w:ascii="宋体" w:hAnsi="宋体" w:cs="宋体"/>
                <w:color w:val="auto"/>
                <w:szCs w:val="21"/>
                <w:lang w:eastAsia="zh-CN"/>
              </w:rPr>
              <w:t>类</w:t>
            </w:r>
            <w:r>
              <w:rPr>
                <w:rFonts w:hint="eastAsia" w:ascii="宋体" w:hAnsi="宋体" w:cs="宋体"/>
                <w:color w:val="auto"/>
                <w:szCs w:val="21"/>
              </w:rPr>
              <w:t>）全部提供得</w:t>
            </w:r>
            <w:r>
              <w:rPr>
                <w:rFonts w:hint="eastAsia" w:ascii="宋体" w:hAnsi="宋体" w:cs="宋体"/>
                <w:color w:val="auto"/>
                <w:szCs w:val="21"/>
                <w:lang w:val="en-US" w:eastAsia="zh-CN"/>
              </w:rPr>
              <w:t>1</w:t>
            </w:r>
            <w:r>
              <w:rPr>
                <w:rFonts w:hint="eastAsia" w:ascii="宋体" w:hAnsi="宋体" w:cs="宋体"/>
                <w:color w:val="auto"/>
                <w:szCs w:val="21"/>
              </w:rPr>
              <w:t>分</w:t>
            </w:r>
            <w:r>
              <w:rPr>
                <w:rFonts w:hint="eastAsia" w:ascii="宋体" w:hAnsi="宋体" w:cs="宋体"/>
                <w:color w:val="auto"/>
                <w:szCs w:val="21"/>
                <w:lang w:eastAsia="zh-CN"/>
              </w:rPr>
              <w:t>，提供不全的酌情扣分，</w:t>
            </w:r>
            <w:r>
              <w:rPr>
                <w:rFonts w:hint="eastAsia" w:ascii="宋体" w:hAnsi="宋体" w:cs="宋体"/>
                <w:color w:val="auto"/>
                <w:szCs w:val="21"/>
              </w:rPr>
              <w:t>不提供不得分。</w:t>
            </w:r>
          </w:p>
          <w:p>
            <w:pPr>
              <w:keepLines/>
              <w:rPr>
                <w:rFonts w:ascii="宋体" w:hAnsi="宋体" w:cs="宋体"/>
                <w:color w:val="auto"/>
                <w:szCs w:val="21"/>
              </w:rPr>
            </w:pPr>
            <w:r>
              <w:rPr>
                <w:rFonts w:hint="eastAsia" w:ascii="宋体" w:hAnsi="宋体" w:cs="宋体"/>
                <w:color w:val="auto"/>
                <w:szCs w:val="21"/>
              </w:rPr>
              <w:t>3.投标人具有有效期内的CQTA品质验证证书（包含办公桌、办公椅、布艺沙发、文件柜、床、床头柜、会议条桌）全部提供得</w:t>
            </w:r>
            <w:r>
              <w:rPr>
                <w:rFonts w:hint="eastAsia" w:ascii="宋体" w:hAnsi="宋体" w:cs="宋体"/>
                <w:color w:val="auto"/>
                <w:szCs w:val="21"/>
                <w:lang w:val="en-US" w:eastAsia="zh-CN"/>
              </w:rPr>
              <w:t>1</w:t>
            </w:r>
            <w:r>
              <w:rPr>
                <w:rFonts w:hint="eastAsia" w:ascii="宋体" w:hAnsi="宋体" w:cs="宋体"/>
                <w:color w:val="auto"/>
                <w:szCs w:val="21"/>
              </w:rPr>
              <w:t>分</w:t>
            </w:r>
            <w:r>
              <w:rPr>
                <w:rFonts w:hint="eastAsia" w:ascii="宋体" w:hAnsi="宋体" w:cs="宋体"/>
                <w:color w:val="auto"/>
                <w:szCs w:val="21"/>
                <w:lang w:eastAsia="zh-CN"/>
              </w:rPr>
              <w:t>，提供不全的酌情扣分，</w:t>
            </w:r>
            <w:r>
              <w:rPr>
                <w:rFonts w:hint="eastAsia" w:ascii="宋体" w:hAnsi="宋体" w:cs="宋体"/>
                <w:color w:val="auto"/>
                <w:szCs w:val="21"/>
              </w:rPr>
              <w:t>不提供不得分。</w:t>
            </w:r>
          </w:p>
          <w:p>
            <w:pPr>
              <w:keepLines/>
              <w:rPr>
                <w:rFonts w:ascii="宋体" w:hAnsi="宋体" w:cs="宋体"/>
                <w:bCs/>
                <w:color w:val="auto"/>
                <w:szCs w:val="21"/>
              </w:rPr>
            </w:pPr>
            <w:r>
              <w:rPr>
                <w:rFonts w:hint="eastAsia" w:ascii="宋体" w:hAnsi="宋体" w:cs="宋体"/>
                <w:bCs/>
                <w:color w:val="auto"/>
                <w:szCs w:val="21"/>
                <w:lang w:val="en-US" w:eastAsia="zh-CN"/>
              </w:rPr>
              <w:t>4</w:t>
            </w:r>
            <w:r>
              <w:rPr>
                <w:rFonts w:hint="eastAsia" w:ascii="宋体" w:hAnsi="宋体" w:cs="宋体"/>
                <w:bCs/>
                <w:color w:val="auto"/>
                <w:szCs w:val="21"/>
              </w:rPr>
              <w:t>.</w:t>
            </w:r>
            <w:r>
              <w:rPr>
                <w:rFonts w:hint="eastAsia" w:ascii="宋体" w:hAnsi="宋体" w:cs="宋体"/>
                <w:color w:val="auto"/>
                <w:szCs w:val="21"/>
              </w:rPr>
              <w:t>投标人具有有效期内中国绿色产品认证证书(覆盖木家具（实木家具）</w:t>
            </w:r>
            <w:r>
              <w:rPr>
                <w:rFonts w:hint="eastAsia" w:ascii="宋体" w:hAnsi="宋体" w:cs="宋体"/>
                <w:color w:val="auto"/>
                <w:szCs w:val="21"/>
                <w:lang w:eastAsia="zh-CN"/>
              </w:rPr>
              <w:t>、</w:t>
            </w:r>
            <w:r>
              <w:rPr>
                <w:rFonts w:hint="eastAsia" w:ascii="宋体" w:hAnsi="宋体" w:cs="宋体"/>
                <w:color w:val="auto"/>
                <w:szCs w:val="21"/>
              </w:rPr>
              <w:t>（人造板家具）；金属家具（钢木家具）</w:t>
            </w:r>
            <w:r>
              <w:rPr>
                <w:rFonts w:hint="eastAsia" w:ascii="宋体" w:hAnsi="宋体" w:cs="宋体"/>
                <w:color w:val="auto"/>
                <w:szCs w:val="21"/>
                <w:lang w:eastAsia="zh-CN"/>
              </w:rPr>
              <w:t>、</w:t>
            </w:r>
            <w:r>
              <w:rPr>
                <w:rFonts w:hint="eastAsia" w:ascii="宋体" w:hAnsi="宋体" w:cs="宋体"/>
                <w:color w:val="auto"/>
                <w:szCs w:val="21"/>
              </w:rPr>
              <w:t>（钢制家具）</w:t>
            </w:r>
            <w:r>
              <w:rPr>
                <w:rFonts w:hint="eastAsia" w:ascii="宋体" w:hAnsi="宋体" w:cs="宋体"/>
                <w:bCs/>
                <w:color w:val="auto"/>
                <w:szCs w:val="21"/>
              </w:rPr>
              <w:t>。</w:t>
            </w:r>
            <w:r>
              <w:rPr>
                <w:rFonts w:hint="eastAsia" w:ascii="宋体" w:hAnsi="宋体" w:cs="宋体"/>
                <w:color w:val="auto"/>
                <w:szCs w:val="21"/>
              </w:rPr>
              <w:t>全部提供得</w:t>
            </w:r>
            <w:r>
              <w:rPr>
                <w:rFonts w:hint="eastAsia" w:ascii="宋体" w:hAnsi="宋体" w:cs="宋体"/>
                <w:color w:val="auto"/>
                <w:szCs w:val="21"/>
                <w:lang w:val="en-US" w:eastAsia="zh-CN"/>
              </w:rPr>
              <w:t>1</w:t>
            </w:r>
            <w:r>
              <w:rPr>
                <w:rFonts w:hint="eastAsia" w:ascii="宋体" w:hAnsi="宋体" w:cs="宋体"/>
                <w:color w:val="auto"/>
                <w:szCs w:val="21"/>
              </w:rPr>
              <w:t>分</w:t>
            </w:r>
            <w:r>
              <w:rPr>
                <w:rFonts w:hint="eastAsia" w:ascii="宋体" w:hAnsi="宋体" w:cs="宋体"/>
                <w:color w:val="auto"/>
                <w:szCs w:val="21"/>
                <w:lang w:eastAsia="zh-CN"/>
              </w:rPr>
              <w:t>，提供不全的酌情扣分，</w:t>
            </w:r>
            <w:r>
              <w:rPr>
                <w:rFonts w:hint="eastAsia" w:ascii="宋体" w:hAnsi="宋体" w:cs="宋体"/>
                <w:color w:val="auto"/>
                <w:szCs w:val="21"/>
              </w:rPr>
              <w:t>不提供不得分。</w:t>
            </w:r>
          </w:p>
          <w:p>
            <w:pPr>
              <w:keepLines/>
              <w:rPr>
                <w:rFonts w:hint="eastAsia" w:ascii="宋体" w:hAnsi="宋体" w:cs="宋体"/>
                <w:color w:val="auto"/>
                <w:szCs w:val="21"/>
              </w:rPr>
            </w:pPr>
            <w:r>
              <w:rPr>
                <w:rFonts w:hint="eastAsia" w:ascii="宋体" w:hAnsi="宋体" w:cs="宋体"/>
                <w:bCs/>
                <w:color w:val="auto"/>
                <w:szCs w:val="21"/>
                <w:lang w:val="en-US" w:eastAsia="zh-CN"/>
              </w:rPr>
              <w:t>5</w:t>
            </w:r>
            <w:r>
              <w:rPr>
                <w:rFonts w:hint="eastAsia" w:ascii="宋体" w:hAnsi="宋体" w:cs="宋体"/>
                <w:bCs/>
                <w:color w:val="auto"/>
                <w:szCs w:val="21"/>
              </w:rPr>
              <w:t>.</w:t>
            </w:r>
            <w:r>
              <w:rPr>
                <w:rFonts w:hint="eastAsia" w:ascii="宋体" w:hAnsi="宋体" w:cs="宋体"/>
                <w:color w:val="auto"/>
                <w:szCs w:val="21"/>
              </w:rPr>
              <w:t>投标人具有有效期内的家具中有害物质限量认证证书，认证范围包含木家具（实木、板木、人造板）：桌类、椅凳类、床类、柜架类; 金属家具：桌类、椅凳类、床类、柜架类; 软体家具：沙发类（皮革、布艺）</w:t>
            </w:r>
            <w:r>
              <w:rPr>
                <w:rFonts w:hint="eastAsia" w:ascii="宋体" w:hAnsi="宋体" w:cs="宋体"/>
                <w:bCs/>
                <w:color w:val="auto"/>
                <w:szCs w:val="21"/>
              </w:rPr>
              <w:t>。</w:t>
            </w:r>
            <w:r>
              <w:rPr>
                <w:rFonts w:hint="eastAsia" w:ascii="宋体" w:hAnsi="宋体" w:cs="宋体"/>
                <w:color w:val="auto"/>
                <w:szCs w:val="21"/>
              </w:rPr>
              <w:t>全部提供得</w:t>
            </w:r>
            <w:r>
              <w:rPr>
                <w:rFonts w:hint="eastAsia" w:ascii="宋体" w:hAnsi="宋体" w:cs="宋体"/>
                <w:color w:val="auto"/>
                <w:szCs w:val="21"/>
                <w:lang w:val="en-US" w:eastAsia="zh-CN"/>
              </w:rPr>
              <w:t>1</w:t>
            </w:r>
            <w:r>
              <w:rPr>
                <w:rFonts w:hint="eastAsia" w:ascii="宋体" w:hAnsi="宋体" w:cs="宋体"/>
                <w:color w:val="auto"/>
                <w:szCs w:val="21"/>
              </w:rPr>
              <w:t>分</w:t>
            </w:r>
            <w:r>
              <w:rPr>
                <w:rFonts w:hint="eastAsia" w:ascii="宋体" w:hAnsi="宋体" w:cs="宋体"/>
                <w:color w:val="auto"/>
                <w:szCs w:val="21"/>
                <w:lang w:eastAsia="zh-CN"/>
              </w:rPr>
              <w:t>，提供不全的酌情扣分，</w:t>
            </w:r>
            <w:r>
              <w:rPr>
                <w:rFonts w:hint="eastAsia" w:ascii="宋体" w:hAnsi="宋体" w:cs="宋体"/>
                <w:color w:val="auto"/>
                <w:szCs w:val="21"/>
              </w:rPr>
              <w:t>不提供不得分。</w:t>
            </w:r>
          </w:p>
          <w:p>
            <w:pPr>
              <w:keepLines/>
              <w:rPr>
                <w:rFonts w:ascii="宋体" w:hAnsi="宋体" w:cs="宋体"/>
                <w:color w:val="auto"/>
                <w:szCs w:val="21"/>
              </w:rPr>
            </w:pPr>
            <w:r>
              <w:rPr>
                <w:rFonts w:hint="eastAsia" w:ascii="宋体" w:hAnsi="宋体" w:cs="宋体"/>
                <w:color w:val="auto"/>
                <w:szCs w:val="21"/>
                <w:lang w:val="en-US" w:eastAsia="zh-CN"/>
              </w:rPr>
              <w:t>6</w:t>
            </w:r>
            <w:r>
              <w:rPr>
                <w:rFonts w:hint="eastAsia" w:ascii="宋体" w:hAnsi="宋体" w:cs="宋体"/>
                <w:color w:val="auto"/>
                <w:szCs w:val="21"/>
              </w:rPr>
              <w:t>.投标人具有有效期内的质量管理体系认证、环境管理体系认证、职业健康管理体系认证，并且认证覆盖范围应包含（木制办公家具、木质公寓家具)，提供证书复印件，全部提供得</w:t>
            </w:r>
            <w:r>
              <w:rPr>
                <w:rFonts w:hint="eastAsia" w:ascii="宋体" w:hAnsi="宋体" w:cs="宋体"/>
                <w:color w:val="auto"/>
                <w:szCs w:val="21"/>
                <w:lang w:val="en-US" w:eastAsia="zh-CN"/>
              </w:rPr>
              <w:t>1</w:t>
            </w:r>
            <w:r>
              <w:rPr>
                <w:rFonts w:hint="eastAsia" w:ascii="宋体" w:hAnsi="宋体" w:cs="宋体"/>
                <w:color w:val="auto"/>
                <w:szCs w:val="21"/>
              </w:rPr>
              <w:t>分</w:t>
            </w:r>
            <w:r>
              <w:rPr>
                <w:rFonts w:hint="eastAsia" w:ascii="宋体" w:hAnsi="宋体" w:cs="宋体"/>
                <w:color w:val="auto"/>
                <w:szCs w:val="21"/>
                <w:lang w:eastAsia="zh-CN"/>
              </w:rPr>
              <w:t>，提供不全的酌情扣分，</w:t>
            </w:r>
            <w:r>
              <w:rPr>
                <w:rFonts w:hint="eastAsia" w:ascii="宋体" w:hAnsi="宋体" w:cs="宋体"/>
                <w:color w:val="auto"/>
                <w:szCs w:val="21"/>
              </w:rPr>
              <w:t>不提供不得分。</w:t>
            </w:r>
          </w:p>
          <w:p>
            <w:pPr>
              <w:keepLines/>
              <w:rPr>
                <w:rFonts w:hint="eastAsia" w:ascii="宋体" w:hAnsi="宋体" w:eastAsia="宋体" w:cs="宋体"/>
                <w:color w:val="auto"/>
                <w:kern w:val="0"/>
                <w:szCs w:val="21"/>
                <w:lang w:eastAsia="zh-CN"/>
              </w:rPr>
            </w:pPr>
            <w:r>
              <w:rPr>
                <w:rFonts w:hint="eastAsia" w:ascii="宋体" w:hAnsi="宋体" w:cs="宋体"/>
                <w:b/>
                <w:color w:val="auto"/>
                <w:szCs w:val="21"/>
              </w:rPr>
              <w:t>注：以上须在投标文件中提供证书</w:t>
            </w:r>
            <w:r>
              <w:rPr>
                <w:rFonts w:hint="eastAsia" w:ascii="宋体" w:hAnsi="宋体" w:cs="宋体"/>
                <w:b/>
                <w:bCs/>
                <w:color w:val="auto"/>
                <w:szCs w:val="21"/>
                <w:lang w:eastAsia="zh-CN"/>
              </w:rPr>
              <w:t>扫描件。</w:t>
            </w:r>
          </w:p>
        </w:tc>
      </w:tr>
      <w:tr>
        <w:tblPrEx>
          <w:tblCellMar>
            <w:top w:w="0" w:type="dxa"/>
            <w:left w:w="30" w:type="dxa"/>
            <w:bottom w:w="0" w:type="dxa"/>
            <w:right w:w="30" w:type="dxa"/>
          </w:tblCellMar>
        </w:tblPrEx>
        <w:trPr>
          <w:trHeight w:val="1136" w:hRule="atLeast"/>
        </w:trPr>
        <w:tc>
          <w:tcPr>
            <w:tcW w:w="905" w:type="dxa"/>
            <w:tcBorders>
              <w:top w:val="single" w:color="auto" w:sz="6" w:space="0"/>
              <w:left w:val="single" w:color="auto" w:sz="6" w:space="0"/>
              <w:bottom w:val="single" w:color="auto" w:sz="6" w:space="0"/>
              <w:right w:val="single" w:color="auto" w:sz="6" w:space="0"/>
            </w:tcBorders>
            <w:noWrap w:val="0"/>
            <w:vAlign w:val="center"/>
          </w:tcPr>
          <w:p>
            <w:pPr>
              <w:keepLines/>
              <w:jc w:val="center"/>
              <w:rPr>
                <w:rFonts w:hint="eastAsia" w:ascii="宋体" w:hAnsi="宋体" w:eastAsia="宋体" w:cs="宋体"/>
                <w:color w:val="auto"/>
                <w:kern w:val="0"/>
                <w:sz w:val="21"/>
                <w:szCs w:val="21"/>
                <w:lang w:val="en-US" w:eastAsia="zh-CN" w:bidi="ar-SA"/>
              </w:rPr>
            </w:pPr>
            <w:r>
              <w:rPr>
                <w:rFonts w:hint="eastAsia" w:ascii="宋体" w:hAnsi="宋体" w:cs="宋体"/>
                <w:color w:val="auto"/>
                <w:szCs w:val="21"/>
              </w:rPr>
              <w:t>2</w:t>
            </w:r>
          </w:p>
        </w:tc>
        <w:tc>
          <w:tcPr>
            <w:tcW w:w="1393" w:type="dxa"/>
            <w:tcBorders>
              <w:top w:val="single" w:color="auto" w:sz="6" w:space="0"/>
              <w:left w:val="single" w:color="auto" w:sz="6" w:space="0"/>
              <w:bottom w:val="single" w:color="auto" w:sz="6" w:space="0"/>
              <w:right w:val="single" w:color="auto" w:sz="4" w:space="0"/>
            </w:tcBorders>
            <w:noWrap w:val="0"/>
            <w:vAlign w:val="center"/>
          </w:tcPr>
          <w:p>
            <w:pPr>
              <w:keepLines/>
              <w:jc w:val="center"/>
              <w:rPr>
                <w:rFonts w:hint="eastAsia" w:ascii="宋体" w:hAnsi="宋体" w:eastAsia="宋体" w:cs="宋体"/>
                <w:color w:val="auto"/>
                <w:szCs w:val="21"/>
                <w:lang w:eastAsia="zh-CN"/>
              </w:rPr>
            </w:pPr>
            <w:r>
              <w:rPr>
                <w:rFonts w:hint="eastAsia" w:ascii="宋体" w:hAnsi="宋体" w:cs="宋体"/>
                <w:color w:val="auto"/>
                <w:szCs w:val="21"/>
                <w:lang w:eastAsia="zh-CN"/>
              </w:rPr>
              <w:t>参数响应程度</w:t>
            </w:r>
          </w:p>
        </w:tc>
        <w:tc>
          <w:tcPr>
            <w:tcW w:w="426" w:type="dxa"/>
            <w:tcBorders>
              <w:top w:val="single" w:color="auto" w:sz="6" w:space="0"/>
              <w:left w:val="single" w:color="auto" w:sz="4" w:space="0"/>
              <w:bottom w:val="single" w:color="auto" w:sz="6" w:space="0"/>
              <w:right w:val="single" w:color="auto" w:sz="6" w:space="0"/>
            </w:tcBorders>
            <w:noWrap w:val="0"/>
            <w:vAlign w:val="center"/>
          </w:tcPr>
          <w:p>
            <w:pPr>
              <w:keepLines/>
              <w:jc w:val="center"/>
              <w:rPr>
                <w:rFonts w:hint="eastAsia" w:ascii="宋体" w:hAnsi="宋体" w:eastAsia="宋体" w:cs="宋体"/>
                <w:color w:val="auto"/>
                <w:kern w:val="0"/>
                <w:szCs w:val="21"/>
                <w:lang w:val="en-US" w:eastAsia="zh-CN"/>
              </w:rPr>
            </w:pPr>
            <w:r>
              <w:rPr>
                <w:rFonts w:hint="eastAsia" w:ascii="宋体" w:hAnsi="宋体" w:cs="宋体"/>
                <w:color w:val="auto"/>
                <w:kern w:val="0"/>
                <w:szCs w:val="21"/>
                <w:lang w:val="en-US" w:eastAsia="zh-CN"/>
              </w:rPr>
              <w:t>6</w:t>
            </w:r>
          </w:p>
        </w:tc>
        <w:tc>
          <w:tcPr>
            <w:tcW w:w="6819" w:type="dxa"/>
            <w:tcBorders>
              <w:top w:val="single" w:color="auto" w:sz="6" w:space="0"/>
              <w:left w:val="single" w:color="auto" w:sz="6" w:space="0"/>
              <w:bottom w:val="single" w:color="auto" w:sz="6" w:space="0"/>
              <w:right w:val="single" w:color="auto" w:sz="6" w:space="0"/>
            </w:tcBorders>
            <w:noWrap w:val="0"/>
            <w:vAlign w:val="center"/>
          </w:tcPr>
          <w:p>
            <w:pPr>
              <w:spacing w:before="120"/>
              <w:rPr>
                <w:rFonts w:hint="eastAsia"/>
                <w:color w:val="auto"/>
              </w:rPr>
            </w:pPr>
            <w:r>
              <w:rPr>
                <w:rFonts w:hint="eastAsia"/>
                <w:color w:val="auto"/>
              </w:rPr>
              <w:t>根据投标人对技术参数要求响应情况进行打分，每负偏离一项扣</w:t>
            </w:r>
            <w:r>
              <w:rPr>
                <w:rFonts w:hint="eastAsia"/>
                <w:color w:val="auto"/>
                <w:lang w:val="en-US" w:eastAsia="zh-CN"/>
              </w:rPr>
              <w:t>1</w:t>
            </w:r>
            <w:r>
              <w:rPr>
                <w:rFonts w:hint="eastAsia"/>
                <w:color w:val="auto"/>
              </w:rPr>
              <w:t>分，扣完为止。（</w:t>
            </w:r>
            <w:r>
              <w:rPr>
                <w:rFonts w:hint="eastAsia"/>
                <w:color w:val="auto"/>
                <w:lang w:val="en-US" w:eastAsia="zh-CN"/>
              </w:rPr>
              <w:t>0-5</w:t>
            </w:r>
            <w:r>
              <w:rPr>
                <w:rFonts w:hint="eastAsia"/>
                <w:color w:val="auto"/>
              </w:rPr>
              <w:t>分）</w:t>
            </w:r>
          </w:p>
          <w:p>
            <w:pPr>
              <w:keepLines/>
              <w:rPr>
                <w:rFonts w:hint="eastAsia" w:ascii="宋体" w:hAnsi="宋体" w:cs="宋体"/>
                <w:b/>
                <w:color w:val="auto"/>
                <w:szCs w:val="21"/>
              </w:rPr>
            </w:pPr>
            <w:r>
              <w:rPr>
                <w:rFonts w:hint="eastAsia" w:ascii="宋体" w:hAnsi="宋体" w:cs="宋体"/>
                <w:color w:val="auto"/>
                <w:highlight w:val="none"/>
                <w:lang w:eastAsia="zh-CN"/>
              </w:rPr>
              <w:t>投标产品产品参数有正偏离，经专家认定对货物质量或性能有实质性提示的，每正偏离一项加</w:t>
            </w:r>
            <w:r>
              <w:rPr>
                <w:rFonts w:hint="eastAsia" w:ascii="宋体" w:hAnsi="宋体" w:cs="宋体"/>
                <w:color w:val="auto"/>
                <w:highlight w:val="none"/>
                <w:lang w:val="en-US" w:eastAsia="zh-CN"/>
              </w:rPr>
              <w:t>0.5分。（0-1分）</w:t>
            </w:r>
          </w:p>
        </w:tc>
      </w:tr>
      <w:tr>
        <w:tblPrEx>
          <w:tblCellMar>
            <w:top w:w="0" w:type="dxa"/>
            <w:left w:w="30" w:type="dxa"/>
            <w:bottom w:w="0" w:type="dxa"/>
            <w:right w:w="30" w:type="dxa"/>
          </w:tblCellMar>
        </w:tblPrEx>
        <w:trPr>
          <w:trHeight w:val="90" w:hRule="atLeast"/>
        </w:trPr>
        <w:tc>
          <w:tcPr>
            <w:tcW w:w="905" w:type="dxa"/>
            <w:tcBorders>
              <w:top w:val="single" w:color="auto" w:sz="6" w:space="0"/>
              <w:left w:val="single" w:color="auto" w:sz="6" w:space="0"/>
              <w:bottom w:val="single" w:color="auto" w:sz="6" w:space="0"/>
              <w:right w:val="single" w:color="auto" w:sz="6" w:space="0"/>
            </w:tcBorders>
            <w:noWrap w:val="0"/>
            <w:vAlign w:val="center"/>
          </w:tcPr>
          <w:p>
            <w:pPr>
              <w:keepLines/>
              <w:jc w:val="center"/>
              <w:rPr>
                <w:rFonts w:ascii="宋体" w:hAnsi="宋体" w:eastAsia="宋体" w:cs="宋体"/>
                <w:color w:val="auto"/>
                <w:kern w:val="0"/>
                <w:sz w:val="21"/>
                <w:szCs w:val="21"/>
                <w:lang w:val="en-US" w:eastAsia="zh-CN" w:bidi="ar-SA"/>
              </w:rPr>
            </w:pPr>
            <w:r>
              <w:rPr>
                <w:rFonts w:hint="eastAsia" w:ascii="宋体" w:hAnsi="宋体" w:cs="宋体"/>
                <w:color w:val="auto"/>
                <w:szCs w:val="21"/>
              </w:rPr>
              <w:t>3</w:t>
            </w:r>
          </w:p>
        </w:tc>
        <w:tc>
          <w:tcPr>
            <w:tcW w:w="1393" w:type="dxa"/>
            <w:tcBorders>
              <w:top w:val="single" w:color="auto" w:sz="6" w:space="0"/>
              <w:left w:val="single" w:color="auto" w:sz="6" w:space="0"/>
              <w:bottom w:val="single" w:color="auto" w:sz="6" w:space="0"/>
              <w:right w:val="single" w:color="auto" w:sz="4" w:space="0"/>
            </w:tcBorders>
            <w:noWrap w:val="0"/>
            <w:vAlign w:val="center"/>
          </w:tcPr>
          <w:p>
            <w:pPr>
              <w:keepLines/>
              <w:jc w:val="center"/>
              <w:rPr>
                <w:rFonts w:ascii="宋体" w:hAnsi="宋体" w:cs="宋体"/>
                <w:color w:val="auto"/>
                <w:szCs w:val="21"/>
              </w:rPr>
            </w:pPr>
            <w:r>
              <w:rPr>
                <w:rFonts w:hint="eastAsia" w:ascii="宋体" w:hAnsi="宋体" w:cs="宋体"/>
                <w:color w:val="auto"/>
                <w:szCs w:val="21"/>
              </w:rPr>
              <w:t>项目实施方案</w:t>
            </w:r>
          </w:p>
          <w:p>
            <w:pPr>
              <w:keepLines/>
              <w:jc w:val="center"/>
              <w:rPr>
                <w:rFonts w:ascii="宋体" w:hAnsi="宋体" w:cs="宋体"/>
                <w:color w:val="auto"/>
                <w:kern w:val="0"/>
                <w:szCs w:val="21"/>
              </w:rPr>
            </w:pPr>
          </w:p>
        </w:tc>
        <w:tc>
          <w:tcPr>
            <w:tcW w:w="426" w:type="dxa"/>
            <w:tcBorders>
              <w:top w:val="single" w:color="auto" w:sz="6" w:space="0"/>
              <w:left w:val="single" w:color="auto" w:sz="4" w:space="0"/>
              <w:bottom w:val="single" w:color="auto" w:sz="6" w:space="0"/>
              <w:right w:val="single" w:color="auto" w:sz="6" w:space="0"/>
            </w:tcBorders>
            <w:noWrap w:val="0"/>
            <w:vAlign w:val="center"/>
          </w:tcPr>
          <w:p>
            <w:pPr>
              <w:keepLines/>
              <w:jc w:val="center"/>
              <w:rPr>
                <w:rFonts w:hint="eastAsia" w:ascii="宋体" w:hAnsi="宋体" w:eastAsia="宋体" w:cs="宋体"/>
                <w:color w:val="auto"/>
                <w:kern w:val="0"/>
                <w:szCs w:val="21"/>
                <w:lang w:eastAsia="zh-CN"/>
              </w:rPr>
            </w:pPr>
            <w:r>
              <w:rPr>
                <w:rFonts w:hint="eastAsia" w:ascii="宋体" w:hAnsi="宋体" w:cs="宋体"/>
                <w:color w:val="auto"/>
                <w:kern w:val="0"/>
                <w:szCs w:val="21"/>
                <w:lang w:val="en-US" w:eastAsia="zh-CN"/>
              </w:rPr>
              <w:t>6</w:t>
            </w:r>
          </w:p>
        </w:tc>
        <w:tc>
          <w:tcPr>
            <w:tcW w:w="6819" w:type="dxa"/>
            <w:tcBorders>
              <w:top w:val="single" w:color="auto" w:sz="6" w:space="0"/>
              <w:left w:val="single" w:color="auto" w:sz="6" w:space="0"/>
              <w:bottom w:val="single" w:color="auto" w:sz="6" w:space="0"/>
              <w:right w:val="single" w:color="auto" w:sz="6" w:space="0"/>
            </w:tcBorders>
            <w:noWrap w:val="0"/>
            <w:vAlign w:val="center"/>
          </w:tcPr>
          <w:p>
            <w:pPr>
              <w:keepLines/>
              <w:rPr>
                <w:rFonts w:ascii="宋体" w:hAnsi="宋体" w:cs="宋体"/>
                <w:color w:val="auto"/>
                <w:kern w:val="0"/>
                <w:szCs w:val="21"/>
              </w:rPr>
            </w:pPr>
            <w:r>
              <w:rPr>
                <w:rFonts w:hint="eastAsia" w:ascii="宋体" w:hAnsi="宋体" w:cs="宋体"/>
                <w:color w:val="auto"/>
                <w:szCs w:val="21"/>
              </w:rPr>
              <w:t>根据项目响应设计方案和实施方案的科学性、合理性、规范性、可操作性，包括设备供货清单、验货、安装调试、测试、调优、检测等内容，</w:t>
            </w:r>
            <w:r>
              <w:rPr>
                <w:rFonts w:hint="eastAsia" w:ascii="宋体" w:hAnsi="宋体" w:cs="宋体"/>
                <w:color w:val="auto"/>
                <w:szCs w:val="21"/>
                <w:lang w:eastAsia="zh-CN"/>
              </w:rPr>
              <w:t>和</w:t>
            </w:r>
            <w:r>
              <w:rPr>
                <w:rFonts w:hint="eastAsia" w:ascii="宋体" w:hAnsi="宋体" w:cs="宋体"/>
                <w:color w:val="auto"/>
                <w:szCs w:val="21"/>
              </w:rPr>
              <w:t>组织机构、工作时间进度表、工作程序和步骤、管理和协调方法、关键步骤的思路和要点等</w:t>
            </w:r>
            <w:r>
              <w:rPr>
                <w:rFonts w:hint="eastAsia" w:ascii="宋体" w:hAnsi="宋体" w:cs="宋体"/>
                <w:color w:val="auto"/>
                <w:szCs w:val="21"/>
                <w:lang w:eastAsia="zh-CN"/>
              </w:rPr>
              <w:t>以及准备投入实施的人员配置</w:t>
            </w:r>
            <w:r>
              <w:rPr>
                <w:rFonts w:hint="eastAsia" w:ascii="宋体" w:hAnsi="宋体" w:cs="宋体"/>
                <w:color w:val="auto"/>
                <w:szCs w:val="21"/>
              </w:rPr>
              <w:t>进行打分，0-</w:t>
            </w:r>
            <w:r>
              <w:rPr>
                <w:rFonts w:hint="eastAsia" w:ascii="宋体" w:hAnsi="宋体" w:cs="宋体"/>
                <w:color w:val="auto"/>
                <w:szCs w:val="21"/>
                <w:lang w:val="en-US" w:eastAsia="zh-CN"/>
              </w:rPr>
              <w:t>6</w:t>
            </w:r>
            <w:r>
              <w:rPr>
                <w:rFonts w:hint="eastAsia" w:ascii="宋体" w:hAnsi="宋体" w:cs="宋体"/>
                <w:color w:val="auto"/>
                <w:szCs w:val="21"/>
              </w:rPr>
              <w:t>分。</w:t>
            </w:r>
          </w:p>
        </w:tc>
      </w:tr>
      <w:tr>
        <w:tblPrEx>
          <w:tblCellMar>
            <w:top w:w="0" w:type="dxa"/>
            <w:left w:w="30" w:type="dxa"/>
            <w:bottom w:w="0" w:type="dxa"/>
            <w:right w:w="30" w:type="dxa"/>
          </w:tblCellMar>
        </w:tblPrEx>
        <w:trPr>
          <w:trHeight w:val="1207" w:hRule="atLeast"/>
        </w:trPr>
        <w:tc>
          <w:tcPr>
            <w:tcW w:w="905" w:type="dxa"/>
            <w:tcBorders>
              <w:top w:val="single" w:color="auto" w:sz="6" w:space="0"/>
              <w:left w:val="single" w:color="auto" w:sz="6" w:space="0"/>
              <w:bottom w:val="single" w:color="auto" w:sz="6" w:space="0"/>
              <w:right w:val="single" w:color="auto" w:sz="6" w:space="0"/>
            </w:tcBorders>
            <w:noWrap w:val="0"/>
            <w:vAlign w:val="center"/>
          </w:tcPr>
          <w:p>
            <w:pPr>
              <w:keepLines/>
              <w:jc w:val="center"/>
              <w:rPr>
                <w:rFonts w:ascii="宋体" w:hAnsi="宋体" w:eastAsia="宋体" w:cs="宋体"/>
                <w:color w:val="auto"/>
                <w:kern w:val="0"/>
                <w:sz w:val="21"/>
                <w:szCs w:val="21"/>
                <w:lang w:val="en-US" w:eastAsia="zh-CN" w:bidi="ar-SA"/>
              </w:rPr>
            </w:pPr>
            <w:r>
              <w:rPr>
                <w:rFonts w:hint="eastAsia" w:ascii="宋体" w:hAnsi="宋体" w:cs="宋体"/>
                <w:color w:val="auto"/>
                <w:szCs w:val="21"/>
              </w:rPr>
              <w:t>4</w:t>
            </w:r>
          </w:p>
        </w:tc>
        <w:tc>
          <w:tcPr>
            <w:tcW w:w="1393" w:type="dxa"/>
            <w:tcBorders>
              <w:top w:val="single" w:color="auto" w:sz="6" w:space="0"/>
              <w:left w:val="single" w:color="auto" w:sz="6" w:space="0"/>
              <w:bottom w:val="single" w:color="auto" w:sz="6" w:space="0"/>
              <w:right w:val="single" w:color="auto" w:sz="4" w:space="0"/>
            </w:tcBorders>
            <w:noWrap w:val="0"/>
            <w:vAlign w:val="center"/>
          </w:tcPr>
          <w:p>
            <w:pPr>
              <w:keepLines/>
              <w:jc w:val="center"/>
              <w:rPr>
                <w:rFonts w:ascii="宋体" w:hAnsi="宋体" w:cs="宋体"/>
                <w:color w:val="auto"/>
                <w:kern w:val="0"/>
                <w:szCs w:val="21"/>
              </w:rPr>
            </w:pPr>
            <w:r>
              <w:rPr>
                <w:rFonts w:hint="eastAsia" w:ascii="宋体" w:hAnsi="宋体" w:cs="宋体"/>
                <w:color w:val="auto"/>
                <w:szCs w:val="21"/>
              </w:rPr>
              <w:t>生产检测设备</w:t>
            </w:r>
          </w:p>
        </w:tc>
        <w:tc>
          <w:tcPr>
            <w:tcW w:w="426" w:type="dxa"/>
            <w:tcBorders>
              <w:top w:val="single" w:color="auto" w:sz="6" w:space="0"/>
              <w:left w:val="single" w:color="auto" w:sz="4" w:space="0"/>
              <w:bottom w:val="single" w:color="auto" w:sz="6" w:space="0"/>
              <w:right w:val="single" w:color="auto" w:sz="6" w:space="0"/>
            </w:tcBorders>
            <w:noWrap w:val="0"/>
            <w:vAlign w:val="center"/>
          </w:tcPr>
          <w:p>
            <w:pPr>
              <w:keepLines/>
              <w:jc w:val="center"/>
              <w:rPr>
                <w:rFonts w:hint="eastAsia" w:ascii="宋体" w:hAnsi="宋体" w:eastAsia="宋体" w:cs="宋体"/>
                <w:color w:val="auto"/>
                <w:kern w:val="0"/>
                <w:szCs w:val="21"/>
                <w:lang w:eastAsia="zh-CN"/>
              </w:rPr>
            </w:pPr>
            <w:r>
              <w:rPr>
                <w:rFonts w:hint="eastAsia" w:ascii="宋体" w:hAnsi="宋体" w:cs="宋体"/>
                <w:color w:val="auto"/>
                <w:kern w:val="0"/>
                <w:szCs w:val="21"/>
                <w:lang w:val="en-US" w:eastAsia="zh-CN"/>
              </w:rPr>
              <w:t>3</w:t>
            </w:r>
          </w:p>
        </w:tc>
        <w:tc>
          <w:tcPr>
            <w:tcW w:w="6819" w:type="dxa"/>
            <w:tcBorders>
              <w:top w:val="single" w:color="auto" w:sz="6" w:space="0"/>
              <w:left w:val="single" w:color="auto" w:sz="6" w:space="0"/>
              <w:bottom w:val="single" w:color="auto" w:sz="6" w:space="0"/>
              <w:right w:val="single" w:color="auto" w:sz="6" w:space="0"/>
            </w:tcBorders>
            <w:noWrap w:val="0"/>
            <w:vAlign w:val="center"/>
          </w:tcPr>
          <w:p>
            <w:pPr>
              <w:keepLines/>
              <w:rPr>
                <w:rFonts w:ascii="宋体" w:hAnsi="宋体" w:cs="宋体"/>
                <w:color w:val="auto"/>
                <w:szCs w:val="21"/>
              </w:rPr>
            </w:pPr>
            <w:r>
              <w:rPr>
                <w:rFonts w:hint="eastAsia" w:ascii="宋体" w:hAnsi="宋体" w:cs="宋体"/>
                <w:color w:val="auto"/>
                <w:szCs w:val="21"/>
              </w:rPr>
              <w:t>投标人或生产厂家具备自动化生产检测设备，包含：电脑裁板锯、多排拼板机、切皮机、砂光机、直线封边机、综合力学测试机、椅轮往复磨损试验机、皮革耐摩擦色牢度仪、家具冲击跌落试验机、日晒气候色牢度仪、办公椅星脚试验机、恒温水浴震荡器；以上</w:t>
            </w:r>
            <w:r>
              <w:rPr>
                <w:rFonts w:hint="eastAsia" w:ascii="宋体" w:hAnsi="宋体" w:cs="宋体"/>
                <w:color w:val="auto"/>
                <w:szCs w:val="21"/>
                <w:lang w:eastAsia="zh-CN"/>
              </w:rPr>
              <w:t>每缺一项扣</w:t>
            </w:r>
            <w:r>
              <w:rPr>
                <w:rFonts w:hint="eastAsia" w:ascii="宋体" w:hAnsi="宋体" w:cs="宋体"/>
                <w:color w:val="auto"/>
                <w:szCs w:val="21"/>
                <w:lang w:val="en-US" w:eastAsia="zh-CN"/>
              </w:rPr>
              <w:t>0.3分，扣完为止</w:t>
            </w:r>
            <w:r>
              <w:rPr>
                <w:rFonts w:hint="eastAsia" w:ascii="宋体" w:hAnsi="宋体" w:cs="宋体"/>
                <w:color w:val="auto"/>
                <w:szCs w:val="21"/>
              </w:rPr>
              <w:t>。</w:t>
            </w:r>
          </w:p>
          <w:p>
            <w:pPr>
              <w:keepLines/>
              <w:rPr>
                <w:rFonts w:ascii="宋体" w:hAnsi="宋体" w:cs="宋体"/>
                <w:color w:val="auto"/>
                <w:kern w:val="0"/>
                <w:szCs w:val="21"/>
              </w:rPr>
            </w:pPr>
            <w:r>
              <w:rPr>
                <w:rFonts w:hint="eastAsia" w:ascii="宋体" w:hAnsi="宋体" w:cs="宋体"/>
                <w:b/>
                <w:bCs/>
                <w:color w:val="auto"/>
                <w:szCs w:val="21"/>
              </w:rPr>
              <w:t>注：提供设施设备的购置发票复印件或采购合同，另附生产装备实物照。</w:t>
            </w:r>
          </w:p>
        </w:tc>
      </w:tr>
      <w:tr>
        <w:tblPrEx>
          <w:tblCellMar>
            <w:top w:w="0" w:type="dxa"/>
            <w:left w:w="30" w:type="dxa"/>
            <w:bottom w:w="0" w:type="dxa"/>
            <w:right w:w="30" w:type="dxa"/>
          </w:tblCellMar>
        </w:tblPrEx>
        <w:trPr>
          <w:trHeight w:val="903" w:hRule="atLeast"/>
        </w:trPr>
        <w:tc>
          <w:tcPr>
            <w:tcW w:w="905" w:type="dxa"/>
            <w:tcBorders>
              <w:top w:val="single" w:color="auto" w:sz="6" w:space="0"/>
              <w:left w:val="single" w:color="auto" w:sz="6" w:space="0"/>
              <w:bottom w:val="single" w:color="auto" w:sz="6" w:space="0"/>
              <w:right w:val="single" w:color="auto" w:sz="6" w:space="0"/>
            </w:tcBorders>
            <w:noWrap w:val="0"/>
            <w:vAlign w:val="center"/>
          </w:tcPr>
          <w:p>
            <w:pPr>
              <w:keepLines/>
              <w:jc w:val="center"/>
              <w:rPr>
                <w:rFonts w:ascii="宋体" w:hAnsi="宋体" w:eastAsia="宋体" w:cs="宋体"/>
                <w:color w:val="auto"/>
                <w:kern w:val="0"/>
                <w:sz w:val="21"/>
                <w:szCs w:val="21"/>
                <w:lang w:val="en-US" w:eastAsia="zh-CN" w:bidi="ar-SA"/>
              </w:rPr>
            </w:pPr>
            <w:r>
              <w:rPr>
                <w:rFonts w:hint="eastAsia" w:ascii="宋体" w:hAnsi="宋体" w:cs="宋体"/>
                <w:color w:val="auto"/>
                <w:szCs w:val="21"/>
              </w:rPr>
              <w:t>5</w:t>
            </w:r>
          </w:p>
        </w:tc>
        <w:tc>
          <w:tcPr>
            <w:tcW w:w="1393" w:type="dxa"/>
            <w:tcBorders>
              <w:top w:val="single" w:color="auto" w:sz="6" w:space="0"/>
              <w:left w:val="single" w:color="auto" w:sz="6" w:space="0"/>
              <w:bottom w:val="single" w:color="auto" w:sz="6" w:space="0"/>
              <w:right w:val="single" w:color="auto" w:sz="4" w:space="0"/>
            </w:tcBorders>
            <w:noWrap w:val="0"/>
            <w:vAlign w:val="center"/>
          </w:tcPr>
          <w:p>
            <w:pPr>
              <w:keepLines/>
              <w:jc w:val="center"/>
              <w:rPr>
                <w:rFonts w:ascii="宋体" w:hAnsi="宋体" w:cs="宋体"/>
                <w:b/>
                <w:color w:val="auto"/>
                <w:szCs w:val="21"/>
              </w:rPr>
            </w:pPr>
            <w:r>
              <w:rPr>
                <w:rFonts w:hint="eastAsia" w:ascii="宋体" w:hAnsi="宋体" w:cs="宋体"/>
                <w:b/>
                <w:color w:val="auto"/>
                <w:szCs w:val="21"/>
              </w:rPr>
              <w:t>售后服务及体系</w:t>
            </w:r>
          </w:p>
          <w:p>
            <w:pPr>
              <w:keepLines/>
              <w:jc w:val="center"/>
              <w:rPr>
                <w:rFonts w:ascii="宋体" w:hAnsi="宋体" w:cs="宋体"/>
                <w:color w:val="auto"/>
                <w:kern w:val="0"/>
                <w:szCs w:val="21"/>
              </w:rPr>
            </w:pPr>
          </w:p>
        </w:tc>
        <w:tc>
          <w:tcPr>
            <w:tcW w:w="426" w:type="dxa"/>
            <w:tcBorders>
              <w:top w:val="single" w:color="auto" w:sz="6" w:space="0"/>
              <w:left w:val="single" w:color="auto" w:sz="4" w:space="0"/>
              <w:bottom w:val="single" w:color="auto" w:sz="6" w:space="0"/>
              <w:right w:val="single" w:color="auto" w:sz="6" w:space="0"/>
            </w:tcBorders>
            <w:noWrap w:val="0"/>
            <w:vAlign w:val="center"/>
          </w:tcPr>
          <w:p>
            <w:pPr>
              <w:keepLines/>
              <w:jc w:val="center"/>
              <w:rPr>
                <w:rFonts w:hint="eastAsia" w:ascii="宋体" w:hAnsi="宋体" w:eastAsia="宋体" w:cs="宋体"/>
                <w:color w:val="auto"/>
                <w:kern w:val="0"/>
                <w:szCs w:val="21"/>
                <w:lang w:eastAsia="zh-CN"/>
              </w:rPr>
            </w:pPr>
            <w:r>
              <w:rPr>
                <w:rFonts w:hint="eastAsia" w:ascii="宋体" w:hAnsi="宋体" w:cs="宋体"/>
                <w:color w:val="auto"/>
                <w:kern w:val="0"/>
                <w:szCs w:val="21"/>
                <w:lang w:val="en-US" w:eastAsia="zh-CN"/>
              </w:rPr>
              <w:t>7</w:t>
            </w:r>
          </w:p>
        </w:tc>
        <w:tc>
          <w:tcPr>
            <w:tcW w:w="6819" w:type="dxa"/>
            <w:tcBorders>
              <w:top w:val="single" w:color="auto" w:sz="6" w:space="0"/>
              <w:left w:val="single" w:color="auto" w:sz="6" w:space="0"/>
              <w:bottom w:val="single" w:color="auto" w:sz="6" w:space="0"/>
              <w:right w:val="single" w:color="auto" w:sz="6" w:space="0"/>
            </w:tcBorders>
            <w:noWrap w:val="0"/>
            <w:vAlign w:val="center"/>
          </w:tcPr>
          <w:p>
            <w:pPr>
              <w:keepLines/>
              <w:rPr>
                <w:rFonts w:ascii="宋体" w:hAnsi="宋体" w:cs="宋体"/>
                <w:color w:val="auto"/>
                <w:szCs w:val="21"/>
              </w:rPr>
            </w:pPr>
            <w:r>
              <w:rPr>
                <w:rFonts w:hint="eastAsia" w:ascii="宋体" w:hAnsi="宋体" w:cs="宋体"/>
                <w:color w:val="auto"/>
                <w:szCs w:val="21"/>
              </w:rPr>
              <w:t>1根据各投标人投标文件中具体的售后服务方案对招标文件的响应情况和完整性酌情打分，应包含设立的售后服务机构地址、服务人员的投入数量，有无巡检内容，备品备件，货物损坏修复等各项内容进行打分，0-5分。</w:t>
            </w:r>
          </w:p>
          <w:p>
            <w:pPr>
              <w:keepLines/>
              <w:numPr>
                <w:ilvl w:val="0"/>
                <w:numId w:val="5"/>
              </w:numPr>
              <w:rPr>
                <w:rFonts w:ascii="宋体" w:hAnsi="宋体"/>
                <w:color w:val="auto"/>
                <w:szCs w:val="21"/>
              </w:rPr>
            </w:pPr>
            <w:r>
              <w:rPr>
                <w:rFonts w:hint="eastAsia" w:ascii="宋体" w:hAnsi="宋体" w:cs="宋体"/>
                <w:color w:val="auto"/>
                <w:szCs w:val="21"/>
              </w:rPr>
              <w:t>免费质保期在五年的基础上每增加1年得1分，最多得2分。</w:t>
            </w:r>
          </w:p>
        </w:tc>
      </w:tr>
      <w:tr>
        <w:tblPrEx>
          <w:tblCellMar>
            <w:top w:w="0" w:type="dxa"/>
            <w:left w:w="30" w:type="dxa"/>
            <w:bottom w:w="0" w:type="dxa"/>
            <w:right w:w="30" w:type="dxa"/>
          </w:tblCellMar>
        </w:tblPrEx>
        <w:trPr>
          <w:trHeight w:val="714" w:hRule="atLeast"/>
        </w:trPr>
        <w:tc>
          <w:tcPr>
            <w:tcW w:w="905" w:type="dxa"/>
            <w:vMerge w:val="restart"/>
            <w:tcBorders>
              <w:top w:val="single" w:color="auto" w:sz="6" w:space="0"/>
              <w:left w:val="single" w:color="auto" w:sz="6" w:space="0"/>
              <w:bottom w:val="single" w:color="auto" w:sz="6" w:space="0"/>
              <w:right w:val="single" w:color="auto" w:sz="6" w:space="0"/>
            </w:tcBorders>
            <w:noWrap w:val="0"/>
            <w:vAlign w:val="center"/>
          </w:tcPr>
          <w:p>
            <w:pPr>
              <w:keepLines/>
              <w:jc w:val="center"/>
              <w:rPr>
                <w:rFonts w:ascii="宋体" w:hAnsi="宋体" w:cs="宋体"/>
                <w:color w:val="auto"/>
                <w:kern w:val="0"/>
                <w:szCs w:val="21"/>
              </w:rPr>
            </w:pPr>
            <w:r>
              <w:rPr>
                <w:rFonts w:hint="eastAsia" w:ascii="宋体" w:hAnsi="宋体" w:cs="宋体"/>
                <w:color w:val="auto"/>
                <w:szCs w:val="21"/>
              </w:rPr>
              <w:t>6</w:t>
            </w:r>
          </w:p>
        </w:tc>
        <w:tc>
          <w:tcPr>
            <w:tcW w:w="1393" w:type="dxa"/>
            <w:vMerge w:val="restart"/>
            <w:tcBorders>
              <w:top w:val="single" w:color="auto" w:sz="6" w:space="0"/>
              <w:left w:val="single" w:color="auto" w:sz="6" w:space="0"/>
              <w:bottom w:val="single" w:color="auto" w:sz="6" w:space="0"/>
              <w:right w:val="single" w:color="auto" w:sz="4" w:space="0"/>
            </w:tcBorders>
            <w:noWrap w:val="0"/>
            <w:vAlign w:val="center"/>
          </w:tcPr>
          <w:p>
            <w:pPr>
              <w:keepLines/>
              <w:jc w:val="center"/>
              <w:rPr>
                <w:rFonts w:ascii="宋体" w:hAnsi="宋体" w:cs="宋体"/>
                <w:color w:val="auto"/>
                <w:kern w:val="0"/>
                <w:szCs w:val="21"/>
              </w:rPr>
            </w:pPr>
            <w:r>
              <w:rPr>
                <w:rFonts w:hint="eastAsia" w:ascii="宋体" w:hAnsi="宋体" w:cs="宋体"/>
                <w:b/>
                <w:color w:val="auto"/>
                <w:szCs w:val="21"/>
              </w:rPr>
              <w:t>检测报告</w:t>
            </w:r>
          </w:p>
        </w:tc>
        <w:tc>
          <w:tcPr>
            <w:tcW w:w="426" w:type="dxa"/>
            <w:vMerge w:val="restart"/>
            <w:tcBorders>
              <w:top w:val="single" w:color="auto" w:sz="6" w:space="0"/>
              <w:left w:val="single" w:color="auto" w:sz="4" w:space="0"/>
              <w:bottom w:val="single" w:color="auto" w:sz="6" w:space="0"/>
              <w:right w:val="single" w:color="auto" w:sz="6" w:space="0"/>
            </w:tcBorders>
            <w:noWrap w:val="0"/>
            <w:vAlign w:val="center"/>
          </w:tcPr>
          <w:p>
            <w:pPr>
              <w:keepLines/>
              <w:jc w:val="center"/>
              <w:rPr>
                <w:rFonts w:ascii="宋体" w:hAnsi="宋体" w:cs="宋体"/>
                <w:color w:val="auto"/>
                <w:kern w:val="0"/>
                <w:szCs w:val="21"/>
              </w:rPr>
            </w:pPr>
            <w:r>
              <w:rPr>
                <w:rFonts w:hint="eastAsia" w:ascii="宋体" w:hAnsi="宋体" w:cs="宋体"/>
                <w:color w:val="auto"/>
                <w:kern w:val="0"/>
                <w:szCs w:val="21"/>
              </w:rPr>
              <w:t>16</w:t>
            </w:r>
          </w:p>
        </w:tc>
        <w:tc>
          <w:tcPr>
            <w:tcW w:w="6819" w:type="dxa"/>
            <w:tcBorders>
              <w:top w:val="single" w:color="auto" w:sz="6" w:space="0"/>
              <w:left w:val="single" w:color="auto" w:sz="6" w:space="0"/>
              <w:bottom w:val="single" w:color="auto" w:sz="6" w:space="0"/>
              <w:right w:val="single" w:color="auto" w:sz="6" w:space="0"/>
            </w:tcBorders>
            <w:noWrap w:val="0"/>
            <w:vAlign w:val="center"/>
          </w:tcPr>
          <w:p>
            <w:pPr>
              <w:pStyle w:val="55"/>
              <w:widowControl/>
              <w:spacing w:line="276" w:lineRule="auto"/>
              <w:ind w:firstLine="0" w:firstLineChars="0"/>
              <w:rPr>
                <w:rFonts w:hint="eastAsia" w:ascii="宋体" w:hAnsi="宋体" w:cs="宋体"/>
                <w:color w:val="auto"/>
                <w:szCs w:val="21"/>
              </w:rPr>
            </w:pPr>
            <w:r>
              <w:rPr>
                <w:rFonts w:hint="eastAsia" w:ascii="宋体" w:hAnsi="宋体" w:cs="宋体"/>
                <w:color w:val="auto"/>
                <w:szCs w:val="21"/>
                <w:lang w:eastAsia="zh-CN"/>
              </w:rPr>
              <w:t>一</w:t>
            </w:r>
            <w:r>
              <w:rPr>
                <w:rFonts w:hint="eastAsia" w:ascii="宋体" w:hAnsi="宋体" w:cs="宋体"/>
                <w:color w:val="auto"/>
                <w:szCs w:val="21"/>
                <w:lang w:val="en-US" w:eastAsia="zh-CN"/>
              </w:rPr>
              <w:t>.</w:t>
            </w:r>
            <w:r>
              <w:rPr>
                <w:rFonts w:hint="eastAsia" w:ascii="宋体" w:hAnsi="宋体" w:cs="宋体"/>
                <w:color w:val="auto"/>
                <w:szCs w:val="21"/>
              </w:rPr>
              <w:t>原材料检测报告：</w:t>
            </w:r>
          </w:p>
          <w:p>
            <w:pPr>
              <w:pStyle w:val="55"/>
              <w:widowControl/>
              <w:spacing w:line="276" w:lineRule="auto"/>
              <w:ind w:firstLine="0" w:firstLineChars="0"/>
              <w:rPr>
                <w:rFonts w:ascii="宋体" w:hAnsi="宋体"/>
                <w:bCs/>
                <w:color w:val="auto"/>
                <w:kern w:val="0"/>
                <w:szCs w:val="21"/>
              </w:rPr>
            </w:pPr>
            <w:r>
              <w:rPr>
                <w:rFonts w:hint="eastAsia" w:ascii="宋体" w:hAnsi="宋体" w:cs="宋体"/>
                <w:color w:val="auto"/>
                <w:szCs w:val="21"/>
              </w:rPr>
              <w:t>投标人</w:t>
            </w:r>
            <w:r>
              <w:rPr>
                <w:rFonts w:hint="eastAsia" w:ascii="宋体" w:hAnsi="宋体" w:cs="宋体"/>
                <w:b/>
                <w:bCs/>
                <w:color w:val="auto"/>
                <w:szCs w:val="21"/>
              </w:rPr>
              <w:t>满足以下检测结果的每项得1分。</w:t>
            </w:r>
          </w:p>
          <w:p>
            <w:pPr>
              <w:pStyle w:val="55"/>
              <w:widowControl/>
              <w:numPr>
                <w:ilvl w:val="0"/>
                <w:numId w:val="6"/>
              </w:numPr>
              <w:spacing w:line="276" w:lineRule="auto"/>
              <w:ind w:left="-20" w:firstLine="116" w:firstLineChars="0"/>
              <w:rPr>
                <w:rFonts w:ascii="宋体" w:hAnsi="宋体"/>
                <w:bCs/>
                <w:color w:val="auto"/>
                <w:kern w:val="0"/>
                <w:szCs w:val="21"/>
              </w:rPr>
            </w:pPr>
            <w:r>
              <w:rPr>
                <w:rFonts w:hint="eastAsia" w:ascii="宋体" w:hAnsi="宋体"/>
                <w:bCs/>
                <w:kern w:val="0"/>
                <w:szCs w:val="21"/>
              </w:rPr>
              <w:t>刨花板：符合GB/T 29899-2013、GB 18580-2017、HJ 571-2010标准的抽样合格检测报告，其中甲醛≤0.02mg/m3、苯≤5μg/m3、甲苯≤10μg/m3、二甲苯≤10μg/m3、TVOC≤0.30mg/（㎡•h）（72h）。</w:t>
            </w:r>
          </w:p>
          <w:p>
            <w:pPr>
              <w:pStyle w:val="55"/>
              <w:widowControl/>
              <w:numPr>
                <w:ilvl w:val="0"/>
                <w:numId w:val="6"/>
              </w:numPr>
              <w:spacing w:line="276" w:lineRule="auto"/>
              <w:ind w:left="-20" w:firstLine="116" w:firstLineChars="0"/>
              <w:rPr>
                <w:rFonts w:ascii="宋体" w:hAnsi="宋体"/>
                <w:bCs/>
                <w:color w:val="auto"/>
                <w:kern w:val="0"/>
                <w:szCs w:val="21"/>
              </w:rPr>
            </w:pPr>
            <w:r>
              <w:rPr>
                <w:rFonts w:hint="eastAsia" w:ascii="宋体" w:hAnsi="宋体"/>
                <w:bCs/>
                <w:color w:val="auto"/>
                <w:kern w:val="0"/>
                <w:szCs w:val="21"/>
              </w:rPr>
              <w:t>多层板：符合GB/T9846-2015标准要求的检测报告，其中规格尺寸，长度、宽度及厚度偏差，边缘直度偏差，垂直度偏差，平整度偏差，针节，活节，木材异常结构，裂缝，虫孔、排钉孔，变色，腐朽，树胶道，表面拼接离缝，表板叠层，芯板叠层，长中板叠层，鼓泡、分层，毛刺沟痕，表板砂透，板边缺陷，含水率，胶合强度，浸渍剥离，静曲强度，弹性模量，甲醛释放量，</w:t>
            </w:r>
            <w:r>
              <w:rPr>
                <w:rFonts w:hint="eastAsia" w:ascii="宋体" w:hAnsi="宋体"/>
                <w:bCs/>
                <w:color w:val="auto"/>
                <w:kern w:val="0"/>
                <w:szCs w:val="21"/>
                <w:lang w:eastAsia="zh-CN"/>
              </w:rPr>
              <w:t>及</w:t>
            </w:r>
            <w:r>
              <w:rPr>
                <w:rFonts w:hint="eastAsia" w:ascii="宋体" w:hAnsi="宋体"/>
                <w:bCs/>
                <w:color w:val="auto"/>
                <w:kern w:val="0"/>
                <w:szCs w:val="21"/>
              </w:rPr>
              <w:t>其他技术要求均符合要求。</w:t>
            </w:r>
          </w:p>
          <w:p>
            <w:pPr>
              <w:pStyle w:val="55"/>
              <w:widowControl/>
              <w:numPr>
                <w:ilvl w:val="0"/>
                <w:numId w:val="6"/>
              </w:numPr>
              <w:spacing w:line="276" w:lineRule="auto"/>
              <w:ind w:left="-20" w:firstLine="116" w:firstLineChars="0"/>
              <w:rPr>
                <w:rFonts w:hint="eastAsia" w:ascii="宋体" w:hAnsi="宋体"/>
                <w:bCs/>
                <w:color w:val="auto"/>
                <w:kern w:val="0"/>
                <w:szCs w:val="21"/>
              </w:rPr>
            </w:pPr>
            <w:r>
              <w:rPr>
                <w:rFonts w:hint="eastAsia" w:ascii="宋体" w:hAnsi="宋体"/>
                <w:bCs/>
                <w:color w:val="auto"/>
                <w:kern w:val="0"/>
                <w:szCs w:val="21"/>
              </w:rPr>
              <w:t>布艺面料：符合GB18401-2010、QB/T 1952.1-2012、GB/T 31713-2015、GB/T 24346-2009标准要求的检测报告，其中面料外观、耐唾液、耐水色牢度、甲醛含量，白色念珠菌，球毛壳霉均符合要求。</w:t>
            </w:r>
          </w:p>
          <w:p>
            <w:pPr>
              <w:pStyle w:val="55"/>
              <w:widowControl/>
              <w:numPr>
                <w:ilvl w:val="0"/>
                <w:numId w:val="6"/>
              </w:numPr>
              <w:spacing w:line="276" w:lineRule="auto"/>
              <w:ind w:left="-20" w:firstLine="116" w:firstLineChars="0"/>
              <w:rPr>
                <w:rFonts w:ascii="宋体" w:hAnsi="宋体"/>
                <w:bCs/>
                <w:color w:val="auto"/>
                <w:kern w:val="0"/>
                <w:szCs w:val="21"/>
              </w:rPr>
            </w:pPr>
            <w:r>
              <w:rPr>
                <w:rFonts w:hint="eastAsia" w:ascii="宋体" w:hAnsi="宋体"/>
                <w:bCs/>
                <w:kern w:val="0"/>
                <w:szCs w:val="21"/>
              </w:rPr>
              <w:t>高弹海绵：符合 GB/T10802-2006、QB/T2280-2016标准要求的检测报告，其中 25%压缩硬度、75%压缩永久变形、回弹率、撕裂强度、干热后老化拉伸强度、湿热后老化拉伸强度合格，密度到达 50kg/m³，甲醛释放量≤0.03mg/㎡ h，TVOC≤0.25mg/㎡ h。</w:t>
            </w:r>
          </w:p>
          <w:p>
            <w:pPr>
              <w:pStyle w:val="55"/>
              <w:widowControl/>
              <w:numPr>
                <w:ilvl w:val="0"/>
                <w:numId w:val="6"/>
              </w:numPr>
              <w:spacing w:line="276" w:lineRule="auto"/>
              <w:ind w:left="-20" w:firstLine="116" w:firstLineChars="0"/>
              <w:rPr>
                <w:rFonts w:ascii="宋体" w:hAnsi="宋体"/>
                <w:bCs/>
                <w:color w:val="auto"/>
                <w:kern w:val="0"/>
                <w:szCs w:val="21"/>
              </w:rPr>
            </w:pPr>
            <w:r>
              <w:rPr>
                <w:rFonts w:ascii="宋体" w:hAnsi="宋体"/>
                <w:bCs/>
                <w:color w:val="auto"/>
                <w:kern w:val="0"/>
                <w:szCs w:val="21"/>
              </w:rPr>
              <w:t>水性漆：</w:t>
            </w:r>
            <w:r>
              <w:rPr>
                <w:rFonts w:hint="eastAsia" w:ascii="宋体" w:hAnsi="宋体"/>
                <w:bCs/>
                <w:color w:val="auto"/>
                <w:kern w:val="0"/>
                <w:szCs w:val="21"/>
              </w:rPr>
              <w:t>符合</w:t>
            </w:r>
            <w:r>
              <w:rPr>
                <w:rFonts w:ascii="宋体" w:hAnsi="宋体"/>
                <w:bCs/>
                <w:color w:val="auto"/>
                <w:kern w:val="0"/>
                <w:szCs w:val="21"/>
              </w:rPr>
              <w:t>GB/T 23999-2009</w:t>
            </w:r>
            <w:r>
              <w:rPr>
                <w:rFonts w:hint="eastAsia" w:ascii="宋体" w:hAnsi="宋体"/>
                <w:bCs/>
                <w:color w:val="auto"/>
                <w:kern w:val="0"/>
                <w:szCs w:val="21"/>
              </w:rPr>
              <w:t>标准要求的检测报告，其中在容器中状态，细度，不挥发物，干燥时间，贮存稳定性，耐冻融性，涂膜外观，光泽，打磨性，硬度（擦伤)，附着力（划格间距2mm), 耐冲击性，抗粘连性，耐磨性，耐划伤性，耐水性，耐碱性，耐污染性，耐干热性，耐黄变168h均符合要求。</w:t>
            </w:r>
          </w:p>
          <w:p>
            <w:pPr>
              <w:pStyle w:val="55"/>
              <w:widowControl/>
              <w:numPr>
                <w:ilvl w:val="0"/>
                <w:numId w:val="6"/>
              </w:numPr>
              <w:spacing w:line="276" w:lineRule="auto"/>
              <w:ind w:left="-20" w:firstLine="116" w:firstLineChars="0"/>
              <w:rPr>
                <w:rFonts w:ascii="宋体" w:hAnsi="宋体"/>
                <w:bCs/>
                <w:color w:val="auto"/>
                <w:kern w:val="0"/>
                <w:szCs w:val="21"/>
              </w:rPr>
            </w:pPr>
            <w:r>
              <w:rPr>
                <w:rFonts w:hint="eastAsia" w:ascii="宋体" w:hAnsi="宋体"/>
                <w:bCs/>
                <w:color w:val="auto"/>
                <w:kern w:val="0"/>
                <w:szCs w:val="21"/>
              </w:rPr>
              <w:t>三聚氰胺浸渍纸：符合LY/T 1831-2009标准要求的检测报告，其中耐热性、外观质量、耐光色牢度、浸胶量偏差要求均符合要求。。</w:t>
            </w:r>
          </w:p>
          <w:p>
            <w:pPr>
              <w:pStyle w:val="55"/>
              <w:widowControl/>
              <w:numPr>
                <w:ilvl w:val="0"/>
                <w:numId w:val="6"/>
              </w:numPr>
              <w:spacing w:line="276" w:lineRule="auto"/>
              <w:ind w:left="-20" w:firstLine="116" w:firstLineChars="0"/>
              <w:rPr>
                <w:rFonts w:hint="eastAsia" w:ascii="宋体" w:hAnsi="宋体" w:cs="宋体"/>
                <w:bCs/>
                <w:color w:val="auto"/>
                <w:kern w:val="0"/>
                <w:szCs w:val="21"/>
              </w:rPr>
            </w:pPr>
            <w:r>
              <w:rPr>
                <w:rFonts w:hint="eastAsia" w:ascii="宋体" w:hAnsi="宋体" w:cs="宋体"/>
                <w:bCs/>
                <w:color w:val="auto"/>
                <w:kern w:val="0"/>
                <w:szCs w:val="21"/>
              </w:rPr>
              <w:t>超纤皮：</w:t>
            </w:r>
            <w:r>
              <w:rPr>
                <w:rFonts w:hint="eastAsia" w:ascii="宋体" w:hAnsi="宋体"/>
                <w:bCs/>
                <w:color w:val="auto"/>
                <w:kern w:val="0"/>
                <w:szCs w:val="21"/>
              </w:rPr>
              <w:t>符合</w:t>
            </w:r>
            <w:r>
              <w:rPr>
                <w:rFonts w:hint="eastAsia" w:ascii="宋体" w:hAnsi="宋体" w:cs="宋体"/>
                <w:bCs/>
                <w:color w:val="auto"/>
                <w:kern w:val="0"/>
                <w:szCs w:val="21"/>
              </w:rPr>
              <w:t>GB/T16799-2018、QB/T 4199-2011标准要求的检测报告，其中涂层粘着牢度、撕裂力、游离甲醛、感官要求,桔灰青霉均符合要求。</w:t>
            </w:r>
          </w:p>
          <w:p>
            <w:pPr>
              <w:pStyle w:val="55"/>
              <w:widowControl/>
              <w:numPr>
                <w:ilvl w:val="0"/>
                <w:numId w:val="6"/>
              </w:numPr>
              <w:spacing w:line="276" w:lineRule="auto"/>
              <w:ind w:left="-20" w:firstLine="116" w:firstLineChars="0"/>
              <w:rPr>
                <w:rFonts w:hint="eastAsia" w:ascii="宋体" w:hAnsi="宋体" w:cs="宋体"/>
                <w:bCs/>
                <w:color w:val="auto"/>
                <w:kern w:val="0"/>
                <w:szCs w:val="21"/>
              </w:rPr>
            </w:pPr>
            <w:r>
              <w:rPr>
                <w:rFonts w:ascii="宋体" w:hAnsi="宋体" w:cs="宋体"/>
                <w:bCs/>
                <w:color w:val="auto"/>
                <w:kern w:val="0"/>
                <w:szCs w:val="21"/>
              </w:rPr>
              <w:t>三节轨：</w:t>
            </w:r>
            <w:r>
              <w:rPr>
                <w:rFonts w:hint="eastAsia" w:ascii="宋体" w:hAnsi="宋体"/>
                <w:bCs/>
                <w:color w:val="auto"/>
                <w:kern w:val="0"/>
                <w:szCs w:val="21"/>
              </w:rPr>
              <w:t>符合</w:t>
            </w:r>
            <w:r>
              <w:rPr>
                <w:rFonts w:ascii="宋体" w:hAnsi="宋体" w:cs="宋体"/>
                <w:bCs/>
                <w:color w:val="auto"/>
                <w:kern w:val="0"/>
                <w:szCs w:val="21"/>
              </w:rPr>
              <w:t>QB/T2454-2013</w:t>
            </w:r>
            <w:r>
              <w:rPr>
                <w:rFonts w:hint="eastAsia" w:ascii="宋体" w:hAnsi="宋体" w:cs="宋体"/>
                <w:bCs/>
                <w:color w:val="auto"/>
                <w:kern w:val="0"/>
                <w:szCs w:val="21"/>
              </w:rPr>
              <w:t>、</w:t>
            </w:r>
            <w:r>
              <w:rPr>
                <w:rFonts w:ascii="宋体" w:hAnsi="宋体" w:cs="宋体"/>
                <w:bCs/>
                <w:color w:val="auto"/>
                <w:kern w:val="0"/>
                <w:szCs w:val="21"/>
              </w:rPr>
              <w:t>GB/T10125-2021</w:t>
            </w:r>
            <w:r>
              <w:rPr>
                <w:rFonts w:hint="eastAsia" w:ascii="宋体" w:hAnsi="宋体" w:cs="宋体"/>
                <w:bCs/>
                <w:color w:val="auto"/>
                <w:kern w:val="0"/>
                <w:szCs w:val="21"/>
              </w:rPr>
              <w:t>、GB/T6461-2002标准要求的检测报告，其中过载:垂直向下静载荷、水平侧向静载荷, 功能:操作力、抽屉导轨组件底部变形、抽屉导轨组件结构强度均符合要求; 乙酸盐雾18h达到10级。</w:t>
            </w:r>
          </w:p>
          <w:p>
            <w:pPr>
              <w:pStyle w:val="55"/>
              <w:widowControl/>
              <w:numPr>
                <w:ilvl w:val="0"/>
                <w:numId w:val="6"/>
              </w:numPr>
              <w:spacing w:line="276" w:lineRule="auto"/>
              <w:ind w:left="-20" w:firstLine="116" w:firstLineChars="0"/>
              <w:rPr>
                <w:rFonts w:hint="eastAsia" w:ascii="宋体" w:hAnsi="宋体" w:cs="宋体"/>
                <w:bCs/>
                <w:color w:val="auto"/>
                <w:kern w:val="0"/>
                <w:szCs w:val="21"/>
              </w:rPr>
            </w:pPr>
            <w:r>
              <w:rPr>
                <w:rFonts w:ascii="宋体" w:hAnsi="宋体" w:cs="宋体"/>
                <w:bCs/>
                <w:color w:val="auto"/>
                <w:kern w:val="0"/>
                <w:szCs w:val="21"/>
              </w:rPr>
              <w:t>铰链：</w:t>
            </w:r>
            <w:r>
              <w:rPr>
                <w:rFonts w:hint="eastAsia" w:ascii="宋体" w:hAnsi="宋体"/>
                <w:bCs/>
                <w:color w:val="auto"/>
                <w:kern w:val="0"/>
                <w:szCs w:val="21"/>
              </w:rPr>
              <w:t>符合</w:t>
            </w:r>
            <w:r>
              <w:rPr>
                <w:rFonts w:ascii="宋体" w:hAnsi="宋体" w:cs="宋体"/>
                <w:bCs/>
                <w:color w:val="auto"/>
                <w:kern w:val="0"/>
                <w:szCs w:val="21"/>
              </w:rPr>
              <w:t>QB/T2189-2013</w:t>
            </w:r>
            <w:r>
              <w:rPr>
                <w:rFonts w:hint="eastAsia" w:ascii="宋体" w:hAnsi="宋体" w:cs="宋体"/>
                <w:bCs/>
                <w:color w:val="auto"/>
                <w:kern w:val="0"/>
                <w:szCs w:val="21"/>
              </w:rPr>
              <w:t>、</w:t>
            </w:r>
            <w:r>
              <w:rPr>
                <w:rFonts w:ascii="宋体" w:hAnsi="宋体" w:cs="宋体"/>
                <w:bCs/>
                <w:color w:val="auto"/>
                <w:kern w:val="0"/>
                <w:szCs w:val="21"/>
              </w:rPr>
              <w:t>GB/T10125-2021</w:t>
            </w:r>
            <w:r>
              <w:rPr>
                <w:rFonts w:hint="eastAsia" w:ascii="宋体" w:hAnsi="宋体" w:cs="宋体"/>
                <w:bCs/>
                <w:color w:val="auto"/>
                <w:kern w:val="0"/>
                <w:szCs w:val="21"/>
              </w:rPr>
              <w:t>、GB/T</w:t>
            </w:r>
            <w:r>
              <w:rPr>
                <w:rFonts w:ascii="宋体" w:hAnsi="宋体" w:cs="宋体"/>
                <w:bCs/>
                <w:color w:val="auto"/>
                <w:kern w:val="0"/>
                <w:szCs w:val="21"/>
              </w:rPr>
              <w:t xml:space="preserve"> 6461-2002</w:t>
            </w:r>
            <w:r>
              <w:rPr>
                <w:rFonts w:hint="eastAsia" w:ascii="宋体" w:hAnsi="宋体" w:cs="宋体"/>
                <w:bCs/>
                <w:color w:val="auto"/>
                <w:kern w:val="0"/>
                <w:szCs w:val="21"/>
              </w:rPr>
              <w:t>标准要求的检测报告，其中过载：垂直静载荷、水平静载荷； 功能：操作力、下沉量均符合要求; 乙酸盐雾18h达到10级。</w:t>
            </w:r>
          </w:p>
          <w:p>
            <w:pPr>
              <w:pStyle w:val="55"/>
              <w:widowControl/>
              <w:numPr>
                <w:ilvl w:val="0"/>
                <w:numId w:val="6"/>
              </w:numPr>
              <w:spacing w:line="276" w:lineRule="auto"/>
              <w:ind w:left="-20" w:firstLine="116" w:firstLineChars="0"/>
              <w:rPr>
                <w:rFonts w:ascii="宋体" w:hAnsi="宋体" w:cs="宋体"/>
                <w:bCs/>
                <w:color w:val="auto"/>
                <w:kern w:val="0"/>
                <w:szCs w:val="21"/>
              </w:rPr>
            </w:pPr>
            <w:r>
              <w:rPr>
                <w:rFonts w:hint="eastAsia" w:ascii="宋体" w:hAnsi="宋体" w:cs="宋体"/>
                <w:bCs/>
                <w:color w:val="auto"/>
                <w:kern w:val="0"/>
                <w:szCs w:val="21"/>
              </w:rPr>
              <w:t>喷塑钢板：</w:t>
            </w:r>
            <w:r>
              <w:rPr>
                <w:rFonts w:hint="eastAsia" w:ascii="宋体" w:hAnsi="宋体"/>
                <w:bCs/>
                <w:color w:val="auto"/>
                <w:kern w:val="0"/>
                <w:szCs w:val="21"/>
              </w:rPr>
              <w:t>符合</w:t>
            </w:r>
            <w:r>
              <w:rPr>
                <w:rFonts w:hint="eastAsia" w:ascii="宋体" w:hAnsi="宋体" w:cs="宋体"/>
                <w:bCs/>
                <w:color w:val="auto"/>
                <w:kern w:val="0"/>
                <w:szCs w:val="21"/>
              </w:rPr>
              <w:t>GB/T 4340.1-2009、GB/T 3280-2015、GB/T 10125-2012 标准要求的检测报告，其中维氏硬度、壁厚、耐腐蚀（24h，无锈点）。</w:t>
            </w:r>
          </w:p>
          <w:p>
            <w:pPr>
              <w:keepLines/>
              <w:snapToGrid w:val="0"/>
              <w:ind w:left="96"/>
              <w:rPr>
                <w:rFonts w:ascii="宋体" w:hAnsi="宋体" w:cs="宋体"/>
                <w:color w:val="auto"/>
                <w:kern w:val="0"/>
                <w:szCs w:val="21"/>
              </w:rPr>
            </w:pPr>
            <w:r>
              <w:rPr>
                <w:rFonts w:hint="eastAsia" w:ascii="宋体" w:hAnsi="宋体" w:cs="宋体"/>
                <w:b/>
                <w:bCs/>
                <w:color w:val="auto"/>
                <w:szCs w:val="21"/>
              </w:rPr>
              <w:t>注：</w:t>
            </w:r>
            <w:r>
              <w:rPr>
                <w:rFonts w:hint="eastAsia" w:ascii="宋体" w:hAnsi="宋体" w:cs="宋体"/>
                <w:b/>
                <w:color w:val="auto"/>
                <w:szCs w:val="21"/>
              </w:rPr>
              <w:t>检测报告由CMA认证的有资质的第三方检测机构于2021年1月1日以后出具，提供检测报告复印件。</w:t>
            </w:r>
          </w:p>
        </w:tc>
      </w:tr>
      <w:tr>
        <w:tblPrEx>
          <w:tblCellMar>
            <w:top w:w="0" w:type="dxa"/>
            <w:left w:w="30" w:type="dxa"/>
            <w:bottom w:w="0" w:type="dxa"/>
            <w:right w:w="30" w:type="dxa"/>
          </w:tblCellMar>
        </w:tblPrEx>
        <w:trPr>
          <w:trHeight w:val="597" w:hRule="atLeast"/>
        </w:trPr>
        <w:tc>
          <w:tcPr>
            <w:tcW w:w="905" w:type="dxa"/>
            <w:vMerge w:val="continue"/>
            <w:tcBorders>
              <w:top w:val="single" w:color="auto" w:sz="6" w:space="0"/>
              <w:left w:val="single" w:color="auto" w:sz="6" w:space="0"/>
              <w:bottom w:val="single" w:color="auto" w:sz="6" w:space="0"/>
              <w:right w:val="single" w:color="auto" w:sz="6" w:space="0"/>
            </w:tcBorders>
            <w:noWrap w:val="0"/>
            <w:vAlign w:val="center"/>
          </w:tcPr>
          <w:p>
            <w:pPr>
              <w:keepLines/>
              <w:jc w:val="center"/>
              <w:rPr>
                <w:rFonts w:ascii="宋体" w:hAnsi="宋体" w:eastAsia="宋体" w:cs="宋体"/>
                <w:color w:val="auto"/>
                <w:kern w:val="0"/>
                <w:sz w:val="21"/>
                <w:szCs w:val="21"/>
                <w:lang w:val="en-US" w:eastAsia="zh-CN" w:bidi="ar-SA"/>
              </w:rPr>
            </w:pPr>
          </w:p>
        </w:tc>
        <w:tc>
          <w:tcPr>
            <w:tcW w:w="1393" w:type="dxa"/>
            <w:vMerge w:val="continue"/>
            <w:tcBorders>
              <w:top w:val="single" w:color="auto" w:sz="6" w:space="0"/>
              <w:left w:val="single" w:color="auto" w:sz="6" w:space="0"/>
              <w:bottom w:val="single" w:color="auto" w:sz="6" w:space="0"/>
              <w:right w:val="single" w:color="auto" w:sz="4" w:space="0"/>
            </w:tcBorders>
            <w:noWrap w:val="0"/>
            <w:vAlign w:val="center"/>
          </w:tcPr>
          <w:p>
            <w:pPr>
              <w:keepLines/>
              <w:jc w:val="center"/>
              <w:rPr>
                <w:rFonts w:ascii="宋体" w:hAnsi="宋体" w:cs="宋体"/>
                <w:color w:val="auto"/>
                <w:kern w:val="0"/>
                <w:szCs w:val="21"/>
              </w:rPr>
            </w:pPr>
          </w:p>
        </w:tc>
        <w:tc>
          <w:tcPr>
            <w:tcW w:w="426" w:type="dxa"/>
            <w:vMerge w:val="continue"/>
            <w:tcBorders>
              <w:top w:val="single" w:color="auto" w:sz="6" w:space="0"/>
              <w:left w:val="single" w:color="auto" w:sz="4" w:space="0"/>
              <w:bottom w:val="single" w:color="auto" w:sz="6" w:space="0"/>
              <w:right w:val="single" w:color="auto" w:sz="6" w:space="0"/>
            </w:tcBorders>
            <w:noWrap w:val="0"/>
            <w:vAlign w:val="center"/>
          </w:tcPr>
          <w:p>
            <w:pPr>
              <w:keepLines/>
              <w:jc w:val="center"/>
              <w:rPr>
                <w:rFonts w:ascii="宋体" w:hAnsi="宋体" w:cs="宋体"/>
                <w:color w:val="auto"/>
                <w:kern w:val="0"/>
                <w:szCs w:val="21"/>
              </w:rPr>
            </w:pPr>
          </w:p>
        </w:tc>
        <w:tc>
          <w:tcPr>
            <w:tcW w:w="6819" w:type="dxa"/>
            <w:tcBorders>
              <w:top w:val="single" w:color="auto" w:sz="6" w:space="0"/>
              <w:left w:val="single" w:color="auto" w:sz="6" w:space="0"/>
              <w:bottom w:val="single" w:color="auto" w:sz="6" w:space="0"/>
              <w:right w:val="single" w:color="auto" w:sz="6" w:space="0"/>
            </w:tcBorders>
            <w:noWrap w:val="0"/>
            <w:vAlign w:val="center"/>
          </w:tcPr>
          <w:p>
            <w:pPr>
              <w:keepLines/>
              <w:spacing w:line="300" w:lineRule="exact"/>
              <w:rPr>
                <w:rFonts w:hint="eastAsia" w:ascii="宋体" w:hAnsi="宋体" w:cs="宋体"/>
                <w:color w:val="auto"/>
                <w:szCs w:val="21"/>
              </w:rPr>
            </w:pPr>
            <w:r>
              <w:rPr>
                <w:rFonts w:hint="eastAsia" w:ascii="宋体" w:hAnsi="宋体" w:cs="宋体"/>
                <w:color w:val="auto"/>
                <w:szCs w:val="21"/>
              </w:rPr>
              <w:t>二.家具成品检测报告。</w:t>
            </w:r>
          </w:p>
          <w:p>
            <w:pPr>
              <w:pStyle w:val="55"/>
              <w:widowControl/>
              <w:spacing w:line="276" w:lineRule="auto"/>
              <w:ind w:firstLine="0" w:firstLineChars="0"/>
              <w:rPr>
                <w:rFonts w:ascii="宋体" w:hAnsi="宋体"/>
                <w:bCs/>
                <w:color w:val="auto"/>
                <w:kern w:val="0"/>
                <w:szCs w:val="21"/>
              </w:rPr>
            </w:pPr>
            <w:r>
              <w:rPr>
                <w:rFonts w:hint="eastAsia" w:ascii="宋体" w:hAnsi="宋体" w:cs="宋体"/>
                <w:color w:val="auto"/>
                <w:szCs w:val="21"/>
              </w:rPr>
              <w:t>投标人</w:t>
            </w:r>
            <w:r>
              <w:rPr>
                <w:rFonts w:hint="eastAsia" w:ascii="宋体" w:hAnsi="宋体" w:cs="宋体"/>
                <w:b/>
                <w:bCs/>
                <w:color w:val="auto"/>
                <w:szCs w:val="21"/>
              </w:rPr>
              <w:t>满足以下检测结果的每项得1分。</w:t>
            </w:r>
          </w:p>
          <w:p>
            <w:pPr>
              <w:pStyle w:val="74"/>
              <w:widowControl/>
              <w:spacing w:before="0" w:line="400" w:lineRule="atLeast"/>
              <w:ind w:firstLine="0" w:firstLineChars="0"/>
              <w:rPr>
                <w:rFonts w:hint="eastAsia" w:ascii="宋体" w:hAnsi="宋体"/>
                <w:bCs/>
                <w:color w:val="auto"/>
                <w:kern w:val="0"/>
                <w:sz w:val="21"/>
                <w:szCs w:val="21"/>
              </w:rPr>
            </w:pPr>
            <w:r>
              <w:rPr>
                <w:rStyle w:val="75"/>
                <w:rFonts w:ascii="宋体" w:hAnsi="宋体"/>
                <w:color w:val="auto"/>
                <w:szCs w:val="21"/>
              </w:rPr>
              <w:t>1</w:t>
            </w:r>
            <w:r>
              <w:rPr>
                <w:rStyle w:val="75"/>
                <w:rFonts w:hint="eastAsia" w:ascii="宋体" w:hAnsi="宋体"/>
                <w:color w:val="auto"/>
                <w:szCs w:val="21"/>
              </w:rPr>
              <w:t>、办公桌：</w:t>
            </w:r>
            <w:r>
              <w:rPr>
                <w:rFonts w:hint="eastAsia" w:ascii="宋体" w:hAnsi="宋体"/>
                <w:bCs/>
                <w:color w:val="auto"/>
                <w:kern w:val="0"/>
                <w:sz w:val="21"/>
                <w:szCs w:val="21"/>
              </w:rPr>
              <w:t>符合</w:t>
            </w:r>
            <w:r>
              <w:rPr>
                <w:rStyle w:val="75"/>
                <w:rFonts w:ascii="宋体" w:hAnsi="宋体"/>
                <w:color w:val="auto"/>
                <w:szCs w:val="21"/>
              </w:rPr>
              <w:t>GB/T3324-2017</w:t>
            </w:r>
            <w:r>
              <w:rPr>
                <w:rStyle w:val="75"/>
                <w:rFonts w:hint="eastAsia" w:ascii="宋体" w:hAnsi="宋体"/>
                <w:color w:val="auto"/>
                <w:szCs w:val="21"/>
              </w:rPr>
              <w:t>、</w:t>
            </w:r>
            <w:r>
              <w:rPr>
                <w:rStyle w:val="75"/>
                <w:rFonts w:ascii="宋体" w:hAnsi="宋体"/>
                <w:color w:val="auto"/>
                <w:szCs w:val="21"/>
              </w:rPr>
              <w:t>GB18584-2001</w:t>
            </w:r>
            <w:r>
              <w:rPr>
                <w:rStyle w:val="75"/>
                <w:rFonts w:hint="eastAsia" w:ascii="宋体" w:hAnsi="宋体"/>
                <w:color w:val="auto"/>
                <w:szCs w:val="21"/>
              </w:rPr>
              <w:t>、</w:t>
            </w:r>
            <w:r>
              <w:rPr>
                <w:rStyle w:val="75"/>
                <w:rFonts w:ascii="宋体" w:hAnsi="宋体"/>
                <w:color w:val="auto"/>
                <w:szCs w:val="21"/>
              </w:rPr>
              <w:t>QB/T 4371-2012</w:t>
            </w:r>
            <w:r>
              <w:rPr>
                <w:rStyle w:val="75"/>
                <w:rFonts w:hint="eastAsia" w:ascii="宋体" w:hAnsi="宋体"/>
                <w:color w:val="auto"/>
                <w:szCs w:val="21"/>
              </w:rPr>
              <w:t>、</w:t>
            </w:r>
            <w:r>
              <w:rPr>
                <w:rStyle w:val="75"/>
                <w:rFonts w:ascii="宋体" w:hAnsi="宋体"/>
                <w:color w:val="auto"/>
                <w:szCs w:val="21"/>
              </w:rPr>
              <w:t>GB/T 1741-2020</w:t>
            </w:r>
            <w:r>
              <w:rPr>
                <w:rStyle w:val="75"/>
                <w:rFonts w:hint="eastAsia" w:ascii="宋体" w:hAnsi="宋体"/>
                <w:color w:val="auto"/>
                <w:szCs w:val="21"/>
              </w:rPr>
              <w:t>标准要</w:t>
            </w:r>
            <w:r>
              <w:rPr>
                <w:rFonts w:hint="eastAsia" w:ascii="宋体" w:hAnsi="宋体"/>
                <w:bCs/>
                <w:color w:val="auto"/>
                <w:kern w:val="0"/>
                <w:sz w:val="21"/>
                <w:szCs w:val="21"/>
              </w:rPr>
              <w:t>求的检测报告，其中木制件外观、软硬质覆面理化性能：耐污染性能、耐划痕、抗冲击；甲醛释放量（干燥器法），腊叶芽枝霉、大肠杆菌均符合要求。</w:t>
            </w:r>
          </w:p>
          <w:p>
            <w:pPr>
              <w:pStyle w:val="74"/>
              <w:widowControl/>
              <w:spacing w:before="0" w:line="400" w:lineRule="atLeast"/>
              <w:ind w:firstLine="0" w:firstLineChars="0"/>
              <w:rPr>
                <w:rFonts w:hint="eastAsia" w:ascii="宋体" w:hAnsi="宋体"/>
                <w:bCs/>
                <w:color w:val="auto"/>
                <w:kern w:val="0"/>
                <w:sz w:val="21"/>
                <w:szCs w:val="21"/>
              </w:rPr>
            </w:pPr>
            <w:r>
              <w:rPr>
                <w:rFonts w:hint="eastAsia" w:ascii="宋体" w:hAnsi="宋体"/>
                <w:bCs/>
                <w:color w:val="auto"/>
                <w:kern w:val="0"/>
                <w:sz w:val="21"/>
                <w:szCs w:val="21"/>
              </w:rPr>
              <w:t>2、办公椅：符合</w:t>
            </w:r>
            <w:r>
              <w:rPr>
                <w:rFonts w:ascii="宋体" w:hAnsi="宋体"/>
                <w:bCs/>
                <w:color w:val="auto"/>
                <w:kern w:val="0"/>
                <w:sz w:val="21"/>
                <w:szCs w:val="21"/>
              </w:rPr>
              <w:t>QB/T2280-2016</w:t>
            </w:r>
            <w:r>
              <w:rPr>
                <w:rFonts w:hint="eastAsia" w:ascii="宋体" w:hAnsi="宋体"/>
                <w:bCs/>
                <w:color w:val="auto"/>
                <w:kern w:val="0"/>
                <w:sz w:val="21"/>
                <w:szCs w:val="21"/>
              </w:rPr>
              <w:t>、</w:t>
            </w:r>
            <w:r>
              <w:rPr>
                <w:rFonts w:ascii="宋体" w:hAnsi="宋体"/>
                <w:bCs/>
                <w:color w:val="auto"/>
                <w:kern w:val="0"/>
                <w:sz w:val="21"/>
                <w:szCs w:val="21"/>
              </w:rPr>
              <w:t>QB/T 4371-2012</w:t>
            </w:r>
            <w:r>
              <w:rPr>
                <w:rFonts w:hint="eastAsia" w:ascii="宋体" w:hAnsi="宋体"/>
                <w:bCs/>
                <w:color w:val="auto"/>
                <w:kern w:val="0"/>
                <w:sz w:val="21"/>
                <w:szCs w:val="21"/>
              </w:rPr>
              <w:t>、</w:t>
            </w:r>
            <w:r>
              <w:rPr>
                <w:rFonts w:ascii="宋体" w:hAnsi="宋体"/>
                <w:bCs/>
                <w:color w:val="auto"/>
                <w:kern w:val="0"/>
                <w:sz w:val="21"/>
                <w:szCs w:val="21"/>
              </w:rPr>
              <w:t>GB/T 1741-2020</w:t>
            </w:r>
            <w:r>
              <w:rPr>
                <w:rFonts w:hint="eastAsia" w:ascii="宋体" w:hAnsi="宋体"/>
                <w:bCs/>
                <w:color w:val="auto"/>
                <w:kern w:val="0"/>
                <w:sz w:val="21"/>
                <w:szCs w:val="21"/>
              </w:rPr>
              <w:t>标准要求的检测报告，其中外观、扶手水平静载荷、密度、回弹性，甲醛释放量,金黄色葡萄球菌,出芽短梗霉均符合要求。</w:t>
            </w:r>
          </w:p>
          <w:p>
            <w:pPr>
              <w:pStyle w:val="74"/>
              <w:widowControl/>
              <w:spacing w:before="0" w:line="400" w:lineRule="atLeast"/>
              <w:ind w:firstLine="0" w:firstLineChars="0"/>
              <w:rPr>
                <w:rFonts w:hint="eastAsia" w:ascii="宋体" w:hAnsi="宋体"/>
                <w:bCs/>
                <w:color w:val="auto"/>
                <w:kern w:val="0"/>
                <w:sz w:val="21"/>
                <w:szCs w:val="21"/>
              </w:rPr>
            </w:pPr>
            <w:r>
              <w:rPr>
                <w:rFonts w:hint="eastAsia" w:ascii="宋体" w:hAnsi="宋体"/>
                <w:bCs/>
                <w:color w:val="auto"/>
                <w:kern w:val="0"/>
                <w:sz w:val="21"/>
                <w:szCs w:val="21"/>
              </w:rPr>
              <w:t>3、</w:t>
            </w:r>
            <w:r>
              <w:rPr>
                <w:rFonts w:ascii="宋体" w:hAnsi="宋体"/>
                <w:bCs/>
                <w:color w:val="auto"/>
                <w:kern w:val="0"/>
                <w:sz w:val="21"/>
                <w:szCs w:val="21"/>
              </w:rPr>
              <w:t>会议椅：</w:t>
            </w:r>
            <w:r>
              <w:rPr>
                <w:rFonts w:hint="eastAsia" w:ascii="宋体" w:hAnsi="宋体"/>
                <w:bCs/>
                <w:color w:val="auto"/>
                <w:kern w:val="0"/>
                <w:sz w:val="21"/>
                <w:szCs w:val="21"/>
              </w:rPr>
              <w:t>符合</w:t>
            </w:r>
            <w:r>
              <w:rPr>
                <w:rFonts w:ascii="宋体" w:hAnsi="宋体"/>
                <w:bCs/>
                <w:color w:val="auto"/>
                <w:kern w:val="0"/>
                <w:sz w:val="21"/>
                <w:szCs w:val="21"/>
              </w:rPr>
              <w:t>QB/T 4371-2012</w:t>
            </w:r>
            <w:r>
              <w:rPr>
                <w:rFonts w:hint="eastAsia" w:ascii="宋体" w:hAnsi="宋体"/>
                <w:bCs/>
                <w:color w:val="auto"/>
                <w:kern w:val="0"/>
                <w:sz w:val="21"/>
                <w:szCs w:val="21"/>
              </w:rPr>
              <w:t>、</w:t>
            </w:r>
            <w:r>
              <w:rPr>
                <w:rFonts w:ascii="宋体" w:hAnsi="宋体"/>
                <w:bCs/>
                <w:color w:val="auto"/>
                <w:kern w:val="0"/>
                <w:sz w:val="21"/>
                <w:szCs w:val="21"/>
              </w:rPr>
              <w:t>GB/T 1741-2020</w:t>
            </w:r>
            <w:r>
              <w:rPr>
                <w:rFonts w:hint="eastAsia" w:ascii="宋体" w:hAnsi="宋体"/>
                <w:bCs/>
                <w:color w:val="auto"/>
                <w:kern w:val="0"/>
                <w:sz w:val="21"/>
                <w:szCs w:val="21"/>
              </w:rPr>
              <w:t>标准要求的检测报告，其中抗菌性能：金黄色葡萄球菌、大肠埃希氏菌，耐霉菌性：黑曲霉、黄曲霉均符合要求。</w:t>
            </w:r>
            <w:r>
              <w:rPr>
                <w:rFonts w:ascii="宋体" w:hAnsi="宋体"/>
                <w:bCs/>
                <w:color w:val="auto"/>
                <w:kern w:val="0"/>
                <w:sz w:val="21"/>
                <w:szCs w:val="21"/>
              </w:rPr>
              <w:t xml:space="preserve"> </w:t>
            </w:r>
          </w:p>
          <w:p>
            <w:pPr>
              <w:pStyle w:val="74"/>
              <w:widowControl/>
              <w:spacing w:before="0" w:line="400" w:lineRule="atLeast"/>
              <w:ind w:firstLine="0" w:firstLineChars="0"/>
              <w:rPr>
                <w:rFonts w:hint="eastAsia" w:ascii="宋体" w:hAnsi="宋体"/>
                <w:bCs/>
                <w:color w:val="auto"/>
                <w:kern w:val="0"/>
                <w:sz w:val="21"/>
                <w:szCs w:val="21"/>
              </w:rPr>
            </w:pPr>
            <w:r>
              <w:rPr>
                <w:rFonts w:hint="eastAsia" w:ascii="宋体" w:hAnsi="宋体"/>
                <w:bCs/>
                <w:color w:val="auto"/>
                <w:kern w:val="0"/>
                <w:sz w:val="21"/>
                <w:szCs w:val="21"/>
              </w:rPr>
              <w:t>4、</w:t>
            </w:r>
            <w:r>
              <w:rPr>
                <w:rFonts w:ascii="宋体" w:hAnsi="宋体"/>
                <w:bCs/>
                <w:color w:val="auto"/>
                <w:kern w:val="0"/>
                <w:sz w:val="21"/>
                <w:szCs w:val="21"/>
              </w:rPr>
              <w:t>沙发：</w:t>
            </w:r>
            <w:r>
              <w:rPr>
                <w:rFonts w:hint="eastAsia" w:ascii="宋体" w:hAnsi="宋体"/>
                <w:bCs/>
                <w:color w:val="auto"/>
                <w:kern w:val="0"/>
                <w:sz w:val="21"/>
                <w:szCs w:val="21"/>
              </w:rPr>
              <w:t>符合</w:t>
            </w:r>
            <w:r>
              <w:rPr>
                <w:rFonts w:ascii="宋体" w:hAnsi="宋体"/>
                <w:bCs/>
                <w:color w:val="auto"/>
                <w:kern w:val="0"/>
                <w:sz w:val="21"/>
                <w:szCs w:val="21"/>
              </w:rPr>
              <w:t>QB/T 4371-2012</w:t>
            </w:r>
            <w:r>
              <w:rPr>
                <w:rFonts w:hint="eastAsia" w:ascii="宋体" w:hAnsi="宋体"/>
                <w:bCs/>
                <w:color w:val="auto"/>
                <w:kern w:val="0"/>
                <w:sz w:val="21"/>
                <w:szCs w:val="21"/>
              </w:rPr>
              <w:t>、</w:t>
            </w:r>
            <w:r>
              <w:rPr>
                <w:rFonts w:ascii="宋体" w:hAnsi="宋体"/>
                <w:bCs/>
                <w:color w:val="auto"/>
                <w:kern w:val="0"/>
                <w:sz w:val="21"/>
                <w:szCs w:val="21"/>
              </w:rPr>
              <w:t>GB/T 1741-2020</w:t>
            </w:r>
            <w:r>
              <w:rPr>
                <w:rFonts w:hint="eastAsia" w:ascii="宋体" w:hAnsi="宋体"/>
                <w:bCs/>
                <w:color w:val="auto"/>
                <w:kern w:val="0"/>
                <w:sz w:val="21"/>
                <w:szCs w:val="21"/>
              </w:rPr>
              <w:t>标准要求的检测报告，其中抗菌性能：肺炎克雷伯氏菌、白色念珠菌，耐霉菌性：绳状青霉、宛氏拟青霉均符合要求。</w:t>
            </w:r>
            <w:r>
              <w:rPr>
                <w:rFonts w:ascii="宋体" w:hAnsi="宋体"/>
                <w:bCs/>
                <w:color w:val="auto"/>
                <w:kern w:val="0"/>
                <w:sz w:val="21"/>
                <w:szCs w:val="21"/>
              </w:rPr>
              <w:t xml:space="preserve"> </w:t>
            </w:r>
          </w:p>
          <w:p>
            <w:pPr>
              <w:pStyle w:val="74"/>
              <w:widowControl/>
              <w:spacing w:before="0" w:line="400" w:lineRule="atLeast"/>
              <w:ind w:firstLine="0" w:firstLineChars="0"/>
              <w:rPr>
                <w:rFonts w:hint="eastAsia" w:ascii="宋体" w:hAnsi="宋体"/>
                <w:bCs/>
                <w:color w:val="auto"/>
                <w:kern w:val="0"/>
                <w:sz w:val="21"/>
                <w:szCs w:val="21"/>
              </w:rPr>
            </w:pPr>
            <w:r>
              <w:rPr>
                <w:rFonts w:hint="eastAsia" w:ascii="宋体" w:hAnsi="宋体"/>
                <w:bCs/>
                <w:color w:val="auto"/>
                <w:kern w:val="0"/>
                <w:sz w:val="21"/>
                <w:szCs w:val="21"/>
              </w:rPr>
              <w:t>5、餐桌</w:t>
            </w:r>
            <w:r>
              <w:rPr>
                <w:rFonts w:ascii="宋体" w:hAnsi="宋体"/>
                <w:bCs/>
                <w:color w:val="auto"/>
                <w:kern w:val="0"/>
                <w:sz w:val="21"/>
                <w:szCs w:val="21"/>
              </w:rPr>
              <w:t>：</w:t>
            </w:r>
            <w:r>
              <w:rPr>
                <w:rFonts w:hint="eastAsia" w:ascii="宋体" w:hAnsi="宋体"/>
                <w:bCs/>
                <w:color w:val="auto"/>
                <w:kern w:val="0"/>
                <w:sz w:val="21"/>
                <w:szCs w:val="21"/>
              </w:rPr>
              <w:t>符合</w:t>
            </w:r>
            <w:r>
              <w:rPr>
                <w:rFonts w:ascii="宋体" w:hAnsi="宋体"/>
                <w:bCs/>
                <w:color w:val="auto"/>
                <w:kern w:val="0"/>
                <w:sz w:val="21"/>
                <w:szCs w:val="21"/>
              </w:rPr>
              <w:t>GB18584-2001</w:t>
            </w:r>
            <w:r>
              <w:rPr>
                <w:rFonts w:hint="eastAsia" w:ascii="宋体" w:hAnsi="宋体"/>
                <w:bCs/>
                <w:color w:val="auto"/>
                <w:kern w:val="0"/>
                <w:sz w:val="21"/>
                <w:szCs w:val="21"/>
              </w:rPr>
              <w:t>、</w:t>
            </w:r>
            <w:r>
              <w:rPr>
                <w:rFonts w:ascii="宋体" w:hAnsi="宋体"/>
                <w:bCs/>
                <w:color w:val="auto"/>
                <w:kern w:val="0"/>
                <w:sz w:val="21"/>
                <w:szCs w:val="21"/>
              </w:rPr>
              <w:t>GB/T3324-2017</w:t>
            </w:r>
            <w:r>
              <w:rPr>
                <w:rFonts w:hint="eastAsia" w:ascii="宋体" w:hAnsi="宋体"/>
                <w:bCs/>
                <w:color w:val="auto"/>
                <w:kern w:val="0"/>
                <w:sz w:val="21"/>
                <w:szCs w:val="21"/>
              </w:rPr>
              <w:t>、</w:t>
            </w:r>
            <w:r>
              <w:rPr>
                <w:rFonts w:ascii="宋体" w:hAnsi="宋体"/>
                <w:bCs/>
                <w:color w:val="auto"/>
                <w:kern w:val="0"/>
                <w:sz w:val="21"/>
                <w:szCs w:val="21"/>
              </w:rPr>
              <w:t>QB/T4371-2012</w:t>
            </w:r>
            <w:r>
              <w:rPr>
                <w:rFonts w:hint="eastAsia" w:ascii="宋体" w:hAnsi="宋体"/>
                <w:bCs/>
                <w:color w:val="auto"/>
                <w:kern w:val="0"/>
                <w:sz w:val="21"/>
                <w:szCs w:val="21"/>
              </w:rPr>
              <w:t>、</w:t>
            </w:r>
            <w:r>
              <w:rPr>
                <w:rFonts w:ascii="宋体" w:hAnsi="宋体"/>
                <w:bCs/>
                <w:color w:val="auto"/>
                <w:kern w:val="0"/>
                <w:sz w:val="21"/>
                <w:szCs w:val="21"/>
              </w:rPr>
              <w:t>GB/T 1741-2020</w:t>
            </w:r>
            <w:r>
              <w:rPr>
                <w:rFonts w:hint="eastAsia" w:ascii="宋体" w:hAnsi="宋体"/>
                <w:bCs/>
                <w:color w:val="auto"/>
                <w:kern w:val="0"/>
                <w:sz w:val="21"/>
                <w:szCs w:val="21"/>
              </w:rPr>
              <w:t>标准要求的检测报告，其中含水率、漆膜表面理化性能：耐干热、附着力、抗冲击；甲醛释放量（干燥器法），金黄色葡萄球菌；绿色木霉均符合要求。</w:t>
            </w:r>
            <w:r>
              <w:rPr>
                <w:rFonts w:ascii="宋体" w:hAnsi="宋体"/>
                <w:bCs/>
                <w:color w:val="auto"/>
                <w:kern w:val="0"/>
                <w:sz w:val="21"/>
                <w:szCs w:val="21"/>
              </w:rPr>
              <w:t xml:space="preserve"> </w:t>
            </w:r>
          </w:p>
          <w:p>
            <w:pPr>
              <w:pStyle w:val="74"/>
              <w:widowControl/>
              <w:spacing w:before="0" w:line="400" w:lineRule="atLeast"/>
              <w:ind w:firstLine="0" w:firstLineChars="0"/>
              <w:rPr>
                <w:rFonts w:hint="eastAsia" w:ascii="宋体" w:hAnsi="宋体"/>
                <w:bCs/>
                <w:color w:val="auto"/>
                <w:kern w:val="0"/>
                <w:sz w:val="21"/>
                <w:szCs w:val="21"/>
              </w:rPr>
            </w:pPr>
            <w:r>
              <w:rPr>
                <w:rFonts w:hint="eastAsia" w:ascii="宋体" w:hAnsi="宋体"/>
                <w:bCs/>
                <w:color w:val="auto"/>
                <w:kern w:val="0"/>
                <w:sz w:val="21"/>
                <w:szCs w:val="21"/>
              </w:rPr>
              <w:t>6、床：依据</w:t>
            </w:r>
            <w:r>
              <w:rPr>
                <w:rFonts w:ascii="宋体" w:hAnsi="宋体"/>
                <w:bCs/>
                <w:color w:val="auto"/>
                <w:kern w:val="0"/>
                <w:sz w:val="21"/>
                <w:szCs w:val="21"/>
              </w:rPr>
              <w:t>GB/T3324-2017</w:t>
            </w:r>
            <w:r>
              <w:rPr>
                <w:rFonts w:hint="eastAsia" w:ascii="宋体" w:hAnsi="宋体"/>
                <w:bCs/>
                <w:color w:val="auto"/>
                <w:kern w:val="0"/>
                <w:sz w:val="21"/>
                <w:szCs w:val="21"/>
              </w:rPr>
              <w:t>、</w:t>
            </w:r>
            <w:r>
              <w:rPr>
                <w:rFonts w:ascii="宋体" w:hAnsi="宋体"/>
                <w:bCs/>
                <w:color w:val="auto"/>
                <w:kern w:val="0"/>
                <w:sz w:val="21"/>
                <w:szCs w:val="21"/>
              </w:rPr>
              <w:t>GB18584-2001</w:t>
            </w:r>
            <w:r>
              <w:rPr>
                <w:rFonts w:hint="eastAsia" w:ascii="宋体" w:hAnsi="宋体"/>
                <w:bCs/>
                <w:color w:val="auto"/>
                <w:kern w:val="0"/>
                <w:sz w:val="21"/>
                <w:szCs w:val="21"/>
              </w:rPr>
              <w:t>、</w:t>
            </w:r>
            <w:r>
              <w:rPr>
                <w:rFonts w:ascii="宋体" w:hAnsi="宋体"/>
                <w:bCs/>
                <w:color w:val="auto"/>
                <w:kern w:val="0"/>
                <w:sz w:val="21"/>
                <w:szCs w:val="21"/>
              </w:rPr>
              <w:t>QB/T 4371-2012</w:t>
            </w:r>
            <w:r>
              <w:rPr>
                <w:rFonts w:hint="eastAsia" w:ascii="宋体" w:hAnsi="宋体"/>
                <w:bCs/>
                <w:color w:val="auto"/>
                <w:kern w:val="0"/>
                <w:sz w:val="21"/>
                <w:szCs w:val="21"/>
              </w:rPr>
              <w:t>、</w:t>
            </w:r>
            <w:r>
              <w:rPr>
                <w:rFonts w:ascii="宋体" w:hAnsi="宋体"/>
                <w:bCs/>
                <w:color w:val="auto"/>
                <w:kern w:val="0"/>
                <w:sz w:val="21"/>
                <w:szCs w:val="21"/>
              </w:rPr>
              <w:t>GB/T 1741-2020</w:t>
            </w:r>
            <w:r>
              <w:rPr>
                <w:rFonts w:hint="eastAsia" w:ascii="宋体" w:hAnsi="宋体"/>
                <w:bCs/>
                <w:color w:val="auto"/>
                <w:kern w:val="0"/>
                <w:sz w:val="21"/>
                <w:szCs w:val="21"/>
              </w:rPr>
              <w:t>标准要求的检测报告，其中外观、漆膜理化性能：附着力，耐干热；甲醛释放量（干燥器法)、 床铺面均布静载荷试验、床屏水平静载荷试验,金黄色葡萄球菌,绿色木霉均符合要求。</w:t>
            </w:r>
          </w:p>
          <w:p>
            <w:pPr>
              <w:pStyle w:val="74"/>
              <w:widowControl/>
              <w:spacing w:before="0" w:line="400" w:lineRule="atLeast"/>
              <w:ind w:firstLine="0" w:firstLineChars="0"/>
              <w:rPr>
                <w:rFonts w:ascii="宋体" w:hAnsi="宋体" w:cs="宋体"/>
                <w:color w:val="auto"/>
                <w:kern w:val="0"/>
                <w:sz w:val="21"/>
                <w:szCs w:val="21"/>
              </w:rPr>
            </w:pPr>
            <w:r>
              <w:rPr>
                <w:rFonts w:hint="eastAsia" w:ascii="宋体" w:hAnsi="宋体" w:cs="宋体"/>
                <w:b/>
                <w:bCs/>
                <w:color w:val="auto"/>
                <w:sz w:val="21"/>
                <w:szCs w:val="21"/>
              </w:rPr>
              <w:t>注：</w:t>
            </w:r>
            <w:r>
              <w:rPr>
                <w:rFonts w:hint="eastAsia" w:ascii="宋体" w:hAnsi="宋体" w:cs="宋体"/>
                <w:b/>
                <w:color w:val="auto"/>
                <w:sz w:val="21"/>
                <w:szCs w:val="21"/>
              </w:rPr>
              <w:t>检测报告由CMA认证的有资质的第三方检测机构于2021年1月1日以后出具，提供检测报告复印件。</w:t>
            </w:r>
          </w:p>
        </w:tc>
      </w:tr>
      <w:tr>
        <w:tblPrEx>
          <w:tblCellMar>
            <w:top w:w="0" w:type="dxa"/>
            <w:left w:w="30" w:type="dxa"/>
            <w:bottom w:w="0" w:type="dxa"/>
            <w:right w:w="30" w:type="dxa"/>
          </w:tblCellMar>
        </w:tblPrEx>
        <w:trPr>
          <w:trHeight w:val="1527" w:hRule="atLeast"/>
        </w:trPr>
        <w:tc>
          <w:tcPr>
            <w:tcW w:w="905" w:type="dxa"/>
            <w:tcBorders>
              <w:top w:val="single" w:color="auto" w:sz="6" w:space="0"/>
              <w:left w:val="single" w:color="auto" w:sz="6" w:space="0"/>
              <w:bottom w:val="single" w:color="auto" w:sz="6" w:space="0"/>
              <w:right w:val="single" w:color="auto" w:sz="6" w:space="0"/>
            </w:tcBorders>
            <w:noWrap w:val="0"/>
            <w:vAlign w:val="center"/>
          </w:tcPr>
          <w:p>
            <w:pPr>
              <w:keepLines/>
              <w:jc w:val="center"/>
              <w:rPr>
                <w:rFonts w:hint="eastAsia" w:ascii="宋体" w:hAnsi="宋体" w:eastAsia="宋体" w:cs="宋体"/>
                <w:color w:val="auto"/>
                <w:kern w:val="0"/>
                <w:szCs w:val="21"/>
                <w:lang w:val="en-US" w:eastAsia="zh-CN"/>
              </w:rPr>
            </w:pPr>
            <w:r>
              <w:rPr>
                <w:rFonts w:hint="eastAsia" w:ascii="宋体" w:hAnsi="宋体" w:cs="宋体"/>
                <w:color w:val="auto"/>
                <w:kern w:val="0"/>
                <w:szCs w:val="21"/>
                <w:lang w:val="en-US" w:eastAsia="zh-CN"/>
              </w:rPr>
              <w:t>7</w:t>
            </w:r>
          </w:p>
        </w:tc>
        <w:tc>
          <w:tcPr>
            <w:tcW w:w="1393" w:type="dxa"/>
            <w:tcBorders>
              <w:top w:val="single" w:color="auto" w:sz="6" w:space="0"/>
              <w:left w:val="single" w:color="auto" w:sz="6" w:space="0"/>
              <w:bottom w:val="single" w:color="auto" w:sz="6" w:space="0"/>
              <w:right w:val="single" w:color="auto" w:sz="4" w:space="0"/>
            </w:tcBorders>
            <w:noWrap w:val="0"/>
            <w:vAlign w:val="center"/>
          </w:tcPr>
          <w:p>
            <w:pPr>
              <w:keepLines/>
              <w:jc w:val="center"/>
              <w:rPr>
                <w:rFonts w:ascii="宋体" w:hAnsi="宋体" w:cs="宋体"/>
                <w:color w:val="auto"/>
                <w:kern w:val="0"/>
                <w:szCs w:val="21"/>
              </w:rPr>
            </w:pPr>
            <w:r>
              <w:rPr>
                <w:rFonts w:hint="eastAsia" w:ascii="宋体" w:hAnsi="宋体" w:cs="宋体"/>
                <w:color w:val="auto"/>
                <w:szCs w:val="21"/>
              </w:rPr>
              <w:t>小样</w:t>
            </w:r>
            <w:r>
              <w:rPr>
                <w:rFonts w:hint="eastAsia" w:ascii="宋体" w:hAnsi="宋体" w:cs="宋体"/>
                <w:color w:val="auto"/>
                <w:szCs w:val="21"/>
                <w:lang w:eastAsia="zh-CN"/>
              </w:rPr>
              <w:t>及视频演示</w:t>
            </w:r>
          </w:p>
        </w:tc>
        <w:tc>
          <w:tcPr>
            <w:tcW w:w="426" w:type="dxa"/>
            <w:tcBorders>
              <w:top w:val="single" w:color="auto" w:sz="6" w:space="0"/>
              <w:left w:val="single" w:color="auto" w:sz="4" w:space="0"/>
              <w:bottom w:val="single" w:color="auto" w:sz="6" w:space="0"/>
              <w:right w:val="single" w:color="auto" w:sz="6" w:space="0"/>
            </w:tcBorders>
            <w:noWrap w:val="0"/>
            <w:vAlign w:val="center"/>
          </w:tcPr>
          <w:p>
            <w:pPr>
              <w:keepLines/>
              <w:jc w:val="center"/>
              <w:rPr>
                <w:rFonts w:hint="eastAsia" w:ascii="宋体" w:hAnsi="宋体" w:eastAsia="宋体" w:cs="宋体"/>
                <w:color w:val="auto"/>
                <w:kern w:val="0"/>
                <w:szCs w:val="21"/>
                <w:lang w:eastAsia="zh-CN"/>
              </w:rPr>
            </w:pPr>
            <w:r>
              <w:rPr>
                <w:rFonts w:hint="eastAsia" w:ascii="宋体" w:hAnsi="宋体" w:cs="宋体"/>
                <w:color w:val="auto"/>
                <w:kern w:val="0"/>
                <w:szCs w:val="21"/>
              </w:rPr>
              <w:t>1</w:t>
            </w:r>
            <w:r>
              <w:rPr>
                <w:rFonts w:hint="eastAsia" w:ascii="宋体" w:hAnsi="宋体" w:cs="宋体"/>
                <w:color w:val="auto"/>
                <w:kern w:val="0"/>
                <w:szCs w:val="21"/>
                <w:lang w:val="en-US" w:eastAsia="zh-CN"/>
              </w:rPr>
              <w:t>6</w:t>
            </w:r>
          </w:p>
        </w:tc>
        <w:tc>
          <w:tcPr>
            <w:tcW w:w="6819" w:type="dxa"/>
            <w:tcBorders>
              <w:top w:val="single" w:color="auto" w:sz="6" w:space="0"/>
              <w:left w:val="single" w:color="auto" w:sz="6" w:space="0"/>
              <w:bottom w:val="single" w:color="auto" w:sz="6" w:space="0"/>
              <w:right w:val="single" w:color="auto" w:sz="6" w:space="0"/>
            </w:tcBorders>
            <w:noWrap w:val="0"/>
            <w:vAlign w:val="center"/>
          </w:tcPr>
          <w:p>
            <w:pPr>
              <w:keepLines/>
              <w:rPr>
                <w:color w:val="auto"/>
              </w:rPr>
            </w:pPr>
            <w:r>
              <w:rPr>
                <w:rFonts w:hint="eastAsia"/>
                <w:color w:val="auto"/>
              </w:rPr>
              <w:t>小样提供：</w:t>
            </w:r>
          </w:p>
          <w:p>
            <w:pPr>
              <w:keepLines/>
              <w:jc w:val="left"/>
              <w:rPr>
                <w:rFonts w:hint="eastAsia"/>
                <w:color w:val="auto"/>
                <w:lang w:eastAsia="zh-CN"/>
              </w:rPr>
            </w:pPr>
            <w:r>
              <w:rPr>
                <w:rFonts w:hint="eastAsia"/>
                <w:color w:val="auto"/>
                <w:lang w:eastAsia="zh-CN"/>
              </w:rPr>
              <w:t>供应商以邮寄形式提供小样，</w:t>
            </w:r>
            <w:r>
              <w:rPr>
                <w:rFonts w:hint="eastAsia"/>
                <w:color w:val="auto"/>
              </w:rPr>
              <w:t>评标委员会根据投标人提供的实物小样（具体要求详见小样清单），从外观、材质、制造工艺、喷涂工艺等方面进行综合打分(如提供的小样不全、</w:t>
            </w:r>
            <w:r>
              <w:rPr>
                <w:rFonts w:hint="eastAsia"/>
                <w:color w:val="auto"/>
                <w:lang w:eastAsia="zh-CN"/>
              </w:rPr>
              <w:t>尺寸偏离较大或与招标文件要求差别较大，评标委员会酌情扣分，共六分，每缺一种小样，扣</w:t>
            </w:r>
            <w:r>
              <w:rPr>
                <w:rFonts w:hint="eastAsia"/>
                <w:color w:val="auto"/>
                <w:lang w:val="en-US" w:eastAsia="zh-CN"/>
              </w:rPr>
              <w:t>2</w:t>
            </w:r>
            <w:r>
              <w:rPr>
                <w:rFonts w:hint="eastAsia"/>
                <w:color w:val="auto"/>
                <w:lang w:eastAsia="zh-CN"/>
              </w:rPr>
              <w:t>分)。</w:t>
            </w:r>
          </w:p>
          <w:p>
            <w:pPr>
              <w:keepLines/>
              <w:jc w:val="left"/>
              <w:rPr>
                <w:rFonts w:hint="eastAsia"/>
                <w:color w:val="auto"/>
                <w:lang w:eastAsia="zh-CN"/>
              </w:rPr>
            </w:pPr>
          </w:p>
          <w:p>
            <w:pPr>
              <w:keepLines/>
              <w:jc w:val="left"/>
              <w:rPr>
                <w:rFonts w:hint="eastAsia"/>
                <w:color w:val="auto"/>
                <w:lang w:eastAsia="zh-CN"/>
              </w:rPr>
            </w:pPr>
            <w:r>
              <w:rPr>
                <w:rFonts w:hint="eastAsia"/>
                <w:color w:val="auto"/>
                <w:lang w:eastAsia="zh-CN"/>
              </w:rPr>
              <w:t>视频演示样品提供：</w:t>
            </w:r>
          </w:p>
          <w:p>
            <w:pPr>
              <w:keepLines/>
              <w:jc w:val="left"/>
              <w:rPr>
                <w:rFonts w:hint="default"/>
                <w:color w:val="auto"/>
                <w:lang w:val="en-US" w:eastAsia="zh-CN"/>
              </w:rPr>
            </w:pPr>
            <w:r>
              <w:rPr>
                <w:rFonts w:hint="eastAsia"/>
                <w:color w:val="auto"/>
                <w:lang w:eastAsia="zh-CN"/>
              </w:rPr>
              <w:t>供应商以电子邮件形式提供样品演示视频（具体要求详见视频演示样品清单），</w:t>
            </w:r>
            <w:r>
              <w:rPr>
                <w:rFonts w:hint="eastAsia"/>
                <w:color w:val="auto"/>
                <w:lang w:val="en-US" w:eastAsia="zh-CN"/>
              </w:rPr>
              <w:t>样品的演示视频并对下述方面进行讲解。</w:t>
            </w:r>
          </w:p>
          <w:p>
            <w:pPr>
              <w:keepLines/>
              <w:jc w:val="left"/>
              <w:rPr>
                <w:rFonts w:hint="eastAsia"/>
                <w:color w:val="auto"/>
                <w:lang w:val="en-US" w:eastAsia="zh-CN"/>
              </w:rPr>
            </w:pPr>
            <w:r>
              <w:rPr>
                <w:rFonts w:hint="eastAsia"/>
                <w:color w:val="auto"/>
                <w:lang w:val="en-US" w:eastAsia="zh-CN"/>
              </w:rPr>
              <w:t>根据供应商所提供视频样品的材质、尺寸、工艺、质量、安全性、耐用性、产品的涂饰、油漆工艺制作水平&lt;表面平整度、光泽度、加工痕迹、划痕、白点、鼓泡、油臼、流挂、缩孔、刷毛、积粉和杂渣&gt;、舒适性、款式、美观性进行打分。</w:t>
            </w:r>
          </w:p>
          <w:p>
            <w:pPr>
              <w:keepLines/>
              <w:jc w:val="left"/>
              <w:rPr>
                <w:rFonts w:hint="default"/>
                <w:color w:val="auto"/>
                <w:lang w:val="en-US" w:eastAsia="zh-CN"/>
              </w:rPr>
            </w:pPr>
            <w:r>
              <w:rPr>
                <w:rFonts w:hint="eastAsia"/>
                <w:color w:val="auto"/>
                <w:lang w:val="en-US" w:eastAsia="zh-CN"/>
              </w:rPr>
              <w:t>要求产品尽可能安全性高、质量好、耐用性高，产品尺寸及款式与招标文件的响应程度高，产品的涂饰、油漆工艺制作水平高，产品五金件质量好，产品具有先进性、成熟性，舒适性好，可维护性高，设计美观，评审小组在2~10分中打分。</w:t>
            </w:r>
          </w:p>
          <w:p>
            <w:pPr>
              <w:keepLines/>
              <w:jc w:val="left"/>
              <w:rPr>
                <w:rFonts w:hint="eastAsia"/>
                <w:color w:val="auto"/>
                <w:lang w:val="en-US" w:eastAsia="zh-CN"/>
              </w:rPr>
            </w:pPr>
            <w:r>
              <w:rPr>
                <w:rFonts w:hint="eastAsia"/>
                <w:color w:val="auto"/>
                <w:lang w:val="en-US" w:eastAsia="zh-CN"/>
              </w:rPr>
              <w:t>视频提供不全、清晰度过低、展示内容不充分的，得 2 分，未提供样品视频的不得分。</w:t>
            </w:r>
          </w:p>
          <w:p>
            <w:pPr>
              <w:keepLines/>
              <w:jc w:val="left"/>
              <w:rPr>
                <w:rFonts w:hint="eastAsia"/>
                <w:color w:val="auto"/>
                <w:lang w:eastAsia="zh-CN"/>
              </w:rPr>
            </w:pPr>
            <w:r>
              <w:rPr>
                <w:rFonts w:hint="eastAsia"/>
                <w:color w:val="auto"/>
                <w:lang w:val="en-US" w:eastAsia="zh-CN"/>
              </w:rPr>
              <w:t>评标委员会针对各响应文件划分档次，比较打分。</w:t>
            </w:r>
          </w:p>
        </w:tc>
      </w:tr>
      <w:tr>
        <w:tblPrEx>
          <w:tblCellMar>
            <w:top w:w="0" w:type="dxa"/>
            <w:left w:w="30" w:type="dxa"/>
            <w:bottom w:w="0" w:type="dxa"/>
            <w:right w:w="30" w:type="dxa"/>
          </w:tblCellMar>
        </w:tblPrEx>
        <w:trPr>
          <w:trHeight w:val="506" w:hRule="atLeast"/>
        </w:trPr>
        <w:tc>
          <w:tcPr>
            <w:tcW w:w="2298" w:type="dxa"/>
            <w:gridSpan w:val="2"/>
            <w:tcBorders>
              <w:top w:val="single" w:color="auto" w:sz="6" w:space="0"/>
              <w:left w:val="single" w:color="auto" w:sz="6" w:space="0"/>
              <w:bottom w:val="single" w:color="auto" w:sz="6" w:space="0"/>
              <w:right w:val="single" w:color="auto" w:sz="4" w:space="0"/>
            </w:tcBorders>
            <w:noWrap w:val="0"/>
            <w:vAlign w:val="center"/>
          </w:tcPr>
          <w:p>
            <w:pPr>
              <w:keepLines/>
              <w:jc w:val="center"/>
              <w:rPr>
                <w:rFonts w:ascii="宋体" w:hAnsi="宋体" w:cs="宋体"/>
                <w:color w:val="auto"/>
                <w:szCs w:val="21"/>
              </w:rPr>
            </w:pPr>
            <w:r>
              <w:rPr>
                <w:rFonts w:hint="eastAsia" w:ascii="宋体" w:hAnsi="宋体" w:cs="宋体"/>
                <w:color w:val="auto"/>
                <w:szCs w:val="21"/>
              </w:rPr>
              <w:t>合计</w:t>
            </w:r>
          </w:p>
        </w:tc>
        <w:tc>
          <w:tcPr>
            <w:tcW w:w="426" w:type="dxa"/>
            <w:tcBorders>
              <w:top w:val="single" w:color="auto" w:sz="6" w:space="0"/>
              <w:left w:val="single" w:color="auto" w:sz="4" w:space="0"/>
              <w:bottom w:val="single" w:color="auto" w:sz="6" w:space="0"/>
              <w:right w:val="single" w:color="auto" w:sz="6" w:space="0"/>
            </w:tcBorders>
            <w:noWrap w:val="0"/>
            <w:vAlign w:val="center"/>
          </w:tcPr>
          <w:p>
            <w:pPr>
              <w:keepLines/>
              <w:jc w:val="center"/>
              <w:rPr>
                <w:rFonts w:ascii="宋体" w:hAnsi="宋体" w:cs="宋体"/>
                <w:color w:val="auto"/>
                <w:kern w:val="0"/>
                <w:szCs w:val="21"/>
              </w:rPr>
            </w:pPr>
            <w:r>
              <w:rPr>
                <w:rFonts w:ascii="宋体" w:hAnsi="宋体" w:cs="宋体"/>
                <w:color w:val="auto"/>
                <w:kern w:val="0"/>
                <w:szCs w:val="21"/>
              </w:rPr>
              <w:fldChar w:fldCharType="begin"/>
            </w:r>
            <w:r>
              <w:rPr>
                <w:rFonts w:ascii="宋体" w:hAnsi="宋体" w:cs="宋体"/>
                <w:color w:val="auto"/>
                <w:kern w:val="0"/>
                <w:szCs w:val="21"/>
              </w:rPr>
              <w:instrText xml:space="preserve"> =SUM(ABOVE) </w:instrText>
            </w:r>
            <w:r>
              <w:rPr>
                <w:rFonts w:ascii="宋体" w:hAnsi="宋体" w:cs="宋体"/>
                <w:color w:val="auto"/>
                <w:kern w:val="0"/>
                <w:szCs w:val="21"/>
              </w:rPr>
              <w:fldChar w:fldCharType="separate"/>
            </w:r>
            <w:r>
              <w:rPr>
                <w:rFonts w:ascii="宋体" w:hAnsi="宋体" w:cs="宋体"/>
                <w:color w:val="auto"/>
                <w:kern w:val="0"/>
                <w:szCs w:val="21"/>
              </w:rPr>
              <w:t>6</w:t>
            </w:r>
            <w:r>
              <w:rPr>
                <w:rFonts w:hint="eastAsia" w:ascii="宋体" w:hAnsi="宋体" w:cs="宋体"/>
                <w:color w:val="auto"/>
                <w:kern w:val="0"/>
                <w:szCs w:val="21"/>
                <w:lang w:val="en-US" w:eastAsia="zh-CN"/>
              </w:rPr>
              <w:t>0</w:t>
            </w:r>
            <w:r>
              <w:rPr>
                <w:rFonts w:ascii="宋体" w:hAnsi="宋体" w:cs="宋体"/>
                <w:color w:val="auto"/>
                <w:kern w:val="0"/>
                <w:szCs w:val="21"/>
              </w:rPr>
              <w:fldChar w:fldCharType="end"/>
            </w:r>
          </w:p>
        </w:tc>
        <w:tc>
          <w:tcPr>
            <w:tcW w:w="6819" w:type="dxa"/>
            <w:tcBorders>
              <w:top w:val="single" w:color="auto" w:sz="6" w:space="0"/>
              <w:left w:val="single" w:color="auto" w:sz="6" w:space="0"/>
              <w:bottom w:val="single" w:color="auto" w:sz="6" w:space="0"/>
              <w:right w:val="single" w:color="auto" w:sz="6" w:space="0"/>
            </w:tcBorders>
            <w:noWrap w:val="0"/>
            <w:vAlign w:val="center"/>
          </w:tcPr>
          <w:p>
            <w:pPr>
              <w:keepLines/>
              <w:rPr>
                <w:rFonts w:ascii="宋体" w:hAnsi="宋体" w:cs="宋体"/>
                <w:color w:val="auto"/>
                <w:szCs w:val="21"/>
              </w:rPr>
            </w:pPr>
          </w:p>
        </w:tc>
      </w:tr>
    </w:tbl>
    <w:p>
      <w:pPr>
        <w:pStyle w:val="2"/>
        <w:spacing w:before="0" w:after="0" w:line="579" w:lineRule="auto"/>
        <w:jc w:val="both"/>
        <w:rPr>
          <w:rFonts w:hint="eastAsia"/>
          <w:sz w:val="36"/>
          <w:szCs w:val="36"/>
          <w:lang w:eastAsia="zh-CN"/>
        </w:rPr>
      </w:pPr>
    </w:p>
    <w:p>
      <w:pPr>
        <w:pStyle w:val="2"/>
        <w:spacing w:before="0" w:after="0" w:line="240" w:lineRule="auto"/>
        <w:jc w:val="both"/>
        <w:rPr>
          <w:rFonts w:hint="eastAsia"/>
          <w:lang w:eastAsia="zh-CN"/>
        </w:rPr>
      </w:pPr>
      <w:r>
        <w:rPr>
          <w:rFonts w:hint="eastAsia"/>
          <w:sz w:val="32"/>
          <w:szCs w:val="32"/>
          <w:lang w:eastAsia="zh-CN"/>
        </w:rPr>
        <w:t>小样清单及视频演示样品清单：</w:t>
      </w:r>
    </w:p>
    <w:p>
      <w:pPr>
        <w:rPr>
          <w:rFonts w:hint="eastAsia"/>
          <w:lang w:eastAsia="zh-CN"/>
        </w:rPr>
      </w:pPr>
    </w:p>
    <w:tbl>
      <w:tblPr>
        <w:tblStyle w:val="30"/>
        <w:tblW w:w="1049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34"/>
        <w:gridCol w:w="2537"/>
        <w:gridCol w:w="1241"/>
        <w:gridCol w:w="5495"/>
        <w:gridCol w:w="49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0" w:hRule="atLeast"/>
          <w:jc w:val="center"/>
        </w:trPr>
        <w:tc>
          <w:tcPr>
            <w:tcW w:w="10498"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ascii="等线" w:hAnsi="等线" w:eastAsia="等线" w:cs="等线"/>
                <w:b/>
                <w:bCs/>
                <w:i w:val="0"/>
                <w:iCs w:val="0"/>
                <w:color w:val="000000"/>
                <w:sz w:val="28"/>
                <w:szCs w:val="28"/>
                <w:u w:val="none"/>
              </w:rPr>
            </w:pPr>
            <w:r>
              <w:rPr>
                <w:rFonts w:hint="eastAsia" w:ascii="等线" w:hAnsi="等线" w:eastAsia="等线" w:cs="等线"/>
                <w:b/>
                <w:bCs/>
                <w:i w:val="0"/>
                <w:iCs w:val="0"/>
                <w:color w:val="000000"/>
                <w:kern w:val="0"/>
                <w:sz w:val="28"/>
                <w:szCs w:val="28"/>
                <w:u w:val="none"/>
                <w:lang w:val="en-US" w:eastAsia="zh-CN" w:bidi="ar"/>
              </w:rPr>
              <w:t>小样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20" w:hRule="atLeast"/>
          <w:jc w:val="center"/>
        </w:trPr>
        <w:tc>
          <w:tcPr>
            <w:tcW w:w="73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8"/>
                <w:szCs w:val="28"/>
                <w:u w:val="none"/>
              </w:rPr>
            </w:pPr>
            <w:r>
              <w:rPr>
                <w:rFonts w:hint="eastAsia" w:ascii="等线" w:hAnsi="等线" w:eastAsia="等线" w:cs="等线"/>
                <w:i w:val="0"/>
                <w:iCs w:val="0"/>
                <w:color w:val="000000"/>
                <w:kern w:val="0"/>
                <w:sz w:val="28"/>
                <w:szCs w:val="28"/>
                <w:u w:val="none"/>
                <w:lang w:val="en-US" w:eastAsia="zh-CN" w:bidi="ar"/>
              </w:rPr>
              <w:t>名称</w:t>
            </w:r>
          </w:p>
        </w:tc>
        <w:tc>
          <w:tcPr>
            <w:tcW w:w="25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8"/>
                <w:szCs w:val="28"/>
                <w:u w:val="none"/>
              </w:rPr>
            </w:pPr>
            <w:r>
              <w:rPr>
                <w:rFonts w:hint="eastAsia" w:ascii="等线" w:hAnsi="等线" w:eastAsia="等线" w:cs="等线"/>
                <w:i w:val="0"/>
                <w:iCs w:val="0"/>
                <w:color w:val="000000"/>
                <w:kern w:val="0"/>
                <w:sz w:val="28"/>
                <w:szCs w:val="28"/>
                <w:u w:val="none"/>
                <w:lang w:val="en-US" w:eastAsia="zh-CN" w:bidi="ar"/>
              </w:rPr>
              <w:t>参考图片及结构示意图</w:t>
            </w:r>
          </w:p>
        </w:tc>
        <w:tc>
          <w:tcPr>
            <w:tcW w:w="124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8"/>
                <w:szCs w:val="28"/>
                <w:u w:val="none"/>
              </w:rPr>
            </w:pPr>
            <w:r>
              <w:rPr>
                <w:rFonts w:hint="eastAsia" w:ascii="等线" w:hAnsi="等线" w:eastAsia="等线" w:cs="等线"/>
                <w:i w:val="0"/>
                <w:iCs w:val="0"/>
                <w:color w:val="000000"/>
                <w:kern w:val="0"/>
                <w:sz w:val="28"/>
                <w:szCs w:val="28"/>
                <w:u w:val="none"/>
                <w:lang w:val="en-US" w:eastAsia="zh-CN" w:bidi="ar"/>
              </w:rPr>
              <w:t>规格</w:t>
            </w:r>
          </w:p>
        </w:tc>
        <w:tc>
          <w:tcPr>
            <w:tcW w:w="54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8"/>
                <w:szCs w:val="28"/>
                <w:u w:val="none"/>
              </w:rPr>
            </w:pPr>
            <w:r>
              <w:rPr>
                <w:rFonts w:hint="eastAsia" w:ascii="等线" w:hAnsi="等线" w:eastAsia="等线" w:cs="等线"/>
                <w:i w:val="0"/>
                <w:iCs w:val="0"/>
                <w:color w:val="000000"/>
                <w:kern w:val="0"/>
                <w:sz w:val="28"/>
                <w:szCs w:val="28"/>
                <w:u w:val="none"/>
                <w:lang w:val="en-US" w:eastAsia="zh-CN" w:bidi="ar"/>
              </w:rPr>
              <w:t>技术要求说明</w:t>
            </w:r>
          </w:p>
        </w:tc>
        <w:tc>
          <w:tcPr>
            <w:tcW w:w="4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i w:val="0"/>
                <w:iCs w:val="0"/>
                <w:color w:val="000000"/>
                <w:sz w:val="28"/>
                <w:szCs w:val="28"/>
                <w:u w:val="none"/>
              </w:rPr>
            </w:pPr>
            <w:r>
              <w:rPr>
                <w:rFonts w:hint="eastAsia" w:ascii="等线" w:hAnsi="等线" w:eastAsia="等线" w:cs="等线"/>
                <w:i w:val="0"/>
                <w:iCs w:val="0"/>
                <w:color w:val="000000"/>
                <w:kern w:val="0"/>
                <w:sz w:val="28"/>
                <w:szCs w:val="28"/>
                <w:u w:val="none"/>
                <w:lang w:val="en-US" w:eastAsia="zh-CN" w:bidi="ar"/>
              </w:rPr>
              <w:t>数量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60" w:hRule="atLeast"/>
          <w:jc w:val="center"/>
        </w:trPr>
        <w:tc>
          <w:tcPr>
            <w:tcW w:w="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员工椅坐垫</w:t>
            </w:r>
          </w:p>
        </w:tc>
        <w:tc>
          <w:tcPr>
            <w:tcW w:w="253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single" w:color="000000" w:sz="4" w:space="0"/>
                <w:shd w:val="clear" w:fill="FFFFFF"/>
                <w:lang w:val="en-US" w:eastAsia="zh-CN" w:bidi="ar"/>
              </w:rPr>
              <w:drawing>
                <wp:anchor distT="0" distB="0" distL="114300" distR="114300" simplePos="0" relativeHeight="251659264" behindDoc="0" locked="0" layoutInCell="1" allowOverlap="1">
                  <wp:simplePos x="0" y="0"/>
                  <wp:positionH relativeFrom="column">
                    <wp:posOffset>51435</wp:posOffset>
                  </wp:positionH>
                  <wp:positionV relativeFrom="paragraph">
                    <wp:posOffset>429895</wp:posOffset>
                  </wp:positionV>
                  <wp:extent cx="1524635" cy="655320"/>
                  <wp:effectExtent l="0" t="0" r="18415" b="11430"/>
                  <wp:wrapNone/>
                  <wp:docPr id="56" name="图片_14"/>
                  <wp:cNvGraphicFramePr/>
                  <a:graphic xmlns:a="http://schemas.openxmlformats.org/drawingml/2006/main">
                    <a:graphicData uri="http://schemas.openxmlformats.org/drawingml/2006/picture">
                      <pic:pic xmlns:pic="http://schemas.openxmlformats.org/drawingml/2006/picture">
                        <pic:nvPicPr>
                          <pic:cNvPr id="56" name="图片_14"/>
                          <pic:cNvPicPr/>
                        </pic:nvPicPr>
                        <pic:blipFill>
                          <a:blip r:embed="rId10"/>
                          <a:stretch>
                            <a:fillRect/>
                          </a:stretch>
                        </pic:blipFill>
                        <pic:spPr>
                          <a:xfrm>
                            <a:off x="0" y="0"/>
                            <a:ext cx="1524635" cy="655320"/>
                          </a:xfrm>
                          <a:prstGeom prst="rect">
                            <a:avLst/>
                          </a:prstGeom>
                          <a:noFill/>
                          <a:ln>
                            <a:noFill/>
                          </a:ln>
                        </pic:spPr>
                      </pic:pic>
                    </a:graphicData>
                  </a:graphic>
                </wp:anchor>
              </w:drawing>
            </w:r>
          </w:p>
        </w:tc>
        <w:tc>
          <w:tcPr>
            <w:tcW w:w="12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长*宽*高</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500mm*500mm*50mm</w:t>
            </w:r>
          </w:p>
        </w:tc>
        <w:tc>
          <w:tcPr>
            <w:tcW w:w="549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微软雅黑" w:hAnsi="微软雅黑" w:eastAsia="微软雅黑" w:cs="微软雅黑"/>
                <w:i w:val="0"/>
                <w:iCs w:val="0"/>
                <w:color w:val="000000"/>
                <w:sz w:val="24"/>
                <w:szCs w:val="24"/>
                <w:u w:val="none"/>
              </w:rPr>
            </w:pPr>
            <w:r>
              <w:rPr>
                <w:rStyle w:val="77"/>
                <w:lang w:val="en-US" w:eastAsia="zh-CN" w:bidi="ar"/>
              </w:rPr>
              <w:t>通过弹力带及枪钉两道工序固定，海绵和布料链接，无胶水无甲醛，正负偏差±5</w:t>
            </w:r>
            <w:r>
              <w:rPr>
                <w:rStyle w:val="78"/>
                <w:lang w:val="en-US" w:eastAsia="zh-CN" w:bidi="ar"/>
              </w:rPr>
              <w:t>mm。</w:t>
            </w:r>
          </w:p>
        </w:tc>
        <w:tc>
          <w:tcPr>
            <w:tcW w:w="4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00" w:hRule="atLeast"/>
          <w:jc w:val="center"/>
        </w:trPr>
        <w:tc>
          <w:tcPr>
            <w:tcW w:w="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办公桌方框钢制下架</w:t>
            </w:r>
          </w:p>
        </w:tc>
        <w:tc>
          <w:tcPr>
            <w:tcW w:w="253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single" w:color="000000" w:sz="4" w:space="0"/>
                <w:shd w:val="clear" w:fill="FFFFFF"/>
                <w:lang w:val="en-US" w:eastAsia="zh-CN" w:bidi="ar"/>
              </w:rPr>
              <w:drawing>
                <wp:anchor distT="0" distB="0" distL="114300" distR="114300" simplePos="0" relativeHeight="251659264" behindDoc="0" locked="0" layoutInCell="1" allowOverlap="1">
                  <wp:simplePos x="0" y="0"/>
                  <wp:positionH relativeFrom="column">
                    <wp:posOffset>196215</wp:posOffset>
                  </wp:positionH>
                  <wp:positionV relativeFrom="paragraph">
                    <wp:posOffset>147955</wp:posOffset>
                  </wp:positionV>
                  <wp:extent cx="1082675" cy="784860"/>
                  <wp:effectExtent l="0" t="0" r="3175" b="15240"/>
                  <wp:wrapNone/>
                  <wp:docPr id="54" name="图片_28"/>
                  <wp:cNvGraphicFramePr/>
                  <a:graphic xmlns:a="http://schemas.openxmlformats.org/drawingml/2006/main">
                    <a:graphicData uri="http://schemas.openxmlformats.org/drawingml/2006/picture">
                      <pic:pic xmlns:pic="http://schemas.openxmlformats.org/drawingml/2006/picture">
                        <pic:nvPicPr>
                          <pic:cNvPr id="54" name="图片_28"/>
                          <pic:cNvPicPr/>
                        </pic:nvPicPr>
                        <pic:blipFill>
                          <a:blip r:embed="rId11"/>
                          <a:stretch>
                            <a:fillRect/>
                          </a:stretch>
                        </pic:blipFill>
                        <pic:spPr>
                          <a:xfrm>
                            <a:off x="0" y="0"/>
                            <a:ext cx="1082675" cy="784860"/>
                          </a:xfrm>
                          <a:prstGeom prst="rect">
                            <a:avLst/>
                          </a:prstGeom>
                          <a:noFill/>
                          <a:ln>
                            <a:noFill/>
                          </a:ln>
                        </pic:spPr>
                      </pic:pic>
                    </a:graphicData>
                  </a:graphic>
                </wp:anchor>
              </w:drawing>
            </w:r>
            <w:r>
              <w:rPr>
                <w:rFonts w:hint="eastAsia" w:ascii="微软雅黑" w:hAnsi="微软雅黑" w:eastAsia="微软雅黑" w:cs="微软雅黑"/>
                <w:i w:val="0"/>
                <w:iCs w:val="0"/>
                <w:color w:val="000000"/>
                <w:kern w:val="0"/>
                <w:sz w:val="24"/>
                <w:szCs w:val="24"/>
                <w:u w:val="none"/>
                <w:bdr w:val="single" w:color="000000" w:sz="4" w:space="0"/>
                <w:shd w:val="clear" w:fill="FFFFFF"/>
                <w:lang w:val="en-US" w:eastAsia="zh-CN" w:bidi="ar"/>
              </w:rPr>
              <w:drawing>
                <wp:anchor distT="0" distB="0" distL="114300" distR="114300" simplePos="0" relativeHeight="251659264" behindDoc="0" locked="0" layoutInCell="1" allowOverlap="1">
                  <wp:simplePos x="0" y="0"/>
                  <wp:positionH relativeFrom="column">
                    <wp:posOffset>12700</wp:posOffset>
                  </wp:positionH>
                  <wp:positionV relativeFrom="paragraph">
                    <wp:posOffset>1026160</wp:posOffset>
                  </wp:positionV>
                  <wp:extent cx="1514475" cy="886460"/>
                  <wp:effectExtent l="0" t="0" r="9525" b="8890"/>
                  <wp:wrapNone/>
                  <wp:docPr id="53" name="图片_29"/>
                  <wp:cNvGraphicFramePr/>
                  <a:graphic xmlns:a="http://schemas.openxmlformats.org/drawingml/2006/main">
                    <a:graphicData uri="http://schemas.openxmlformats.org/drawingml/2006/picture">
                      <pic:pic xmlns:pic="http://schemas.openxmlformats.org/drawingml/2006/picture">
                        <pic:nvPicPr>
                          <pic:cNvPr id="53" name="图片_29"/>
                          <pic:cNvPicPr/>
                        </pic:nvPicPr>
                        <pic:blipFill>
                          <a:blip r:embed="rId12"/>
                          <a:stretch>
                            <a:fillRect/>
                          </a:stretch>
                        </pic:blipFill>
                        <pic:spPr>
                          <a:xfrm>
                            <a:off x="0" y="0"/>
                            <a:ext cx="1514475" cy="886460"/>
                          </a:xfrm>
                          <a:prstGeom prst="rect">
                            <a:avLst/>
                          </a:prstGeom>
                          <a:noFill/>
                          <a:ln>
                            <a:noFill/>
                          </a:ln>
                        </pic:spPr>
                      </pic:pic>
                    </a:graphicData>
                  </a:graphic>
                </wp:anchor>
              </w:drawing>
            </w:r>
          </w:p>
        </w:tc>
        <w:tc>
          <w:tcPr>
            <w:tcW w:w="12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Style w:val="78"/>
                <w:lang w:val="en-US" w:eastAsia="zh-CN" w:bidi="ar"/>
              </w:rPr>
              <w:t>截取下架拐角处的直角+二边的一段整体下架，二边钢架长度</w:t>
            </w:r>
            <w:r>
              <w:rPr>
                <w:rStyle w:val="79"/>
                <w:rFonts w:eastAsia="微软雅黑"/>
                <w:lang w:val="en-US" w:eastAsia="zh-CN" w:bidi="ar"/>
              </w:rPr>
              <w:t>≥</w:t>
            </w:r>
            <w:r>
              <w:rPr>
                <w:rStyle w:val="78"/>
                <w:lang w:val="en-US" w:eastAsia="zh-CN" w:bidi="ar"/>
              </w:rPr>
              <w:t>100mm</w:t>
            </w:r>
          </w:p>
        </w:tc>
        <w:tc>
          <w:tcPr>
            <w:tcW w:w="549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1、下架为矩形方形钢管90度弯折成型，转角处采用V型开缺口后折弯点焊打磨处理，整体外观平整，须肉眼不可见折弯拼缝与焊接痕迹。</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2、钢架的内侧面，在方框截面的上部两端采用45度斜切，具体造型与结构参考示意图所示。</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3、表面喷粉，采用白色喷细砂效果，整体美观无色差、杂点、漏喷、磨损露底等情况。</w:t>
            </w:r>
          </w:p>
        </w:tc>
        <w:tc>
          <w:tcPr>
            <w:tcW w:w="4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微软雅黑" w:hAnsi="微软雅黑" w:eastAsia="微软雅黑" w:cs="微软雅黑"/>
                <w:b/>
                <w:bCs/>
                <w:i w:val="0"/>
                <w:iCs w:val="0"/>
                <w:color w:val="000000"/>
                <w:sz w:val="24"/>
                <w:szCs w:val="24"/>
                <w:u w:val="none"/>
              </w:rPr>
            </w:pPr>
            <w:r>
              <w:rPr>
                <w:rFonts w:hint="eastAsia" w:ascii="微软雅黑" w:hAnsi="微软雅黑" w:eastAsia="微软雅黑" w:cs="微软雅黑"/>
                <w:b/>
                <w:bCs/>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10" w:hRule="atLeast"/>
          <w:jc w:val="center"/>
        </w:trPr>
        <w:tc>
          <w:tcPr>
            <w:tcW w:w="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办公桌台面（含边角）实物小样</w:t>
            </w:r>
          </w:p>
        </w:tc>
        <w:tc>
          <w:tcPr>
            <w:tcW w:w="253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single" w:color="000000" w:sz="4" w:space="0"/>
                <w:shd w:val="clear" w:fill="FFFFFF"/>
                <w:lang w:val="en-US" w:eastAsia="zh-CN" w:bidi="ar"/>
              </w:rPr>
              <w:drawing>
                <wp:anchor distT="0" distB="0" distL="114300" distR="114300" simplePos="0" relativeHeight="251659264" behindDoc="0" locked="0" layoutInCell="1" allowOverlap="1">
                  <wp:simplePos x="0" y="0"/>
                  <wp:positionH relativeFrom="column">
                    <wp:posOffset>34290</wp:posOffset>
                  </wp:positionH>
                  <wp:positionV relativeFrom="paragraph">
                    <wp:posOffset>248920</wp:posOffset>
                  </wp:positionV>
                  <wp:extent cx="1478915" cy="863600"/>
                  <wp:effectExtent l="0" t="0" r="0" b="12700"/>
                  <wp:wrapNone/>
                  <wp:docPr id="52" name="组合_18"/>
                  <wp:cNvGraphicFramePr/>
                  <a:graphic xmlns:a="http://schemas.openxmlformats.org/drawingml/2006/main">
                    <a:graphicData uri="http://schemas.openxmlformats.org/drawingml/2006/picture">
                      <pic:pic xmlns:pic="http://schemas.openxmlformats.org/drawingml/2006/picture">
                        <pic:nvPicPr>
                          <pic:cNvPr id="52" name="组合_18"/>
                          <pic:cNvPicPr/>
                        </pic:nvPicPr>
                        <pic:blipFill>
                          <a:blip r:embed="rId13"/>
                          <a:stretch>
                            <a:fillRect/>
                          </a:stretch>
                        </pic:blipFill>
                        <pic:spPr>
                          <a:xfrm>
                            <a:off x="0" y="0"/>
                            <a:ext cx="1478915" cy="863600"/>
                          </a:xfrm>
                          <a:prstGeom prst="rect">
                            <a:avLst/>
                          </a:prstGeom>
                          <a:noFill/>
                          <a:ln>
                            <a:noFill/>
                          </a:ln>
                        </pic:spPr>
                      </pic:pic>
                    </a:graphicData>
                  </a:graphic>
                </wp:anchor>
              </w:drawing>
            </w:r>
          </w:p>
        </w:tc>
        <w:tc>
          <w:tcPr>
            <w:tcW w:w="12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长*宽=400mm*400mm，</w:t>
            </w:r>
          </w:p>
        </w:tc>
        <w:tc>
          <w:tcPr>
            <w:tcW w:w="549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1、小样的边角相连二边作封边处理，另二边切口外露；</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2、小样上层顶板基材为18mm厚度优质浸渍胶膜纸饰面刨花板</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3、桌面下层部分沿边采用铝合金45度内切斜边处理，铝合金斜边表面采用静电粉末喷涂工艺对铝材保护。参考结构示意图。</w:t>
            </w:r>
          </w:p>
        </w:tc>
        <w:tc>
          <w:tcPr>
            <w:tcW w:w="4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b/>
                <w:bCs/>
                <w:i w:val="0"/>
                <w:iCs w:val="0"/>
                <w:color w:val="000000"/>
                <w:sz w:val="24"/>
                <w:szCs w:val="24"/>
                <w:u w:val="none"/>
              </w:rPr>
            </w:pPr>
            <w:r>
              <w:rPr>
                <w:rFonts w:hint="eastAsia" w:ascii="等线" w:hAnsi="等线" w:eastAsia="等线" w:cs="等线"/>
                <w:b/>
                <w:bCs/>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0" w:hRule="atLeast"/>
          <w:jc w:val="center"/>
        </w:trPr>
        <w:tc>
          <w:tcPr>
            <w:tcW w:w="10498" w:type="dxa"/>
            <w:gridSpan w:val="5"/>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等线" w:hAnsi="等线" w:eastAsia="等线" w:cs="等线"/>
                <w:b/>
                <w:bCs/>
                <w:i w:val="0"/>
                <w:iCs w:val="0"/>
                <w:color w:val="000000"/>
                <w:sz w:val="32"/>
                <w:szCs w:val="32"/>
                <w:u w:val="none"/>
              </w:rPr>
            </w:pPr>
            <w:r>
              <w:rPr>
                <w:rFonts w:hint="eastAsia"/>
                <w:b/>
                <w:bCs/>
                <w:sz w:val="32"/>
                <w:szCs w:val="32"/>
                <w:lang w:eastAsia="zh-CN"/>
              </w:rPr>
              <w:t>视频演示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80" w:hRule="atLeast"/>
          <w:jc w:val="center"/>
        </w:trPr>
        <w:tc>
          <w:tcPr>
            <w:tcW w:w="734"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所长办公桌</w:t>
            </w:r>
          </w:p>
        </w:tc>
        <w:tc>
          <w:tcPr>
            <w:tcW w:w="2537"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single" w:color="000000" w:sz="4" w:space="0"/>
                <w:shd w:val="clear" w:fill="FFFFFF"/>
                <w:lang w:val="en-US" w:eastAsia="zh-CN" w:bidi="ar"/>
              </w:rPr>
              <w:drawing>
                <wp:anchor distT="0" distB="0" distL="114300" distR="114300" simplePos="0" relativeHeight="251659264" behindDoc="0" locked="0" layoutInCell="1" allowOverlap="1">
                  <wp:simplePos x="0" y="0"/>
                  <wp:positionH relativeFrom="column">
                    <wp:posOffset>31115</wp:posOffset>
                  </wp:positionH>
                  <wp:positionV relativeFrom="paragraph">
                    <wp:posOffset>2956560</wp:posOffset>
                  </wp:positionV>
                  <wp:extent cx="1288415" cy="529590"/>
                  <wp:effectExtent l="0" t="0" r="6985" b="3810"/>
                  <wp:wrapNone/>
                  <wp:docPr id="51" name="图片_13"/>
                  <wp:cNvGraphicFramePr/>
                  <a:graphic xmlns:a="http://schemas.openxmlformats.org/drawingml/2006/main">
                    <a:graphicData uri="http://schemas.openxmlformats.org/drawingml/2006/picture">
                      <pic:pic xmlns:pic="http://schemas.openxmlformats.org/drawingml/2006/picture">
                        <pic:nvPicPr>
                          <pic:cNvPr id="51" name="图片_13"/>
                          <pic:cNvPicPr/>
                        </pic:nvPicPr>
                        <pic:blipFill>
                          <a:blip r:embed="rId14"/>
                          <a:stretch>
                            <a:fillRect/>
                          </a:stretch>
                        </pic:blipFill>
                        <pic:spPr>
                          <a:xfrm>
                            <a:off x="0" y="0"/>
                            <a:ext cx="1288415" cy="529590"/>
                          </a:xfrm>
                          <a:prstGeom prst="rect">
                            <a:avLst/>
                          </a:prstGeom>
                          <a:noFill/>
                          <a:ln>
                            <a:noFill/>
                          </a:ln>
                        </pic:spPr>
                      </pic:pic>
                    </a:graphicData>
                  </a:graphic>
                </wp:anchor>
              </w:drawing>
            </w:r>
          </w:p>
        </w:tc>
        <w:tc>
          <w:tcPr>
            <w:tcW w:w="1241"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1600 mm (L)</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1600 mm (W)</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750 mm (H)</w:t>
            </w:r>
          </w:p>
        </w:tc>
        <w:tc>
          <w:tcPr>
            <w:tcW w:w="5495" w:type="dxa"/>
            <w:vMerge w:val="restart"/>
            <w:tcBorders>
              <w:top w:val="single" w:color="000000" w:sz="4" w:space="0"/>
              <w:left w:val="single" w:color="000000" w:sz="4" w:space="0"/>
              <w:bottom w:val="single" w:color="000000" w:sz="4" w:space="0"/>
              <w:right w:val="single" w:color="000000" w:sz="4" w:space="0"/>
            </w:tcBorders>
            <w:shd w:val="clear" w:color="auto" w:fill="FFFFFF"/>
            <w:vAlign w:val="top"/>
          </w:tcPr>
          <w:p>
            <w:pPr>
              <w:keepNext w:val="0"/>
              <w:keepLines w:val="0"/>
              <w:widowControl/>
              <w:suppressLineNumbers w:val="0"/>
              <w:jc w:val="left"/>
              <w:textAlignment w:val="top"/>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1)防火饰面板:面材采用优质装饰原纸,选用优质三聚氰胺浸胶工艺,使表面稳定性更好,层次感更优,耐污抗磨性更强,通过GB/T 15102浸渍胶膜纸饰面人造板表面理化性能要求;基材采用E0级中纤板、E0级刨花板,通过GB/T 39600-2021要求,甲醛释放量≤0.05mg/m³</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2)包覆抽屉:表面胶合强度≥0.4Mpa;表面耐磨性能80r;耐剥离力45N±5N;耐划痕性能≥1.5N时间表面无整圈划痕;甲醛释放量≤0.08mg/m³;通过《LY/T 1279-2008 聚氯乙烯薄膜饰面人造板》中理化性能检测要求</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3)PVC封边条:符合QB/T 4463-2013标准、GB 28481-2012标准,其中甲醛释放量、可溶性重金属(镉、铬、汞、砷、锑、硒)、邻苯二甲酸酯、多溴联苯、多㴪二苯醚含量均须低于检出限。</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4)喷涂铝材:采用AL6063-T5铝合金,型材截面厚度1mm~1.5mm,满足GB/T 5237.1-2017 铝合金建筑型材 第1部分:基材（包装、尺寸、装配要求）;表面处理:静电粉末喷涂,漆膜的划格试验涂层附着力满足GB/T 9286-1998 色漆和清漆要求;符合(QB/T 1950-2013 家具表面漆膜耐盐浴测定法)</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5)氧化铝材:采用AL6063-T5铝合金,型材截面厚度1mm~1.5mm,满足GB/T 5237.1-2017 铝合金建筑型材 第1部分:基材（包装、尺寸、装配要求）;表面处理:碱式氧化,符合(GB/T 5237.2-2017 铝合金建筑型材 第2部分:阳极氧化型材)中耐盐雾腐蚀性。</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6)正面锁:符合QB/T1621-2015标准，其中电镀件中性盐雾试验耐腐蚀100H达到10级，钥匙不同牙花数大于700种，互开率合格，使用寿命达到30000次正常。</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7)铰链:耐久性商用型达到80000次;表面盐雾18h无锈蚀;通过《QBT 2189-2013 家具五金 杯状暗铰链》理化性能检测要求</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8)滑轨:符合GB/T2454-2013要求,通过耐久性4万次测试</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9)单面翻转USB充电线盒:线盒1个,适配器1个,USB充电接口2个,USB延长线1根（1.5米）,沉头自攻螺丝（镀镍）ST4*16=1颗ST3*35=1颗</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工艺说明:</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1)桌面采用双层结构，桌面整体厚度45-55mm，上层面板为中纤板基材+胡桃木皮贴面，经水性漆开孔涂饰工艺处理，厚度不超过10mm，桌面下层部分沿边采用铝合金45度内切斜边处理，铝合金斜边表面采用静电粉末喷涂工艺对铝材保护。</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2)桌板下方的6.5cm高度的隐形薄抽可储存私密物品，安全性和私密性极强；</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3)侧柜抽屉、背柜下柜门两处采用内斜边的无把手设计，打造隐形柜体，同时手触点处采用了圆弧凹槽设计，方便手指抽拉。隐形斜边把手采用阳极氧化工艺，触摸更细腻亲肤。</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4)侧柜抽屉采用PVC一体覆皮工艺，全面真空包覆，与抽屉板一体贴合，无螺丝钉外露，抽屉内部平滑无痕易清理；同时，覆皮有效杜绝抽屉气味外露，更加环保健康。</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5)桌角阳角拼接处利用铝合金插件打造高颜值的美缝拼接，无缝一体造型。</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6)桌沿边及侧柜边沿采用铝合金内45度内切斜边设计，铝合金斜边表面采用静电粉末喷涂工艺对铝材具有保护作用，喷涂工艺使图层附着力强、不易脱落，经久耐用</w:t>
            </w:r>
          </w:p>
        </w:tc>
        <w:tc>
          <w:tcPr>
            <w:tcW w:w="491"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8"/>
                <w:szCs w:val="28"/>
                <w:u w:val="none"/>
              </w:rPr>
            </w:pPr>
            <w:r>
              <w:rPr>
                <w:rFonts w:hint="eastAsia" w:ascii="微软雅黑" w:hAnsi="微软雅黑" w:eastAsia="微软雅黑" w:cs="微软雅黑"/>
                <w:i w:val="0"/>
                <w:iCs w:val="0"/>
                <w:color w:val="000000"/>
                <w:kern w:val="0"/>
                <w:sz w:val="28"/>
                <w:szCs w:val="28"/>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30" w:hRule="atLeast"/>
          <w:jc w:val="center"/>
        </w:trPr>
        <w:tc>
          <w:tcPr>
            <w:tcW w:w="734"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微软雅黑" w:hAnsi="微软雅黑" w:eastAsia="微软雅黑" w:cs="微软雅黑"/>
                <w:i w:val="0"/>
                <w:iCs w:val="0"/>
                <w:color w:val="000000"/>
                <w:sz w:val="24"/>
                <w:szCs w:val="24"/>
                <w:u w:val="none"/>
              </w:rPr>
            </w:pPr>
          </w:p>
        </w:tc>
        <w:tc>
          <w:tcPr>
            <w:tcW w:w="2537"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微软雅黑" w:hAnsi="微软雅黑" w:eastAsia="微软雅黑" w:cs="微软雅黑"/>
                <w:i w:val="0"/>
                <w:iCs w:val="0"/>
                <w:color w:val="000000"/>
                <w:sz w:val="24"/>
                <w:szCs w:val="24"/>
                <w:u w:val="none"/>
              </w:rPr>
            </w:pPr>
          </w:p>
        </w:tc>
        <w:tc>
          <w:tcPr>
            <w:tcW w:w="1241"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微软雅黑" w:hAnsi="微软雅黑" w:eastAsia="微软雅黑" w:cs="微软雅黑"/>
                <w:i w:val="0"/>
                <w:iCs w:val="0"/>
                <w:color w:val="000000"/>
                <w:sz w:val="24"/>
                <w:szCs w:val="24"/>
                <w:u w:val="none"/>
              </w:rPr>
            </w:pPr>
          </w:p>
        </w:tc>
        <w:tc>
          <w:tcPr>
            <w:tcW w:w="5495" w:type="dxa"/>
            <w:vMerge w:val="continue"/>
            <w:tcBorders>
              <w:top w:val="single" w:color="000000" w:sz="4" w:space="0"/>
              <w:left w:val="single" w:color="000000" w:sz="4" w:space="0"/>
              <w:bottom w:val="single" w:color="000000" w:sz="4" w:space="0"/>
              <w:right w:val="single" w:color="000000" w:sz="4" w:space="0"/>
            </w:tcBorders>
            <w:shd w:val="clear" w:color="auto" w:fill="FFFFFF"/>
            <w:vAlign w:val="top"/>
          </w:tcPr>
          <w:p>
            <w:pPr>
              <w:jc w:val="left"/>
              <w:rPr>
                <w:rFonts w:hint="eastAsia" w:ascii="微软雅黑" w:hAnsi="微软雅黑" w:eastAsia="微软雅黑" w:cs="微软雅黑"/>
                <w:i w:val="0"/>
                <w:iCs w:val="0"/>
                <w:color w:val="000000"/>
                <w:sz w:val="24"/>
                <w:szCs w:val="24"/>
                <w:u w:val="none"/>
              </w:rPr>
            </w:pPr>
          </w:p>
        </w:tc>
        <w:tc>
          <w:tcPr>
            <w:tcW w:w="491"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hint="eastAsia" w:ascii="微软雅黑" w:hAnsi="微软雅黑" w:eastAsia="微软雅黑" w:cs="微软雅黑"/>
                <w:i w:val="0"/>
                <w:iCs w:val="0"/>
                <w:color w:val="000000"/>
                <w:sz w:val="28"/>
                <w:szCs w:val="2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190" w:hRule="atLeast"/>
          <w:jc w:val="center"/>
        </w:trPr>
        <w:tc>
          <w:tcPr>
            <w:tcW w:w="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员工桌</w:t>
            </w:r>
          </w:p>
        </w:tc>
        <w:tc>
          <w:tcPr>
            <w:tcW w:w="253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single" w:color="000000" w:sz="4" w:space="0"/>
                <w:shd w:val="clear" w:fill="FFFFFF"/>
                <w:lang w:val="en-US" w:eastAsia="zh-CN" w:bidi="ar"/>
              </w:rPr>
              <w:drawing>
                <wp:anchor distT="0" distB="0" distL="114300" distR="114300" simplePos="0" relativeHeight="251659264" behindDoc="0" locked="0" layoutInCell="1" allowOverlap="1">
                  <wp:simplePos x="0" y="0"/>
                  <wp:positionH relativeFrom="column">
                    <wp:posOffset>42545</wp:posOffset>
                  </wp:positionH>
                  <wp:positionV relativeFrom="paragraph">
                    <wp:posOffset>1695450</wp:posOffset>
                  </wp:positionV>
                  <wp:extent cx="1338580" cy="1116330"/>
                  <wp:effectExtent l="0" t="0" r="13970" b="7620"/>
                  <wp:wrapNone/>
                  <wp:docPr id="50" name="图片_27"/>
                  <wp:cNvGraphicFramePr/>
                  <a:graphic xmlns:a="http://schemas.openxmlformats.org/drawingml/2006/main">
                    <a:graphicData uri="http://schemas.openxmlformats.org/drawingml/2006/picture">
                      <pic:pic xmlns:pic="http://schemas.openxmlformats.org/drawingml/2006/picture">
                        <pic:nvPicPr>
                          <pic:cNvPr id="50" name="图片_27"/>
                          <pic:cNvPicPr/>
                        </pic:nvPicPr>
                        <pic:blipFill>
                          <a:blip r:embed="rId15"/>
                          <a:stretch>
                            <a:fillRect/>
                          </a:stretch>
                        </pic:blipFill>
                        <pic:spPr>
                          <a:xfrm>
                            <a:off x="0" y="0"/>
                            <a:ext cx="1338580" cy="1116330"/>
                          </a:xfrm>
                          <a:prstGeom prst="rect">
                            <a:avLst/>
                          </a:prstGeom>
                          <a:noFill/>
                          <a:ln>
                            <a:noFill/>
                          </a:ln>
                        </pic:spPr>
                      </pic:pic>
                    </a:graphicData>
                  </a:graphic>
                </wp:anchor>
              </w:drawing>
            </w:r>
          </w:p>
        </w:tc>
        <w:tc>
          <w:tcPr>
            <w:tcW w:w="12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1400 mm (L)</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1412 mm (W)</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750 mm (H)</w:t>
            </w:r>
          </w:p>
        </w:tc>
        <w:tc>
          <w:tcPr>
            <w:tcW w:w="5495" w:type="dxa"/>
            <w:tcBorders>
              <w:top w:val="single" w:color="000000" w:sz="4" w:space="0"/>
              <w:left w:val="single" w:color="000000" w:sz="4" w:space="0"/>
              <w:bottom w:val="single" w:color="000000" w:sz="4" w:space="0"/>
              <w:right w:val="single" w:color="000000" w:sz="4" w:space="0"/>
            </w:tcBorders>
            <w:shd w:val="clear" w:color="auto" w:fill="FFFFFF"/>
            <w:vAlign w:val="top"/>
          </w:tcPr>
          <w:p>
            <w:pPr>
              <w:keepNext w:val="0"/>
              <w:keepLines w:val="0"/>
              <w:widowControl/>
              <w:suppressLineNumbers w:val="0"/>
              <w:jc w:val="left"/>
              <w:textAlignment w:val="top"/>
              <w:rPr>
                <w:rFonts w:hint="eastAsia" w:ascii="微软雅黑" w:hAnsi="微软雅黑" w:eastAsia="微软雅黑" w:cs="微软雅黑"/>
                <w:i w:val="0"/>
                <w:iCs w:val="0"/>
                <w:color w:val="000000"/>
                <w:sz w:val="22"/>
                <w:szCs w:val="22"/>
                <w:u w:val="none"/>
              </w:rPr>
            </w:pPr>
            <w:r>
              <w:rPr>
                <w:rFonts w:hint="eastAsia" w:ascii="微软雅黑" w:hAnsi="微软雅黑" w:eastAsia="微软雅黑" w:cs="微软雅黑"/>
                <w:i w:val="0"/>
                <w:iCs w:val="0"/>
                <w:color w:val="000000"/>
                <w:kern w:val="0"/>
                <w:sz w:val="22"/>
                <w:szCs w:val="22"/>
                <w:u w:val="none"/>
                <w:lang w:val="en-US" w:eastAsia="zh-CN" w:bidi="ar"/>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2)优质浸渍胶膜纸饰面板,基材采用"E0"环保刨花板,甲醛释放量优于国家标准;</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3)包覆抽屉:表面胶合强度≥0.4Mpa;表面耐磨性能80r;耐剥离力45N±5N;耐划痕性能≥1.5N时间表面无整圈划痕;甲醛释放量≤0.08mg/m³;通过《LY/T 1279-2008 聚氯乙烯薄膜饰面人造板》中理化性能检测要求，全面真空包覆，与抽屉板一体贴合，无螺丝钉外露，抽屉内部平滑无痕易清理；同时，覆皮有效杜绝抽屉气味外露，更加环保健康。</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6)ABS封边条:表面耐光色牢度≥4级;表面耐龟裂性≥2级;表面耐磨性能30r;通过QB/T4463-2013 《家具用封边条技术要求》理化性能检测要求</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7)优质滑轨,表面黑色喷涂;</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8)钢架:表面耐腐蚀中性盐雾测试100h后无锈蚀、剥落、起皱;表面附着力≥2级;升降/折叠/伸缩耐久性测定20000次后,零部件无断裂、曲、变形、磨损、变形;通过《GB/T 3325-2017金属家具通用技术条件》理化性能检测要求</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9)正面锁:正面锁符合QB/T 1621-2015家具锁标准中电镀件耐腐蚀规定,电镀件外露表面经12h的中性盐雾试验后,应达到外观评级RA6级的规定,弹子锁、叶片锁使用寿命达不少于10000次</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10)钢脚:表面耐腐蚀中性盐雾测试100h后无锈蚀、剥落、起皱;表面附着力不低于2级;升降/折叠/伸缩耐久性测定20000次后,零部件无断裂、曲、变形、磨损、变形;通过《GB/T 3325-2017金属家具通用技术条件》理化性能检测要求</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11)线盒:表面耐腐蚀中性盐雾测试100h后无锈蚀、剥落、起皱;表面附着力≥2级;通过《GB/T 3325-2017金属家具通用技术条件》理化性能检测要求</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12)面料:优质麻绒面料,符合GB 18401-2010、GB/T 19817-2005标准;芳香胺有害物质含量0,颜色干擦牢度≥3级,耐磨性≥12000转,断裂强度≥350N</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13)塑胶件:符合(GB/T 3325-2017金属家具通用技术条件)中5.5.2产品部件材质理化性能,耐老化性能,户外使用的产品塑料件耐老化试验时间500h,试验后拉伸强度、断裂伸长率、冲击强度的保持率不小于60%;外观颜色变色评级不小于3级</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14)喷涂五金:采用AL6063-T5铝合金,压铸成型,表面静电粉末喷涂,符合(GB/T 3325-2017金属家具通用技术条件)中5.5理化性能要求</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工艺说明:</w:t>
            </w:r>
            <w:r>
              <w:rPr>
                <w:rFonts w:hint="eastAsia" w:ascii="微软雅黑" w:hAnsi="微软雅黑" w:eastAsia="微软雅黑" w:cs="微软雅黑"/>
                <w:i w:val="0"/>
                <w:iCs w:val="0"/>
                <w:color w:val="000000"/>
                <w:kern w:val="0"/>
                <w:sz w:val="22"/>
                <w:szCs w:val="22"/>
                <w:u w:val="none"/>
                <w:lang w:val="en-US" w:eastAsia="zh-CN" w:bidi="ar"/>
              </w:rPr>
              <w:br w:type="textWrapping"/>
            </w:r>
            <w:r>
              <w:rPr>
                <w:rFonts w:hint="eastAsia" w:ascii="微软雅黑" w:hAnsi="微软雅黑" w:eastAsia="微软雅黑" w:cs="微软雅黑"/>
                <w:i w:val="0"/>
                <w:iCs w:val="0"/>
                <w:color w:val="000000"/>
                <w:kern w:val="0"/>
                <w:sz w:val="22"/>
                <w:szCs w:val="22"/>
                <w:u w:val="none"/>
                <w:lang w:val="en-US" w:eastAsia="zh-CN" w:bidi="ar"/>
              </w:rPr>
              <w:t>1)采用先进激光封边技术;</w:t>
            </w:r>
          </w:p>
        </w:tc>
        <w:tc>
          <w:tcPr>
            <w:tcW w:w="49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8"/>
                <w:szCs w:val="28"/>
                <w:u w:val="none"/>
              </w:rPr>
            </w:pPr>
            <w:r>
              <w:rPr>
                <w:rFonts w:hint="eastAsia" w:ascii="微软雅黑" w:hAnsi="微软雅黑" w:eastAsia="微软雅黑" w:cs="微软雅黑"/>
                <w:i w:val="0"/>
                <w:iCs w:val="0"/>
                <w:color w:val="000000"/>
                <w:kern w:val="0"/>
                <w:sz w:val="28"/>
                <w:szCs w:val="28"/>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90" w:hRule="atLeast"/>
          <w:jc w:val="center"/>
        </w:trPr>
        <w:tc>
          <w:tcPr>
            <w:tcW w:w="734"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t>副所长办公椅</w:t>
            </w:r>
          </w:p>
        </w:tc>
        <w:tc>
          <w:tcPr>
            <w:tcW w:w="253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bdr w:val="single" w:color="000000" w:sz="4" w:space="0"/>
                <w:shd w:val="clear" w:fill="FFFFFF"/>
                <w:lang w:val="en-US" w:eastAsia="zh-CN" w:bidi="ar"/>
              </w:rPr>
              <w:drawing>
                <wp:anchor distT="0" distB="0" distL="114300" distR="114300" simplePos="0" relativeHeight="251659264" behindDoc="0" locked="0" layoutInCell="1" allowOverlap="1">
                  <wp:simplePos x="0" y="0"/>
                  <wp:positionH relativeFrom="column">
                    <wp:posOffset>330200</wp:posOffset>
                  </wp:positionH>
                  <wp:positionV relativeFrom="paragraph">
                    <wp:posOffset>749935</wp:posOffset>
                  </wp:positionV>
                  <wp:extent cx="826135" cy="1217295"/>
                  <wp:effectExtent l="0" t="0" r="12065" b="1905"/>
                  <wp:wrapNone/>
                  <wp:docPr id="49" name="图片_30"/>
                  <wp:cNvGraphicFramePr/>
                  <a:graphic xmlns:a="http://schemas.openxmlformats.org/drawingml/2006/main">
                    <a:graphicData uri="http://schemas.openxmlformats.org/drawingml/2006/picture">
                      <pic:pic xmlns:pic="http://schemas.openxmlformats.org/drawingml/2006/picture">
                        <pic:nvPicPr>
                          <pic:cNvPr id="49" name="图片_30"/>
                          <pic:cNvPicPr/>
                        </pic:nvPicPr>
                        <pic:blipFill>
                          <a:blip r:embed="rId16"/>
                          <a:stretch>
                            <a:fillRect/>
                          </a:stretch>
                        </pic:blipFill>
                        <pic:spPr>
                          <a:xfrm>
                            <a:off x="0" y="0"/>
                            <a:ext cx="826135" cy="1217295"/>
                          </a:xfrm>
                          <a:prstGeom prst="rect">
                            <a:avLst/>
                          </a:prstGeom>
                          <a:noFill/>
                          <a:ln>
                            <a:noFill/>
                          </a:ln>
                        </pic:spPr>
                      </pic:pic>
                    </a:graphicData>
                  </a:graphic>
                </wp:anchor>
              </w:drawing>
            </w:r>
          </w:p>
        </w:tc>
        <w:tc>
          <w:tcPr>
            <w:tcW w:w="12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630 mm (L)</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595 mm (W)</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1240 mm (H)</w:t>
            </w:r>
          </w:p>
        </w:tc>
        <w:tc>
          <w:tcPr>
            <w:tcW w:w="549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spacing w:after="240" w:afterAutospacing="0"/>
              <w:jc w:val="left"/>
              <w:textAlignment w:val="center"/>
              <w:rPr>
                <w:rFonts w:hint="eastAsia" w:ascii="微软雅黑" w:hAnsi="微软雅黑" w:eastAsia="微软雅黑" w:cs="微软雅黑"/>
                <w:i w:val="0"/>
                <w:iCs w:val="0"/>
                <w:color w:val="000000"/>
                <w:sz w:val="24"/>
                <w:szCs w:val="24"/>
                <w:u w:val="none"/>
              </w:rPr>
            </w:pP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1)面料:优质网布面料,符合GB 18401-2010、GB/T 19817-2005标准;芳香胺有害物质含量0,颜色干擦牢度≥3级,耐磨性≥12000转,断裂强度≥350N</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2)背框:尼龙+30%玻纤,可承受1001N载荷强度试验,可在座面载荷109kg时,施加445N的力于背架上,执行120000次往复循环</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3)海绵:一体成型定型绵,密度≥48kg/m³,回弹性≥40%,通过CA TB117-2013防火性能检测</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4)曲木板:E1级成型胶合板,甲醛释放量≤0.124mg/m³</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5)扶手:升降PU面扶手,可承受水平方向667N加载持续15s,垂直方向1125N加载持续15s,10±1°施力400N执行60000次循环</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6)底盘:优质底盘,底座钢板厚度＞2mm,可承受每分钟10至30次共计300000次倾仰</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7)气杆:三级气杆,行程92±2mm,升降平稳,无漏声、噪声,可在5次/min—15次/min回旋频率下进行12万次升降</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8)五星脚:抛光铝合金五星脚,可承受垂直方向施力11120N持续1分钟</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9)椅轮:PU轮,载荷122kg在无障碍平台进行98000次,有障碍物平台进行2000次往返无破损</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功能说明:</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1)头枕调节:上下调节45mm</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2)腰托调节:上下调节35mm</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3)扶手调节:扶手可上下调节60mm,左右旋转15°</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4)底盘调节:STG背座同步倾仰,四档锁定功能,自负重机构无需调节倾仰力度</w:t>
            </w:r>
            <w:r>
              <w:rPr>
                <w:rFonts w:hint="eastAsia" w:ascii="微软雅黑" w:hAnsi="微软雅黑" w:eastAsia="微软雅黑" w:cs="微软雅黑"/>
                <w:i w:val="0"/>
                <w:iCs w:val="0"/>
                <w:color w:val="000000"/>
                <w:kern w:val="0"/>
                <w:sz w:val="24"/>
                <w:szCs w:val="24"/>
                <w:u w:val="none"/>
                <w:lang w:val="en-US" w:eastAsia="zh-CN" w:bidi="ar"/>
              </w:rPr>
              <w:br w:type="textWrapping"/>
            </w:r>
            <w:r>
              <w:rPr>
                <w:rFonts w:hint="eastAsia" w:ascii="微软雅黑" w:hAnsi="微软雅黑" w:eastAsia="微软雅黑" w:cs="微软雅黑"/>
                <w:i w:val="0"/>
                <w:iCs w:val="0"/>
                <w:color w:val="000000"/>
                <w:kern w:val="0"/>
                <w:sz w:val="24"/>
                <w:szCs w:val="24"/>
                <w:u w:val="none"/>
                <w:lang w:val="en-US" w:eastAsia="zh-CN" w:bidi="ar"/>
              </w:rPr>
              <w:t>5)腰靠：展翼式腰托；腰靠结构前倾7°，支撑感提升；高弹海绵填充，柔性撑腰，久靠不塌陷。</w:t>
            </w:r>
          </w:p>
        </w:tc>
        <w:tc>
          <w:tcPr>
            <w:tcW w:w="49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微软雅黑" w:hAnsi="微软雅黑" w:eastAsia="微软雅黑" w:cs="微软雅黑"/>
                <w:i w:val="0"/>
                <w:iCs w:val="0"/>
                <w:color w:val="000000"/>
                <w:sz w:val="32"/>
                <w:szCs w:val="32"/>
                <w:u w:val="none"/>
              </w:rPr>
            </w:pPr>
            <w:r>
              <w:rPr>
                <w:rFonts w:hint="eastAsia" w:ascii="微软雅黑" w:hAnsi="微软雅黑" w:eastAsia="微软雅黑" w:cs="微软雅黑"/>
                <w:i w:val="0"/>
                <w:iCs w:val="0"/>
                <w:color w:val="000000"/>
                <w:kern w:val="0"/>
                <w:sz w:val="32"/>
                <w:szCs w:val="32"/>
                <w:u w:val="none"/>
                <w:lang w:val="en-US" w:eastAsia="zh-CN" w:bidi="ar"/>
              </w:rPr>
              <w:t>1</w:t>
            </w:r>
          </w:p>
        </w:tc>
      </w:tr>
    </w:tbl>
    <w:p>
      <w:pPr>
        <w:pStyle w:val="2"/>
        <w:rPr>
          <w:rFonts w:hint="eastAsia"/>
          <w:lang w:eastAsia="zh-CN"/>
        </w:rPr>
        <w:sectPr>
          <w:headerReference r:id="rId4" w:type="first"/>
          <w:footerReference r:id="rId6" w:type="first"/>
          <w:headerReference r:id="rId3" w:type="default"/>
          <w:footerReference r:id="rId5" w:type="default"/>
          <w:pgSz w:w="11906" w:h="16838"/>
          <w:pgMar w:top="1440" w:right="1418" w:bottom="1440" w:left="1418" w:header="851" w:footer="851" w:gutter="0"/>
          <w:pgNumType w:fmt="decimal" w:start="1"/>
          <w:cols w:space="720" w:num="1"/>
          <w:titlePg/>
          <w:docGrid w:linePitch="312" w:charSpace="0"/>
        </w:sectPr>
      </w:pPr>
    </w:p>
    <w:p>
      <w:pPr>
        <w:pStyle w:val="2"/>
        <w:spacing w:before="0" w:after="0" w:line="579" w:lineRule="auto"/>
        <w:jc w:val="center"/>
        <w:rPr>
          <w:rFonts w:hint="eastAsia"/>
        </w:rPr>
      </w:pPr>
      <w:r>
        <w:rPr>
          <w:rFonts w:hint="eastAsia"/>
        </w:rPr>
        <w:t>第四章 项目需求</w:t>
      </w:r>
    </w:p>
    <w:p>
      <w:pPr>
        <w:autoSpaceDE w:val="0"/>
        <w:autoSpaceDN w:val="0"/>
        <w:adjustRightInd w:val="0"/>
        <w:snapToGrid w:val="0"/>
        <w:spacing w:line="380" w:lineRule="exact"/>
        <w:textAlignment w:val="bottom"/>
        <w:outlineLvl w:val="0"/>
        <w:rPr>
          <w:rFonts w:ascii="宋体" w:hAnsi="宋体" w:cs="宋体"/>
          <w:b/>
          <w:color w:val="000000"/>
          <w:sz w:val="24"/>
        </w:rPr>
      </w:pPr>
      <w:r>
        <w:rPr>
          <w:rFonts w:hint="eastAsia" w:ascii="宋体" w:hAnsi="宋体" w:cs="宋体"/>
          <w:b/>
          <w:color w:val="000000"/>
          <w:sz w:val="24"/>
        </w:rPr>
        <w:t>一、采购总说明</w:t>
      </w:r>
    </w:p>
    <w:p>
      <w:pPr>
        <w:snapToGrid w:val="0"/>
        <w:spacing w:line="380" w:lineRule="exact"/>
        <w:ind w:firstLine="499" w:firstLineChars="208"/>
        <w:rPr>
          <w:rFonts w:ascii="宋体" w:hAnsi="宋体" w:cs="宋体"/>
          <w:color w:val="000000"/>
          <w:sz w:val="24"/>
        </w:rPr>
      </w:pPr>
      <w:r>
        <w:rPr>
          <w:rFonts w:hint="eastAsia" w:ascii="宋体" w:hAnsi="宋体" w:cs="宋体"/>
          <w:color w:val="000000"/>
          <w:sz w:val="24"/>
        </w:rPr>
        <w:t>1.1本技术规范要求提出的是最低限度的基本技术要求，并未对所有技术细节作出规定，供应商应提供符合本技术要求和国家标准、行业标准的优质产品。</w:t>
      </w:r>
    </w:p>
    <w:p>
      <w:pPr>
        <w:snapToGrid w:val="0"/>
        <w:spacing w:line="380" w:lineRule="exact"/>
        <w:ind w:firstLine="499" w:firstLineChars="208"/>
        <w:rPr>
          <w:rFonts w:ascii="宋体" w:hAnsi="宋体" w:cs="宋体"/>
          <w:color w:val="000000"/>
          <w:sz w:val="24"/>
        </w:rPr>
      </w:pPr>
      <w:r>
        <w:rPr>
          <w:rFonts w:hint="eastAsia" w:ascii="宋体" w:hAnsi="宋体" w:cs="宋体"/>
          <w:color w:val="000000"/>
          <w:sz w:val="24"/>
        </w:rPr>
        <w:t>1.2供应商产品与本技术要求不一致时，供应商应在投标文件中予以说明，并由评审小组鉴定供应商产品能否达到要求。如供应商没有在投标文件中提出异议，则视为供应商提供的产品完全按照本招标文件要求。</w:t>
      </w:r>
    </w:p>
    <w:p>
      <w:pPr>
        <w:snapToGrid w:val="0"/>
        <w:spacing w:line="380" w:lineRule="exact"/>
        <w:ind w:firstLine="499" w:firstLineChars="208"/>
        <w:rPr>
          <w:rFonts w:ascii="宋体" w:hAnsi="宋体" w:cs="宋体"/>
          <w:color w:val="000000"/>
          <w:sz w:val="24"/>
        </w:rPr>
      </w:pPr>
      <w:r>
        <w:rPr>
          <w:rFonts w:hint="eastAsia" w:ascii="宋体" w:hAnsi="宋体" w:cs="宋体"/>
          <w:color w:val="000000"/>
          <w:sz w:val="24"/>
        </w:rPr>
        <w:t>2、技术要求及标准的执行</w:t>
      </w:r>
    </w:p>
    <w:p>
      <w:pPr>
        <w:autoSpaceDE w:val="0"/>
        <w:autoSpaceDN w:val="0"/>
        <w:adjustRightInd w:val="0"/>
        <w:snapToGrid w:val="0"/>
        <w:spacing w:line="380" w:lineRule="exact"/>
        <w:ind w:firstLine="480" w:firstLineChars="200"/>
        <w:textAlignment w:val="bottom"/>
        <w:rPr>
          <w:rFonts w:ascii="宋体" w:hAnsi="宋体" w:cs="宋体"/>
          <w:color w:val="000000"/>
          <w:sz w:val="24"/>
        </w:rPr>
      </w:pPr>
      <w:r>
        <w:rPr>
          <w:rFonts w:hint="eastAsia" w:ascii="宋体" w:hAnsi="宋体" w:cs="宋体"/>
          <w:color w:val="000000"/>
          <w:sz w:val="24"/>
        </w:rPr>
        <w:t>供应商提供的产品应标明所执行的质量标准，若同一标准已颁发新标准，则按最新标准执行。若同一产品同时有几个标准（国际标准、国家标准、行业标准、企业标准等），则按最高层次的标准执行。</w:t>
      </w:r>
    </w:p>
    <w:p>
      <w:pPr>
        <w:autoSpaceDE w:val="0"/>
        <w:autoSpaceDN w:val="0"/>
        <w:adjustRightInd w:val="0"/>
        <w:snapToGrid w:val="0"/>
        <w:spacing w:line="380" w:lineRule="exact"/>
        <w:textAlignment w:val="bottom"/>
        <w:rPr>
          <w:rFonts w:ascii="宋体" w:hAnsi="宋体" w:cs="宋体"/>
          <w:color w:val="000000"/>
          <w:sz w:val="24"/>
        </w:rPr>
      </w:pPr>
      <w:r>
        <w:rPr>
          <w:rFonts w:hint="eastAsia" w:ascii="宋体" w:hAnsi="宋体" w:cs="宋体"/>
          <w:color w:val="000000"/>
          <w:sz w:val="24"/>
        </w:rPr>
        <w:t xml:space="preserve">    3、产品如涉及国家强制性认证要求的，必须满足相关要求。</w:t>
      </w:r>
    </w:p>
    <w:p>
      <w:pPr>
        <w:autoSpaceDE w:val="0"/>
        <w:autoSpaceDN w:val="0"/>
        <w:adjustRightInd w:val="0"/>
        <w:snapToGrid w:val="0"/>
        <w:spacing w:line="380" w:lineRule="exact"/>
        <w:textAlignment w:val="bottom"/>
        <w:rPr>
          <w:rFonts w:ascii="宋体" w:hAnsi="宋体" w:cs="宋体"/>
          <w:b/>
          <w:color w:val="000000"/>
          <w:sz w:val="24"/>
        </w:rPr>
      </w:pPr>
    </w:p>
    <w:p>
      <w:pPr>
        <w:autoSpaceDE w:val="0"/>
        <w:autoSpaceDN w:val="0"/>
        <w:adjustRightInd w:val="0"/>
        <w:snapToGrid w:val="0"/>
        <w:spacing w:line="380" w:lineRule="exact"/>
        <w:textAlignment w:val="bottom"/>
        <w:rPr>
          <w:rFonts w:hint="eastAsia" w:ascii="宋体" w:hAnsi="宋体" w:cs="宋体"/>
          <w:b/>
          <w:color w:val="000000"/>
          <w:sz w:val="24"/>
        </w:rPr>
      </w:pPr>
      <w:r>
        <w:rPr>
          <w:rFonts w:hint="eastAsia" w:ascii="宋体" w:hAnsi="宋体" w:cs="宋体"/>
          <w:b/>
          <w:color w:val="FF0000"/>
          <w:sz w:val="24"/>
        </w:rPr>
        <w:t>二、采购内容及要求</w:t>
      </w:r>
    </w:p>
    <w:p>
      <w:pPr>
        <w:pStyle w:val="15"/>
        <w:adjustRightInd w:val="0"/>
        <w:snapToGrid w:val="0"/>
        <w:spacing w:line="380" w:lineRule="exact"/>
        <w:rPr>
          <w:rFonts w:hint="eastAsia" w:hAnsi="宋体" w:cs="宋体"/>
          <w:color w:val="000000"/>
          <w:sz w:val="24"/>
        </w:rPr>
        <w:sectPr>
          <w:headerReference r:id="rId7" w:type="default"/>
          <w:footerReference r:id="rId8" w:type="default"/>
          <w:pgSz w:w="11906" w:h="16838"/>
          <w:pgMar w:top="1440" w:right="1800" w:bottom="1440" w:left="1800" w:header="851" w:footer="992" w:gutter="0"/>
          <w:pgNumType w:fmt="decimal"/>
          <w:cols w:space="720" w:num="1"/>
          <w:docGrid w:type="lines" w:linePitch="312" w:charSpace="0"/>
        </w:sectPr>
      </w:pPr>
    </w:p>
    <w:p>
      <w:pPr>
        <w:pStyle w:val="15"/>
        <w:adjustRightInd w:val="0"/>
        <w:snapToGrid w:val="0"/>
        <w:spacing w:line="380" w:lineRule="exact"/>
        <w:rPr>
          <w:rFonts w:hint="eastAsia" w:hAnsi="宋体" w:cs="宋体"/>
          <w:color w:val="000000"/>
          <w:sz w:val="24"/>
        </w:rPr>
      </w:pP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7"/>
        <w:gridCol w:w="1992"/>
        <w:gridCol w:w="8786"/>
        <w:gridCol w:w="1645"/>
        <w:gridCol w:w="6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15694" w:type="dxa"/>
            <w:gridSpan w:val="5"/>
            <w:noWrap/>
          </w:tcPr>
          <w:p>
            <w:pPr>
              <w:jc w:val="center"/>
              <w:rPr>
                <w:b/>
                <w:bCs/>
              </w:rPr>
            </w:pPr>
            <w:bookmarkStart w:id="3" w:name="RANGE!A1:E106"/>
            <w:r>
              <w:rPr>
                <w:rFonts w:hint="eastAsia"/>
                <w:b/>
                <w:bCs/>
              </w:rPr>
              <w:t>招标清单</w:t>
            </w:r>
            <w:bookmarkEnd w:id="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15694" w:type="dxa"/>
            <w:gridSpan w:val="5"/>
            <w:noWrap/>
          </w:tcPr>
          <w:p>
            <w:pPr>
              <w:jc w:val="center"/>
              <w:rPr>
                <w:b/>
                <w:bCs/>
              </w:rPr>
            </w:pPr>
            <w:r>
              <w:rPr>
                <w:rFonts w:hint="eastAsia"/>
                <w:b/>
                <w:bCs/>
              </w:rPr>
              <w:t>一楼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199" w:type="dxa"/>
          </w:tcPr>
          <w:p>
            <w:pPr>
              <w:jc w:val="center"/>
              <w:rPr>
                <w:b/>
                <w:bCs/>
              </w:rPr>
            </w:pPr>
            <w:r>
              <w:rPr>
                <w:rFonts w:hint="eastAsia"/>
                <w:b/>
                <w:bCs/>
              </w:rPr>
              <w:t>品名</w:t>
            </w:r>
          </w:p>
        </w:tc>
        <w:tc>
          <w:tcPr>
            <w:tcW w:w="2198" w:type="dxa"/>
          </w:tcPr>
          <w:p>
            <w:pPr>
              <w:jc w:val="center"/>
              <w:rPr>
                <w:b/>
                <w:bCs/>
              </w:rPr>
            </w:pPr>
            <w:r>
              <w:rPr>
                <w:rFonts w:hint="eastAsia"/>
                <w:b/>
                <w:bCs/>
              </w:rPr>
              <w:t>产品图片</w:t>
            </w:r>
          </w:p>
        </w:tc>
        <w:tc>
          <w:tcPr>
            <w:tcW w:w="9781" w:type="dxa"/>
          </w:tcPr>
          <w:p>
            <w:pPr>
              <w:jc w:val="center"/>
              <w:rPr>
                <w:b/>
                <w:bCs/>
              </w:rPr>
            </w:pPr>
            <w:r>
              <w:rPr>
                <w:rFonts w:hint="eastAsia"/>
                <w:b/>
                <w:bCs/>
              </w:rPr>
              <w:t>材质说明</w:t>
            </w:r>
          </w:p>
        </w:tc>
        <w:tc>
          <w:tcPr>
            <w:tcW w:w="1811" w:type="dxa"/>
          </w:tcPr>
          <w:p>
            <w:pPr>
              <w:jc w:val="center"/>
              <w:rPr>
                <w:b/>
                <w:bCs/>
              </w:rPr>
            </w:pPr>
            <w:r>
              <w:rPr>
                <w:rFonts w:hint="eastAsia"/>
                <w:b/>
                <w:bCs/>
              </w:rPr>
              <w:t>规格</w:t>
            </w:r>
          </w:p>
        </w:tc>
        <w:tc>
          <w:tcPr>
            <w:tcW w:w="705" w:type="dxa"/>
          </w:tcPr>
          <w:p>
            <w:pPr>
              <w:jc w:val="center"/>
              <w:rPr>
                <w:b/>
                <w:bCs/>
              </w:rPr>
            </w:pPr>
            <w:r>
              <w:rPr>
                <w:rFonts w:hint="eastAsia"/>
                <w:b/>
                <w:bCs/>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15694" w:type="dxa"/>
            <w:gridSpan w:val="5"/>
            <w:noWrap/>
          </w:tcPr>
          <w:p>
            <w:pPr>
              <w:jc w:val="center"/>
              <w:rPr>
                <w:b/>
                <w:bCs/>
              </w:rPr>
            </w:pPr>
            <w:r>
              <w:rPr>
                <w:rFonts w:hint="eastAsia"/>
                <w:b/>
                <w:bCs/>
              </w:rPr>
              <w:t>询问室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99" w:type="dxa"/>
            <w:vAlign w:val="center"/>
          </w:tcPr>
          <w:p>
            <w:r>
              <w:rPr>
                <w:rFonts w:hint="eastAsia"/>
              </w:rPr>
              <w:t>询问桌</w:t>
            </w:r>
          </w:p>
        </w:tc>
        <w:tc>
          <w:tcPr>
            <w:tcW w:w="2198" w:type="dxa"/>
          </w:tcPr>
          <w:p>
            <w:r>
              <w:rPr>
                <w:rFonts w:hint="eastAsia"/>
              </w:rPr>
              <w:drawing>
                <wp:anchor distT="0" distB="0" distL="114300" distR="114300" simplePos="0" relativeHeight="251664384" behindDoc="0" locked="0" layoutInCell="1" allowOverlap="1">
                  <wp:simplePos x="0" y="0"/>
                  <wp:positionH relativeFrom="column">
                    <wp:posOffset>11430</wp:posOffset>
                  </wp:positionH>
                  <wp:positionV relativeFrom="paragraph">
                    <wp:posOffset>309880</wp:posOffset>
                  </wp:positionV>
                  <wp:extent cx="1144905" cy="825500"/>
                  <wp:effectExtent l="0" t="0" r="17145" b="1270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a:off x="0" y="0"/>
                            <a:ext cx="1145101" cy="825500"/>
                          </a:xfrm>
                          <a:prstGeom prst="rect">
                            <a:avLst/>
                          </a:prstGeom>
                        </pic:spPr>
                      </pic:pic>
                    </a:graphicData>
                  </a:graphic>
                </wp:anchor>
              </w:drawing>
            </w:r>
          </w:p>
        </w:tc>
        <w:tc>
          <w:tcPr>
            <w:tcW w:w="9781" w:type="dxa"/>
          </w:tcPr>
          <w:p>
            <w:r>
              <w:rPr>
                <w:rFonts w:hint="eastAsia"/>
              </w:rPr>
              <w:t>1)面材:采用装饰原纸,选用优质三聚氰胺浸胶工艺,使表面稳定性更好,层次感更优,耐污抗磨性更强,通过GB/T 15102浸渍胶膜纸饰面人造板表面理化性能要求;</w:t>
            </w:r>
            <w:r>
              <w:rPr>
                <w:rFonts w:hint="eastAsia"/>
              </w:rPr>
              <w:br w:type="textWrapping"/>
            </w:r>
            <w:r>
              <w:rPr>
                <w:rFonts w:hint="eastAsia"/>
              </w:rPr>
              <w:t>2)基材:采用E0级中纤板、E0级刨花板,通过GB/T18580-2017要求,甲醛释放量≤0.124mg/m³</w:t>
            </w:r>
            <w:r>
              <w:rPr>
                <w:rFonts w:hint="eastAsia"/>
              </w:rPr>
              <w:br w:type="textWrapping"/>
            </w:r>
            <w:r>
              <w:rPr>
                <w:rFonts w:hint="eastAsia"/>
              </w:rPr>
              <w:t>3)PVC封边条:表面耐光色牢度≥4级;表面耐龟裂性≥2级;表面耐磨性能0r;通过QB/T4463-2013 《家具用封边条技术要求》理化性能检测要求</w:t>
            </w:r>
            <w:r>
              <w:rPr>
                <w:rFonts w:hint="eastAsia"/>
              </w:rPr>
              <w:br w:type="textWrapping"/>
            </w:r>
            <w:r>
              <w:rPr>
                <w:rFonts w:hint="eastAsia"/>
              </w:rPr>
              <w:t>4)塑胶件:符合(GB/T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tc>
        <w:tc>
          <w:tcPr>
            <w:tcW w:w="1811" w:type="dxa"/>
            <w:vAlign w:val="center"/>
          </w:tcPr>
          <w:p>
            <w:pPr>
              <w:jc w:val="center"/>
            </w:pPr>
            <w:r>
              <w:rPr>
                <w:rFonts w:hint="eastAsia"/>
              </w:rPr>
              <w:t>1600 mm (L)</w:t>
            </w:r>
            <w:r>
              <w:rPr>
                <w:rFonts w:hint="eastAsia"/>
              </w:rPr>
              <w:br w:type="textWrapping"/>
            </w:r>
            <w:r>
              <w:rPr>
                <w:rFonts w:hint="eastAsia"/>
              </w:rPr>
              <w:t>800 mm (</w:t>
            </w:r>
            <w:r>
              <w:t>W</w:t>
            </w:r>
            <w:r>
              <w:rPr>
                <w:rFonts w:hint="eastAsia"/>
              </w:rPr>
              <w:t>)</w:t>
            </w:r>
            <w:r>
              <w:rPr>
                <w:rFonts w:hint="eastAsia"/>
              </w:rPr>
              <w:br w:type="textWrapping"/>
            </w:r>
            <w:r>
              <w:rPr>
                <w:rFonts w:hint="eastAsia"/>
              </w:rPr>
              <w:t>750 mm (</w:t>
            </w:r>
            <w:r>
              <w:t>H</w:t>
            </w:r>
            <w:r>
              <w:rPr>
                <w:rFonts w:hint="eastAsia"/>
              </w:rPr>
              <w:t>)</w:t>
            </w:r>
          </w:p>
        </w:tc>
        <w:tc>
          <w:tcPr>
            <w:tcW w:w="705" w:type="dxa"/>
            <w:vAlign w:val="center"/>
          </w:tcPr>
          <w:p>
            <w:pPr>
              <w:jc w:val="center"/>
            </w:pPr>
            <w:r>
              <w:rPr>
                <w:rFonts w:hint="eastAsia"/>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4" w:hRule="atLeast"/>
        </w:trPr>
        <w:tc>
          <w:tcPr>
            <w:tcW w:w="1199" w:type="dxa"/>
            <w:vAlign w:val="center"/>
          </w:tcPr>
          <w:p>
            <w:r>
              <w:rPr>
                <w:rFonts w:hint="eastAsia"/>
              </w:rPr>
              <w:t>询问椅</w:t>
            </w:r>
          </w:p>
        </w:tc>
        <w:tc>
          <w:tcPr>
            <w:tcW w:w="2198" w:type="dxa"/>
          </w:tcPr>
          <w:p>
            <w:r>
              <w:rPr>
                <w:rFonts w:hint="eastAsia"/>
              </w:rPr>
              <w:drawing>
                <wp:anchor distT="0" distB="0" distL="114300" distR="114300" simplePos="0" relativeHeight="251665408" behindDoc="0" locked="0" layoutInCell="1" allowOverlap="1">
                  <wp:simplePos x="0" y="0"/>
                  <wp:positionH relativeFrom="column">
                    <wp:posOffset>1270</wp:posOffset>
                  </wp:positionH>
                  <wp:positionV relativeFrom="paragraph">
                    <wp:posOffset>737235</wp:posOffset>
                  </wp:positionV>
                  <wp:extent cx="1035685" cy="1376045"/>
                  <wp:effectExtent l="0" t="0" r="12065" b="1460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1038832" cy="1380232"/>
                          </a:xfrm>
                          <a:prstGeom prst="rect">
                            <a:avLst/>
                          </a:prstGeom>
                        </pic:spPr>
                      </pic:pic>
                    </a:graphicData>
                  </a:graphic>
                </wp:anchor>
              </w:drawing>
            </w:r>
          </w:p>
        </w:tc>
        <w:tc>
          <w:tcPr>
            <w:tcW w:w="9781" w:type="dxa"/>
          </w:tcPr>
          <w:p>
            <w:r>
              <w:rPr>
                <w:rFonts w:hint="eastAsia"/>
              </w:rPr>
              <w:t>1)面料:优质网布面料,符合GB 18401-2010、GB/T 19817-2005标准;芳香胺有害物质含量0,颜色干擦牢度≥3级,耐磨性≥12000转,断裂强度≥350N</w:t>
            </w:r>
            <w:r>
              <w:rPr>
                <w:rFonts w:hint="eastAsia"/>
              </w:rPr>
              <w:br w:type="textWrapping"/>
            </w:r>
            <w:r>
              <w:rPr>
                <w:rFonts w:hint="eastAsia"/>
              </w:rPr>
              <w:t>2)背框:尼龙+30%玻纤</w:t>
            </w:r>
            <w:r>
              <w:rPr>
                <w:rFonts w:hint="eastAsia"/>
              </w:rPr>
              <w:br w:type="textWrapping"/>
            </w:r>
            <w:r>
              <w:rPr>
                <w:rFonts w:hint="eastAsia"/>
              </w:rPr>
              <w:t>3)座垫：一体成型定型绵,密度≥48kg/m³,回弹性≥40%,通过CA TB117-2013防火性能检测</w:t>
            </w:r>
            <w:r>
              <w:rPr>
                <w:rFonts w:hint="eastAsia"/>
              </w:rPr>
              <w:br w:type="textWrapping"/>
            </w:r>
            <w:r>
              <w:rPr>
                <w:rFonts w:hint="eastAsia"/>
              </w:rPr>
              <w:t>4)曲木板:E1级成型胶合板（曲木板）,符合GB/T 22350-2017标准、GB 18580-2017标准、HJ 571-2010标准、GB 18584-2001标准，其中尺寸（长度、宽度及厚度）偏差、形位偏差、外观质量、含水率、浸渍剥离性能、抗压性能、点抗压性能均合格，甲醛释放量≤0.02mg/m³，TVOC≤0.10mg/㎡.h。</w:t>
            </w:r>
            <w:r>
              <w:rPr>
                <w:rFonts w:hint="eastAsia"/>
              </w:rPr>
              <w:br w:type="textWrapping"/>
            </w:r>
            <w:r>
              <w:rPr>
                <w:rFonts w:hint="eastAsia"/>
              </w:rPr>
              <w:t>5)扶手:固定PP扶手,可承受水平方向445N加载持续15s,垂直方向750N加载持续15s,10±1°施力400N执行60000次循环</w:t>
            </w:r>
            <w:r>
              <w:rPr>
                <w:rFonts w:hint="eastAsia"/>
              </w:rPr>
              <w:br w:type="textWrapping"/>
            </w:r>
            <w:r>
              <w:rPr>
                <w:rFonts w:hint="eastAsia"/>
              </w:rPr>
              <w:t>6)椅架：壁厚1.8mm钢管折弯而成，表面电镀处理壁,涂层附着力不低于2级,耐腐蚀100h,可承受136kg冲击及57kg耐久100000次冲击。</w:t>
            </w:r>
          </w:p>
        </w:tc>
        <w:tc>
          <w:tcPr>
            <w:tcW w:w="1811" w:type="dxa"/>
            <w:vAlign w:val="center"/>
          </w:tcPr>
          <w:p>
            <w:pPr>
              <w:jc w:val="center"/>
            </w:pPr>
            <w:r>
              <w:rPr>
                <w:rFonts w:hint="eastAsia"/>
              </w:rPr>
              <w:t>6</w:t>
            </w:r>
            <w:r>
              <w:t>20</w:t>
            </w:r>
            <w:r>
              <w:rPr>
                <w:rFonts w:hint="eastAsia"/>
              </w:rPr>
              <w:t xml:space="preserve"> mm (L)</w:t>
            </w:r>
            <w:r>
              <w:rPr>
                <w:rFonts w:hint="eastAsia"/>
              </w:rPr>
              <w:br w:type="textWrapping"/>
            </w:r>
            <w:r>
              <w:rPr>
                <w:rFonts w:hint="eastAsia"/>
              </w:rPr>
              <w:t>6</w:t>
            </w:r>
            <w:r>
              <w:t>15</w:t>
            </w:r>
            <w:r>
              <w:rPr>
                <w:rFonts w:hint="eastAsia"/>
              </w:rPr>
              <w:t xml:space="preserve"> mm (W)</w:t>
            </w:r>
            <w:r>
              <w:rPr>
                <w:rFonts w:hint="eastAsia"/>
              </w:rPr>
              <w:br w:type="textWrapping"/>
            </w:r>
            <w:r>
              <w:rPr>
                <w:rFonts w:hint="eastAsia"/>
              </w:rPr>
              <w:t>10</w:t>
            </w:r>
            <w:r>
              <w:t>15</w:t>
            </w:r>
            <w:r>
              <w:rPr>
                <w:rFonts w:hint="eastAsia"/>
              </w:rPr>
              <w:t xml:space="preserve"> mm (H)</w:t>
            </w:r>
          </w:p>
        </w:tc>
        <w:tc>
          <w:tcPr>
            <w:tcW w:w="705" w:type="dxa"/>
            <w:vAlign w:val="center"/>
          </w:tcPr>
          <w:p>
            <w:pPr>
              <w:jc w:val="center"/>
            </w:pPr>
            <w:r>
              <w:rPr>
                <w:rFonts w:hint="eastAsia"/>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15694" w:type="dxa"/>
            <w:gridSpan w:val="5"/>
            <w:noWrap/>
            <w:vAlign w:val="center"/>
          </w:tcPr>
          <w:p>
            <w:pPr>
              <w:jc w:val="center"/>
              <w:rPr>
                <w:b/>
                <w:bCs/>
              </w:rPr>
            </w:pPr>
            <w:r>
              <w:rPr>
                <w:rFonts w:hint="eastAsia"/>
                <w:b/>
                <w:bCs/>
              </w:rPr>
              <w:t>数字**中心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atLeast"/>
        </w:trPr>
        <w:tc>
          <w:tcPr>
            <w:tcW w:w="1199" w:type="dxa"/>
            <w:vMerge w:val="restart"/>
            <w:vAlign w:val="center"/>
          </w:tcPr>
          <w:p>
            <w:r>
              <w:rPr>
                <w:rFonts w:hint="eastAsia"/>
              </w:rPr>
              <w:t>操控台1</w:t>
            </w:r>
          </w:p>
        </w:tc>
        <w:tc>
          <w:tcPr>
            <w:tcW w:w="2198" w:type="dxa"/>
            <w:vMerge w:val="restart"/>
            <w:noWrap/>
          </w:tcPr>
          <w:p/>
          <w:p>
            <w:r>
              <w:rPr>
                <w:rFonts w:hint="eastAsia"/>
              </w:rPr>
              <w:drawing>
                <wp:anchor distT="0" distB="0" distL="114300" distR="114300" simplePos="0" relativeHeight="251662336" behindDoc="0" locked="0" layoutInCell="1" allowOverlap="1">
                  <wp:simplePos x="0" y="0"/>
                  <wp:positionH relativeFrom="column">
                    <wp:posOffset>-23495</wp:posOffset>
                  </wp:positionH>
                  <wp:positionV relativeFrom="paragraph">
                    <wp:posOffset>2538095</wp:posOffset>
                  </wp:positionV>
                  <wp:extent cx="1296035" cy="808990"/>
                  <wp:effectExtent l="0" t="0" r="18415" b="1016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9"/>
                          <a:stretch>
                            <a:fillRect/>
                          </a:stretch>
                        </pic:blipFill>
                        <pic:spPr>
                          <a:xfrm>
                            <a:off x="0" y="0"/>
                            <a:ext cx="1295772" cy="808899"/>
                          </a:xfrm>
                          <a:prstGeom prst="rect">
                            <a:avLst/>
                          </a:prstGeom>
                        </pic:spPr>
                      </pic:pic>
                    </a:graphicData>
                  </a:graphic>
                </wp:anchor>
              </w:drawing>
            </w:r>
          </w:p>
        </w:tc>
        <w:tc>
          <w:tcPr>
            <w:tcW w:w="9781" w:type="dxa"/>
            <w:vMerge w:val="restart"/>
          </w:tcPr>
          <w:p>
            <w:pPr>
              <w:rPr>
                <w:sz w:val="18"/>
                <w:szCs w:val="20"/>
              </w:rPr>
            </w:pPr>
            <w:r>
              <w:rPr>
                <w:rFonts w:hint="eastAsia"/>
                <w:sz w:val="18"/>
                <w:szCs w:val="20"/>
              </w:rPr>
              <w:t>1) 控制台采用钢木结合模块化拼接结构，内部框架有线缆通道，可实现强弱电分离走线，可在不同的位置以使布线方便有序，满足主机、强弱电插内置，框架结构中各部件使用一级冷轧钢钢板冲压折弯成型，框架结构：内部主框架为厚度2.0mm一级冷轧钢板，承重梁使用厚度为3.0mm一级冷轧钢，表面防静电喷塑涂层处理。外表面静电塑粉喷涂。</w:t>
            </w:r>
            <w:r>
              <w:rPr>
                <w:rFonts w:hint="eastAsia"/>
                <w:sz w:val="18"/>
                <w:szCs w:val="20"/>
              </w:rPr>
              <w:br w:type="textWrapping"/>
            </w:r>
            <w:r>
              <w:rPr>
                <w:rFonts w:hint="eastAsia"/>
                <w:sz w:val="18"/>
                <w:szCs w:val="20"/>
              </w:rPr>
              <w:t>2) 框架前后门板使用实木颗粒板双帖防火板加工，整体厚度为20mm；门板使用铰链连接到框架上，可实现快速安装和拆卸，具有质轻，手感好，开关门噪音小等优点，保证其60000次无障碍开启，具有认证资质。</w:t>
            </w:r>
            <w:r>
              <w:rPr>
                <w:rFonts w:hint="eastAsia"/>
                <w:sz w:val="18"/>
                <w:szCs w:val="20"/>
              </w:rPr>
              <w:br w:type="textWrapping"/>
            </w:r>
            <w:r>
              <w:rPr>
                <w:rFonts w:hint="eastAsia"/>
                <w:sz w:val="18"/>
                <w:szCs w:val="20"/>
              </w:rPr>
              <w:t>3)控制台面板采用具有耐高温、耐烟灼、耐撞击、耐潮湿、防水、耐腐蚀的高强度进口高压耐磨板（HPL）加工，整体厚度不低于27mm,台面边缘外围浇筑柔性的聚氨酯来形成，控制台所使用的防火板应通过GB/T 39600-2021《人造板及其制品甲醛释放量分级》的检测并提供检测报告，甲醛释放≤0.005mg/m³，符合Enf级要求。</w:t>
            </w:r>
            <w:r>
              <w:rPr>
                <w:rFonts w:hint="eastAsia"/>
                <w:sz w:val="18"/>
                <w:szCs w:val="20"/>
              </w:rPr>
              <w:br w:type="textWrapping"/>
            </w:r>
            <w:r>
              <w:rPr>
                <w:rFonts w:hint="eastAsia"/>
                <w:sz w:val="18"/>
                <w:szCs w:val="20"/>
              </w:rPr>
              <w:t>4) 调度控制台内部设置横竖方向的专业走线通道，与整体系统环境相适应；具备强、弱电分离的功能，避免互相干扰，合理有序的进行布线，使布线规范整齐、顺畅美观、合理安全；调度控制台内部可选配标准的19英寸设备架配件，以便19英寸标准的设备安装及走线布置。</w:t>
            </w:r>
            <w:r>
              <w:rPr>
                <w:rFonts w:hint="eastAsia"/>
                <w:sz w:val="18"/>
                <w:szCs w:val="20"/>
              </w:rPr>
              <w:br w:type="textWrapping"/>
            </w:r>
            <w:r>
              <w:rPr>
                <w:rFonts w:hint="eastAsia"/>
                <w:sz w:val="18"/>
                <w:szCs w:val="20"/>
              </w:rPr>
              <w:t>5) 调度控制台内部应并非封闭结构，散热设计遵循空气动力学原理，设计隐藏式便于通风散热的空隙及通道。隐藏式通风通道散热，不可采用门板散热方式，不美观；内部散热通道应在调度控制台内部形成自然循环通路，保证冷空气进入调度控制台内部变热，然后从上部流出，不依靠内置散热风扇等设备就可以确保调度控制台内部设备的长期稳定运行。</w:t>
            </w:r>
            <w:r>
              <w:rPr>
                <w:rFonts w:hint="eastAsia"/>
                <w:sz w:val="18"/>
                <w:szCs w:val="20"/>
              </w:rPr>
              <w:br w:type="textWrapping"/>
            </w:r>
            <w:r>
              <w:rPr>
                <w:rFonts w:hint="eastAsia"/>
                <w:sz w:val="18"/>
                <w:szCs w:val="20"/>
              </w:rPr>
              <w:t>7) 整体产品通过Greenguard gold(绿色卫士)认证。</w:t>
            </w:r>
            <w:r>
              <w:rPr>
                <w:rFonts w:hint="eastAsia"/>
                <w:sz w:val="18"/>
                <w:szCs w:val="20"/>
              </w:rPr>
              <w:br w:type="textWrapping"/>
            </w:r>
            <w:r>
              <w:rPr>
                <w:rFonts w:hint="eastAsia"/>
                <w:sz w:val="18"/>
                <w:szCs w:val="20"/>
              </w:rPr>
              <w:t>8）控制台整套按 GB20286-2006附录C做燃烧测试达到等级应不低于阻燃1级的要求，其中“一氧化碳”释放量应不高于10ppm,最大烟密度小于1%，最大质量损失低于0.14%，提供第三方检测报告。</w:t>
            </w:r>
            <w:r>
              <w:rPr>
                <w:rFonts w:hint="eastAsia"/>
                <w:sz w:val="18"/>
                <w:szCs w:val="20"/>
              </w:rPr>
              <w:br w:type="textWrapping"/>
            </w:r>
            <w:r>
              <w:rPr>
                <w:rFonts w:hint="eastAsia"/>
                <w:sz w:val="18"/>
                <w:szCs w:val="20"/>
              </w:rPr>
              <w:t>9）控制台产品整体应达到抗震等级≥9烈度，符合GB/T 2424.25-2000电工电子产品环境试验 第3部分：实验导则 地震实验方法，（提供第三方权威检测机构出具的检测报告证明文件)。</w:t>
            </w:r>
            <w:r>
              <w:rPr>
                <w:rFonts w:hint="eastAsia"/>
                <w:sz w:val="18"/>
                <w:szCs w:val="20"/>
              </w:rPr>
              <w:br w:type="textWrapping"/>
            </w:r>
            <w:r>
              <w:rPr>
                <w:rFonts w:hint="eastAsia"/>
                <w:sz w:val="18"/>
                <w:szCs w:val="20"/>
              </w:rPr>
              <w:t>10）控制台桌面表面最大静载荷应不小于360Kg，通过SGS相关检测并提供证书。</w:t>
            </w:r>
            <w:r>
              <w:rPr>
                <w:rFonts w:hint="eastAsia"/>
                <w:sz w:val="18"/>
                <w:szCs w:val="20"/>
              </w:rPr>
              <w:br w:type="textWrapping"/>
            </w:r>
            <w:r>
              <w:rPr>
                <w:rFonts w:hint="eastAsia"/>
                <w:sz w:val="18"/>
                <w:szCs w:val="20"/>
              </w:rPr>
              <w:t xml:space="preserve">11）应具有符合国标GB/T3325-2017标准出具的控制台型式检测报告，报告包含控制台理化性能、力学性能、安全性能相关方面检测，其中木质件表面贴面层，耐污染：达到5级；且主桌面垂直静载荷达到1500N，桌面水平耐久加力达到180N，水平静载荷加力达到720N（提供通过CNAS认证机构提供的检测报告复印件并加盖原厂公章；                         </w:t>
            </w:r>
            <w:r>
              <w:rPr>
                <w:rFonts w:hint="eastAsia"/>
                <w:sz w:val="18"/>
                <w:szCs w:val="20"/>
              </w:rPr>
              <w:br w:type="textWrapping"/>
            </w:r>
            <w:r>
              <w:rPr>
                <w:rFonts w:hint="eastAsia"/>
                <w:sz w:val="18"/>
                <w:szCs w:val="20"/>
              </w:rPr>
              <w:t>12）产品具有中国绿色标志授权使用证书。</w:t>
            </w:r>
            <w:r>
              <w:rPr>
                <w:rFonts w:hint="eastAsia"/>
                <w:sz w:val="18"/>
                <w:szCs w:val="20"/>
              </w:rPr>
              <w:br w:type="textWrapping"/>
            </w:r>
            <w:r>
              <w:rPr>
                <w:rFonts w:hint="eastAsia"/>
                <w:sz w:val="18"/>
                <w:szCs w:val="20"/>
              </w:rPr>
              <w:t>1、产品类型：19英寸标准安装；</w:t>
            </w:r>
            <w:r>
              <w:rPr>
                <w:rFonts w:hint="eastAsia"/>
                <w:sz w:val="18"/>
                <w:szCs w:val="20"/>
              </w:rPr>
              <w:br w:type="textWrapping"/>
            </w:r>
            <w:r>
              <w:rPr>
                <w:rFonts w:hint="eastAsia"/>
                <w:sz w:val="18"/>
                <w:szCs w:val="20"/>
              </w:rPr>
              <w:t>2、插座孔形及数量：八位/六位国标五孔；</w:t>
            </w:r>
            <w:r>
              <w:rPr>
                <w:rFonts w:hint="eastAsia"/>
                <w:sz w:val="18"/>
                <w:szCs w:val="20"/>
              </w:rPr>
              <w:br w:type="textWrapping"/>
            </w:r>
            <w:r>
              <w:rPr>
                <w:rFonts w:hint="eastAsia"/>
                <w:sz w:val="18"/>
                <w:szCs w:val="20"/>
              </w:rPr>
              <w:t>3、输出线长度：2米线缆，端头为标准三孔插头；</w:t>
            </w:r>
            <w:r>
              <w:rPr>
                <w:rFonts w:hint="eastAsia"/>
                <w:sz w:val="18"/>
                <w:szCs w:val="20"/>
              </w:rPr>
              <w:br w:type="textWrapping"/>
            </w:r>
            <w:r>
              <w:rPr>
                <w:rFonts w:hint="eastAsia"/>
                <w:sz w:val="18"/>
                <w:szCs w:val="20"/>
              </w:rPr>
              <w:t>4、额定电压/额定电流：220V/10A；</w:t>
            </w:r>
            <w:r>
              <w:rPr>
                <w:rFonts w:hint="eastAsia"/>
                <w:sz w:val="18"/>
                <w:szCs w:val="20"/>
              </w:rPr>
              <w:br w:type="textWrapping"/>
            </w:r>
            <w:r>
              <w:rPr>
                <w:rFonts w:hint="eastAsia"/>
                <w:sz w:val="18"/>
                <w:szCs w:val="20"/>
              </w:rPr>
              <w:t>5、外壳材质：黑色铝合金。</w:t>
            </w:r>
            <w:r>
              <w:rPr>
                <w:rFonts w:hint="eastAsia"/>
                <w:sz w:val="18"/>
                <w:szCs w:val="20"/>
              </w:rPr>
              <w:br w:type="textWrapping"/>
            </w:r>
            <w:r>
              <w:rPr>
                <w:rFonts w:hint="eastAsia"/>
                <w:sz w:val="18"/>
                <w:szCs w:val="20"/>
              </w:rPr>
              <w:t>6、带电源开关</w:t>
            </w:r>
            <w:r>
              <w:rPr>
                <w:rFonts w:hint="eastAsia"/>
                <w:sz w:val="18"/>
                <w:szCs w:val="20"/>
              </w:rPr>
              <w:br w:type="textWrapping"/>
            </w:r>
            <w:r>
              <w:rPr>
                <w:rFonts w:hint="eastAsia"/>
                <w:sz w:val="18"/>
                <w:szCs w:val="20"/>
              </w:rPr>
              <w:t>7、432*45*45；外围19英寸483*45*45</w:t>
            </w:r>
            <w:r>
              <w:rPr>
                <w:rFonts w:hint="eastAsia"/>
                <w:sz w:val="18"/>
                <w:szCs w:val="20"/>
              </w:rPr>
              <w:br w:type="textWrapping"/>
            </w:r>
          </w:p>
        </w:tc>
        <w:tc>
          <w:tcPr>
            <w:tcW w:w="1811" w:type="dxa"/>
            <w:vMerge w:val="restart"/>
            <w:vAlign w:val="center"/>
          </w:tcPr>
          <w:p>
            <w:pPr>
              <w:jc w:val="center"/>
            </w:pPr>
            <w:r>
              <w:rPr>
                <w:rFonts w:hint="eastAsia"/>
              </w:rPr>
              <w:t>2</w:t>
            </w:r>
            <w:r>
              <w:t>794</w:t>
            </w:r>
            <w:r>
              <w:rPr>
                <w:rFonts w:hint="eastAsia"/>
              </w:rPr>
              <w:t>*</w:t>
            </w:r>
            <w:r>
              <w:t>1000</w:t>
            </w:r>
            <w:r>
              <w:rPr>
                <w:rFonts w:hint="eastAsia"/>
              </w:rPr>
              <w:t>*</w:t>
            </w:r>
            <w:r>
              <w:t>750</w:t>
            </w:r>
          </w:p>
        </w:tc>
        <w:tc>
          <w:tcPr>
            <w:tcW w:w="705" w:type="dxa"/>
            <w:vMerge w:val="restart"/>
            <w:vAlign w:val="center"/>
          </w:tcPr>
          <w:p>
            <w:pPr>
              <w:jc w:val="center"/>
            </w:pPr>
            <w:r>
              <w:rPr>
                <w:rFonts w:hint="eastAsi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9" w:hRule="atLeast"/>
        </w:trPr>
        <w:tc>
          <w:tcPr>
            <w:tcW w:w="1199" w:type="dxa"/>
            <w:vMerge w:val="continue"/>
            <w:vAlign w:val="center"/>
          </w:tcPr>
          <w:p/>
        </w:tc>
        <w:tc>
          <w:tcPr>
            <w:tcW w:w="2198" w:type="dxa"/>
            <w:vMerge w:val="continue"/>
          </w:tcPr>
          <w:p/>
        </w:tc>
        <w:tc>
          <w:tcPr>
            <w:tcW w:w="9781" w:type="dxa"/>
            <w:vMerge w:val="continue"/>
          </w:tcPr>
          <w:p/>
        </w:tc>
        <w:tc>
          <w:tcPr>
            <w:tcW w:w="1811" w:type="dxa"/>
            <w:vMerge w:val="continue"/>
            <w:vAlign w:val="center"/>
          </w:tcPr>
          <w:p>
            <w:pPr>
              <w:jc w:val="center"/>
            </w:pPr>
          </w:p>
        </w:tc>
        <w:tc>
          <w:tcPr>
            <w:tcW w:w="705"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3" w:hRule="atLeast"/>
        </w:trPr>
        <w:tc>
          <w:tcPr>
            <w:tcW w:w="1199" w:type="dxa"/>
            <w:vAlign w:val="center"/>
          </w:tcPr>
          <w:p>
            <w:r>
              <w:rPr>
                <w:rFonts w:hint="eastAsia"/>
              </w:rPr>
              <w:t>操控台</w:t>
            </w:r>
            <w:r>
              <w:t>2</w:t>
            </w:r>
          </w:p>
        </w:tc>
        <w:tc>
          <w:tcPr>
            <w:tcW w:w="2198" w:type="dxa"/>
          </w:tcPr>
          <w:p>
            <w:r>
              <w:rPr>
                <w:rFonts w:hint="eastAsia"/>
              </w:rPr>
              <w:drawing>
                <wp:anchor distT="0" distB="0" distL="114300" distR="114300" simplePos="0" relativeHeight="251732992" behindDoc="0" locked="0" layoutInCell="1" allowOverlap="1">
                  <wp:simplePos x="0" y="0"/>
                  <wp:positionH relativeFrom="column">
                    <wp:posOffset>-35560</wp:posOffset>
                  </wp:positionH>
                  <wp:positionV relativeFrom="paragraph">
                    <wp:posOffset>2890520</wp:posOffset>
                  </wp:positionV>
                  <wp:extent cx="1296035" cy="808990"/>
                  <wp:effectExtent l="0" t="0" r="18415" b="1016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9"/>
                          <a:stretch>
                            <a:fillRect/>
                          </a:stretch>
                        </pic:blipFill>
                        <pic:spPr>
                          <a:xfrm>
                            <a:off x="0" y="0"/>
                            <a:ext cx="1295772" cy="808899"/>
                          </a:xfrm>
                          <a:prstGeom prst="rect">
                            <a:avLst/>
                          </a:prstGeom>
                        </pic:spPr>
                      </pic:pic>
                    </a:graphicData>
                  </a:graphic>
                </wp:anchor>
              </w:drawing>
            </w:r>
          </w:p>
        </w:tc>
        <w:tc>
          <w:tcPr>
            <w:tcW w:w="9781" w:type="dxa"/>
          </w:tcPr>
          <w:p>
            <w:r>
              <w:rPr>
                <w:rFonts w:hint="eastAsia"/>
                <w:sz w:val="20"/>
                <w:szCs w:val="21"/>
              </w:rPr>
              <w:t>1) 控制台采用钢木结合模块化拼接结构，内部框架有线缆通道，可实现强弱电分离走线，可在不同的位置以使布线方便有序，满足主机、强弱电插内置，框架结构中各部件使用一级冷轧钢钢板冲压折弯成型，框架结构：内部主框架为厚度2.0mm一级冷轧钢板，承重梁使用厚度为3.0mm一级冷轧钢，表面防静电喷塑涂层处理。外表面静电塑粉喷涂。</w:t>
            </w:r>
            <w:r>
              <w:rPr>
                <w:rFonts w:hint="eastAsia"/>
                <w:sz w:val="20"/>
                <w:szCs w:val="21"/>
              </w:rPr>
              <w:br w:type="textWrapping"/>
            </w:r>
            <w:r>
              <w:rPr>
                <w:rFonts w:hint="eastAsia"/>
                <w:sz w:val="20"/>
                <w:szCs w:val="21"/>
              </w:rPr>
              <w:t>2) 框架前后门板使用实木颗粒板双帖防火板加工，整体厚度为20mm；门板使用铰链连接到框架上，可实现快速安装和拆卸，具有质轻，手感好，开关门噪音小等优点，保证其60000次无障碍开启，具有认证资质。</w:t>
            </w:r>
            <w:r>
              <w:rPr>
                <w:rFonts w:hint="eastAsia"/>
                <w:sz w:val="20"/>
                <w:szCs w:val="21"/>
              </w:rPr>
              <w:br w:type="textWrapping"/>
            </w:r>
            <w:r>
              <w:rPr>
                <w:rFonts w:hint="eastAsia"/>
                <w:sz w:val="20"/>
                <w:szCs w:val="21"/>
              </w:rPr>
              <w:t>3)控制台面板采用具有耐高温、耐烟灼、耐撞击、耐潮湿、防水、耐腐蚀的高强度进口高压耐磨板（HPL）加工，整体厚度不低于27mm,台面边缘外围浇筑柔性的聚氨酯来形成，控制台所使用的防火板应通过GB/T 39600-2021《人造板及其制品甲醛释放量分级》的检测并提供检测报告，甲醛释放≤0.005mg/m³，符合Enf级要求。</w:t>
            </w:r>
            <w:r>
              <w:rPr>
                <w:rFonts w:hint="eastAsia"/>
                <w:sz w:val="20"/>
                <w:szCs w:val="21"/>
              </w:rPr>
              <w:br w:type="textWrapping"/>
            </w:r>
            <w:r>
              <w:rPr>
                <w:rFonts w:hint="eastAsia"/>
                <w:sz w:val="20"/>
                <w:szCs w:val="21"/>
              </w:rPr>
              <w:t>4) 调度控制台内部设置横竖方向的专业走线通道，与整体系统环境相适应；具备强、弱电分离的功能，避免互相干扰，合理有序的进行布线，使布线规范整齐、顺畅美观、合理安全；调度控制台内部可选配标准的19英寸设备架配件，以便19英寸标准的设备安装及走线布置。</w:t>
            </w:r>
            <w:r>
              <w:rPr>
                <w:rFonts w:hint="eastAsia"/>
                <w:sz w:val="20"/>
                <w:szCs w:val="21"/>
              </w:rPr>
              <w:br w:type="textWrapping"/>
            </w:r>
            <w:r>
              <w:rPr>
                <w:rFonts w:hint="eastAsia"/>
                <w:sz w:val="20"/>
                <w:szCs w:val="21"/>
              </w:rPr>
              <w:t>5) 调度控制台内部应并非封闭结构，散热设计遵循空气动力学原理，设计隐藏式便于通风散热的空隙及通道。隐藏式通风通道散热，不可采用门板散热方式，不美观；内部散热通道应在调度控制台内部形成自然循环通路，保证冷空气进入调度控制台内部变热，然后从上部流出，不依靠内置散热风扇等设备就可以确保调度控制台内部设备的长期稳定运行。</w:t>
            </w:r>
            <w:r>
              <w:rPr>
                <w:rFonts w:hint="eastAsia"/>
                <w:sz w:val="20"/>
                <w:szCs w:val="21"/>
              </w:rPr>
              <w:br w:type="textWrapping"/>
            </w:r>
            <w:r>
              <w:rPr>
                <w:rFonts w:hint="eastAsia"/>
                <w:sz w:val="20"/>
                <w:szCs w:val="21"/>
              </w:rPr>
              <w:t>7) 整体产品通过Greenguard gold(绿色卫士)认证。</w:t>
            </w:r>
            <w:r>
              <w:rPr>
                <w:rFonts w:hint="eastAsia"/>
                <w:sz w:val="20"/>
                <w:szCs w:val="21"/>
              </w:rPr>
              <w:br w:type="textWrapping"/>
            </w:r>
            <w:r>
              <w:rPr>
                <w:rFonts w:hint="eastAsia"/>
                <w:sz w:val="20"/>
                <w:szCs w:val="21"/>
              </w:rPr>
              <w:t>8）控制台整套按 GB20286-2006附录C做燃烧测试达到等级应不低于阻燃1级的要求，其中“一氧化碳”释放量应不高于10ppm,最大烟密度小于1%，最大质量损失低于0.14%，提供第三方检测报告。</w:t>
            </w:r>
            <w:r>
              <w:rPr>
                <w:rFonts w:hint="eastAsia"/>
                <w:sz w:val="20"/>
                <w:szCs w:val="21"/>
              </w:rPr>
              <w:br w:type="textWrapping"/>
            </w:r>
            <w:r>
              <w:rPr>
                <w:rFonts w:hint="eastAsia"/>
                <w:sz w:val="20"/>
                <w:szCs w:val="21"/>
              </w:rPr>
              <w:t>9）控制台产品整体应达到抗震等级≥9烈度，符合GB/T 2424.25-2000电工电子产品环境试验 第3部分：实验导则 地震实验方法，（提供第三方权威检测机构出具的检测报告证明文件)。</w:t>
            </w:r>
            <w:r>
              <w:rPr>
                <w:rFonts w:hint="eastAsia"/>
                <w:sz w:val="20"/>
                <w:szCs w:val="21"/>
              </w:rPr>
              <w:br w:type="textWrapping"/>
            </w:r>
            <w:r>
              <w:rPr>
                <w:rFonts w:hint="eastAsia"/>
                <w:sz w:val="20"/>
                <w:szCs w:val="21"/>
              </w:rPr>
              <w:t>10）控制台桌面表面最大静载荷应不小于360Kg，通过SGS相关检测并提供证书。</w:t>
            </w:r>
            <w:r>
              <w:rPr>
                <w:rFonts w:hint="eastAsia"/>
                <w:sz w:val="20"/>
                <w:szCs w:val="21"/>
              </w:rPr>
              <w:br w:type="textWrapping"/>
            </w:r>
            <w:r>
              <w:rPr>
                <w:rFonts w:hint="eastAsia"/>
                <w:sz w:val="20"/>
                <w:szCs w:val="21"/>
              </w:rPr>
              <w:t xml:space="preserve">11）应具有符合国标GB/T3325-2017标准出具的控制台型式检测报告，报告包含控制台理化性能、力学性能、安全性能相关方面检测，其中木质件表面贴面层，耐污染：达到5级；且主桌面垂直静载荷达到1500N，桌面水平耐久加力达到180N，水平静载荷加力达到720N（提供通过CNAS认证机构提供的检测报告复印件并加盖原厂公章；                         </w:t>
            </w:r>
            <w:r>
              <w:rPr>
                <w:rFonts w:hint="eastAsia"/>
                <w:sz w:val="20"/>
                <w:szCs w:val="21"/>
              </w:rPr>
              <w:br w:type="textWrapping"/>
            </w:r>
            <w:r>
              <w:rPr>
                <w:rFonts w:hint="eastAsia"/>
                <w:sz w:val="20"/>
                <w:szCs w:val="21"/>
              </w:rPr>
              <w:t>12）产品具有中国绿色标志授权使用证书。</w:t>
            </w:r>
            <w:r>
              <w:rPr>
                <w:rFonts w:hint="eastAsia"/>
                <w:sz w:val="20"/>
                <w:szCs w:val="21"/>
              </w:rPr>
              <w:br w:type="textWrapping"/>
            </w:r>
            <w:r>
              <w:rPr>
                <w:rFonts w:hint="eastAsia"/>
                <w:sz w:val="20"/>
                <w:szCs w:val="21"/>
              </w:rPr>
              <w:t>1、产品类型：19英寸标准安装；</w:t>
            </w:r>
            <w:r>
              <w:rPr>
                <w:rFonts w:hint="eastAsia"/>
                <w:sz w:val="20"/>
                <w:szCs w:val="21"/>
              </w:rPr>
              <w:br w:type="textWrapping"/>
            </w:r>
            <w:r>
              <w:rPr>
                <w:rFonts w:hint="eastAsia"/>
                <w:sz w:val="20"/>
                <w:szCs w:val="21"/>
              </w:rPr>
              <w:t>2、插座孔形及数量：八位/六位国标五孔；</w:t>
            </w:r>
            <w:r>
              <w:rPr>
                <w:rFonts w:hint="eastAsia"/>
                <w:sz w:val="20"/>
                <w:szCs w:val="21"/>
              </w:rPr>
              <w:br w:type="textWrapping"/>
            </w:r>
            <w:r>
              <w:rPr>
                <w:rFonts w:hint="eastAsia"/>
                <w:sz w:val="20"/>
                <w:szCs w:val="21"/>
              </w:rPr>
              <w:t>3、输出线长度：2米线缆，端头为标准三孔插头；</w:t>
            </w:r>
            <w:r>
              <w:rPr>
                <w:rFonts w:hint="eastAsia"/>
                <w:sz w:val="20"/>
                <w:szCs w:val="21"/>
              </w:rPr>
              <w:br w:type="textWrapping"/>
            </w:r>
            <w:r>
              <w:rPr>
                <w:rFonts w:hint="eastAsia"/>
                <w:sz w:val="20"/>
                <w:szCs w:val="21"/>
              </w:rPr>
              <w:t>4、额定电压/额定电流：220V/10A；</w:t>
            </w:r>
            <w:r>
              <w:rPr>
                <w:rFonts w:hint="eastAsia"/>
                <w:sz w:val="20"/>
                <w:szCs w:val="21"/>
              </w:rPr>
              <w:br w:type="textWrapping"/>
            </w:r>
            <w:r>
              <w:rPr>
                <w:rFonts w:hint="eastAsia"/>
                <w:sz w:val="20"/>
                <w:szCs w:val="21"/>
              </w:rPr>
              <w:t>5、外壳材质：黑色铝合金。</w:t>
            </w:r>
            <w:r>
              <w:rPr>
                <w:rFonts w:hint="eastAsia"/>
                <w:sz w:val="20"/>
                <w:szCs w:val="21"/>
              </w:rPr>
              <w:br w:type="textWrapping"/>
            </w:r>
            <w:r>
              <w:rPr>
                <w:rFonts w:hint="eastAsia"/>
                <w:sz w:val="20"/>
                <w:szCs w:val="21"/>
              </w:rPr>
              <w:t>6、带电源开关</w:t>
            </w:r>
            <w:r>
              <w:rPr>
                <w:rFonts w:hint="eastAsia"/>
                <w:sz w:val="20"/>
                <w:szCs w:val="21"/>
              </w:rPr>
              <w:br w:type="textWrapping"/>
            </w:r>
            <w:r>
              <w:rPr>
                <w:rFonts w:hint="eastAsia"/>
                <w:sz w:val="20"/>
                <w:szCs w:val="21"/>
              </w:rPr>
              <w:t>7、432*45*45；外围19英寸483*45*45</w:t>
            </w:r>
          </w:p>
        </w:tc>
        <w:tc>
          <w:tcPr>
            <w:tcW w:w="1811" w:type="dxa"/>
            <w:vAlign w:val="center"/>
          </w:tcPr>
          <w:p>
            <w:pPr>
              <w:jc w:val="center"/>
            </w:pPr>
            <w:r>
              <w:t>4594</w:t>
            </w:r>
            <w:r>
              <w:rPr>
                <w:rFonts w:hint="eastAsia"/>
              </w:rPr>
              <w:t>*</w:t>
            </w:r>
            <w:r>
              <w:t>1000</w:t>
            </w:r>
            <w:r>
              <w:rPr>
                <w:rFonts w:hint="eastAsia"/>
              </w:rPr>
              <w:t>*</w:t>
            </w:r>
            <w:r>
              <w:t>750</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3" w:hRule="atLeast"/>
        </w:trPr>
        <w:tc>
          <w:tcPr>
            <w:tcW w:w="1199" w:type="dxa"/>
            <w:vAlign w:val="center"/>
          </w:tcPr>
          <w:p>
            <w:r>
              <w:rPr>
                <w:rFonts w:hint="eastAsia"/>
              </w:rPr>
              <w:t>办公椅</w:t>
            </w:r>
          </w:p>
        </w:tc>
        <w:tc>
          <w:tcPr>
            <w:tcW w:w="2198" w:type="dxa"/>
          </w:tcPr>
          <w:p>
            <w:r>
              <w:rPr>
                <w:rFonts w:hint="eastAsia"/>
              </w:rPr>
              <w:drawing>
                <wp:anchor distT="0" distB="0" distL="114300" distR="114300" simplePos="0" relativeHeight="251666432" behindDoc="0" locked="0" layoutInCell="1" allowOverlap="1">
                  <wp:simplePos x="0" y="0"/>
                  <wp:positionH relativeFrom="column">
                    <wp:posOffset>31750</wp:posOffset>
                  </wp:positionH>
                  <wp:positionV relativeFrom="paragraph">
                    <wp:posOffset>1071880</wp:posOffset>
                  </wp:positionV>
                  <wp:extent cx="1102995" cy="1837055"/>
                  <wp:effectExtent l="0" t="0" r="1905" b="10795"/>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0"/>
                          <a:srcRect t="2551"/>
                          <a:stretch>
                            <a:fillRect/>
                          </a:stretch>
                        </pic:blipFill>
                        <pic:spPr>
                          <a:xfrm>
                            <a:off x="0" y="0"/>
                            <a:ext cx="1103091" cy="1836751"/>
                          </a:xfrm>
                          <a:prstGeom prst="rect">
                            <a:avLst/>
                          </a:prstGeom>
                        </pic:spPr>
                      </pic:pic>
                    </a:graphicData>
                  </a:graphic>
                </wp:anchor>
              </w:drawing>
            </w:r>
          </w:p>
        </w:tc>
        <w:tc>
          <w:tcPr>
            <w:tcW w:w="9781" w:type="dxa"/>
          </w:tcPr>
          <w:p>
            <w:r>
              <w:rPr>
                <w:rFonts w:hint="eastAsia"/>
              </w:rPr>
              <w:t>1)面料:优质网布面料,符合GB 18401-2010、GB/T 19817-2005标准;芳香胺有害物质含量0,颜色干擦牢度≥3级,耐磨性≥12000转,断裂强度≥350N</w:t>
            </w:r>
            <w:r>
              <w:rPr>
                <w:rFonts w:hint="eastAsia"/>
              </w:rPr>
              <w:br w:type="textWrapping"/>
            </w:r>
            <w:r>
              <w:rPr>
                <w:rFonts w:hint="eastAsia"/>
              </w:rPr>
              <w:t>2)背框:尼龙+30%玻纤</w:t>
            </w:r>
            <w:r>
              <w:rPr>
                <w:rFonts w:hint="eastAsia"/>
              </w:rPr>
              <w:br w:type="textWrapping"/>
            </w:r>
            <w:r>
              <w:rPr>
                <w:rFonts w:hint="eastAsia"/>
              </w:rPr>
              <w:t>3)海绵:一体成型定型绵,密度≥48kg/m³,回弹性≥40%,通过CA TB117-2013防火性能检测</w:t>
            </w:r>
            <w:r>
              <w:rPr>
                <w:rFonts w:hint="eastAsia"/>
              </w:rPr>
              <w:br w:type="textWrapping"/>
            </w:r>
            <w:r>
              <w:rPr>
                <w:rFonts w:hint="eastAsia"/>
              </w:rPr>
              <w:t>4)曲木板:E1级成型胶合板,甲醛释放量≤0.124mg/m³</w:t>
            </w:r>
            <w:r>
              <w:rPr>
                <w:rFonts w:hint="eastAsia"/>
              </w:rPr>
              <w:br w:type="textWrapping"/>
            </w:r>
            <w:r>
              <w:rPr>
                <w:rFonts w:hint="eastAsia"/>
              </w:rPr>
              <w:t>5)扶手:升降PU面扶手,可承受水平方向667N加载持续15s,垂直方向1125N加载持续15s,10±1°施力400N执行60000次循环</w:t>
            </w:r>
            <w:r>
              <w:rPr>
                <w:rFonts w:hint="eastAsia"/>
              </w:rPr>
              <w:br w:type="textWrapping"/>
            </w:r>
            <w:r>
              <w:rPr>
                <w:rFonts w:hint="eastAsia"/>
              </w:rPr>
              <w:t>6)底盘:底座钢板厚度＞2mm,可承受每分钟10至30次共计300000次倾仰</w:t>
            </w:r>
            <w:r>
              <w:rPr>
                <w:rFonts w:hint="eastAsia"/>
              </w:rPr>
              <w:br w:type="textWrapping"/>
            </w:r>
            <w:r>
              <w:rPr>
                <w:rFonts w:hint="eastAsia"/>
              </w:rPr>
              <w:t>7)气杆:行程92±2mm,升降平稳,无漏声、噪声,可在5次/min—15次/min回旋频率下进行12万次升降</w:t>
            </w:r>
            <w:r>
              <w:rPr>
                <w:rFonts w:hint="eastAsia"/>
              </w:rPr>
              <w:br w:type="textWrapping"/>
            </w:r>
            <w:r>
              <w:rPr>
                <w:rFonts w:hint="eastAsia"/>
              </w:rPr>
              <w:t>8)五星脚:尼龙五星脚,可承受垂直方向施力11120N持续1分钟</w:t>
            </w:r>
            <w:r>
              <w:rPr>
                <w:rFonts w:hint="eastAsia"/>
              </w:rPr>
              <w:br w:type="textWrapping"/>
            </w:r>
            <w:r>
              <w:rPr>
                <w:rFonts w:hint="eastAsia"/>
              </w:rPr>
              <w:t>9)椅轮:PU轮,载荷122kg在无障碍平台进行98000次,有障碍物平台进行2000次往返无破损</w:t>
            </w:r>
            <w:r>
              <w:rPr>
                <w:rFonts w:hint="eastAsia"/>
              </w:rPr>
              <w:br w:type="textWrapping"/>
            </w:r>
            <w:r>
              <w:rPr>
                <w:rFonts w:hint="eastAsia"/>
              </w:rPr>
              <w:t>功能说明:</w:t>
            </w:r>
            <w:r>
              <w:rPr>
                <w:rFonts w:hint="eastAsia"/>
              </w:rPr>
              <w:br w:type="textWrapping"/>
            </w:r>
            <w:r>
              <w:rPr>
                <w:rFonts w:hint="eastAsia"/>
              </w:rPr>
              <w:t>1)头枕调节:上下调节45mm</w:t>
            </w:r>
            <w:r>
              <w:rPr>
                <w:rFonts w:hint="eastAsia"/>
              </w:rPr>
              <w:br w:type="textWrapping"/>
            </w:r>
            <w:r>
              <w:rPr>
                <w:rFonts w:hint="eastAsia"/>
              </w:rPr>
              <w:t>2)腰托调节:上下调节35mm</w:t>
            </w:r>
            <w:r>
              <w:rPr>
                <w:rFonts w:hint="eastAsia"/>
              </w:rPr>
              <w:br w:type="textWrapping"/>
            </w:r>
            <w:r>
              <w:rPr>
                <w:rFonts w:hint="eastAsia"/>
              </w:rPr>
              <w:t>3)扶手调节:扶手可上下调节60mm</w:t>
            </w:r>
            <w:r>
              <w:rPr>
                <w:rFonts w:hint="eastAsia"/>
              </w:rPr>
              <w:br w:type="textWrapping"/>
            </w:r>
            <w:r>
              <w:rPr>
                <w:rFonts w:hint="eastAsia"/>
              </w:rPr>
              <w:t>4)底盘调节:STG背座同步倾仰,两档位置锁定,自负重机构无需调节倾仰力度</w:t>
            </w:r>
            <w:r>
              <w:rPr>
                <w:rFonts w:hint="eastAsia"/>
              </w:rPr>
              <w:br w:type="textWrapping"/>
            </w:r>
            <w:r>
              <w:rPr>
                <w:rFonts w:hint="eastAsia"/>
              </w:rPr>
              <w:t>5)腰靠：展翼式腰托；腰靠结构前倾7°，支撑感提升；高弹海绵填充，柔性撑腰，久靠不塌陷。</w:t>
            </w:r>
          </w:p>
        </w:tc>
        <w:tc>
          <w:tcPr>
            <w:tcW w:w="1811" w:type="dxa"/>
            <w:vAlign w:val="center"/>
          </w:tcPr>
          <w:p>
            <w:pPr>
              <w:jc w:val="center"/>
            </w:pPr>
            <w:r>
              <w:rPr>
                <w:rFonts w:hint="eastAsia"/>
              </w:rPr>
              <w:t>630 mm (L)</w:t>
            </w:r>
            <w:r>
              <w:rPr>
                <w:rFonts w:hint="eastAsia"/>
              </w:rPr>
              <w:br w:type="textWrapping"/>
            </w:r>
            <w:r>
              <w:rPr>
                <w:rFonts w:hint="eastAsia"/>
              </w:rPr>
              <w:t>595 mm (W)</w:t>
            </w:r>
            <w:r>
              <w:rPr>
                <w:rFonts w:hint="eastAsia"/>
              </w:rPr>
              <w:br w:type="textWrapping"/>
            </w:r>
            <w:r>
              <w:rPr>
                <w:rFonts w:hint="eastAsia"/>
              </w:rPr>
              <w:t>1240 mm (H)</w:t>
            </w:r>
          </w:p>
        </w:tc>
        <w:tc>
          <w:tcPr>
            <w:tcW w:w="705" w:type="dxa"/>
            <w:vAlign w:val="center"/>
          </w:tcPr>
          <w:p>
            <w:pPr>
              <w:jc w:val="center"/>
            </w:pPr>
            <w:r>
              <w:rPr>
                <w:rFonts w:hint="eastAsia"/>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5694" w:type="dxa"/>
            <w:gridSpan w:val="5"/>
            <w:noWrap/>
            <w:vAlign w:val="center"/>
          </w:tcPr>
          <w:p>
            <w:pPr>
              <w:jc w:val="center"/>
              <w:rPr>
                <w:b/>
                <w:bCs/>
              </w:rPr>
            </w:pPr>
            <w:r>
              <w:rPr>
                <w:rFonts w:hint="eastAsia"/>
                <w:b/>
                <w:bCs/>
              </w:rPr>
              <w:t>报警中心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0" w:hRule="atLeast"/>
        </w:trPr>
        <w:tc>
          <w:tcPr>
            <w:tcW w:w="1199" w:type="dxa"/>
            <w:vAlign w:val="center"/>
          </w:tcPr>
          <w:p>
            <w:r>
              <w:rPr>
                <w:rFonts w:hint="eastAsia"/>
              </w:rPr>
              <w:t>员工椅</w:t>
            </w:r>
          </w:p>
        </w:tc>
        <w:tc>
          <w:tcPr>
            <w:tcW w:w="2198" w:type="dxa"/>
          </w:tcPr>
          <w:p>
            <w:r>
              <w:rPr>
                <w:rFonts w:hint="eastAsia"/>
              </w:rPr>
              <w:drawing>
                <wp:anchor distT="0" distB="0" distL="114300" distR="114300" simplePos="0" relativeHeight="251667456" behindDoc="0" locked="0" layoutInCell="1" allowOverlap="1">
                  <wp:simplePos x="0" y="0"/>
                  <wp:positionH relativeFrom="column">
                    <wp:posOffset>-34290</wp:posOffset>
                  </wp:positionH>
                  <wp:positionV relativeFrom="paragraph">
                    <wp:posOffset>490855</wp:posOffset>
                  </wp:positionV>
                  <wp:extent cx="1136650" cy="1430655"/>
                  <wp:effectExtent l="0" t="0" r="6350" b="1714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8"/>
                          <a:stretch>
                            <a:fillRect/>
                          </a:stretch>
                        </pic:blipFill>
                        <pic:spPr>
                          <a:xfrm>
                            <a:off x="0" y="0"/>
                            <a:ext cx="1136650" cy="1430448"/>
                          </a:xfrm>
                          <a:prstGeom prst="rect">
                            <a:avLst/>
                          </a:prstGeom>
                        </pic:spPr>
                      </pic:pic>
                    </a:graphicData>
                  </a:graphic>
                </wp:anchor>
              </w:drawing>
            </w:r>
          </w:p>
        </w:tc>
        <w:tc>
          <w:tcPr>
            <w:tcW w:w="9781" w:type="dxa"/>
          </w:tcPr>
          <w:p>
            <w:r>
              <w:rPr>
                <w:rFonts w:hint="eastAsia"/>
              </w:rPr>
              <w:t>1)面料:优质网布面料,符合GB 18401-2010、GB/T 19817-2005标准;芳香胺有害物质含量0,颜色干擦牢度≥3级,耐磨性≥12000转,断裂强度≥350N</w:t>
            </w:r>
            <w:r>
              <w:rPr>
                <w:rFonts w:hint="eastAsia"/>
              </w:rPr>
              <w:br w:type="textWrapping"/>
            </w:r>
            <w:r>
              <w:rPr>
                <w:rFonts w:hint="eastAsia"/>
              </w:rPr>
              <w:t>2)背框:尼龙+30%玻纤</w:t>
            </w:r>
            <w:r>
              <w:rPr>
                <w:rFonts w:hint="eastAsia"/>
              </w:rPr>
              <w:br w:type="textWrapping"/>
            </w:r>
            <w:r>
              <w:rPr>
                <w:rFonts w:hint="eastAsia"/>
              </w:rPr>
              <w:t>3)座垫：一体成型定型绵,密度≥48kg/m³,回弹性≥40%,通过CA TB117-2013防火性能检测</w:t>
            </w:r>
            <w:r>
              <w:rPr>
                <w:rFonts w:hint="eastAsia"/>
              </w:rPr>
              <w:br w:type="textWrapping"/>
            </w:r>
            <w:r>
              <w:rPr>
                <w:rFonts w:hint="eastAsia"/>
              </w:rPr>
              <w:t>4)曲木板:E1级成型胶合板（曲木板）,符合GB/T 22350-2017标准、GB 18580-2017标准、HJ 571-2010标准、GB 18584-2001标准，其中尺寸（长度、宽度及厚度）偏差、形位偏差、外观质量、含水率、浸渍剥离性能、抗压性能、点抗压性能均合格，甲醛释放量≤0.02mg/m³，TVOC≤0.10mg/㎡.h。</w:t>
            </w:r>
            <w:r>
              <w:rPr>
                <w:rFonts w:hint="eastAsia"/>
              </w:rPr>
              <w:br w:type="textWrapping"/>
            </w:r>
            <w:r>
              <w:rPr>
                <w:rFonts w:hint="eastAsia"/>
              </w:rPr>
              <w:t>5)扶手:固定PP扶手,可承受水平方向445N加载持续15s,垂直方向750N加载持续15s,10±1°施力400N执行60000次循环</w:t>
            </w:r>
            <w:r>
              <w:rPr>
                <w:rFonts w:hint="eastAsia"/>
              </w:rPr>
              <w:br w:type="textWrapping"/>
            </w:r>
            <w:r>
              <w:rPr>
                <w:rFonts w:hint="eastAsia"/>
              </w:rPr>
              <w:t>6)椅架：壁厚1.8mm钢管折弯而成，表面电镀处理壁,涂层附着力不低于2级,耐腐蚀100h,可承受136kg冲击及57kg耐久100000次冲击。</w:t>
            </w:r>
            <w:r>
              <w:rPr>
                <w:rFonts w:hint="eastAsia"/>
              </w:rPr>
              <w:br w:type="textWrapping"/>
            </w:r>
          </w:p>
        </w:tc>
        <w:tc>
          <w:tcPr>
            <w:tcW w:w="1811" w:type="dxa"/>
            <w:vAlign w:val="center"/>
          </w:tcPr>
          <w:p>
            <w:pPr>
              <w:jc w:val="center"/>
            </w:pPr>
            <w:r>
              <w:rPr>
                <w:rFonts w:hint="eastAsia"/>
              </w:rPr>
              <w:t>6</w:t>
            </w:r>
            <w:r>
              <w:t>20</w:t>
            </w:r>
            <w:r>
              <w:rPr>
                <w:rFonts w:hint="eastAsia"/>
              </w:rPr>
              <w:t xml:space="preserve"> mm (L)</w:t>
            </w:r>
            <w:r>
              <w:rPr>
                <w:rFonts w:hint="eastAsia"/>
              </w:rPr>
              <w:br w:type="textWrapping"/>
            </w:r>
            <w:r>
              <w:rPr>
                <w:rFonts w:hint="eastAsia"/>
              </w:rPr>
              <w:t>6</w:t>
            </w:r>
            <w:r>
              <w:t>15</w:t>
            </w:r>
            <w:r>
              <w:rPr>
                <w:rFonts w:hint="eastAsia"/>
              </w:rPr>
              <w:t xml:space="preserve"> mm (W)</w:t>
            </w:r>
            <w:r>
              <w:rPr>
                <w:rFonts w:hint="eastAsia"/>
              </w:rPr>
              <w:br w:type="textWrapping"/>
            </w:r>
            <w:r>
              <w:rPr>
                <w:rFonts w:hint="eastAsia"/>
              </w:rPr>
              <w:t>10</w:t>
            </w:r>
            <w:r>
              <w:t>15</w:t>
            </w:r>
            <w:r>
              <w:rPr>
                <w:rFonts w:hint="eastAsia"/>
              </w:rPr>
              <w:t xml:space="preserve"> mm (H)</w:t>
            </w:r>
          </w:p>
        </w:tc>
        <w:tc>
          <w:tcPr>
            <w:tcW w:w="705" w:type="dxa"/>
            <w:vAlign w:val="center"/>
          </w:tcPr>
          <w:p>
            <w:pPr>
              <w:jc w:val="center"/>
            </w:pPr>
            <w:r>
              <w:rPr>
                <w:rFonts w:hint="eastAsi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5" w:hRule="atLeast"/>
        </w:trPr>
        <w:tc>
          <w:tcPr>
            <w:tcW w:w="1199" w:type="dxa"/>
            <w:vAlign w:val="center"/>
          </w:tcPr>
          <w:p>
            <w:r>
              <w:rPr>
                <w:rFonts w:hint="eastAsia"/>
              </w:rPr>
              <w:br w:type="page"/>
            </w:r>
            <w:r>
              <w:rPr>
                <w:rFonts w:hint="eastAsia"/>
              </w:rPr>
              <w:t>洽谈桌</w:t>
            </w:r>
            <w:r>
              <w:rPr>
                <w:rFonts w:hint="eastAsia"/>
              </w:rPr>
              <w:br w:type="page"/>
            </w:r>
          </w:p>
        </w:tc>
        <w:tc>
          <w:tcPr>
            <w:tcW w:w="2198" w:type="dxa"/>
            <w:vMerge w:val="restart"/>
            <w:noWrap/>
          </w:tcPr>
          <w:p/>
          <w:p>
            <w:r>
              <w:rPr>
                <w:rFonts w:hint="eastAsia"/>
              </w:rPr>
              <w:drawing>
                <wp:anchor distT="0" distB="0" distL="114300" distR="114300" simplePos="0" relativeHeight="251668480" behindDoc="0" locked="0" layoutInCell="1" allowOverlap="1">
                  <wp:simplePos x="0" y="0"/>
                  <wp:positionH relativeFrom="column">
                    <wp:posOffset>109220</wp:posOffset>
                  </wp:positionH>
                  <wp:positionV relativeFrom="paragraph">
                    <wp:posOffset>321945</wp:posOffset>
                  </wp:positionV>
                  <wp:extent cx="969010" cy="742315"/>
                  <wp:effectExtent l="0" t="0" r="2540" b="635"/>
                  <wp:wrapNone/>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1"/>
                          <a:stretch>
                            <a:fillRect/>
                          </a:stretch>
                        </pic:blipFill>
                        <pic:spPr>
                          <a:xfrm>
                            <a:off x="0" y="0"/>
                            <a:ext cx="968720" cy="742384"/>
                          </a:xfrm>
                          <a:prstGeom prst="rect">
                            <a:avLst/>
                          </a:prstGeom>
                        </pic:spPr>
                      </pic:pic>
                    </a:graphicData>
                  </a:graphic>
                </wp:anchor>
              </w:drawing>
            </w:r>
          </w:p>
        </w:tc>
        <w:tc>
          <w:tcPr>
            <w:tcW w:w="9781" w:type="dxa"/>
          </w:tcPr>
          <w:p>
            <w:r>
              <w:rPr>
                <w:rFonts w:hint="eastAsia"/>
              </w:rPr>
              <w:br w:type="page"/>
            </w:r>
            <w:r>
              <w:rPr>
                <w:rFonts w:hint="eastAsia"/>
              </w:rPr>
              <w:br w:type="page"/>
            </w:r>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page"/>
            </w:r>
          </w:p>
          <w:p>
            <w:r>
              <w:rPr>
                <w:rFonts w:hint="eastAsia"/>
              </w:rPr>
              <w:t>2)钢架:表面耐腐蚀中性盐雾测试100h后无锈蚀、剥落、起皱;表面附着力≥2级;升降/折叠/伸缩耐久性测定20000次后,零部件无断裂、曲、变形、磨损、变形;通过《GB/T 3325-2017金属家具通用技术条件》理化性能检测要求</w:t>
            </w:r>
            <w:r>
              <w:rPr>
                <w:rFonts w:hint="eastAsia"/>
              </w:rPr>
              <w:br w:type="page"/>
            </w:r>
            <w:r>
              <w:rPr>
                <w:rFonts w:hint="eastAsia"/>
              </w:rPr>
              <w:t>工艺说明：</w:t>
            </w:r>
            <w:r>
              <w:rPr>
                <w:rFonts w:hint="eastAsia"/>
              </w:rPr>
              <w:br w:type="page"/>
            </w:r>
            <w:r>
              <w:rPr>
                <w:rFonts w:hint="eastAsia"/>
              </w:rPr>
              <w:t>1）板材边部斜切工艺</w:t>
            </w:r>
            <w:r>
              <w:rPr>
                <w:rFonts w:hint="eastAsia"/>
              </w:rPr>
              <w:br w:type="page"/>
            </w:r>
          </w:p>
        </w:tc>
        <w:tc>
          <w:tcPr>
            <w:tcW w:w="1811" w:type="dxa"/>
            <w:vAlign w:val="center"/>
          </w:tcPr>
          <w:p>
            <w:pPr>
              <w:jc w:val="center"/>
            </w:pPr>
            <w:r>
              <w:rPr>
                <w:rFonts w:hint="eastAsia"/>
              </w:rPr>
              <w:br w:type="page"/>
            </w:r>
            <w:r>
              <w:rPr>
                <w:rFonts w:hint="eastAsia"/>
              </w:rPr>
              <w:t>1000 mm (L)</w:t>
            </w:r>
            <w:r>
              <w:rPr>
                <w:rFonts w:hint="eastAsia"/>
              </w:rPr>
              <w:br w:type="page"/>
            </w:r>
          </w:p>
          <w:p>
            <w:pPr>
              <w:jc w:val="center"/>
            </w:pPr>
            <w:r>
              <w:rPr>
                <w:rFonts w:hint="eastAsia"/>
              </w:rPr>
              <w:t>1000 mm (W)</w:t>
            </w:r>
          </w:p>
          <w:p>
            <w:pPr>
              <w:jc w:val="center"/>
            </w:pPr>
            <w:r>
              <w:rPr>
                <w:rFonts w:hint="eastAsia"/>
              </w:rPr>
              <w:br w:type="page"/>
            </w:r>
            <w:r>
              <w:rPr>
                <w:rFonts w:hint="eastAsia"/>
              </w:rPr>
              <w:t>750 mm (H)</w:t>
            </w:r>
            <w:r>
              <w:rPr>
                <w:rFonts w:hint="eastAsia"/>
              </w:rPr>
              <w:br w:type="page"/>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atLeast"/>
        </w:trPr>
        <w:tc>
          <w:tcPr>
            <w:tcW w:w="1199" w:type="dxa"/>
            <w:vAlign w:val="center"/>
          </w:tcPr>
          <w:p>
            <w:r>
              <w:rPr>
                <w:rFonts w:hint="eastAsia"/>
              </w:rPr>
              <w:t>洽谈椅</w:t>
            </w:r>
          </w:p>
        </w:tc>
        <w:tc>
          <w:tcPr>
            <w:tcW w:w="2198" w:type="dxa"/>
            <w:vMerge w:val="continue"/>
          </w:tcPr>
          <w:p/>
        </w:tc>
        <w:tc>
          <w:tcPr>
            <w:tcW w:w="9781" w:type="dxa"/>
          </w:tcPr>
          <w:p>
            <w:r>
              <w:rPr>
                <w:rFonts w:hint="eastAsia"/>
              </w:rPr>
              <w:t>1)背框+椅面:尼龙+20%玻纤一体成型，椅背做镂空设计。</w:t>
            </w:r>
            <w:r>
              <w:rPr>
                <w:rFonts w:hint="eastAsia"/>
              </w:rPr>
              <w:br w:type="textWrapping"/>
            </w:r>
            <w:r>
              <w:rPr>
                <w:rFonts w:hint="eastAsia"/>
              </w:rPr>
              <w:t>2)座垫：采用可拆卸设计座垫椅套，优质麻绒布+高弹海绵，与椅面固定采用无胶工艺。</w:t>
            </w:r>
            <w:r>
              <w:rPr>
                <w:rFonts w:hint="eastAsia"/>
              </w:rPr>
              <w:br w:type="textWrapping"/>
            </w:r>
            <w:r>
              <w:rPr>
                <w:rFonts w:hint="eastAsia"/>
              </w:rPr>
              <w:t>3)椅架: 壁厚1.5mm一体折弯成型钢管椅架，表面镀铬处理。</w:t>
            </w:r>
          </w:p>
        </w:tc>
        <w:tc>
          <w:tcPr>
            <w:tcW w:w="1811" w:type="dxa"/>
            <w:vAlign w:val="center"/>
          </w:tcPr>
          <w:p>
            <w:pPr>
              <w:jc w:val="center"/>
            </w:pPr>
            <w:r>
              <w:rPr>
                <w:rFonts w:hint="eastAsia"/>
              </w:rPr>
              <w:t>570 mm (L)</w:t>
            </w:r>
            <w:r>
              <w:rPr>
                <w:rFonts w:hint="eastAsia"/>
              </w:rPr>
              <w:br w:type="textWrapping"/>
            </w:r>
            <w:r>
              <w:rPr>
                <w:rFonts w:hint="eastAsia"/>
              </w:rPr>
              <w:t>520 mm (W)</w:t>
            </w:r>
            <w:r>
              <w:rPr>
                <w:rFonts w:hint="eastAsia"/>
              </w:rPr>
              <w:br w:type="textWrapping"/>
            </w:r>
            <w:r>
              <w:rPr>
                <w:rFonts w:hint="eastAsia"/>
              </w:rPr>
              <w:t>815 mm (H)</w:t>
            </w:r>
          </w:p>
        </w:tc>
        <w:tc>
          <w:tcPr>
            <w:tcW w:w="705" w:type="dxa"/>
            <w:vAlign w:val="center"/>
          </w:tcPr>
          <w:p>
            <w:pPr>
              <w:jc w:val="center"/>
            </w:pPr>
            <w:r>
              <w:rPr>
                <w:rFonts w:hint="eastAsi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30" w:hRule="atLeast"/>
        </w:trPr>
        <w:tc>
          <w:tcPr>
            <w:tcW w:w="15694" w:type="dxa"/>
            <w:gridSpan w:val="5"/>
            <w:noWrap/>
            <w:vAlign w:val="center"/>
          </w:tcPr>
          <w:p>
            <w:pPr>
              <w:jc w:val="center"/>
              <w:rPr>
                <w:b/>
                <w:bCs/>
              </w:rPr>
            </w:pPr>
            <w:r>
              <w:rPr>
                <w:rFonts w:hint="eastAsia"/>
                <w:b/>
                <w:bCs/>
              </w:rPr>
              <w:t>普通办公室+会议室</w:t>
            </w:r>
          </w:p>
          <w:p>
            <w:pPr>
              <w:rPr>
                <w:b/>
                <w:bCs/>
              </w:rPr>
            </w:pPr>
          </w:p>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0" w:hRule="atLeast"/>
        </w:trPr>
        <w:tc>
          <w:tcPr>
            <w:tcW w:w="1199" w:type="dxa"/>
            <w:vMerge w:val="restart"/>
            <w:vAlign w:val="center"/>
          </w:tcPr>
          <w:p>
            <w:r>
              <w:rPr>
                <w:rFonts w:hint="eastAsia"/>
              </w:rPr>
              <w:t>副所长办公桌</w:t>
            </w:r>
          </w:p>
        </w:tc>
        <w:tc>
          <w:tcPr>
            <w:tcW w:w="2198" w:type="dxa"/>
            <w:vMerge w:val="restart"/>
            <w:noWrap/>
          </w:tcPr>
          <w:p/>
          <w:p>
            <w:r>
              <w:rPr>
                <w:rFonts w:hint="eastAsia"/>
              </w:rPr>
              <w:drawing>
                <wp:anchor distT="0" distB="0" distL="114300" distR="114300" simplePos="0" relativeHeight="251669504" behindDoc="0" locked="0" layoutInCell="1" allowOverlap="1">
                  <wp:simplePos x="0" y="0"/>
                  <wp:positionH relativeFrom="column">
                    <wp:posOffset>50165</wp:posOffset>
                  </wp:positionH>
                  <wp:positionV relativeFrom="paragraph">
                    <wp:posOffset>2465705</wp:posOffset>
                  </wp:positionV>
                  <wp:extent cx="1122045" cy="633730"/>
                  <wp:effectExtent l="0" t="0" r="1905" b="13970"/>
                  <wp:wrapNone/>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22"/>
                          <a:stretch>
                            <a:fillRect/>
                          </a:stretch>
                        </pic:blipFill>
                        <pic:spPr>
                          <a:xfrm>
                            <a:off x="0" y="0"/>
                            <a:ext cx="1121981" cy="633742"/>
                          </a:xfrm>
                          <a:prstGeom prst="rect">
                            <a:avLst/>
                          </a:prstGeom>
                        </pic:spPr>
                      </pic:pic>
                    </a:graphicData>
                  </a:graphic>
                </wp:anchor>
              </w:drawing>
            </w:r>
          </w:p>
        </w:tc>
        <w:tc>
          <w:tcPr>
            <w:tcW w:w="9781" w:type="dxa"/>
            <w:vMerge w:val="restart"/>
          </w:tcPr>
          <w:p>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textWrapping"/>
            </w:r>
            <w:r>
              <w:rPr>
                <w:rFonts w:hint="eastAsia"/>
              </w:rPr>
              <w:t>2)优质浸渍胶膜纸饰面板,基材采用"E0"环保刨花板,甲醛释放量优于国家标准;</w:t>
            </w:r>
            <w:r>
              <w:rPr>
                <w:rFonts w:hint="eastAsia"/>
              </w:rPr>
              <w:br w:type="textWrapping"/>
            </w:r>
            <w:r>
              <w:rPr>
                <w:rFonts w:hint="eastAsia"/>
              </w:rPr>
              <w:t>3)包覆抽屉:表面胶合强度≥0.4Mpa;表面耐磨性能80r;耐剥离力45N±5N;耐划痕性能≥1.5N时间表面无整圈划痕;甲醛释放量≤0.08mg/m³;通过《LY/T 1279-2008 聚氯乙烯薄膜饰面人造板》中理化性能检测要求</w:t>
            </w:r>
            <w:r>
              <w:rPr>
                <w:rFonts w:hint="eastAsia"/>
              </w:rPr>
              <w:br w:type="textWrapping"/>
            </w:r>
            <w:r>
              <w:rPr>
                <w:rFonts w:hint="eastAsia"/>
              </w:rPr>
              <w:t>4)ABS封边条:表面耐光色牢度≥4级;表面耐龟裂性≥2级;表面耐磨性能30r;通过QB/T4463-2013 《家具用封边条技术要求》理化性能检测要求</w:t>
            </w:r>
            <w:r>
              <w:rPr>
                <w:rFonts w:hint="eastAsia"/>
              </w:rPr>
              <w:br w:type="textWrapping"/>
            </w:r>
            <w:r>
              <w:rPr>
                <w:rFonts w:hint="eastAsia"/>
              </w:rPr>
              <w:t>5)钢架:表面耐腐蚀中性盐雾测试100h后无锈蚀、剥落、起皱;表面附着力≥2级;升降/折叠/伸缩耐久性测定20000次后,零部件无断裂、曲、变形、磨损、变形;通过《GB/T 3325-2017金属家具通用技术条件》理化性能检测要求</w:t>
            </w:r>
            <w:r>
              <w:rPr>
                <w:rFonts w:hint="eastAsia"/>
              </w:rPr>
              <w:br w:type="textWrapping"/>
            </w:r>
            <w:r>
              <w:rPr>
                <w:rFonts w:hint="eastAsia"/>
              </w:rPr>
              <w:t>6)正面锁:正面锁符合QB/T 1621-2015家具锁标准中电镀件耐腐蚀规定,电镀件外露表面经12h的中性盐雾试验后,应达到外观评级RA6级的规定,弹子锁、叶片锁使用寿命达不少于10000次</w:t>
            </w:r>
            <w:r>
              <w:rPr>
                <w:rFonts w:hint="eastAsia"/>
              </w:rPr>
              <w:br w:type="textWrapping"/>
            </w:r>
            <w:r>
              <w:rPr>
                <w:rFonts w:hint="eastAsia"/>
              </w:rPr>
              <w:t>7)优质钢架,表面经静电粉末喷涂;</w:t>
            </w:r>
            <w:r>
              <w:rPr>
                <w:rFonts w:hint="eastAsia"/>
              </w:rPr>
              <w:br w:type="textWrapping"/>
            </w:r>
            <w:r>
              <w:rPr>
                <w:rFonts w:hint="eastAsia"/>
              </w:rPr>
              <w:t>8)铰链:耐久性商用型达到80000次;表面盐雾18h无锈蚀;通过《QBT 2189-2013 家具五金 杯状暗铰链》理化性能检测要求</w:t>
            </w:r>
            <w:r>
              <w:rPr>
                <w:rFonts w:hint="eastAsia"/>
              </w:rPr>
              <w:br w:type="textWrapping"/>
            </w:r>
            <w:r>
              <w:rPr>
                <w:rFonts w:hint="eastAsia"/>
              </w:rPr>
              <w:t>9)钢脚:表面耐腐蚀中性盐雾测试100h后无锈蚀、剥落、起皱;表面附着力不低于2级;升降/折叠/伸缩耐久性测定20000次后,零部件无断裂、曲、变形、磨损、变形;通过《GB/T 3325-2017金属家具通用技术条件》理化性能检测要求</w:t>
            </w:r>
            <w:r>
              <w:rPr>
                <w:rFonts w:hint="eastAsia"/>
              </w:rPr>
              <w:br w:type="textWrapping"/>
            </w:r>
            <w:r>
              <w:rPr>
                <w:rFonts w:hint="eastAsia"/>
              </w:rPr>
              <w:t>10)线盒:表面耐腐蚀中性盐雾测试100h后无锈蚀、剥落、起皱;表面附着力≥2级;通过《GB/T 3325-2017金属家具通用技术条件》理化性能检测要求</w:t>
            </w:r>
            <w:r>
              <w:rPr>
                <w:rFonts w:hint="eastAsia"/>
              </w:rPr>
              <w:br w:type="textWrapping"/>
            </w:r>
            <w:r>
              <w:rPr>
                <w:rFonts w:hint="eastAsia"/>
              </w:rPr>
              <w:t>工艺说明:</w:t>
            </w:r>
            <w:r>
              <w:rPr>
                <w:rFonts w:hint="eastAsia"/>
              </w:rPr>
              <w:br w:type="textWrapping"/>
            </w:r>
            <w:r>
              <w:rPr>
                <w:rFonts w:hint="eastAsia"/>
              </w:rPr>
              <w:t>1)采用先进激光封边技术;</w:t>
            </w:r>
            <w:r>
              <w:rPr>
                <w:rFonts w:hint="eastAsia"/>
              </w:rPr>
              <w:br w:type="textWrapping"/>
            </w:r>
            <w:r>
              <w:rPr>
                <w:rFonts w:hint="eastAsia"/>
              </w:rPr>
              <w:t>2)抽屉采用包覆工艺;</w:t>
            </w:r>
          </w:p>
        </w:tc>
        <w:tc>
          <w:tcPr>
            <w:tcW w:w="1811" w:type="dxa"/>
            <w:vMerge w:val="restart"/>
            <w:vAlign w:val="center"/>
          </w:tcPr>
          <w:p>
            <w:pPr>
              <w:jc w:val="center"/>
            </w:pPr>
            <w:r>
              <w:rPr>
                <w:rFonts w:hint="eastAsia"/>
              </w:rPr>
              <w:t>1600 mm (L)</w:t>
            </w:r>
            <w:r>
              <w:rPr>
                <w:rFonts w:hint="eastAsia"/>
              </w:rPr>
              <w:br w:type="textWrapping"/>
            </w:r>
            <w:r>
              <w:rPr>
                <w:rFonts w:hint="eastAsia"/>
              </w:rPr>
              <w:t>1600 mm (W)</w:t>
            </w:r>
            <w:r>
              <w:rPr>
                <w:rFonts w:hint="eastAsia"/>
              </w:rPr>
              <w:br w:type="textWrapping"/>
            </w:r>
            <w:r>
              <w:rPr>
                <w:rFonts w:hint="eastAsia"/>
              </w:rPr>
              <w:t>750 mm (H)</w:t>
            </w:r>
          </w:p>
        </w:tc>
        <w:tc>
          <w:tcPr>
            <w:tcW w:w="705" w:type="dxa"/>
            <w:vMerge w:val="restart"/>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0" w:hRule="atLeast"/>
        </w:trPr>
        <w:tc>
          <w:tcPr>
            <w:tcW w:w="1199" w:type="dxa"/>
            <w:vMerge w:val="continue"/>
            <w:vAlign w:val="center"/>
          </w:tcPr>
          <w:p/>
        </w:tc>
        <w:tc>
          <w:tcPr>
            <w:tcW w:w="2198" w:type="dxa"/>
            <w:vMerge w:val="continue"/>
          </w:tcPr>
          <w:p/>
        </w:tc>
        <w:tc>
          <w:tcPr>
            <w:tcW w:w="9781" w:type="dxa"/>
            <w:vMerge w:val="continue"/>
          </w:tcPr>
          <w:p/>
        </w:tc>
        <w:tc>
          <w:tcPr>
            <w:tcW w:w="1811" w:type="dxa"/>
            <w:vMerge w:val="continue"/>
            <w:vAlign w:val="center"/>
          </w:tcPr>
          <w:p>
            <w:pPr>
              <w:jc w:val="center"/>
            </w:pPr>
          </w:p>
        </w:tc>
        <w:tc>
          <w:tcPr>
            <w:tcW w:w="705"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4" w:hRule="atLeast"/>
        </w:trPr>
        <w:tc>
          <w:tcPr>
            <w:tcW w:w="1199" w:type="dxa"/>
            <w:vAlign w:val="center"/>
          </w:tcPr>
          <w:p>
            <w:r>
              <w:rPr>
                <w:rFonts w:hint="eastAsia"/>
              </w:rPr>
              <w:t>副所长办公椅</w:t>
            </w:r>
          </w:p>
        </w:tc>
        <w:tc>
          <w:tcPr>
            <w:tcW w:w="2198" w:type="dxa"/>
          </w:tcPr>
          <w:p>
            <w:r>
              <w:rPr>
                <w:rFonts w:hint="eastAsia"/>
              </w:rPr>
              <w:drawing>
                <wp:anchor distT="0" distB="0" distL="114300" distR="114300" simplePos="0" relativeHeight="251672576" behindDoc="0" locked="0" layoutInCell="1" allowOverlap="1">
                  <wp:simplePos x="0" y="0"/>
                  <wp:positionH relativeFrom="column">
                    <wp:posOffset>106680</wp:posOffset>
                  </wp:positionH>
                  <wp:positionV relativeFrom="paragraph">
                    <wp:posOffset>1206500</wp:posOffset>
                  </wp:positionV>
                  <wp:extent cx="1039495" cy="1557020"/>
                  <wp:effectExtent l="0" t="0" r="8255" b="5080"/>
                  <wp:wrapNone/>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3"/>
                          <a:srcRect t="3948"/>
                          <a:stretch>
                            <a:fillRect/>
                          </a:stretch>
                        </pic:blipFill>
                        <pic:spPr>
                          <a:xfrm>
                            <a:off x="0" y="0"/>
                            <a:ext cx="1039511" cy="1557196"/>
                          </a:xfrm>
                          <a:prstGeom prst="rect">
                            <a:avLst/>
                          </a:prstGeom>
                        </pic:spPr>
                      </pic:pic>
                    </a:graphicData>
                  </a:graphic>
                </wp:anchor>
              </w:drawing>
            </w:r>
          </w:p>
        </w:tc>
        <w:tc>
          <w:tcPr>
            <w:tcW w:w="9781" w:type="dxa"/>
          </w:tcPr>
          <w:p>
            <w:r>
              <w:t>1)面料:优质网布面料,符合GB 18401-2010、GB/T 19817-2005标准;芳香胺有害物质含量0,颜色干擦牢度≥3级,耐磨性≥12000转,断裂强度≥350N</w:t>
            </w:r>
          </w:p>
          <w:p>
            <w:r>
              <w:t>2)背框:尼龙+30%玻纤,可承受1001N载荷强度试验,可在座面载荷109kg时,施加445N的力于背架上,执行120000次往复循环</w:t>
            </w:r>
          </w:p>
          <w:p>
            <w:r>
              <w:t>3)海绵:一体成型定型绵,密度≥48kg/m³,回弹性≥40%,通过CA TB117-2013防火性能检测</w:t>
            </w:r>
          </w:p>
          <w:p>
            <w:r>
              <w:t>4)曲木板:E1级成型胶合板,甲醛释放量≤0.124mg/m³</w:t>
            </w:r>
          </w:p>
          <w:p>
            <w:r>
              <w:t>5)扶手:升降PU面扶手,可承受水平方向667N加载持续15s,垂直方向1125N加载持续15s,10±1°施力400N执行60000次循环</w:t>
            </w:r>
          </w:p>
          <w:p>
            <w:r>
              <w:t>6)底盘:优质底盘,底座钢板厚度＞2mm,可承受每分钟10至30次共计300000次倾仰</w:t>
            </w:r>
          </w:p>
          <w:p>
            <w:r>
              <w:t>7)气杆:三级气杆,行程92±2mm,升降平稳,无漏声、噪声,可在5次/min—15次/min回旋频率下进行12万次升降</w:t>
            </w:r>
          </w:p>
          <w:p>
            <w:r>
              <w:t>8)五星脚:抛光铝合金五星脚,可承受垂直方向施力11120N持续1分钟</w:t>
            </w:r>
          </w:p>
          <w:p>
            <w:r>
              <w:t>9)椅轮:PU轮,载荷122kg在无障碍平台进行98000次,有障碍物平台进行2000次往返无破损</w:t>
            </w:r>
          </w:p>
          <w:p>
            <w:r>
              <w:rPr>
                <w:rFonts w:hint="eastAsia"/>
              </w:rPr>
              <w:t>功能说明</w:t>
            </w:r>
            <w:r>
              <w:t>:</w:t>
            </w:r>
          </w:p>
          <w:p>
            <w:r>
              <w:t>1)头枕调节:上下调节45mm</w:t>
            </w:r>
          </w:p>
          <w:p>
            <w:r>
              <w:t>2)腰托调节:上下调节35mm</w:t>
            </w:r>
          </w:p>
          <w:p>
            <w:r>
              <w:t>3)扶手调节:扶手可上下调节60mm,左右旋转15°</w:t>
            </w:r>
          </w:p>
          <w:p>
            <w:r>
              <w:t>4)底盘调节:STG背座同步倾仰,四档锁定功能,自负重机构无需调节倾仰力度</w:t>
            </w:r>
          </w:p>
          <w:p>
            <w:r>
              <w:t>5)腰靠：展翼式腰托；腰靠结构前倾7°，支撑感提升；高弹海绵填充，柔性撑腰，久靠不塌陷。</w:t>
            </w:r>
          </w:p>
        </w:tc>
        <w:tc>
          <w:tcPr>
            <w:tcW w:w="1811" w:type="dxa"/>
            <w:vAlign w:val="center"/>
          </w:tcPr>
          <w:p>
            <w:pPr>
              <w:jc w:val="center"/>
            </w:pPr>
            <w:r>
              <w:rPr>
                <w:rFonts w:hint="eastAsia"/>
              </w:rPr>
              <w:t>630 mm (L)</w:t>
            </w:r>
            <w:r>
              <w:rPr>
                <w:rFonts w:hint="eastAsia"/>
              </w:rPr>
              <w:br w:type="textWrapping"/>
            </w:r>
            <w:r>
              <w:rPr>
                <w:rFonts w:hint="eastAsia"/>
              </w:rPr>
              <w:t>595 mm (W)</w:t>
            </w:r>
            <w:r>
              <w:rPr>
                <w:rFonts w:hint="eastAsia"/>
              </w:rPr>
              <w:br w:type="textWrapping"/>
            </w:r>
            <w:r>
              <w:rPr>
                <w:rFonts w:hint="eastAsia"/>
              </w:rPr>
              <w:t>1240 mm (H)</w:t>
            </w:r>
          </w:p>
        </w:tc>
        <w:tc>
          <w:tcPr>
            <w:tcW w:w="705" w:type="dxa"/>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99" w:type="dxa"/>
            <w:vAlign w:val="center"/>
          </w:tcPr>
          <w:p>
            <w:r>
              <w:rPr>
                <w:rFonts w:hint="eastAsia"/>
              </w:rPr>
              <w:br w:type="page"/>
            </w:r>
            <w:r>
              <w:rPr>
                <w:rFonts w:hint="eastAsia"/>
              </w:rPr>
              <w:t>领导文件柜</w:t>
            </w:r>
          </w:p>
        </w:tc>
        <w:tc>
          <w:tcPr>
            <w:tcW w:w="2198" w:type="dxa"/>
          </w:tcPr>
          <w:p>
            <w:r>
              <w:rPr>
                <w:rFonts w:hint="eastAsia"/>
              </w:rPr>
              <w:drawing>
                <wp:anchor distT="0" distB="0" distL="114300" distR="114300" simplePos="0" relativeHeight="251671552" behindDoc="0" locked="0" layoutInCell="1" allowOverlap="1">
                  <wp:simplePos x="0" y="0"/>
                  <wp:positionH relativeFrom="column">
                    <wp:posOffset>154305</wp:posOffset>
                  </wp:positionH>
                  <wp:positionV relativeFrom="paragraph">
                    <wp:posOffset>485140</wp:posOffset>
                  </wp:positionV>
                  <wp:extent cx="920115" cy="995680"/>
                  <wp:effectExtent l="0" t="0" r="13335" b="13970"/>
                  <wp:wrapNone/>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4"/>
                          <a:stretch>
                            <a:fillRect/>
                          </a:stretch>
                        </pic:blipFill>
                        <pic:spPr>
                          <a:xfrm>
                            <a:off x="0" y="0"/>
                            <a:ext cx="920331" cy="995881"/>
                          </a:xfrm>
                          <a:prstGeom prst="rect">
                            <a:avLst/>
                          </a:prstGeom>
                        </pic:spPr>
                      </pic:pic>
                    </a:graphicData>
                  </a:graphic>
                </wp:anchor>
              </w:drawing>
            </w:r>
          </w:p>
        </w:tc>
        <w:tc>
          <w:tcPr>
            <w:tcW w:w="9781" w:type="dxa"/>
          </w:tcPr>
          <w:p>
            <w:r>
              <w:rPr>
                <w:rFonts w:hint="eastAsia"/>
              </w:rPr>
              <w:br w:type="page"/>
            </w:r>
            <w:r>
              <w:rPr>
                <w:rFonts w:hint="eastAsia"/>
              </w:rPr>
              <w:br w:type="page"/>
            </w:r>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p>
          <w:p>
            <w:r>
              <w:rPr>
                <w:rFonts w:hint="eastAsia"/>
              </w:rPr>
              <w:br w:type="page"/>
            </w:r>
            <w:r>
              <w:rPr>
                <w:rFonts w:hint="eastAsia"/>
              </w:rPr>
              <w:t>2)PVC封边条:符合QB/T 4463-2013标准、GB 28481-2012标准,其中甲醛释放量、可溶性重金属(镉、铬、汞、砷、锑、硒)、邻苯二甲酸酯、多溴联苯、多㴪二苯醚含量均须低于检出限。</w:t>
            </w:r>
          </w:p>
          <w:p>
            <w:r>
              <w:rPr>
                <w:rFonts w:hint="eastAsia"/>
              </w:rPr>
              <w:br w:type="page"/>
            </w:r>
            <w:r>
              <w:rPr>
                <w:rFonts w:hint="eastAsia"/>
              </w:rPr>
              <w:t>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p>
            <w:r>
              <w:rPr>
                <w:rFonts w:hint="eastAsia"/>
              </w:rPr>
              <w:br w:type="page"/>
            </w:r>
            <w:r>
              <w:rPr>
                <w:rFonts w:hint="eastAsia"/>
              </w:rPr>
              <w:t>4)正面锁:符合QB/T1621-2015标准，其中电镀件中性盐雾试验耐腐蚀100H达到10级，钥匙不同牙花数大于700种，互开率合格，使用寿命达到30000次正常。</w:t>
            </w:r>
            <w:r>
              <w:rPr>
                <w:rFonts w:hint="eastAsia"/>
              </w:rPr>
              <w:br w:type="page"/>
            </w:r>
            <w:r>
              <w:rPr>
                <w:rFonts w:hint="eastAsia"/>
              </w:rPr>
              <w:br w:type="page"/>
            </w:r>
          </w:p>
        </w:tc>
        <w:tc>
          <w:tcPr>
            <w:tcW w:w="1811" w:type="dxa"/>
            <w:vAlign w:val="center"/>
          </w:tcPr>
          <w:p>
            <w:pPr>
              <w:jc w:val="center"/>
            </w:pPr>
            <w:r>
              <w:rPr>
                <w:rFonts w:hint="eastAsia"/>
              </w:rPr>
              <w:br w:type="page"/>
            </w:r>
            <w:r>
              <w:rPr>
                <w:rFonts w:hint="eastAsia"/>
              </w:rPr>
              <w:t>1400 mm (L)</w:t>
            </w:r>
          </w:p>
          <w:p>
            <w:pPr>
              <w:jc w:val="center"/>
            </w:pPr>
            <w:r>
              <w:rPr>
                <w:rFonts w:hint="eastAsia"/>
              </w:rPr>
              <w:br w:type="page"/>
            </w:r>
            <w:r>
              <w:rPr>
                <w:rFonts w:hint="eastAsia"/>
              </w:rPr>
              <w:t>400 mm (W)</w:t>
            </w:r>
            <w:r>
              <w:rPr>
                <w:rFonts w:hint="eastAsia"/>
              </w:rPr>
              <w:br w:type="page"/>
            </w:r>
          </w:p>
          <w:p>
            <w:pPr>
              <w:jc w:val="center"/>
            </w:pPr>
            <w:r>
              <w:rPr>
                <w:rFonts w:hint="eastAsia"/>
              </w:rPr>
              <w:t>1202 mm (H)</w:t>
            </w:r>
            <w:r>
              <w:rPr>
                <w:rFonts w:hint="eastAsia"/>
              </w:rPr>
              <w:br w:type="page"/>
            </w:r>
          </w:p>
        </w:tc>
        <w:tc>
          <w:tcPr>
            <w:tcW w:w="705" w:type="dxa"/>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5" w:hRule="atLeast"/>
        </w:trPr>
        <w:tc>
          <w:tcPr>
            <w:tcW w:w="1199" w:type="dxa"/>
            <w:vMerge w:val="restart"/>
            <w:vAlign w:val="center"/>
          </w:tcPr>
          <w:p>
            <w:r>
              <w:rPr>
                <w:rFonts w:hint="eastAsia"/>
              </w:rPr>
              <w:t>员工桌</w:t>
            </w:r>
          </w:p>
        </w:tc>
        <w:tc>
          <w:tcPr>
            <w:tcW w:w="2198" w:type="dxa"/>
            <w:vMerge w:val="restart"/>
            <w:noWrap/>
          </w:tcPr>
          <w:p/>
          <w:p>
            <w:r>
              <w:rPr>
                <w:rFonts w:hint="eastAsia"/>
              </w:rPr>
              <w:drawing>
                <wp:anchor distT="0" distB="0" distL="114300" distR="114300" simplePos="0" relativeHeight="251670528" behindDoc="0" locked="0" layoutInCell="1" allowOverlap="1">
                  <wp:simplePos x="0" y="0"/>
                  <wp:positionH relativeFrom="column">
                    <wp:posOffset>-635</wp:posOffset>
                  </wp:positionH>
                  <wp:positionV relativeFrom="paragraph">
                    <wp:posOffset>351155</wp:posOffset>
                  </wp:positionV>
                  <wp:extent cx="1113790" cy="758825"/>
                  <wp:effectExtent l="0" t="0" r="10160" b="3175"/>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5"/>
                          <a:srcRect l="19586" t="30781" r="20657" b="12100"/>
                          <a:stretch>
                            <a:fillRect/>
                          </a:stretch>
                        </pic:blipFill>
                        <pic:spPr>
                          <a:xfrm>
                            <a:off x="0" y="0"/>
                            <a:ext cx="1113576" cy="758934"/>
                          </a:xfrm>
                          <a:prstGeom prst="rect">
                            <a:avLst/>
                          </a:prstGeom>
                        </pic:spPr>
                      </pic:pic>
                    </a:graphicData>
                  </a:graphic>
                </wp:anchor>
              </w:drawing>
            </w:r>
          </w:p>
        </w:tc>
        <w:tc>
          <w:tcPr>
            <w:tcW w:w="9781" w:type="dxa"/>
            <w:vMerge w:val="restart"/>
          </w:tcPr>
          <w:p>
            <w: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p>
          <w:p>
            <w:r>
              <w:t>2)优质浸渍胶膜纸饰面板,基材采用"E0"环保刨花板,甲醛释放量优于国家标准;</w:t>
            </w:r>
          </w:p>
          <w:p>
            <w:r>
              <w:t>3)包覆抽屉:表面胶合强度≥0.4Mpa;表面耐磨性能80r;耐剥离力45N±5N;耐划痕性能≥1.5N时间表面无整圈划痕;甲醛释放量≤0.08mg/m³;通过《LY/T 1279-2008 聚氯乙烯薄膜饰面人造板》中理化性能检测要求，全面真空包覆，与抽屉板一体贴合，无螺丝钉外露，抽屉内部平滑无痕易清理；同时，覆皮有效杜绝抽屉气味外露，更加环保健康。</w:t>
            </w:r>
          </w:p>
          <w:p>
            <w:r>
              <w:t>6)ABS封边条:表面耐光色牢度≥4级;表面耐龟裂性≥2级;表面耐磨性能30r;通过QB/T4463-2013 《家具用封边条技术要求》理化性能检测要求</w:t>
            </w:r>
          </w:p>
          <w:p>
            <w:r>
              <w:t>7)优质滑轨,表面黑色喷涂;</w:t>
            </w:r>
          </w:p>
          <w:p>
            <w:r>
              <w:t>8)钢架:表面耐腐蚀中性盐雾测试100h后无锈蚀、剥落、起皱;表面附着力≥2级;升降/折叠/伸缩耐久性测定20000次后,零部件无断裂、曲、变形、磨损、变形;通过《GB/T 3325-2017金属家具通用技术条件》理化性能检测要求</w:t>
            </w:r>
          </w:p>
          <w:p>
            <w:r>
              <w:t>9)正面锁:正面锁符合QB/T 1621-2015家具锁标准中电镀件耐腐蚀规定,电镀件外露表面经12h的中性盐雾试验后,应达到外观评级RA6级的规定,弹子锁、叶片锁使用寿命达不少于10000次</w:t>
            </w:r>
          </w:p>
          <w:p>
            <w:r>
              <w:t>10)钢脚:表面耐腐蚀中性盐雾测试100h后无锈蚀、剥落、起皱;表面附着力不低于2级;升降/折叠/伸缩耐久性测定20000次后,零部件无断裂、曲、变形、磨损、变形;通过《GB/T 3325-2017金属家具通用技术条件》理化性能检测要求</w:t>
            </w:r>
          </w:p>
          <w:p>
            <w:r>
              <w:t>11)线盒:表面耐腐蚀中性盐雾测试100h后无锈蚀、剥落、起皱;表面附着力≥2级;通过《GB/T 3325-2017金属家具通用技术条件》理化性能检测要求</w:t>
            </w:r>
          </w:p>
          <w:p>
            <w:r>
              <w:t>12)面料:优质麻绒面料,符合GB 18401-2010、GB/T 19817-2005标准;芳香胺有害物质含量0,颜色干擦牢度≥3级,耐磨性≥12000转,断裂强度≥350N</w:t>
            </w:r>
          </w:p>
          <w:p>
            <w:r>
              <w:t>13)塑胶件:符合(GB/T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p>
            <w:r>
              <w:t>14)喷涂五金:采用AL6063-T5铝合金,压铸成型,表面静电粉末喷涂,符合(GB/T 3325-2017金属家具通用技术条件)中5.5理化性能要求</w:t>
            </w:r>
          </w:p>
          <w:p>
            <w:r>
              <w:rPr>
                <w:rFonts w:hint="eastAsia"/>
              </w:rPr>
              <w:t>工艺说明</w:t>
            </w:r>
            <w:r>
              <w:t>:</w:t>
            </w:r>
          </w:p>
          <w:p>
            <w:r>
              <w:t>1)采用先进激光封边技术;</w:t>
            </w:r>
          </w:p>
        </w:tc>
        <w:tc>
          <w:tcPr>
            <w:tcW w:w="1811" w:type="dxa"/>
            <w:vMerge w:val="restart"/>
            <w:vAlign w:val="center"/>
          </w:tcPr>
          <w:p>
            <w:pPr>
              <w:jc w:val="center"/>
            </w:pPr>
            <w:r>
              <w:rPr>
                <w:rFonts w:hint="eastAsia"/>
              </w:rPr>
              <w:t>1400 mm (L)</w:t>
            </w:r>
            <w:r>
              <w:rPr>
                <w:rFonts w:hint="eastAsia"/>
              </w:rPr>
              <w:br w:type="textWrapping"/>
            </w:r>
            <w:r>
              <w:rPr>
                <w:rFonts w:hint="eastAsia"/>
              </w:rPr>
              <w:t>700 mm (W)</w:t>
            </w:r>
            <w:r>
              <w:rPr>
                <w:rFonts w:hint="eastAsia"/>
              </w:rPr>
              <w:br w:type="textWrapping"/>
            </w:r>
            <w:r>
              <w:rPr>
                <w:rFonts w:hint="eastAsia"/>
              </w:rPr>
              <w:t>750 mm (H)</w:t>
            </w:r>
          </w:p>
        </w:tc>
        <w:tc>
          <w:tcPr>
            <w:tcW w:w="705" w:type="dxa"/>
            <w:vMerge w:val="restart"/>
            <w:noWrap/>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0" w:hRule="atLeast"/>
        </w:trPr>
        <w:tc>
          <w:tcPr>
            <w:tcW w:w="1199" w:type="dxa"/>
            <w:vMerge w:val="continue"/>
            <w:vAlign w:val="center"/>
          </w:tcPr>
          <w:p/>
        </w:tc>
        <w:tc>
          <w:tcPr>
            <w:tcW w:w="2198" w:type="dxa"/>
            <w:vMerge w:val="continue"/>
          </w:tcPr>
          <w:p/>
        </w:tc>
        <w:tc>
          <w:tcPr>
            <w:tcW w:w="9781" w:type="dxa"/>
            <w:vMerge w:val="continue"/>
          </w:tcPr>
          <w:p/>
        </w:tc>
        <w:tc>
          <w:tcPr>
            <w:tcW w:w="1811" w:type="dxa"/>
            <w:vMerge w:val="continue"/>
            <w:vAlign w:val="center"/>
          </w:tcPr>
          <w:p>
            <w:pPr>
              <w:jc w:val="center"/>
            </w:pPr>
          </w:p>
        </w:tc>
        <w:tc>
          <w:tcPr>
            <w:tcW w:w="705"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3" w:hRule="atLeast"/>
        </w:trPr>
        <w:tc>
          <w:tcPr>
            <w:tcW w:w="1199" w:type="dxa"/>
            <w:vAlign w:val="center"/>
          </w:tcPr>
          <w:p>
            <w:r>
              <w:rPr>
                <w:rFonts w:hint="eastAsia"/>
              </w:rPr>
              <w:t>员工椅</w:t>
            </w:r>
            <w:r>
              <w:rPr>
                <w:rFonts w:hint="eastAsia"/>
              </w:rPr>
              <w:br w:type="page"/>
            </w:r>
          </w:p>
        </w:tc>
        <w:tc>
          <w:tcPr>
            <w:tcW w:w="2198" w:type="dxa"/>
          </w:tcPr>
          <w:p>
            <w:r>
              <w:rPr>
                <w:rFonts w:hint="eastAsia"/>
              </w:rPr>
              <w:drawing>
                <wp:anchor distT="0" distB="0" distL="114300" distR="114300" simplePos="0" relativeHeight="251673600" behindDoc="0" locked="0" layoutInCell="1" allowOverlap="1">
                  <wp:simplePos x="0" y="0"/>
                  <wp:positionH relativeFrom="column">
                    <wp:posOffset>90170</wp:posOffset>
                  </wp:positionH>
                  <wp:positionV relativeFrom="paragraph">
                    <wp:posOffset>324485</wp:posOffset>
                  </wp:positionV>
                  <wp:extent cx="1065530" cy="1605915"/>
                  <wp:effectExtent l="0" t="0" r="1270" b="13335"/>
                  <wp:wrapNone/>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8"/>
                          <a:stretch>
                            <a:fillRect/>
                          </a:stretch>
                        </pic:blipFill>
                        <pic:spPr>
                          <a:xfrm>
                            <a:off x="0" y="0"/>
                            <a:ext cx="1065475" cy="1606163"/>
                          </a:xfrm>
                          <a:prstGeom prst="rect">
                            <a:avLst/>
                          </a:prstGeom>
                        </pic:spPr>
                      </pic:pic>
                    </a:graphicData>
                  </a:graphic>
                </wp:anchor>
              </w:drawing>
            </w:r>
          </w:p>
        </w:tc>
        <w:tc>
          <w:tcPr>
            <w:tcW w:w="9781" w:type="dxa"/>
          </w:tcPr>
          <w:p>
            <w:r>
              <w:rPr>
                <w:rFonts w:hint="eastAsia"/>
              </w:rPr>
              <w:t>1)面料:优质网布面料,符合GB 18401-2010、GB/T 19817-2005标准;芳香胺有害物质含量0,颜色干擦牢度≥3级,耐磨性≥12000转,断裂强度≥350N</w:t>
            </w:r>
            <w:r>
              <w:rPr>
                <w:rFonts w:hint="eastAsia"/>
              </w:rPr>
              <w:br w:type="page"/>
            </w:r>
          </w:p>
          <w:p>
            <w:r>
              <w:rPr>
                <w:rFonts w:hint="eastAsia"/>
              </w:rPr>
              <w:t>2)背框:尼龙+30%玻纤</w:t>
            </w:r>
            <w:r>
              <w:rPr>
                <w:rFonts w:hint="eastAsia"/>
              </w:rPr>
              <w:br w:type="page"/>
            </w:r>
            <w:r>
              <w:rPr>
                <w:rFonts w:hint="eastAsia"/>
              </w:rPr>
              <w:t>3)座垫：一体成型定型绵,密度≥48kg/m³,回弹性≥40%,通过CA TB117-2013防火性能检测</w:t>
            </w:r>
            <w:r>
              <w:rPr>
                <w:rFonts w:hint="eastAsia"/>
              </w:rPr>
              <w:br w:type="page"/>
            </w:r>
          </w:p>
          <w:p>
            <w:r>
              <w:rPr>
                <w:rFonts w:hint="eastAsia"/>
              </w:rPr>
              <w:t>4)曲木板:E1级成型胶合板（曲木板）,符合GB/T 22350-2017标准、GB 18580-2017标准、HJ 571-2010标准、GB 18584-2001标准，其中尺寸（长度、宽度及厚度）偏差、形位偏差、外观质量、含水率、浸渍剥离性能、抗压性能、点抗压性能均合格，甲醛释放量≤0.02mg/m³，TVOC≤0.10mg/㎡.h。</w:t>
            </w:r>
            <w:r>
              <w:rPr>
                <w:rFonts w:hint="eastAsia"/>
              </w:rPr>
              <w:br w:type="page"/>
            </w:r>
          </w:p>
          <w:p>
            <w:r>
              <w:rPr>
                <w:rFonts w:hint="eastAsia"/>
              </w:rPr>
              <w:t>5)扶手:固定PP扶手,可承受水平方向445N加载持续15s,垂直方向750N加载持续15s,10±1°施力400N执行60000次循环</w:t>
            </w:r>
          </w:p>
          <w:p>
            <w:r>
              <w:rPr>
                <w:rFonts w:hint="eastAsia"/>
              </w:rPr>
              <w:br w:type="page"/>
            </w:r>
            <w:r>
              <w:rPr>
                <w:rFonts w:hint="eastAsia"/>
              </w:rPr>
              <w:t>6)椅架：壁厚1.8mm钢管折弯而成，表面电镀处理壁,涂层附着力不低于2级,耐腐蚀100h,可承受136kg冲击及57kg耐久100000次冲击。</w:t>
            </w:r>
            <w:r>
              <w:rPr>
                <w:rFonts w:hint="eastAsia"/>
              </w:rPr>
              <w:br w:type="page"/>
            </w:r>
            <w:r>
              <w:rPr>
                <w:rFonts w:hint="eastAsia"/>
              </w:rPr>
              <w:br w:type="page"/>
            </w:r>
            <w:r>
              <w:rPr>
                <w:rFonts w:hint="eastAsia"/>
              </w:rPr>
              <w:br w:type="page"/>
            </w:r>
            <w:r>
              <w:rPr>
                <w:rFonts w:hint="eastAsia"/>
              </w:rPr>
              <w:br w:type="page"/>
            </w:r>
            <w:r>
              <w:rPr>
                <w:rFonts w:hint="eastAsia"/>
              </w:rPr>
              <w:br w:type="page"/>
            </w:r>
            <w:r>
              <w:rPr>
                <w:rFonts w:hint="eastAsia"/>
              </w:rPr>
              <w:br w:type="page"/>
            </w:r>
            <w:r>
              <w:rPr>
                <w:rFonts w:hint="eastAsia"/>
              </w:rPr>
              <w:br w:type="page"/>
            </w:r>
          </w:p>
        </w:tc>
        <w:tc>
          <w:tcPr>
            <w:tcW w:w="1811" w:type="dxa"/>
            <w:vAlign w:val="center"/>
          </w:tcPr>
          <w:p>
            <w:pPr>
              <w:jc w:val="center"/>
            </w:pPr>
            <w:r>
              <w:rPr>
                <w:rFonts w:hint="eastAsia"/>
              </w:rPr>
              <w:t>6</w:t>
            </w:r>
            <w:r>
              <w:t>20</w:t>
            </w:r>
            <w:r>
              <w:rPr>
                <w:rFonts w:hint="eastAsia"/>
              </w:rPr>
              <w:t xml:space="preserve"> mm (L)</w:t>
            </w:r>
            <w:r>
              <w:rPr>
                <w:rFonts w:hint="eastAsia"/>
              </w:rPr>
              <w:br w:type="textWrapping"/>
            </w:r>
            <w:r>
              <w:rPr>
                <w:rFonts w:hint="eastAsia"/>
              </w:rPr>
              <w:t>6</w:t>
            </w:r>
            <w:r>
              <w:t>15</w:t>
            </w:r>
            <w:r>
              <w:rPr>
                <w:rFonts w:hint="eastAsia"/>
              </w:rPr>
              <w:t xml:space="preserve"> mm (W)</w:t>
            </w:r>
            <w:r>
              <w:rPr>
                <w:rFonts w:hint="eastAsia"/>
              </w:rPr>
              <w:br w:type="textWrapping"/>
            </w:r>
            <w:r>
              <w:rPr>
                <w:rFonts w:hint="eastAsia"/>
              </w:rPr>
              <w:t>10</w:t>
            </w:r>
            <w:r>
              <w:t>15</w:t>
            </w:r>
            <w:r>
              <w:rPr>
                <w:rFonts w:hint="eastAsia"/>
              </w:rPr>
              <w:t xml:space="preserve"> mm (H)</w:t>
            </w:r>
          </w:p>
        </w:tc>
        <w:tc>
          <w:tcPr>
            <w:tcW w:w="705" w:type="dxa"/>
            <w:vAlign w:val="center"/>
          </w:tcPr>
          <w:p>
            <w:pPr>
              <w:jc w:val="center"/>
            </w:pPr>
            <w:r>
              <w:rPr>
                <w:rFonts w:hint="eastAsi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6" w:hRule="atLeast"/>
        </w:trPr>
        <w:tc>
          <w:tcPr>
            <w:tcW w:w="1199" w:type="dxa"/>
            <w:vAlign w:val="center"/>
          </w:tcPr>
          <w:p>
            <w:r>
              <w:rPr>
                <w:rFonts w:hint="eastAsia"/>
              </w:rPr>
              <w:t>文件柜</w:t>
            </w:r>
          </w:p>
        </w:tc>
        <w:tc>
          <w:tcPr>
            <w:tcW w:w="2198" w:type="dxa"/>
          </w:tcPr>
          <w:p>
            <w:r>
              <w:rPr>
                <w:rFonts w:hint="eastAsia"/>
              </w:rPr>
              <w:drawing>
                <wp:anchor distT="0" distB="0" distL="114300" distR="114300" simplePos="0" relativeHeight="251680768" behindDoc="0" locked="0" layoutInCell="1" allowOverlap="1">
                  <wp:simplePos x="0" y="0"/>
                  <wp:positionH relativeFrom="column">
                    <wp:posOffset>67310</wp:posOffset>
                  </wp:positionH>
                  <wp:positionV relativeFrom="paragraph">
                    <wp:posOffset>621030</wp:posOffset>
                  </wp:positionV>
                  <wp:extent cx="1104265" cy="1196975"/>
                  <wp:effectExtent l="0" t="0" r="635" b="3175"/>
                  <wp:wrapNone/>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24"/>
                          <a:stretch>
                            <a:fillRect/>
                          </a:stretch>
                        </pic:blipFill>
                        <pic:spPr>
                          <a:xfrm>
                            <a:off x="0" y="0"/>
                            <a:ext cx="1104522" cy="1197209"/>
                          </a:xfrm>
                          <a:prstGeom prst="rect">
                            <a:avLst/>
                          </a:prstGeom>
                        </pic:spPr>
                      </pic:pic>
                    </a:graphicData>
                  </a:graphic>
                </wp:anchor>
              </w:drawing>
            </w:r>
          </w:p>
        </w:tc>
        <w:tc>
          <w:tcPr>
            <w:tcW w:w="9781" w:type="dxa"/>
          </w:tcPr>
          <w:p>
            <w:r>
              <w:rPr>
                <w:rFonts w:hint="eastAsia"/>
              </w:rPr>
              <w:br w:type="page"/>
            </w:r>
            <w:r>
              <w:rPr>
                <w:rFonts w:hint="eastAsia"/>
              </w:rPr>
              <w:br w:type="page"/>
            </w:r>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p>
          <w:p>
            <w:r>
              <w:rPr>
                <w:rFonts w:hint="eastAsia"/>
              </w:rPr>
              <w:br w:type="page"/>
            </w:r>
            <w:r>
              <w:rPr>
                <w:rFonts w:hint="eastAsia"/>
              </w:rPr>
              <w:t>2)PVC封边条:符合QB/T 4463-2013标准、GB 28481-2012标准,其中甲醛释放量、可溶性重金属(镉、铬、汞、砷、锑、硒)、邻苯二甲酸酯、多溴联苯、多㴪二苯醚含量均须低于检出限。</w:t>
            </w:r>
          </w:p>
          <w:p>
            <w:r>
              <w:rPr>
                <w:rFonts w:hint="eastAsia"/>
              </w:rPr>
              <w:br w:type="page"/>
            </w:r>
            <w:r>
              <w:rPr>
                <w:rFonts w:hint="eastAsia"/>
              </w:rPr>
              <w:t>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p>
            <w:r>
              <w:rPr>
                <w:rFonts w:hint="eastAsia"/>
              </w:rPr>
              <w:br w:type="page"/>
            </w:r>
            <w:r>
              <w:rPr>
                <w:rFonts w:hint="eastAsia"/>
              </w:rPr>
              <w:t>4)正面锁:符合QB/T1621-2015标准，其中电镀件中性盐雾试验耐腐蚀100H达到10级，钥匙不同牙花数大于700种，互开率合格，使用寿命达到30000次正常。</w:t>
            </w:r>
            <w:r>
              <w:rPr>
                <w:rFonts w:hint="eastAsia"/>
              </w:rPr>
              <w:br w:type="page"/>
            </w:r>
            <w:r>
              <w:rPr>
                <w:rFonts w:hint="eastAsia"/>
              </w:rPr>
              <w:br w:type="page"/>
            </w:r>
          </w:p>
        </w:tc>
        <w:tc>
          <w:tcPr>
            <w:tcW w:w="1811" w:type="dxa"/>
            <w:vAlign w:val="center"/>
          </w:tcPr>
          <w:p>
            <w:pPr>
              <w:jc w:val="center"/>
            </w:pPr>
            <w:r>
              <w:rPr>
                <w:rFonts w:hint="eastAsia"/>
              </w:rPr>
              <w:t>1400 mm (L)</w:t>
            </w:r>
            <w:r>
              <w:rPr>
                <w:rFonts w:hint="eastAsia"/>
              </w:rPr>
              <w:br w:type="textWrapping"/>
            </w:r>
            <w:r>
              <w:rPr>
                <w:rFonts w:hint="eastAsia"/>
              </w:rPr>
              <w:t>400 mm (W)</w:t>
            </w:r>
            <w:r>
              <w:rPr>
                <w:rFonts w:hint="eastAsia"/>
              </w:rPr>
              <w:br w:type="textWrapping"/>
            </w:r>
            <w:r>
              <w:rPr>
                <w:rFonts w:hint="eastAsia"/>
              </w:rPr>
              <w:t>1202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1" w:hRule="atLeast"/>
        </w:trPr>
        <w:tc>
          <w:tcPr>
            <w:tcW w:w="1199" w:type="dxa"/>
            <w:vAlign w:val="center"/>
          </w:tcPr>
          <w:p>
            <w:r>
              <w:rPr>
                <w:rFonts w:hint="eastAsia"/>
              </w:rPr>
              <w:t>布艺沙发</w:t>
            </w:r>
          </w:p>
        </w:tc>
        <w:tc>
          <w:tcPr>
            <w:tcW w:w="2198" w:type="dxa"/>
          </w:tcPr>
          <w:p>
            <w:r>
              <w:rPr>
                <w:rFonts w:hint="eastAsia"/>
              </w:rPr>
              <w:drawing>
                <wp:anchor distT="0" distB="0" distL="114300" distR="114300" simplePos="0" relativeHeight="251675648" behindDoc="0" locked="0" layoutInCell="1" allowOverlap="1">
                  <wp:simplePos x="0" y="0"/>
                  <wp:positionH relativeFrom="column">
                    <wp:posOffset>64770</wp:posOffset>
                  </wp:positionH>
                  <wp:positionV relativeFrom="paragraph">
                    <wp:posOffset>1103630</wp:posOffset>
                  </wp:positionV>
                  <wp:extent cx="1095375" cy="529590"/>
                  <wp:effectExtent l="0" t="0" r="9525" b="381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6"/>
                          <a:stretch>
                            <a:fillRect/>
                          </a:stretch>
                        </pic:blipFill>
                        <pic:spPr>
                          <a:xfrm>
                            <a:off x="0" y="0"/>
                            <a:ext cx="1095469" cy="529696"/>
                          </a:xfrm>
                          <a:prstGeom prst="rect">
                            <a:avLst/>
                          </a:prstGeom>
                        </pic:spPr>
                      </pic:pic>
                    </a:graphicData>
                  </a:graphic>
                </wp:anchor>
              </w:drawing>
            </w:r>
          </w:p>
        </w:tc>
        <w:tc>
          <w:tcPr>
            <w:tcW w:w="9781" w:type="dxa"/>
          </w:tcPr>
          <w:p>
            <w:r>
              <w:rPr>
                <w:rFonts w:hint="eastAsia"/>
              </w:rPr>
              <w:t>1)实木多层板:符合GB/T 9846-2015标准、GB 18580-2017标准、HJ 571-2010标准、GB 18584-2001标准、GBT17657-2013标准，其中尺寸（长度、宽度及厚度）偏差、平整度偏差、表板拼接离缝、表板叠层、芯板叠离、板边缺陷、含水率、胶合强度、静曲强度、弹性模量浸渍剥离均合格，甲醛释放量≤0.02mg/m³，TVOC≤0.10mg/㎡.h。</w:t>
            </w:r>
            <w:r>
              <w:rPr>
                <w:rFonts w:hint="eastAsia"/>
              </w:rPr>
              <w:br w:type="textWrapping"/>
            </w:r>
            <w:r>
              <w:rPr>
                <w:rFonts w:hint="eastAsia"/>
              </w:rPr>
              <w:t>2)海绵:填充一体成型原生高回弹定型海绵。符合GB/T 10802-2006标准、QB/T 2280-2016标准；座面密度≥40kg/m³，甲醛释放量低于检出限，TVOC≤0.20mg/㎡h；</w:t>
            </w:r>
            <w:r>
              <w:rPr>
                <w:rFonts w:hint="eastAsia"/>
              </w:rPr>
              <w:br w:type="textWrapping"/>
            </w:r>
            <w:r>
              <w:rPr>
                <w:rFonts w:hint="eastAsia"/>
              </w:rPr>
              <w:t>其中25%压陷硬度、75%压缩永久变形、回弹率、撕裂强度、干热老化后拉伸强度、湿热老化后拉伸强度均合格。</w:t>
            </w:r>
            <w:r>
              <w:rPr>
                <w:rFonts w:hint="eastAsia"/>
              </w:rPr>
              <w:br w:type="textWrapping"/>
            </w:r>
            <w:r>
              <w:rPr>
                <w:rFonts w:hint="eastAsia"/>
              </w:rPr>
              <w:t>3)面料:优质麻绒面料,符合GB 18401-2010标准、GB 17927.1-2011标准，其中甲醛含量未检出，通过抗引燃试验，pH值、染色牢度合格，无异味，可分解致癌芳香胺染料≤5mg/kg。</w:t>
            </w:r>
            <w:r>
              <w:rPr>
                <w:rFonts w:hint="eastAsia"/>
              </w:rPr>
              <w:br w:type="textWrapping"/>
            </w:r>
            <w:r>
              <w:rPr>
                <w:rFonts w:hint="eastAsia"/>
              </w:rPr>
              <w:t>4)沙发脚：一体成型钢管沙发脚，表面金属灰。</w:t>
            </w:r>
          </w:p>
        </w:tc>
        <w:tc>
          <w:tcPr>
            <w:tcW w:w="1811" w:type="dxa"/>
            <w:vAlign w:val="center"/>
          </w:tcPr>
          <w:p>
            <w:pPr>
              <w:jc w:val="center"/>
            </w:pPr>
            <w:r>
              <w:rPr>
                <w:rFonts w:hint="eastAsia"/>
              </w:rPr>
              <w:t>28</w:t>
            </w:r>
            <w:r>
              <w:t>8</w:t>
            </w:r>
            <w:r>
              <w:rPr>
                <w:rFonts w:hint="eastAsia"/>
              </w:rPr>
              <w:t>0 mm (L)</w:t>
            </w:r>
            <w:r>
              <w:rPr>
                <w:rFonts w:hint="eastAsia"/>
              </w:rPr>
              <w:br w:type="textWrapping"/>
            </w:r>
            <w:r>
              <w:rPr>
                <w:rFonts w:hint="eastAsia"/>
              </w:rPr>
              <w:t>2</w:t>
            </w:r>
            <w:r>
              <w:t>18</w:t>
            </w:r>
            <w:r>
              <w:rPr>
                <w:rFonts w:hint="eastAsia"/>
              </w:rPr>
              <w:t>0 mm (W)</w:t>
            </w:r>
            <w:r>
              <w:rPr>
                <w:rFonts w:hint="eastAsia"/>
              </w:rPr>
              <w:br w:type="textWrapping"/>
            </w:r>
            <w:r>
              <w:rPr>
                <w:rFonts w:hint="eastAsia"/>
              </w:rPr>
              <w:t>760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2" w:hRule="atLeast"/>
        </w:trPr>
        <w:tc>
          <w:tcPr>
            <w:tcW w:w="1199" w:type="dxa"/>
            <w:vAlign w:val="center"/>
          </w:tcPr>
          <w:p>
            <w:r>
              <w:rPr>
                <w:rFonts w:hint="eastAsia"/>
              </w:rPr>
              <w:t>茶几</w:t>
            </w:r>
          </w:p>
        </w:tc>
        <w:tc>
          <w:tcPr>
            <w:tcW w:w="2198" w:type="dxa"/>
          </w:tcPr>
          <w:p>
            <w:r>
              <w:rPr>
                <w:rFonts w:hint="eastAsia"/>
              </w:rPr>
              <w:drawing>
                <wp:anchor distT="0" distB="0" distL="114300" distR="114300" simplePos="0" relativeHeight="251674624" behindDoc="0" locked="0" layoutInCell="1" allowOverlap="1">
                  <wp:simplePos x="0" y="0"/>
                  <wp:positionH relativeFrom="column">
                    <wp:posOffset>97155</wp:posOffset>
                  </wp:positionH>
                  <wp:positionV relativeFrom="paragraph">
                    <wp:posOffset>446405</wp:posOffset>
                  </wp:positionV>
                  <wp:extent cx="1041400" cy="694055"/>
                  <wp:effectExtent l="0" t="0" r="6350" b="10795"/>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7"/>
                          <a:stretch>
                            <a:fillRect/>
                          </a:stretch>
                        </pic:blipFill>
                        <pic:spPr>
                          <a:xfrm>
                            <a:off x="0" y="0"/>
                            <a:ext cx="1041149" cy="694099"/>
                          </a:xfrm>
                          <a:prstGeom prst="rect">
                            <a:avLst/>
                          </a:prstGeom>
                        </pic:spPr>
                      </pic:pic>
                    </a:graphicData>
                  </a:graphic>
                </wp:anchor>
              </w:drawing>
            </w:r>
          </w:p>
        </w:tc>
        <w:tc>
          <w:tcPr>
            <w:tcW w:w="9781" w:type="dxa"/>
          </w:tcPr>
          <w:p>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textWrapping"/>
            </w:r>
            <w:r>
              <w:rPr>
                <w:rFonts w:hint="eastAsia"/>
              </w:rPr>
              <w:t>2)钢架:表面耐腐蚀中性盐雾测试100h后无锈蚀、剥落、起皱;表面附着力≥2级;升降/折叠/伸缩耐久性测定20000次后,零部件无断裂、曲、变形、磨损、变形;通过《GB/T 3325-2017金属家具通用技术条件》理化性能检测要求</w:t>
            </w:r>
          </w:p>
        </w:tc>
        <w:tc>
          <w:tcPr>
            <w:tcW w:w="1811" w:type="dxa"/>
            <w:vAlign w:val="center"/>
          </w:tcPr>
          <w:p>
            <w:pPr>
              <w:jc w:val="center"/>
            </w:pPr>
            <w:r>
              <w:rPr>
                <w:rFonts w:hint="eastAsia"/>
              </w:rPr>
              <w:t>1200 mm (L)</w:t>
            </w:r>
            <w:r>
              <w:rPr>
                <w:rFonts w:hint="eastAsia"/>
              </w:rPr>
              <w:br w:type="textWrapping"/>
            </w:r>
            <w:r>
              <w:rPr>
                <w:rFonts w:hint="eastAsia"/>
              </w:rPr>
              <w:t>590 mm (W)</w:t>
            </w:r>
            <w:r>
              <w:rPr>
                <w:rFonts w:hint="eastAsia"/>
              </w:rPr>
              <w:br w:type="textWrapping"/>
            </w:r>
            <w:r>
              <w:rPr>
                <w:rFonts w:hint="eastAsia"/>
              </w:rPr>
              <w:t>405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0" w:hRule="atLeast"/>
        </w:trPr>
        <w:tc>
          <w:tcPr>
            <w:tcW w:w="1199" w:type="dxa"/>
            <w:vAlign w:val="center"/>
          </w:tcPr>
          <w:p>
            <w:r>
              <w:rPr>
                <w:rFonts w:hint="eastAsia"/>
              </w:rPr>
              <w:br w:type="page"/>
            </w:r>
            <w:r>
              <w:rPr>
                <w:rFonts w:hint="eastAsia"/>
              </w:rPr>
              <w:t>会议桌</w:t>
            </w:r>
          </w:p>
        </w:tc>
        <w:tc>
          <w:tcPr>
            <w:tcW w:w="2198" w:type="dxa"/>
          </w:tcPr>
          <w:p>
            <w:r>
              <w:rPr>
                <w:rFonts w:hint="eastAsia"/>
              </w:rPr>
              <w:drawing>
                <wp:anchor distT="0" distB="0" distL="114300" distR="114300" simplePos="0" relativeHeight="251682816" behindDoc="0" locked="0" layoutInCell="1" allowOverlap="1">
                  <wp:simplePos x="0" y="0"/>
                  <wp:positionH relativeFrom="column">
                    <wp:posOffset>36195</wp:posOffset>
                  </wp:positionH>
                  <wp:positionV relativeFrom="paragraph">
                    <wp:posOffset>676910</wp:posOffset>
                  </wp:positionV>
                  <wp:extent cx="1095375" cy="488950"/>
                  <wp:effectExtent l="0" t="0" r="9525" b="635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8"/>
                          <a:stretch>
                            <a:fillRect/>
                          </a:stretch>
                        </pic:blipFill>
                        <pic:spPr>
                          <a:xfrm>
                            <a:off x="0" y="0"/>
                            <a:ext cx="1095469" cy="488992"/>
                          </a:xfrm>
                          <a:prstGeom prst="rect">
                            <a:avLst/>
                          </a:prstGeom>
                        </pic:spPr>
                      </pic:pic>
                    </a:graphicData>
                  </a:graphic>
                </wp:anchor>
              </w:drawing>
            </w:r>
          </w:p>
        </w:tc>
        <w:tc>
          <w:tcPr>
            <w:tcW w:w="9781" w:type="dxa"/>
          </w:tcPr>
          <w:p>
            <w:r>
              <w:rPr>
                <w:rFonts w:hint="eastAsia"/>
              </w:rPr>
              <w:br w:type="page"/>
            </w:r>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page"/>
            </w:r>
          </w:p>
          <w:p>
            <w:r>
              <w:rPr>
                <w:rFonts w:hint="eastAsia"/>
              </w:rPr>
              <w:t>2、封边条：ABS封边，采用无缝激光封边技术，永久性无胶线、无胶污染、边部不易磨损，浸水2小时无开胶，耐热、耐潮，更加环保、耐用；</w:t>
            </w:r>
            <w:r>
              <w:rPr>
                <w:rFonts w:hint="eastAsia"/>
              </w:rPr>
              <w:br w:type="page"/>
            </w:r>
          </w:p>
          <w:p>
            <w:r>
              <w:rPr>
                <w:rFonts w:hint="eastAsia"/>
              </w:rPr>
              <w:t>3、上线箱：采用冷轧钢板+钢管,经冲压成型后表面静电粉末喷涂,符合(GB/T 3325-2017金属家具通用技术条件)中5.5理化性能要求能检测要求</w:t>
            </w:r>
            <w:r>
              <w:rPr>
                <w:rFonts w:hint="eastAsia"/>
              </w:rPr>
              <w:br w:type="page"/>
            </w:r>
            <w:r>
              <w:rPr>
                <w:rFonts w:hint="eastAsia"/>
              </w:rPr>
              <w:t>4、钢架：颜色为白色；台面配铝合金装饰条；台面配翻板线盒，颜色为白色</w:t>
            </w:r>
          </w:p>
        </w:tc>
        <w:tc>
          <w:tcPr>
            <w:tcW w:w="1811" w:type="dxa"/>
            <w:vAlign w:val="center"/>
          </w:tcPr>
          <w:p>
            <w:pPr>
              <w:jc w:val="center"/>
            </w:pPr>
            <w:r>
              <w:rPr>
                <w:rFonts w:hint="eastAsia"/>
              </w:rPr>
              <w:br w:type="page"/>
            </w:r>
            <w:r>
              <w:rPr>
                <w:rFonts w:hint="eastAsia"/>
              </w:rPr>
              <w:t>3600 mm (L)</w:t>
            </w:r>
          </w:p>
          <w:p>
            <w:pPr>
              <w:jc w:val="center"/>
            </w:pPr>
            <w:r>
              <w:rPr>
                <w:rFonts w:hint="eastAsia"/>
              </w:rPr>
              <w:br w:type="page"/>
            </w:r>
            <w:r>
              <w:rPr>
                <w:rFonts w:hint="eastAsia"/>
              </w:rPr>
              <w:t>1200 mm (W)</w:t>
            </w:r>
            <w:r>
              <w:rPr>
                <w:rFonts w:hint="eastAsia"/>
              </w:rPr>
              <w:br w:type="page"/>
            </w:r>
          </w:p>
          <w:p>
            <w:pPr>
              <w:jc w:val="center"/>
            </w:pPr>
            <w:r>
              <w:rPr>
                <w:rFonts w:hint="eastAsia"/>
              </w:rPr>
              <w:t>750 mm (H)</w:t>
            </w:r>
            <w:r>
              <w:rPr>
                <w:rFonts w:hint="eastAsia"/>
              </w:rPr>
              <w:br w:type="page"/>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8" w:hRule="atLeast"/>
        </w:trPr>
        <w:tc>
          <w:tcPr>
            <w:tcW w:w="1199" w:type="dxa"/>
            <w:vAlign w:val="center"/>
          </w:tcPr>
          <w:p>
            <w:r>
              <w:rPr>
                <w:rFonts w:hint="eastAsia"/>
              </w:rPr>
              <w:t>会议椅</w:t>
            </w:r>
          </w:p>
        </w:tc>
        <w:tc>
          <w:tcPr>
            <w:tcW w:w="2198" w:type="dxa"/>
          </w:tcPr>
          <w:p>
            <w:r>
              <w:rPr>
                <w:rFonts w:hint="eastAsia"/>
              </w:rPr>
              <w:drawing>
                <wp:anchor distT="0" distB="0" distL="114300" distR="114300" simplePos="0" relativeHeight="251676672" behindDoc="0" locked="0" layoutInCell="1" allowOverlap="1">
                  <wp:simplePos x="0" y="0"/>
                  <wp:positionH relativeFrom="column">
                    <wp:posOffset>329565</wp:posOffset>
                  </wp:positionH>
                  <wp:positionV relativeFrom="paragraph">
                    <wp:posOffset>137160</wp:posOffset>
                  </wp:positionV>
                  <wp:extent cx="669925" cy="920750"/>
                  <wp:effectExtent l="0" t="0" r="15875" b="1270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9"/>
                          <a:stretch>
                            <a:fillRect/>
                          </a:stretch>
                        </pic:blipFill>
                        <pic:spPr>
                          <a:xfrm>
                            <a:off x="0" y="0"/>
                            <a:ext cx="669957" cy="920794"/>
                          </a:xfrm>
                          <a:prstGeom prst="rect">
                            <a:avLst/>
                          </a:prstGeom>
                        </pic:spPr>
                      </pic:pic>
                    </a:graphicData>
                  </a:graphic>
                </wp:anchor>
              </w:drawing>
            </w:r>
          </w:p>
        </w:tc>
        <w:tc>
          <w:tcPr>
            <w:tcW w:w="9781" w:type="dxa"/>
          </w:tcPr>
          <w:p>
            <w:r>
              <w:rPr>
                <w:rFonts w:hint="eastAsia"/>
              </w:rPr>
              <w:t>1)背框+椅面:尼龙+20%玻纤一体成型，椅背做镂空设计。</w:t>
            </w:r>
            <w:r>
              <w:rPr>
                <w:rFonts w:hint="eastAsia"/>
              </w:rPr>
              <w:br w:type="textWrapping"/>
            </w:r>
            <w:r>
              <w:rPr>
                <w:rFonts w:hint="eastAsia"/>
              </w:rPr>
              <w:t>2)座垫：采用可拆卸设计座垫椅套，优质麻绒布+高弹海绵，与椅面固定采用无胶工艺。</w:t>
            </w:r>
            <w:r>
              <w:rPr>
                <w:rFonts w:hint="eastAsia"/>
              </w:rPr>
              <w:br w:type="textWrapping"/>
            </w:r>
            <w:r>
              <w:rPr>
                <w:rFonts w:hint="eastAsia"/>
              </w:rPr>
              <w:t>3)椅架: 壁厚1.5mm一体折弯成型钢管椅架，表面镀铬处理。</w:t>
            </w:r>
          </w:p>
        </w:tc>
        <w:tc>
          <w:tcPr>
            <w:tcW w:w="1811" w:type="dxa"/>
            <w:vAlign w:val="center"/>
          </w:tcPr>
          <w:p>
            <w:pPr>
              <w:jc w:val="center"/>
            </w:pPr>
            <w:r>
              <w:rPr>
                <w:rFonts w:hint="eastAsia"/>
              </w:rPr>
              <w:t>570 mm (L)</w:t>
            </w:r>
            <w:r>
              <w:rPr>
                <w:rFonts w:hint="eastAsia"/>
              </w:rPr>
              <w:br w:type="textWrapping"/>
            </w:r>
            <w:r>
              <w:rPr>
                <w:rFonts w:hint="eastAsia"/>
              </w:rPr>
              <w:t>520 mm (W)</w:t>
            </w:r>
            <w:r>
              <w:rPr>
                <w:rFonts w:hint="eastAsia"/>
              </w:rPr>
              <w:br w:type="textWrapping"/>
            </w:r>
            <w:r>
              <w:rPr>
                <w:rFonts w:hint="eastAsia"/>
              </w:rPr>
              <w:t>815 mm (H)</w:t>
            </w:r>
          </w:p>
        </w:tc>
        <w:tc>
          <w:tcPr>
            <w:tcW w:w="705" w:type="dxa"/>
            <w:vAlign w:val="center"/>
          </w:tcPr>
          <w:p>
            <w:pPr>
              <w:jc w:val="center"/>
            </w:pPr>
            <w:r>
              <w:rPr>
                <w:rFonts w:hint="eastAsia"/>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15694" w:type="dxa"/>
            <w:gridSpan w:val="5"/>
            <w:noWrap/>
            <w:vAlign w:val="center"/>
          </w:tcPr>
          <w:p>
            <w:pPr>
              <w:jc w:val="center"/>
              <w:rPr>
                <w:b/>
                <w:bCs/>
              </w:rPr>
            </w:pPr>
            <w:r>
              <w:rPr>
                <w:rFonts w:hint="eastAsia"/>
                <w:b/>
                <w:bCs/>
              </w:rPr>
              <w:t>行政快办区+临时看押区+大厅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1" w:hRule="atLeast"/>
        </w:trPr>
        <w:tc>
          <w:tcPr>
            <w:tcW w:w="1199" w:type="dxa"/>
            <w:vAlign w:val="center"/>
          </w:tcPr>
          <w:p>
            <w:r>
              <w:rPr>
                <w:rFonts w:hint="eastAsia"/>
              </w:rPr>
              <w:t>对外屏风位</w:t>
            </w:r>
          </w:p>
        </w:tc>
        <w:tc>
          <w:tcPr>
            <w:tcW w:w="2198" w:type="dxa"/>
          </w:tcPr>
          <w:p>
            <w:r>
              <w:rPr>
                <w:rFonts w:hint="eastAsia"/>
              </w:rPr>
              <w:drawing>
                <wp:anchor distT="0" distB="0" distL="114300" distR="114300" simplePos="0" relativeHeight="251679744" behindDoc="0" locked="0" layoutInCell="1" allowOverlap="1">
                  <wp:simplePos x="0" y="0"/>
                  <wp:positionH relativeFrom="column">
                    <wp:posOffset>62865</wp:posOffset>
                  </wp:positionH>
                  <wp:positionV relativeFrom="paragraph">
                    <wp:posOffset>1003300</wp:posOffset>
                  </wp:positionV>
                  <wp:extent cx="1130935" cy="636270"/>
                  <wp:effectExtent l="0" t="0" r="12065" b="1143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0"/>
                          <a:stretch>
                            <a:fillRect/>
                          </a:stretch>
                        </pic:blipFill>
                        <pic:spPr>
                          <a:xfrm>
                            <a:off x="0" y="0"/>
                            <a:ext cx="1131187" cy="636105"/>
                          </a:xfrm>
                          <a:prstGeom prst="rect">
                            <a:avLst/>
                          </a:prstGeom>
                        </pic:spPr>
                      </pic:pic>
                    </a:graphicData>
                  </a:graphic>
                </wp:anchor>
              </w:drawing>
            </w:r>
          </w:p>
        </w:tc>
        <w:tc>
          <w:tcPr>
            <w:tcW w:w="9781" w:type="dxa"/>
          </w:tcPr>
          <w:p>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textWrapping"/>
            </w:r>
            <w:r>
              <w:rPr>
                <w:rFonts w:hint="eastAsia"/>
              </w:rPr>
              <w:t>2)优质浸渍胶膜纸饰面板,基材采用"E0"环保刨花板,甲醛释放量优于国家标准;</w:t>
            </w:r>
            <w:r>
              <w:rPr>
                <w:rFonts w:hint="eastAsia"/>
              </w:rPr>
              <w:br w:type="textWrapping"/>
            </w:r>
            <w:r>
              <w:rPr>
                <w:rFonts w:hint="eastAsia"/>
              </w:rPr>
              <w:t>3)PVC封边条:表面耐光色牢度≥4级;表面耐龟裂性≥2级;表面耐磨性能30r;通过QB/T4463-2013 《家具用封边条技术要求》理化性能检测要求</w:t>
            </w:r>
            <w:r>
              <w:rPr>
                <w:rFonts w:hint="eastAsia"/>
              </w:rPr>
              <w:br w:type="textWrapping"/>
            </w:r>
            <w:r>
              <w:rPr>
                <w:rFonts w:hint="eastAsia"/>
              </w:rPr>
              <w:t>4)面料:优质麻绒面料,符合GB 18401-2010、GB/T 19817-2005标准;芳香胺有害物质含量0,颜色干擦牢度≥3级,耐磨性≥12000转,断裂强度≥350N</w:t>
            </w:r>
            <w:r>
              <w:rPr>
                <w:rFonts w:hint="eastAsia"/>
              </w:rPr>
              <w:br w:type="textWrapping"/>
            </w:r>
            <w:r>
              <w:rPr>
                <w:rFonts w:hint="eastAsia"/>
              </w:rPr>
              <w:t>工艺说明:</w:t>
            </w:r>
            <w:r>
              <w:rPr>
                <w:rFonts w:hint="eastAsia"/>
              </w:rPr>
              <w:br w:type="textWrapping"/>
            </w:r>
            <w:r>
              <w:rPr>
                <w:rFonts w:hint="eastAsia"/>
              </w:rPr>
              <w:t>1)屏风工艺采用边部开槽,扪布后四周胶条扣压,表面平整无胶缝</w:t>
            </w:r>
          </w:p>
          <w:p/>
        </w:tc>
        <w:tc>
          <w:tcPr>
            <w:tcW w:w="1811" w:type="dxa"/>
            <w:vAlign w:val="center"/>
          </w:tcPr>
          <w:p>
            <w:pPr>
              <w:jc w:val="center"/>
            </w:pPr>
            <w:r>
              <w:rPr>
                <w:rFonts w:hint="eastAsia"/>
              </w:rPr>
              <w:t>1500 mm (L)</w:t>
            </w:r>
            <w:r>
              <w:rPr>
                <w:rFonts w:hint="eastAsia"/>
              </w:rPr>
              <w:br w:type="textWrapping"/>
            </w:r>
            <w:r>
              <w:rPr>
                <w:rFonts w:hint="eastAsia"/>
              </w:rPr>
              <w:t>600 mm (W)</w:t>
            </w:r>
            <w:r>
              <w:rPr>
                <w:rFonts w:hint="eastAsia"/>
              </w:rPr>
              <w:br w:type="textWrapping"/>
            </w:r>
            <w:r>
              <w:rPr>
                <w:rFonts w:hint="eastAsia"/>
              </w:rPr>
              <w:t>950 mm (H)</w:t>
            </w:r>
          </w:p>
        </w:tc>
        <w:tc>
          <w:tcPr>
            <w:tcW w:w="705" w:type="dxa"/>
            <w:vAlign w:val="center"/>
          </w:tcPr>
          <w:p>
            <w:pPr>
              <w:jc w:val="center"/>
            </w:pPr>
            <w:r>
              <w:rPr>
                <w:rFonts w:hint="eastAsi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rPr>
        <w:tc>
          <w:tcPr>
            <w:tcW w:w="1199" w:type="dxa"/>
            <w:vAlign w:val="center"/>
          </w:tcPr>
          <w:p>
            <w:r>
              <w:rPr>
                <w:rFonts w:hint="eastAsia"/>
              </w:rPr>
              <w:t>办公椅</w:t>
            </w:r>
          </w:p>
        </w:tc>
        <w:tc>
          <w:tcPr>
            <w:tcW w:w="2198" w:type="dxa"/>
          </w:tcPr>
          <w:p>
            <w:r>
              <w:rPr>
                <w:rFonts w:hint="eastAsia"/>
              </w:rPr>
              <w:drawing>
                <wp:anchor distT="0" distB="0" distL="114300" distR="114300" simplePos="0" relativeHeight="251677696" behindDoc="0" locked="0" layoutInCell="1" allowOverlap="1">
                  <wp:simplePos x="0" y="0"/>
                  <wp:positionH relativeFrom="column">
                    <wp:posOffset>146050</wp:posOffset>
                  </wp:positionH>
                  <wp:positionV relativeFrom="paragraph">
                    <wp:posOffset>58420</wp:posOffset>
                  </wp:positionV>
                  <wp:extent cx="712470" cy="889000"/>
                  <wp:effectExtent l="0" t="0" r="11430" b="635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1"/>
                          <a:stretch>
                            <a:fillRect/>
                          </a:stretch>
                        </pic:blipFill>
                        <pic:spPr>
                          <a:xfrm>
                            <a:off x="0" y="0"/>
                            <a:ext cx="712382" cy="889118"/>
                          </a:xfrm>
                          <a:prstGeom prst="rect">
                            <a:avLst/>
                          </a:prstGeom>
                        </pic:spPr>
                      </pic:pic>
                    </a:graphicData>
                  </a:graphic>
                </wp:anchor>
              </w:drawing>
            </w:r>
          </w:p>
        </w:tc>
        <w:tc>
          <w:tcPr>
            <w:tcW w:w="9781" w:type="dxa"/>
          </w:tcPr>
          <w:p>
            <w:r>
              <w:rPr>
                <w:rFonts w:hint="eastAsia"/>
              </w:rPr>
              <w:t>1)背框+椅面:尼龙+20%玻纤一体成型，椅背做镂空设计。</w:t>
            </w:r>
            <w:r>
              <w:rPr>
                <w:rFonts w:hint="eastAsia"/>
              </w:rPr>
              <w:br w:type="textWrapping"/>
            </w:r>
            <w:r>
              <w:rPr>
                <w:rFonts w:hint="eastAsia"/>
              </w:rPr>
              <w:t>2)椅架: 壁厚1.5mm一体折弯成型钢管椅架，表面镀铬处理。</w:t>
            </w:r>
          </w:p>
        </w:tc>
        <w:tc>
          <w:tcPr>
            <w:tcW w:w="1811" w:type="dxa"/>
            <w:vAlign w:val="center"/>
          </w:tcPr>
          <w:p>
            <w:pPr>
              <w:jc w:val="center"/>
            </w:pPr>
            <w:r>
              <w:rPr>
                <w:rFonts w:hint="eastAsia"/>
              </w:rPr>
              <w:t>570 mm (L)</w:t>
            </w:r>
            <w:r>
              <w:rPr>
                <w:rFonts w:hint="eastAsia"/>
              </w:rPr>
              <w:br w:type="textWrapping"/>
            </w:r>
            <w:r>
              <w:rPr>
                <w:rFonts w:hint="eastAsia"/>
              </w:rPr>
              <w:t>520 mm (W)</w:t>
            </w:r>
            <w:r>
              <w:rPr>
                <w:rFonts w:hint="eastAsia"/>
              </w:rPr>
              <w:br w:type="textWrapping"/>
            </w:r>
            <w:r>
              <w:rPr>
                <w:rFonts w:hint="eastAsia"/>
              </w:rPr>
              <w:t>815 mm (H)</w:t>
            </w:r>
          </w:p>
        </w:tc>
        <w:tc>
          <w:tcPr>
            <w:tcW w:w="705" w:type="dxa"/>
            <w:vAlign w:val="center"/>
          </w:tcPr>
          <w:p>
            <w:pPr>
              <w:jc w:val="center"/>
            </w:pPr>
            <w:r>
              <w:rPr>
                <w:rFonts w:hint="eastAsi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1199" w:type="dxa"/>
            <w:vMerge w:val="restart"/>
            <w:vAlign w:val="center"/>
          </w:tcPr>
          <w:p>
            <w:r>
              <w:rPr>
                <w:rFonts w:hint="eastAsia"/>
              </w:rPr>
              <w:t>员工桌</w:t>
            </w:r>
          </w:p>
        </w:tc>
        <w:tc>
          <w:tcPr>
            <w:tcW w:w="2198" w:type="dxa"/>
            <w:vMerge w:val="restart"/>
            <w:noWrap/>
          </w:tcPr>
          <w:p/>
          <w:p>
            <w:r>
              <w:rPr>
                <w:rFonts w:hint="eastAsia"/>
              </w:rPr>
              <w:drawing>
                <wp:anchor distT="0" distB="0" distL="114300" distR="114300" simplePos="0" relativeHeight="251681792" behindDoc="0" locked="0" layoutInCell="1" allowOverlap="1">
                  <wp:simplePos x="0" y="0"/>
                  <wp:positionH relativeFrom="column">
                    <wp:posOffset>86995</wp:posOffset>
                  </wp:positionH>
                  <wp:positionV relativeFrom="paragraph">
                    <wp:posOffset>1821180</wp:posOffset>
                  </wp:positionV>
                  <wp:extent cx="1095375" cy="875665"/>
                  <wp:effectExtent l="0" t="0" r="9525" b="635"/>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2"/>
                          <a:stretch>
                            <a:fillRect/>
                          </a:stretch>
                        </pic:blipFill>
                        <pic:spPr>
                          <a:xfrm>
                            <a:off x="0" y="0"/>
                            <a:ext cx="1095470" cy="875766"/>
                          </a:xfrm>
                          <a:prstGeom prst="rect">
                            <a:avLst/>
                          </a:prstGeom>
                        </pic:spPr>
                      </pic:pic>
                    </a:graphicData>
                  </a:graphic>
                </wp:anchor>
              </w:drawing>
            </w:r>
          </w:p>
        </w:tc>
        <w:tc>
          <w:tcPr>
            <w:tcW w:w="9781" w:type="dxa"/>
            <w:vMerge w:val="restart"/>
          </w:tcPr>
          <w:p>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textWrapping"/>
            </w:r>
            <w:r>
              <w:rPr>
                <w:rFonts w:hint="eastAsia"/>
              </w:rPr>
              <w:t>2)优质浸渍胶膜纸饰面板,基材采用"E0"环保刨花板,甲醛释放量优于国家标准;</w:t>
            </w:r>
            <w:r>
              <w:rPr>
                <w:rFonts w:hint="eastAsia"/>
              </w:rPr>
              <w:br w:type="textWrapping"/>
            </w:r>
            <w:r>
              <w:rPr>
                <w:rFonts w:hint="eastAsia"/>
              </w:rPr>
              <w:t>3)包覆抽屉:表面胶合强度≥0.4Mpa;表面耐磨性能80r;耐剥离力45N±5N;耐划痕性能≥1.5N时间表面无整圈划痕;甲醛释放量≤0.08mg/m³;通过《LY/T 1279-2008 聚氯乙烯薄膜饰面人造板》中理化性能检测要求</w:t>
            </w:r>
            <w:r>
              <w:rPr>
                <w:rFonts w:hint="eastAsia"/>
              </w:rPr>
              <w:br w:type="textWrapping"/>
            </w:r>
            <w:r>
              <w:rPr>
                <w:rFonts w:hint="eastAsia"/>
              </w:rPr>
              <w:t>4)ABS封边条:表面耐光色牢度≥4级;表面耐龟裂性≥2级;表面耐磨性能30r;通过QB/T4463-2013 《家具用封边条技术要求》理化性能检测要求</w:t>
            </w:r>
            <w:r>
              <w:rPr>
                <w:rFonts w:hint="eastAsia"/>
              </w:rPr>
              <w:br w:type="textWrapping"/>
            </w:r>
            <w:r>
              <w:rPr>
                <w:rFonts w:hint="eastAsia"/>
              </w:rPr>
              <w:t>5)钢架:表面耐腐蚀中性盐雾测试100h后无锈蚀、剥落、起皱;表面附着力≥2级;升降/折叠/伸缩耐久性测定20000次后,零部件无断裂、曲、变形、磨损、变形;通过《GB/T 3325-2017金属家具通用技术条件》理化性能检测要求</w:t>
            </w:r>
            <w:r>
              <w:rPr>
                <w:rFonts w:hint="eastAsia"/>
              </w:rPr>
              <w:br w:type="textWrapping"/>
            </w:r>
            <w:r>
              <w:rPr>
                <w:rFonts w:hint="eastAsia"/>
              </w:rPr>
              <w:t>6)正面锁:正面锁符合QB/T 1621-2015家具锁标准中电镀件耐腐蚀规定,电镀件外露表面经12h的中性盐雾试验后,应达到外观评级RA6级的规定,弹子锁、叶片锁使用寿命达不少于10000次</w:t>
            </w:r>
            <w:r>
              <w:rPr>
                <w:rFonts w:hint="eastAsia"/>
              </w:rPr>
              <w:br w:type="textWrapping"/>
            </w:r>
            <w:r>
              <w:rPr>
                <w:rFonts w:hint="eastAsia"/>
              </w:rPr>
              <w:t>7)钢脚:表面耐腐蚀中性盐雾测试100h后无锈蚀、剥落、起皱;表面附着力不低于2级;升降/折叠/伸缩耐久性测定20000次后,零部件无断裂、曲、变形、磨损、变形;通过《GB/T 3325-2017金属家具通用技术条件》理化性能检测要求</w:t>
            </w:r>
            <w:r>
              <w:rPr>
                <w:rFonts w:hint="eastAsia"/>
              </w:rPr>
              <w:br w:type="textWrapping"/>
            </w:r>
            <w:r>
              <w:rPr>
                <w:rFonts w:hint="eastAsia"/>
              </w:rPr>
              <w:t>8)线盒:表面耐腐蚀中性盐雾测试100h后无锈蚀、剥落、起皱;表面附着力≥2级;通过《GB/T 3325-2017金属家具通用技术条件》理化性能检测要求</w:t>
            </w:r>
            <w:r>
              <w:rPr>
                <w:rFonts w:hint="eastAsia"/>
              </w:rPr>
              <w:br w:type="textWrapping"/>
            </w:r>
            <w:r>
              <w:rPr>
                <w:rFonts w:hint="eastAsia"/>
              </w:rPr>
              <w:t>工艺说明:</w:t>
            </w:r>
            <w:r>
              <w:rPr>
                <w:rFonts w:hint="eastAsia"/>
              </w:rPr>
              <w:br w:type="textWrapping"/>
            </w:r>
            <w:r>
              <w:rPr>
                <w:rFonts w:hint="eastAsia"/>
              </w:rPr>
              <w:t>1)采用先进激光封边技术;</w:t>
            </w:r>
            <w:r>
              <w:rPr>
                <w:rFonts w:hint="eastAsia"/>
              </w:rPr>
              <w:br w:type="textWrapping"/>
            </w:r>
            <w:r>
              <w:rPr>
                <w:rFonts w:hint="eastAsia"/>
              </w:rPr>
              <w:t>2)抽屉采用包覆工艺;</w:t>
            </w:r>
          </w:p>
        </w:tc>
        <w:tc>
          <w:tcPr>
            <w:tcW w:w="1811" w:type="dxa"/>
            <w:vMerge w:val="restart"/>
            <w:vAlign w:val="center"/>
          </w:tcPr>
          <w:p>
            <w:pPr>
              <w:jc w:val="center"/>
            </w:pPr>
            <w:r>
              <w:rPr>
                <w:rFonts w:hint="eastAsia"/>
              </w:rPr>
              <w:t>1400 mm (L)</w:t>
            </w:r>
            <w:r>
              <w:rPr>
                <w:rFonts w:hint="eastAsia"/>
              </w:rPr>
              <w:br w:type="textWrapping"/>
            </w:r>
            <w:r>
              <w:rPr>
                <w:rFonts w:hint="eastAsia"/>
              </w:rPr>
              <w:t>700 mm (W)</w:t>
            </w:r>
            <w:r>
              <w:rPr>
                <w:rFonts w:hint="eastAsia"/>
              </w:rPr>
              <w:br w:type="textWrapping"/>
            </w:r>
            <w:r>
              <w:rPr>
                <w:rFonts w:hint="eastAsia"/>
              </w:rPr>
              <w:t>750 mm (H)</w:t>
            </w:r>
          </w:p>
        </w:tc>
        <w:tc>
          <w:tcPr>
            <w:tcW w:w="705" w:type="dxa"/>
            <w:vMerge w:val="restart"/>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199" w:type="dxa"/>
            <w:vMerge w:val="continue"/>
            <w:vAlign w:val="center"/>
          </w:tcPr>
          <w:p/>
        </w:tc>
        <w:tc>
          <w:tcPr>
            <w:tcW w:w="2198" w:type="dxa"/>
            <w:vMerge w:val="continue"/>
          </w:tcPr>
          <w:p/>
        </w:tc>
        <w:tc>
          <w:tcPr>
            <w:tcW w:w="9781" w:type="dxa"/>
            <w:vMerge w:val="continue"/>
          </w:tcPr>
          <w:p/>
        </w:tc>
        <w:tc>
          <w:tcPr>
            <w:tcW w:w="1811" w:type="dxa"/>
            <w:vMerge w:val="continue"/>
            <w:vAlign w:val="center"/>
          </w:tcPr>
          <w:p>
            <w:pPr>
              <w:jc w:val="center"/>
            </w:pPr>
          </w:p>
        </w:tc>
        <w:tc>
          <w:tcPr>
            <w:tcW w:w="705"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1" w:hRule="atLeast"/>
        </w:trPr>
        <w:tc>
          <w:tcPr>
            <w:tcW w:w="1199" w:type="dxa"/>
            <w:vAlign w:val="center"/>
          </w:tcPr>
          <w:p>
            <w:r>
              <w:rPr>
                <w:rFonts w:hint="eastAsia"/>
              </w:rPr>
              <w:t>员工桌</w:t>
            </w:r>
            <w:r>
              <w:rPr>
                <w:rFonts w:hint="eastAsia"/>
              </w:rPr>
              <w:br w:type="page"/>
            </w:r>
          </w:p>
        </w:tc>
        <w:tc>
          <w:tcPr>
            <w:tcW w:w="2198" w:type="dxa"/>
          </w:tcPr>
          <w:p>
            <w:r>
              <w:rPr>
                <w:rFonts w:hint="eastAsia"/>
              </w:rPr>
              <w:drawing>
                <wp:anchor distT="0" distB="0" distL="114300" distR="114300" simplePos="0" relativeHeight="251678720" behindDoc="0" locked="0" layoutInCell="1" allowOverlap="1">
                  <wp:simplePos x="0" y="0"/>
                  <wp:positionH relativeFrom="column">
                    <wp:posOffset>106680</wp:posOffset>
                  </wp:positionH>
                  <wp:positionV relativeFrom="paragraph">
                    <wp:posOffset>378460</wp:posOffset>
                  </wp:positionV>
                  <wp:extent cx="1059180" cy="909955"/>
                  <wp:effectExtent l="0" t="0" r="7620" b="4445"/>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3"/>
                          <a:stretch>
                            <a:fillRect/>
                          </a:stretch>
                        </pic:blipFill>
                        <pic:spPr>
                          <a:xfrm>
                            <a:off x="0" y="0"/>
                            <a:ext cx="1059256" cy="909678"/>
                          </a:xfrm>
                          <a:prstGeom prst="rect">
                            <a:avLst/>
                          </a:prstGeom>
                        </pic:spPr>
                      </pic:pic>
                    </a:graphicData>
                  </a:graphic>
                </wp:anchor>
              </w:drawing>
            </w:r>
          </w:p>
        </w:tc>
        <w:tc>
          <w:tcPr>
            <w:tcW w:w="9781" w:type="dxa"/>
          </w:tcPr>
          <w:p>
            <w:r>
              <w:rPr>
                <w:rFonts w:hint="eastAsia"/>
              </w:rPr>
              <w:br w:type="page"/>
            </w:r>
            <w:r>
              <w:rPr>
                <w:rFonts w:hint="eastAsia"/>
              </w:rPr>
              <w:br w:type="page"/>
            </w:r>
            <w:r>
              <w:rPr>
                <w:rFonts w:hint="eastAsia"/>
              </w:rPr>
              <w:t>1)防火饰面板:面材采用装饰原纸,选用优质三聚氰胺浸胶工艺,使表面稳定性更好,层次感更优,耐污抗磨性更强,通过GB/T 15102浸渍胶膜纸饰面人造板表面理化性能要求;基材采用E0级中纤板、E0级刨花板,通过GB/T18580-2017要求,甲醛释放量≤0.124mg/m³</w:t>
            </w:r>
          </w:p>
          <w:p>
            <w:r>
              <w:rPr>
                <w:rFonts w:hint="eastAsia"/>
              </w:rPr>
              <w:br w:type="page"/>
            </w:r>
            <w:r>
              <w:rPr>
                <w:rFonts w:hint="eastAsia"/>
              </w:rPr>
              <w:t>2)PVC封边条:表面耐光色牢度≥4级;表面耐龟裂性≥2级;表面耐磨性能30r;通过QB/T4463-2013 《家具用封边条技术要求》理化性能检测要求</w:t>
            </w:r>
          </w:p>
          <w:p>
            <w:r>
              <w:rPr>
                <w:rFonts w:hint="eastAsia"/>
              </w:rPr>
              <w:br w:type="page"/>
            </w:r>
            <w:r>
              <w:rPr>
                <w:rFonts w:hint="eastAsia"/>
              </w:rPr>
              <w:t>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tc>
        <w:tc>
          <w:tcPr>
            <w:tcW w:w="1811" w:type="dxa"/>
            <w:vAlign w:val="center"/>
          </w:tcPr>
          <w:p>
            <w:pPr>
              <w:jc w:val="center"/>
            </w:pPr>
            <w:r>
              <w:rPr>
                <w:rFonts w:hint="eastAsia"/>
              </w:rPr>
              <w:br w:type="page"/>
            </w:r>
            <w:r>
              <w:rPr>
                <w:rFonts w:hint="eastAsia"/>
              </w:rPr>
              <w:t>1600 mm (L)</w:t>
            </w:r>
            <w:r>
              <w:rPr>
                <w:rFonts w:hint="eastAsia"/>
              </w:rPr>
              <w:br w:type="page"/>
            </w:r>
          </w:p>
          <w:p>
            <w:pPr>
              <w:jc w:val="center"/>
            </w:pPr>
            <w:r>
              <w:rPr>
                <w:rFonts w:hint="eastAsia"/>
              </w:rPr>
              <w:t>700 mm (W)</w:t>
            </w:r>
            <w:r>
              <w:rPr>
                <w:rFonts w:hint="eastAsia"/>
              </w:rPr>
              <w:br w:type="page"/>
            </w:r>
          </w:p>
          <w:p>
            <w:pPr>
              <w:jc w:val="center"/>
            </w:pPr>
            <w:r>
              <w:rPr>
                <w:rFonts w:hint="eastAsia"/>
              </w:rPr>
              <w:t>750 mm (H)</w:t>
            </w:r>
            <w:r>
              <w:rPr>
                <w:rFonts w:hint="eastAsia"/>
              </w:rPr>
              <w:br w:type="page"/>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9" w:hRule="atLeast"/>
        </w:trPr>
        <w:tc>
          <w:tcPr>
            <w:tcW w:w="1199" w:type="dxa"/>
            <w:vAlign w:val="center"/>
          </w:tcPr>
          <w:p>
            <w:r>
              <w:rPr>
                <w:rFonts w:hint="eastAsia"/>
              </w:rPr>
              <w:t>员工椅</w:t>
            </w:r>
          </w:p>
        </w:tc>
        <w:tc>
          <w:tcPr>
            <w:tcW w:w="2198" w:type="dxa"/>
          </w:tcPr>
          <w:p>
            <w:r>
              <w:rPr>
                <w:rFonts w:hint="eastAsia"/>
              </w:rPr>
              <w:drawing>
                <wp:anchor distT="0" distB="0" distL="114300" distR="114300" simplePos="0" relativeHeight="251683840" behindDoc="0" locked="0" layoutInCell="1" allowOverlap="1">
                  <wp:simplePos x="0" y="0"/>
                  <wp:positionH relativeFrom="column">
                    <wp:posOffset>104140</wp:posOffset>
                  </wp:positionH>
                  <wp:positionV relativeFrom="paragraph">
                    <wp:posOffset>451485</wp:posOffset>
                  </wp:positionV>
                  <wp:extent cx="1125855" cy="1494790"/>
                  <wp:effectExtent l="0" t="0" r="17145" b="10160"/>
                  <wp:wrapNone/>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8"/>
                          <a:stretch>
                            <a:fillRect/>
                          </a:stretch>
                        </pic:blipFill>
                        <pic:spPr>
                          <a:xfrm>
                            <a:off x="0" y="0"/>
                            <a:ext cx="1126117" cy="1494845"/>
                          </a:xfrm>
                          <a:prstGeom prst="rect">
                            <a:avLst/>
                          </a:prstGeom>
                        </pic:spPr>
                      </pic:pic>
                    </a:graphicData>
                  </a:graphic>
                </wp:anchor>
              </w:drawing>
            </w:r>
          </w:p>
        </w:tc>
        <w:tc>
          <w:tcPr>
            <w:tcW w:w="9781" w:type="dxa"/>
          </w:tcPr>
          <w:p>
            <w:r>
              <w:rPr>
                <w:rFonts w:hint="eastAsia"/>
              </w:rPr>
              <w:t>1)面料:优质网布面料,符合GB 18401-2010、GB/T 19817-2005标准;芳香胺有害物质含量0,颜色干擦牢度≥3级,耐磨性≥12000转,断裂强度≥350N</w:t>
            </w:r>
            <w:r>
              <w:rPr>
                <w:rFonts w:hint="eastAsia"/>
              </w:rPr>
              <w:br w:type="textWrapping"/>
            </w:r>
            <w:r>
              <w:rPr>
                <w:rFonts w:hint="eastAsia"/>
              </w:rPr>
              <w:t>2)背框:尼龙+30%玻纤</w:t>
            </w:r>
            <w:r>
              <w:rPr>
                <w:rFonts w:hint="eastAsia"/>
              </w:rPr>
              <w:br w:type="textWrapping"/>
            </w:r>
            <w:r>
              <w:rPr>
                <w:rFonts w:hint="eastAsia"/>
              </w:rPr>
              <w:t>3)座垫：一体成型定型绵,密度≥48kg/m³,回弹性≥40%,通过CA TB117-2013防火性能检测</w:t>
            </w:r>
            <w:r>
              <w:rPr>
                <w:rFonts w:hint="eastAsia"/>
              </w:rPr>
              <w:br w:type="textWrapping"/>
            </w:r>
            <w:r>
              <w:rPr>
                <w:rFonts w:hint="eastAsia"/>
              </w:rPr>
              <w:t>4)曲木板:E1级成型胶合板（曲木板）,符合GB/T 22350-2017标准、GB 18580-2017标准、HJ 571-2010标准、GB 18584-2001标准，其中尺寸（长度、宽度及厚度）偏差、形位偏差、外观质量、含水率、浸渍剥离性能、抗压性能、点抗压性能均合格，甲醛释放量≤0.02mg/m³，TVOC≤0.10mg/㎡.h。</w:t>
            </w:r>
            <w:r>
              <w:rPr>
                <w:rFonts w:hint="eastAsia"/>
              </w:rPr>
              <w:br w:type="textWrapping"/>
            </w:r>
            <w:r>
              <w:rPr>
                <w:rFonts w:hint="eastAsia"/>
              </w:rPr>
              <w:t>5)扶手:固定PP扶手,可承受水平方向445N加载持续15s,垂直方向750N加载持续15s,10±1°施力400N执行60000次循环</w:t>
            </w:r>
            <w:r>
              <w:rPr>
                <w:rFonts w:hint="eastAsia"/>
              </w:rPr>
              <w:br w:type="textWrapping"/>
            </w:r>
            <w:r>
              <w:rPr>
                <w:rFonts w:hint="eastAsia"/>
              </w:rPr>
              <w:t>6)椅架：壁厚1.8mm钢管折弯而成，表面电镀处理壁,涂层附着力不低于2级,耐腐蚀100h,可承受136kg冲击及57kg耐久100000次冲击。</w:t>
            </w:r>
            <w:r>
              <w:rPr>
                <w:rFonts w:hint="eastAsia"/>
              </w:rPr>
              <w:br w:type="textWrapping"/>
            </w:r>
          </w:p>
        </w:tc>
        <w:tc>
          <w:tcPr>
            <w:tcW w:w="1811" w:type="dxa"/>
            <w:vAlign w:val="center"/>
          </w:tcPr>
          <w:p>
            <w:pPr>
              <w:jc w:val="center"/>
            </w:pPr>
            <w:r>
              <w:rPr>
                <w:rFonts w:hint="eastAsia"/>
              </w:rPr>
              <w:t>6</w:t>
            </w:r>
            <w:r>
              <w:t>20</w:t>
            </w:r>
            <w:r>
              <w:rPr>
                <w:rFonts w:hint="eastAsia"/>
              </w:rPr>
              <w:t xml:space="preserve"> mm (L)</w:t>
            </w:r>
            <w:r>
              <w:rPr>
                <w:rFonts w:hint="eastAsia"/>
              </w:rPr>
              <w:br w:type="textWrapping"/>
            </w:r>
            <w:r>
              <w:rPr>
                <w:rFonts w:hint="eastAsia"/>
              </w:rPr>
              <w:t>6</w:t>
            </w:r>
            <w:r>
              <w:t>15</w:t>
            </w:r>
            <w:r>
              <w:rPr>
                <w:rFonts w:hint="eastAsia"/>
              </w:rPr>
              <w:t xml:space="preserve"> mm (W)</w:t>
            </w:r>
            <w:r>
              <w:rPr>
                <w:rFonts w:hint="eastAsia"/>
              </w:rPr>
              <w:br w:type="textWrapping"/>
            </w:r>
            <w:r>
              <w:rPr>
                <w:rFonts w:hint="eastAsia"/>
              </w:rPr>
              <w:t>10</w:t>
            </w:r>
            <w:r>
              <w:t>15</w:t>
            </w:r>
            <w:r>
              <w:rPr>
                <w:rFonts w:hint="eastAsia"/>
              </w:rPr>
              <w:t xml:space="preserve"> mm (H)</w:t>
            </w:r>
          </w:p>
        </w:tc>
        <w:tc>
          <w:tcPr>
            <w:tcW w:w="705" w:type="dxa"/>
            <w:vAlign w:val="center"/>
          </w:tcPr>
          <w:p>
            <w:pPr>
              <w:jc w:val="center"/>
            </w:pPr>
            <w:r>
              <w:rPr>
                <w:rFonts w:hint="eastAsi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3" w:hRule="atLeast"/>
        </w:trPr>
        <w:tc>
          <w:tcPr>
            <w:tcW w:w="1199" w:type="dxa"/>
            <w:vAlign w:val="center"/>
          </w:tcPr>
          <w:p>
            <w:r>
              <w:rPr>
                <w:rFonts w:hint="eastAsia"/>
              </w:rPr>
              <w:t>文件柜</w:t>
            </w:r>
          </w:p>
        </w:tc>
        <w:tc>
          <w:tcPr>
            <w:tcW w:w="2198" w:type="dxa"/>
          </w:tcPr>
          <w:p>
            <w:r>
              <w:rPr>
                <w:rFonts w:hint="eastAsia"/>
              </w:rPr>
              <w:drawing>
                <wp:anchor distT="0" distB="0" distL="114300" distR="114300" simplePos="0" relativeHeight="251684864" behindDoc="0" locked="0" layoutInCell="1" allowOverlap="1">
                  <wp:simplePos x="0" y="0"/>
                  <wp:positionH relativeFrom="column">
                    <wp:posOffset>54610</wp:posOffset>
                  </wp:positionH>
                  <wp:positionV relativeFrom="paragraph">
                    <wp:posOffset>589280</wp:posOffset>
                  </wp:positionV>
                  <wp:extent cx="1095375" cy="1186180"/>
                  <wp:effectExtent l="0" t="0" r="9525" b="1397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4"/>
                          <a:stretch>
                            <a:fillRect/>
                          </a:stretch>
                        </pic:blipFill>
                        <pic:spPr>
                          <a:xfrm>
                            <a:off x="0" y="0"/>
                            <a:ext cx="1095642" cy="1186004"/>
                          </a:xfrm>
                          <a:prstGeom prst="rect">
                            <a:avLst/>
                          </a:prstGeom>
                        </pic:spPr>
                      </pic:pic>
                    </a:graphicData>
                  </a:graphic>
                </wp:anchor>
              </w:drawing>
            </w:r>
          </w:p>
        </w:tc>
        <w:tc>
          <w:tcPr>
            <w:tcW w:w="9781" w:type="dxa"/>
          </w:tcPr>
          <w:p>
            <w:r>
              <w:rPr>
                <w:rFonts w:hint="eastAsia"/>
              </w:rPr>
              <w:br w:type="page"/>
            </w:r>
            <w:r>
              <w:rPr>
                <w:rFonts w:hint="eastAsia"/>
              </w:rPr>
              <w:br w:type="page"/>
            </w:r>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p>
          <w:p>
            <w:r>
              <w:rPr>
                <w:rFonts w:hint="eastAsia"/>
              </w:rPr>
              <w:br w:type="page"/>
            </w:r>
            <w:r>
              <w:rPr>
                <w:rFonts w:hint="eastAsia"/>
              </w:rPr>
              <w:t>2)PVC封边条:符合QB/T 4463-2013标准、GB 28481-2012标准,其中甲醛释放量、可溶性重金属(镉、铬、汞、砷、锑、硒)、邻苯二甲酸酯、多溴联苯、多㴪二苯醚含量均须低于检出限。</w:t>
            </w:r>
          </w:p>
          <w:p>
            <w:r>
              <w:rPr>
                <w:rFonts w:hint="eastAsia"/>
              </w:rPr>
              <w:br w:type="page"/>
            </w:r>
            <w:r>
              <w:rPr>
                <w:rFonts w:hint="eastAsia"/>
              </w:rPr>
              <w:t>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p>
            <w:r>
              <w:rPr>
                <w:rFonts w:hint="eastAsia"/>
              </w:rPr>
              <w:br w:type="page"/>
            </w:r>
            <w:r>
              <w:rPr>
                <w:rFonts w:hint="eastAsia"/>
              </w:rPr>
              <w:t>4)正面锁:符合QB/T1621-2015标准，其中电镀件中性盐雾试验耐腐蚀100H达到10级，钥匙不同牙花数大于700种，互开率合格，使用寿命达到30000次正常。</w:t>
            </w:r>
            <w:r>
              <w:rPr>
                <w:rFonts w:hint="eastAsia"/>
              </w:rPr>
              <w:br w:type="page"/>
            </w:r>
            <w:r>
              <w:rPr>
                <w:rFonts w:hint="eastAsia"/>
              </w:rPr>
              <w:br w:type="page"/>
            </w:r>
          </w:p>
        </w:tc>
        <w:tc>
          <w:tcPr>
            <w:tcW w:w="1811" w:type="dxa"/>
            <w:vAlign w:val="center"/>
          </w:tcPr>
          <w:p>
            <w:pPr>
              <w:jc w:val="center"/>
            </w:pPr>
            <w:r>
              <w:rPr>
                <w:rFonts w:hint="eastAsia"/>
              </w:rPr>
              <w:t>1400 mm (L)</w:t>
            </w:r>
            <w:r>
              <w:rPr>
                <w:rFonts w:hint="eastAsia"/>
              </w:rPr>
              <w:br w:type="textWrapping"/>
            </w:r>
            <w:r>
              <w:rPr>
                <w:rFonts w:hint="eastAsia"/>
              </w:rPr>
              <w:t>400 mm (W)</w:t>
            </w:r>
            <w:r>
              <w:rPr>
                <w:rFonts w:hint="eastAsia"/>
              </w:rPr>
              <w:br w:type="textWrapping"/>
            </w:r>
            <w:r>
              <w:rPr>
                <w:rFonts w:hint="eastAsia"/>
              </w:rPr>
              <w:t>1202 mm (H)</w:t>
            </w:r>
          </w:p>
        </w:tc>
        <w:tc>
          <w:tcPr>
            <w:tcW w:w="705" w:type="dxa"/>
            <w:noWrap/>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3" w:hRule="atLeast"/>
        </w:trPr>
        <w:tc>
          <w:tcPr>
            <w:tcW w:w="1199" w:type="dxa"/>
            <w:vAlign w:val="center"/>
          </w:tcPr>
          <w:p>
            <w:r>
              <w:rPr>
                <w:rFonts w:hint="eastAsia"/>
              </w:rPr>
              <w:t>四人位等候椅</w:t>
            </w:r>
          </w:p>
        </w:tc>
        <w:tc>
          <w:tcPr>
            <w:tcW w:w="2198" w:type="dxa"/>
          </w:tcPr>
          <w:p>
            <w:r>
              <w:drawing>
                <wp:anchor distT="0" distB="0" distL="114300" distR="114300" simplePos="0" relativeHeight="251731968" behindDoc="0" locked="0" layoutInCell="1" allowOverlap="1">
                  <wp:simplePos x="0" y="0"/>
                  <wp:positionH relativeFrom="column">
                    <wp:posOffset>54610</wp:posOffset>
                  </wp:positionH>
                  <wp:positionV relativeFrom="paragraph">
                    <wp:posOffset>528955</wp:posOffset>
                  </wp:positionV>
                  <wp:extent cx="1184910" cy="563880"/>
                  <wp:effectExtent l="0" t="0" r="15240" b="7620"/>
                  <wp:wrapSquare wrapText="bothSides"/>
                  <wp:docPr id="7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84744" cy="563994"/>
                          </a:xfrm>
                          <a:prstGeom prst="rect">
                            <a:avLst/>
                          </a:prstGeom>
                        </pic:spPr>
                      </pic:pic>
                    </a:graphicData>
                  </a:graphic>
                </wp:anchor>
              </w:drawing>
            </w:r>
          </w:p>
        </w:tc>
        <w:tc>
          <w:tcPr>
            <w:tcW w:w="9781" w:type="dxa"/>
          </w:tcPr>
          <w:p>
            <w:r>
              <w:rPr>
                <w:rFonts w:hint="eastAsia"/>
              </w:rPr>
              <w:t>材质说明</w:t>
            </w:r>
            <w:r>
              <w:t>:</w:t>
            </w:r>
          </w:p>
          <w:p>
            <w:r>
              <w:t>1)脚钉:采用PP+30%玻纤,表面喷涂处理</w:t>
            </w:r>
          </w:p>
          <w:p>
            <w:r>
              <w:t>2)铝合金支撑脚:采用ADC12铝合金,压铸成型,表面静电粉末喷涂,符合(GB/T 3325-2017金属家具通用技术条件)中5.5理化性能要求</w:t>
            </w:r>
          </w:p>
          <w:p>
            <w:r>
              <w:t>3)铝合金扶手:采用ADC12铝合金,压铸成型,表面静电粉末喷涂,符合(GB/T 3325-2017金属家具通用技术条件)中5.5理化性能要求</w:t>
            </w:r>
          </w:p>
          <w:p>
            <w:r>
              <w:t>4)横梁:采用AL6063-T5铝合金,型材截面厚度2mm~3mm</w:t>
            </w:r>
          </w:p>
          <w:p>
            <w:r>
              <w:t>5)连接件:采用尼龙+30%玻纤,表面喷涂处理</w:t>
            </w:r>
          </w:p>
          <w:p>
            <w:r>
              <w:t>6)装饰盖:采用PP+15%玻纤,表面喷涂处理7)PU座垫:内置Q195钢架,PU一体发泡成型</w:t>
            </w:r>
          </w:p>
        </w:tc>
        <w:tc>
          <w:tcPr>
            <w:tcW w:w="1811" w:type="dxa"/>
            <w:vAlign w:val="center"/>
          </w:tcPr>
          <w:p>
            <w:pPr>
              <w:jc w:val="center"/>
            </w:pPr>
            <w:r>
              <w:t>658 mm (L)</w:t>
            </w:r>
          </w:p>
          <w:p>
            <w:pPr>
              <w:jc w:val="center"/>
            </w:pPr>
            <w:r>
              <w:t>2443 mm (W)</w:t>
            </w:r>
          </w:p>
          <w:p>
            <w:pPr>
              <w:jc w:val="center"/>
            </w:pPr>
            <w:r>
              <w:t>874 mm (H)</w:t>
            </w:r>
          </w:p>
        </w:tc>
        <w:tc>
          <w:tcPr>
            <w:tcW w:w="705" w:type="dxa"/>
            <w:vAlign w:val="center"/>
          </w:tcPr>
          <w:p>
            <w:pPr>
              <w:jc w:val="center"/>
            </w:pPr>
            <w:r>
              <w:rPr>
                <w:rFonts w:hint="eastAsi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5694" w:type="dxa"/>
            <w:gridSpan w:val="5"/>
            <w:noWrap/>
            <w:vAlign w:val="center"/>
          </w:tcPr>
          <w:p>
            <w:pPr>
              <w:jc w:val="center"/>
              <w:rPr>
                <w:b/>
                <w:bCs/>
              </w:rPr>
            </w:pPr>
            <w:r>
              <w:rPr>
                <w:rFonts w:hint="eastAsia"/>
                <w:b/>
                <w:bCs/>
              </w:rPr>
              <w:t>备勤室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7" w:hRule="atLeast"/>
        </w:trPr>
        <w:tc>
          <w:tcPr>
            <w:tcW w:w="1199" w:type="dxa"/>
            <w:vAlign w:val="center"/>
          </w:tcPr>
          <w:p>
            <w:r>
              <w:rPr>
                <w:rFonts w:hint="eastAsia"/>
              </w:rPr>
              <w:t>布艺沙发</w:t>
            </w:r>
          </w:p>
        </w:tc>
        <w:tc>
          <w:tcPr>
            <w:tcW w:w="2198" w:type="dxa"/>
          </w:tcPr>
          <w:p>
            <w:r>
              <w:rPr>
                <w:rFonts w:hint="eastAsia"/>
              </w:rPr>
              <w:drawing>
                <wp:anchor distT="0" distB="0" distL="114300" distR="114300" simplePos="0" relativeHeight="251685888" behindDoc="0" locked="0" layoutInCell="1" allowOverlap="1">
                  <wp:simplePos x="0" y="0"/>
                  <wp:positionH relativeFrom="column">
                    <wp:posOffset>62230</wp:posOffset>
                  </wp:positionH>
                  <wp:positionV relativeFrom="paragraph">
                    <wp:posOffset>639445</wp:posOffset>
                  </wp:positionV>
                  <wp:extent cx="1077595" cy="760095"/>
                  <wp:effectExtent l="0" t="0" r="8255" b="1905"/>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5"/>
                          <a:stretch>
                            <a:fillRect/>
                          </a:stretch>
                        </pic:blipFill>
                        <pic:spPr>
                          <a:xfrm>
                            <a:off x="0" y="0"/>
                            <a:ext cx="1077362" cy="760102"/>
                          </a:xfrm>
                          <a:prstGeom prst="rect">
                            <a:avLst/>
                          </a:prstGeom>
                        </pic:spPr>
                      </pic:pic>
                    </a:graphicData>
                  </a:graphic>
                </wp:anchor>
              </w:drawing>
            </w:r>
          </w:p>
        </w:tc>
        <w:tc>
          <w:tcPr>
            <w:tcW w:w="9781" w:type="dxa"/>
          </w:tcPr>
          <w:p>
            <w:r>
              <w:rPr>
                <w:rFonts w:hint="eastAsia"/>
              </w:rPr>
              <w:br w:type="page"/>
            </w:r>
            <w:r>
              <w:rPr>
                <w:rFonts w:hint="eastAsia"/>
              </w:rPr>
              <w:br w:type="page"/>
            </w:r>
            <w:r>
              <w:rPr>
                <w:rFonts w:hint="eastAsia"/>
              </w:rPr>
              <w:t>1)实木多层板:符合GB/T 9846-2015标准、GB 18580-2017标准、HJ 571-2010标准、GB 18584-2001标准、GBT17657-2013标准，其中尺寸（长度、宽度及厚度）偏差、平整度偏差、表板拼接离缝、表板叠层、芯板叠离、板边缺陷、含水率、胶合强度、静曲强度、弹性模量浸渍剥离均合格，甲醛释放量≤0.02mg/m³，TVOC≤0.10mg/㎡.h。</w:t>
            </w:r>
          </w:p>
          <w:p>
            <w:r>
              <w:rPr>
                <w:rFonts w:hint="eastAsia"/>
              </w:rPr>
              <w:br w:type="page"/>
            </w:r>
            <w:r>
              <w:rPr>
                <w:rFonts w:hint="eastAsia"/>
              </w:rPr>
              <w:t>2)海绵:填充一体成型原生高回弹定型海绵。符合GB/T 10802-2006标准、QB/T 2280-2016标准；座面密度≥40kg/m³，甲醛释放量低于检出限，TVOC≤0.20mg/㎡h；</w:t>
            </w:r>
            <w:r>
              <w:rPr>
                <w:rFonts w:hint="eastAsia"/>
              </w:rPr>
              <w:br w:type="page"/>
            </w:r>
            <w:r>
              <w:rPr>
                <w:rFonts w:hint="eastAsia"/>
              </w:rPr>
              <w:t>其中25%压陷硬度、75%压缩永久变形、回弹率、撕裂强度、干热老化后拉伸强度、湿热老化后拉伸强度均合格。</w:t>
            </w:r>
          </w:p>
          <w:p>
            <w:r>
              <w:rPr>
                <w:rFonts w:hint="eastAsia"/>
              </w:rPr>
              <w:br w:type="page"/>
            </w:r>
            <w:r>
              <w:rPr>
                <w:rFonts w:hint="eastAsia"/>
              </w:rPr>
              <w:t>3)面料:优质麻绒面料,符合GB 18401-2010标准、GB 17927.1-2011标准，其中甲醛含量未检出，通过抗引燃试验，pH值、染色牢度合格，无异味，可分解致癌芳香胺染料≤5mg/kg。</w:t>
            </w:r>
          </w:p>
          <w:p>
            <w:r>
              <w:rPr>
                <w:rFonts w:hint="eastAsia"/>
              </w:rPr>
              <w:br w:type="page"/>
            </w:r>
            <w:r>
              <w:rPr>
                <w:rFonts w:hint="eastAsia"/>
              </w:rPr>
              <w:t>4)沙发脚：一体成型钢管沙发脚，表面金属灰。</w:t>
            </w:r>
            <w:r>
              <w:rPr>
                <w:rFonts w:hint="eastAsia"/>
              </w:rPr>
              <w:br w:type="page"/>
            </w:r>
          </w:p>
        </w:tc>
        <w:tc>
          <w:tcPr>
            <w:tcW w:w="1811" w:type="dxa"/>
            <w:vAlign w:val="center"/>
          </w:tcPr>
          <w:p>
            <w:pPr>
              <w:jc w:val="center"/>
            </w:pPr>
            <w:r>
              <w:rPr>
                <w:rFonts w:hint="eastAsia"/>
              </w:rPr>
              <w:br w:type="page"/>
            </w:r>
            <w:r>
              <w:rPr>
                <w:rFonts w:hint="eastAsia"/>
              </w:rPr>
              <w:t>1920 mm (L)</w:t>
            </w:r>
            <w:r>
              <w:rPr>
                <w:rFonts w:hint="eastAsia"/>
              </w:rPr>
              <w:br w:type="page"/>
            </w:r>
          </w:p>
          <w:p>
            <w:pPr>
              <w:jc w:val="center"/>
            </w:pPr>
            <w:r>
              <w:rPr>
                <w:rFonts w:hint="eastAsia"/>
              </w:rPr>
              <w:t>770 mm (W)</w:t>
            </w:r>
            <w:r>
              <w:rPr>
                <w:rFonts w:hint="eastAsia"/>
              </w:rPr>
              <w:br w:type="page"/>
            </w:r>
          </w:p>
          <w:p>
            <w:pPr>
              <w:jc w:val="center"/>
            </w:pPr>
            <w:r>
              <w:rPr>
                <w:rFonts w:hint="eastAsia"/>
              </w:rPr>
              <w:t>730 mm (H)</w:t>
            </w:r>
          </w:p>
          <w:p>
            <w:pPr>
              <w:jc w:val="center"/>
            </w:pPr>
            <w:r>
              <w:rPr>
                <w:rFonts w:hint="eastAsia"/>
              </w:rPr>
              <w:br w:type="page"/>
            </w:r>
            <w:r>
              <w:rPr>
                <w:rFonts w:hint="eastAsia"/>
              </w:rPr>
              <w:t>450 mm (D)</w:t>
            </w:r>
            <w:r>
              <w:rPr>
                <w:rFonts w:hint="eastAsia"/>
              </w:rPr>
              <w:br w:type="page"/>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5694" w:type="dxa"/>
            <w:gridSpan w:val="5"/>
            <w:noWrap/>
            <w:vAlign w:val="center"/>
          </w:tcPr>
          <w:p>
            <w:pPr>
              <w:jc w:val="center"/>
              <w:rPr>
                <w:b/>
                <w:bCs/>
              </w:rPr>
            </w:pPr>
            <w:r>
              <w:rPr>
                <w:rFonts w:hint="eastAsia"/>
                <w:b/>
                <w:bCs/>
              </w:rPr>
              <w:t>二楼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 w:hRule="atLeast"/>
        </w:trPr>
        <w:tc>
          <w:tcPr>
            <w:tcW w:w="15694" w:type="dxa"/>
            <w:gridSpan w:val="5"/>
            <w:noWrap/>
            <w:vAlign w:val="center"/>
          </w:tcPr>
          <w:p>
            <w:pPr>
              <w:jc w:val="center"/>
              <w:rPr>
                <w:b/>
                <w:bCs/>
              </w:rPr>
            </w:pPr>
            <w:r>
              <w:rPr>
                <w:rFonts w:hint="eastAsia"/>
                <w:b/>
                <w:bCs/>
              </w:rPr>
              <w:t>基础办公室+特警办公室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4" w:hRule="atLeast"/>
        </w:trPr>
        <w:tc>
          <w:tcPr>
            <w:tcW w:w="1199" w:type="dxa"/>
            <w:vMerge w:val="restart"/>
            <w:vAlign w:val="center"/>
          </w:tcPr>
          <w:p>
            <w:r>
              <w:rPr>
                <w:rFonts w:hint="eastAsia"/>
              </w:rPr>
              <w:t>员工桌</w:t>
            </w:r>
          </w:p>
        </w:tc>
        <w:tc>
          <w:tcPr>
            <w:tcW w:w="2198" w:type="dxa"/>
            <w:vMerge w:val="restart"/>
            <w:noWrap/>
          </w:tcPr>
          <w:p/>
          <w:p>
            <w:r>
              <w:rPr>
                <w:rFonts w:hint="eastAsia"/>
              </w:rPr>
              <w:drawing>
                <wp:anchor distT="0" distB="0" distL="114300" distR="114300" simplePos="0" relativeHeight="251687936" behindDoc="0" locked="0" layoutInCell="1" allowOverlap="1">
                  <wp:simplePos x="0" y="0"/>
                  <wp:positionH relativeFrom="column">
                    <wp:posOffset>33020</wp:posOffset>
                  </wp:positionH>
                  <wp:positionV relativeFrom="paragraph">
                    <wp:posOffset>2244090</wp:posOffset>
                  </wp:positionV>
                  <wp:extent cx="1172845" cy="819150"/>
                  <wp:effectExtent l="0" t="0" r="8255"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6"/>
                          <a:stretch>
                            <a:fillRect/>
                          </a:stretch>
                        </pic:blipFill>
                        <pic:spPr>
                          <a:xfrm>
                            <a:off x="0" y="0"/>
                            <a:ext cx="1172994" cy="818985"/>
                          </a:xfrm>
                          <a:prstGeom prst="rect">
                            <a:avLst/>
                          </a:prstGeom>
                        </pic:spPr>
                      </pic:pic>
                    </a:graphicData>
                  </a:graphic>
                </wp:anchor>
              </w:drawing>
            </w:r>
          </w:p>
        </w:tc>
        <w:tc>
          <w:tcPr>
            <w:tcW w:w="9781" w:type="dxa"/>
            <w:vMerge w:val="restart"/>
          </w:tcPr>
          <w:p>
            <w: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p>
          <w:p>
            <w:r>
              <w:t>2)优质浸渍胶膜纸饰面板,基材采用"E0"环保刨花板,甲醛释放量优于国家标准;</w:t>
            </w:r>
          </w:p>
          <w:p>
            <w:r>
              <w:t>3)包覆抽屉:表面胶合强度≥0.4Mpa;表面耐磨性能80r;耐剥离力45N±5N;耐划痕性能≥1.5N时间表面无整圈划痕;甲醛释放量≤0.08mg/m³;通过《LY/T 1279-2008 聚氯乙烯薄膜饰面人造板》中理化性能检测要求，全面真空包覆，与抽屉板一体贴合，无螺丝钉外露，抽屉内部平滑无痕易清理；同时，覆皮有效杜绝抽屉气味外露，更加环保健康。</w:t>
            </w:r>
          </w:p>
          <w:p>
            <w:r>
              <w:t>6)ABS封边条:表面耐光色牢度≥4级;表面耐龟裂性≥2级;表面耐磨性能30r;通过QB/T4463-2013 《家具用封边条技术要求》理化性能检测要求</w:t>
            </w:r>
          </w:p>
          <w:p>
            <w:r>
              <w:t>7)优质滑轨,表面黑色喷涂;</w:t>
            </w:r>
          </w:p>
          <w:p>
            <w:r>
              <w:t>8)钢架:表面耐腐蚀中性盐雾测试100h后无锈蚀、剥落、起皱;表面附着力≥2级;升降/折叠/伸缩耐久性测定20000次后,零部件无断裂、曲、变形、磨损、变形;通过《GB/T 3325-2017金属家具通用技术条件》理化性能检测要求</w:t>
            </w:r>
          </w:p>
          <w:p>
            <w:r>
              <w:t>9)正面锁:正面锁符合QB/T 1621-2015家具锁标准中电镀件耐腐蚀规定,电镀件外露表面经12h的中性盐雾试验后,应达到外观评级RA6级的规定,弹子锁、叶片锁使用寿命达不少于10000次</w:t>
            </w:r>
          </w:p>
          <w:p>
            <w:r>
              <w:t>10)钢脚:表面耐腐蚀中性盐雾测试100h后无锈蚀、剥落、起皱;表面附着力不低于2级;升降/折叠/伸缩耐久性测定20000次后,零部件无断裂、曲、变形、磨损、变形;通过《GB/T 3325-2017金属家具通用技术条件》理化性能检测要求</w:t>
            </w:r>
          </w:p>
          <w:p>
            <w:r>
              <w:t>11)线盒:表面耐腐蚀中性盐雾测试100h后无锈蚀、剥落、起皱;表面附着力≥2级;通过《GB/T 3325-2017金属家具通用技术条件》理化性能检测要求</w:t>
            </w:r>
          </w:p>
          <w:p>
            <w:r>
              <w:t>12)面料:优质麻绒面料,符合GB 18401-2010、GB/T 19817-2005标准;芳香胺有害物质含量0,颜色干擦牢度≥3级,耐磨性≥12000转,断裂强度≥350N</w:t>
            </w:r>
          </w:p>
          <w:p>
            <w:r>
              <w:t>13)塑胶件:符合(GB/T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p>
            <w:r>
              <w:t>14)喷涂五金:采用AL6063-T5铝合金,压铸成型,表面静电粉末喷涂,符合(GB/T 3325-2017金属家具通用技术条件)中5.5理化性能要求</w:t>
            </w:r>
          </w:p>
          <w:p>
            <w:r>
              <w:rPr>
                <w:rFonts w:hint="eastAsia"/>
              </w:rPr>
              <w:t>工艺说明</w:t>
            </w:r>
            <w:r>
              <w:t>:</w:t>
            </w:r>
          </w:p>
          <w:p>
            <w:r>
              <w:t>1)采用先进激光封边技术;</w:t>
            </w:r>
          </w:p>
        </w:tc>
        <w:tc>
          <w:tcPr>
            <w:tcW w:w="1811" w:type="dxa"/>
            <w:vMerge w:val="restart"/>
            <w:vAlign w:val="center"/>
          </w:tcPr>
          <w:p>
            <w:pPr>
              <w:jc w:val="center"/>
            </w:pPr>
            <w:r>
              <w:rPr>
                <w:rFonts w:hint="eastAsia"/>
              </w:rPr>
              <w:t>1400 mm (L)</w:t>
            </w:r>
            <w:r>
              <w:rPr>
                <w:rFonts w:hint="eastAsia"/>
              </w:rPr>
              <w:br w:type="textWrapping"/>
            </w:r>
            <w:r>
              <w:rPr>
                <w:rFonts w:hint="eastAsia"/>
              </w:rPr>
              <w:t>700 mm (W)</w:t>
            </w:r>
            <w:r>
              <w:rPr>
                <w:rFonts w:hint="eastAsia"/>
              </w:rPr>
              <w:br w:type="textWrapping"/>
            </w:r>
            <w:r>
              <w:rPr>
                <w:rFonts w:hint="eastAsia"/>
              </w:rPr>
              <w:t>750 mm (H)</w:t>
            </w:r>
          </w:p>
        </w:tc>
        <w:tc>
          <w:tcPr>
            <w:tcW w:w="705" w:type="dxa"/>
            <w:vMerge w:val="restart"/>
            <w:noWrap/>
            <w:vAlign w:val="center"/>
          </w:tcPr>
          <w:p>
            <w:pPr>
              <w:jc w:val="center"/>
            </w:pPr>
            <w:r>
              <w:rPr>
                <w:rFonts w:hint="eastAsia"/>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0" w:hRule="atLeast"/>
        </w:trPr>
        <w:tc>
          <w:tcPr>
            <w:tcW w:w="1199" w:type="dxa"/>
            <w:vMerge w:val="continue"/>
            <w:vAlign w:val="center"/>
          </w:tcPr>
          <w:p/>
        </w:tc>
        <w:tc>
          <w:tcPr>
            <w:tcW w:w="2198" w:type="dxa"/>
            <w:vMerge w:val="continue"/>
          </w:tcPr>
          <w:p/>
        </w:tc>
        <w:tc>
          <w:tcPr>
            <w:tcW w:w="9781" w:type="dxa"/>
            <w:vMerge w:val="continue"/>
          </w:tcPr>
          <w:p/>
        </w:tc>
        <w:tc>
          <w:tcPr>
            <w:tcW w:w="1811" w:type="dxa"/>
            <w:vMerge w:val="continue"/>
            <w:vAlign w:val="center"/>
          </w:tcPr>
          <w:p>
            <w:pPr>
              <w:jc w:val="center"/>
            </w:pPr>
          </w:p>
        </w:tc>
        <w:tc>
          <w:tcPr>
            <w:tcW w:w="705"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0" w:hRule="atLeast"/>
        </w:trPr>
        <w:tc>
          <w:tcPr>
            <w:tcW w:w="1199" w:type="dxa"/>
            <w:vMerge w:val="restart"/>
            <w:vAlign w:val="center"/>
          </w:tcPr>
          <w:p>
            <w:r>
              <w:rPr>
                <w:rFonts w:hint="eastAsia"/>
              </w:rPr>
              <w:t>员工桌</w:t>
            </w:r>
          </w:p>
        </w:tc>
        <w:tc>
          <w:tcPr>
            <w:tcW w:w="2198" w:type="dxa"/>
            <w:vMerge w:val="restart"/>
            <w:noWrap/>
          </w:tcPr>
          <w:p/>
          <w:p>
            <w:r>
              <w:rPr>
                <w:rFonts w:hint="eastAsia"/>
              </w:rPr>
              <w:drawing>
                <wp:anchor distT="0" distB="0" distL="114300" distR="114300" simplePos="0" relativeHeight="251686912" behindDoc="0" locked="0" layoutInCell="1" allowOverlap="1">
                  <wp:simplePos x="0" y="0"/>
                  <wp:positionH relativeFrom="column">
                    <wp:posOffset>86360</wp:posOffset>
                  </wp:positionH>
                  <wp:positionV relativeFrom="paragraph">
                    <wp:posOffset>2102485</wp:posOffset>
                  </wp:positionV>
                  <wp:extent cx="1086485" cy="866140"/>
                  <wp:effectExtent l="0" t="0" r="18415" b="10160"/>
                  <wp:wrapNone/>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32"/>
                          <a:stretch>
                            <a:fillRect/>
                          </a:stretch>
                        </pic:blipFill>
                        <pic:spPr>
                          <a:xfrm>
                            <a:off x="0" y="0"/>
                            <a:ext cx="1086416" cy="865983"/>
                          </a:xfrm>
                          <a:prstGeom prst="rect">
                            <a:avLst/>
                          </a:prstGeom>
                        </pic:spPr>
                      </pic:pic>
                    </a:graphicData>
                  </a:graphic>
                </wp:anchor>
              </w:drawing>
            </w:r>
          </w:p>
        </w:tc>
        <w:tc>
          <w:tcPr>
            <w:tcW w:w="9781" w:type="dxa"/>
            <w:vMerge w:val="restart"/>
          </w:tcPr>
          <w:p>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textWrapping"/>
            </w:r>
            <w:r>
              <w:rPr>
                <w:rFonts w:hint="eastAsia"/>
              </w:rPr>
              <w:t>2)优质浸渍胶膜纸饰面板,基材采用"E0"环保刨花板,甲醛释放量优于国家标准;</w:t>
            </w:r>
            <w:r>
              <w:rPr>
                <w:rFonts w:hint="eastAsia"/>
              </w:rPr>
              <w:br w:type="textWrapping"/>
            </w:r>
            <w:r>
              <w:rPr>
                <w:rFonts w:hint="eastAsia"/>
              </w:rPr>
              <w:t>3)包覆抽屉:表面胶合强度≥0.4Mpa;表面耐磨性能80r;耐剥离力45N±5N;耐划痕性能≥1.5N时间表面无整圈划痕;甲醛释放量≤0.08mg/m³;通过《LY/T 1279-2008 聚氯乙烯薄膜饰面人造板》中理化性能检测要求</w:t>
            </w:r>
            <w:r>
              <w:rPr>
                <w:rFonts w:hint="eastAsia"/>
              </w:rPr>
              <w:br w:type="textWrapping"/>
            </w:r>
            <w:r>
              <w:rPr>
                <w:rFonts w:hint="eastAsia"/>
              </w:rPr>
              <w:t>4)ABS封边条:表面耐光色牢度≥4级;表面耐龟裂性≥2级;表面耐磨性能30r;通过QB/T4463-2013 《家具用封边条技术要求》理化性能检测要求</w:t>
            </w:r>
            <w:r>
              <w:rPr>
                <w:rFonts w:hint="eastAsia"/>
              </w:rPr>
              <w:br w:type="textWrapping"/>
            </w:r>
            <w:r>
              <w:rPr>
                <w:rFonts w:hint="eastAsia"/>
              </w:rPr>
              <w:t>5)钢架:表面耐腐蚀中性盐雾测试100h后无锈蚀、剥落、起皱;表面附着力≥2级;升降/折叠/伸缩耐久性测定20000次后,零部件无断裂、曲、变形、磨损、变形;通过《GB/T 3325-2017金属家具通用技术条件》理化性能检测要求</w:t>
            </w:r>
            <w:r>
              <w:rPr>
                <w:rFonts w:hint="eastAsia"/>
              </w:rPr>
              <w:br w:type="textWrapping"/>
            </w:r>
            <w:r>
              <w:rPr>
                <w:rFonts w:hint="eastAsia"/>
              </w:rPr>
              <w:t>6)正面锁:正面锁符合QB/T 1621-2015家具锁标准中电镀件耐腐蚀规定,电镀件外露表面经12h的中性盐雾试验后,应达到外观评级RA6级的规定,弹子锁、叶片锁使用寿命达不少于10000次</w:t>
            </w:r>
            <w:r>
              <w:rPr>
                <w:rFonts w:hint="eastAsia"/>
              </w:rPr>
              <w:br w:type="textWrapping"/>
            </w:r>
            <w:r>
              <w:rPr>
                <w:rFonts w:hint="eastAsia"/>
              </w:rPr>
              <w:t>7)钢脚:表面耐腐蚀中性盐雾测试100h后无锈蚀、剥落、起皱;表面附着力不低于2级;升降/折叠/伸缩耐久性测定20000次后,零部件无断裂、曲、变形、磨损、变形;通过《GB/T 3325-2017金属家具通用技术条件》理化性能检测要求</w:t>
            </w:r>
            <w:r>
              <w:rPr>
                <w:rFonts w:hint="eastAsia"/>
              </w:rPr>
              <w:br w:type="textWrapping"/>
            </w:r>
            <w:r>
              <w:rPr>
                <w:rFonts w:hint="eastAsia"/>
              </w:rPr>
              <w:t>8)线盒:表面耐腐蚀中性盐雾测试100h后无锈蚀、剥落、起皱;表面附着力≥2级;通过《GB/T 3325-2017金属家具通用技术条件》理化性能检测要求</w:t>
            </w:r>
            <w:r>
              <w:rPr>
                <w:rFonts w:hint="eastAsia"/>
              </w:rPr>
              <w:br w:type="textWrapping"/>
            </w:r>
            <w:r>
              <w:rPr>
                <w:rFonts w:hint="eastAsia"/>
              </w:rPr>
              <w:t>工艺说明:</w:t>
            </w:r>
            <w:r>
              <w:rPr>
                <w:rFonts w:hint="eastAsia"/>
              </w:rPr>
              <w:br w:type="textWrapping"/>
            </w:r>
            <w:r>
              <w:rPr>
                <w:rFonts w:hint="eastAsia"/>
              </w:rPr>
              <w:t>1)采用先进激光封边技术;</w:t>
            </w:r>
            <w:r>
              <w:rPr>
                <w:rFonts w:hint="eastAsia"/>
              </w:rPr>
              <w:br w:type="textWrapping"/>
            </w:r>
            <w:r>
              <w:rPr>
                <w:rFonts w:hint="eastAsia"/>
              </w:rPr>
              <w:t>2)抽屉采用包覆工艺;</w:t>
            </w:r>
          </w:p>
        </w:tc>
        <w:tc>
          <w:tcPr>
            <w:tcW w:w="1811" w:type="dxa"/>
            <w:vMerge w:val="restart"/>
            <w:vAlign w:val="center"/>
          </w:tcPr>
          <w:p>
            <w:pPr>
              <w:jc w:val="center"/>
            </w:pPr>
            <w:r>
              <w:rPr>
                <w:rFonts w:hint="eastAsia"/>
              </w:rPr>
              <w:t>1400 mm (L)</w:t>
            </w:r>
            <w:r>
              <w:rPr>
                <w:rFonts w:hint="eastAsia"/>
              </w:rPr>
              <w:br w:type="textWrapping"/>
            </w:r>
            <w:r>
              <w:rPr>
                <w:rFonts w:hint="eastAsia"/>
              </w:rPr>
              <w:t>700 mm (W)</w:t>
            </w:r>
            <w:r>
              <w:rPr>
                <w:rFonts w:hint="eastAsia"/>
              </w:rPr>
              <w:br w:type="textWrapping"/>
            </w:r>
            <w:r>
              <w:rPr>
                <w:rFonts w:hint="eastAsia"/>
              </w:rPr>
              <w:t>750 mm (H)</w:t>
            </w:r>
          </w:p>
        </w:tc>
        <w:tc>
          <w:tcPr>
            <w:tcW w:w="705" w:type="dxa"/>
            <w:vMerge w:val="restart"/>
            <w:vAlign w:val="center"/>
          </w:tcPr>
          <w:p>
            <w:pPr>
              <w:jc w:val="center"/>
            </w:pPr>
            <w:r>
              <w:rPr>
                <w:rFonts w:hint="eastAsi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0" w:hRule="atLeast"/>
        </w:trPr>
        <w:tc>
          <w:tcPr>
            <w:tcW w:w="1199" w:type="dxa"/>
            <w:vMerge w:val="continue"/>
            <w:vAlign w:val="center"/>
          </w:tcPr>
          <w:p/>
        </w:tc>
        <w:tc>
          <w:tcPr>
            <w:tcW w:w="2198" w:type="dxa"/>
            <w:vMerge w:val="continue"/>
          </w:tcPr>
          <w:p/>
        </w:tc>
        <w:tc>
          <w:tcPr>
            <w:tcW w:w="9781" w:type="dxa"/>
            <w:vMerge w:val="continue"/>
          </w:tcPr>
          <w:p/>
        </w:tc>
        <w:tc>
          <w:tcPr>
            <w:tcW w:w="1811" w:type="dxa"/>
            <w:vMerge w:val="continue"/>
            <w:vAlign w:val="center"/>
          </w:tcPr>
          <w:p>
            <w:pPr>
              <w:jc w:val="center"/>
            </w:pPr>
          </w:p>
        </w:tc>
        <w:tc>
          <w:tcPr>
            <w:tcW w:w="705"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7" w:hRule="atLeast"/>
        </w:trPr>
        <w:tc>
          <w:tcPr>
            <w:tcW w:w="1199" w:type="dxa"/>
            <w:vAlign w:val="center"/>
          </w:tcPr>
          <w:p>
            <w:r>
              <w:rPr>
                <w:rFonts w:hint="eastAsia"/>
              </w:rPr>
              <w:t>员工椅</w:t>
            </w:r>
            <w:r>
              <w:rPr>
                <w:rFonts w:hint="eastAsia"/>
              </w:rPr>
              <w:br w:type="page"/>
            </w:r>
          </w:p>
        </w:tc>
        <w:tc>
          <w:tcPr>
            <w:tcW w:w="2198" w:type="dxa"/>
          </w:tcPr>
          <w:p>
            <w:r>
              <w:rPr>
                <w:rFonts w:hint="eastAsia"/>
              </w:rPr>
              <w:drawing>
                <wp:anchor distT="0" distB="0" distL="114300" distR="114300" simplePos="0" relativeHeight="251688960" behindDoc="0" locked="0" layoutInCell="1" allowOverlap="1">
                  <wp:simplePos x="0" y="0"/>
                  <wp:positionH relativeFrom="column">
                    <wp:posOffset>230505</wp:posOffset>
                  </wp:positionH>
                  <wp:positionV relativeFrom="paragraph">
                    <wp:posOffset>335915</wp:posOffset>
                  </wp:positionV>
                  <wp:extent cx="795020" cy="1055370"/>
                  <wp:effectExtent l="0" t="0" r="5080" b="11430"/>
                  <wp:wrapNone/>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8"/>
                          <a:stretch>
                            <a:fillRect/>
                          </a:stretch>
                        </pic:blipFill>
                        <pic:spPr>
                          <a:xfrm>
                            <a:off x="0" y="0"/>
                            <a:ext cx="795020" cy="1055370"/>
                          </a:xfrm>
                          <a:prstGeom prst="rect">
                            <a:avLst/>
                          </a:prstGeom>
                        </pic:spPr>
                      </pic:pic>
                    </a:graphicData>
                  </a:graphic>
                </wp:anchor>
              </w:drawing>
            </w:r>
          </w:p>
        </w:tc>
        <w:tc>
          <w:tcPr>
            <w:tcW w:w="9781" w:type="dxa"/>
          </w:tcPr>
          <w:p>
            <w:r>
              <w:rPr>
                <w:rFonts w:hint="eastAsia"/>
              </w:rPr>
              <w:t>1)面料:优质网布面料,符合GB 18401-2010、GB/T 19817-2005标准;芳香胺有害物质含量0,颜色干擦牢度≥3级,耐磨性≥12000转,断裂强度≥350N</w:t>
            </w:r>
            <w:r>
              <w:rPr>
                <w:rFonts w:hint="eastAsia"/>
              </w:rPr>
              <w:br w:type="page"/>
            </w:r>
          </w:p>
          <w:p>
            <w:r>
              <w:rPr>
                <w:rFonts w:hint="eastAsia"/>
              </w:rPr>
              <w:t>2)背框:尼龙+30%玻纤</w:t>
            </w:r>
            <w:r>
              <w:rPr>
                <w:rFonts w:hint="eastAsia"/>
              </w:rPr>
              <w:br w:type="page"/>
            </w:r>
          </w:p>
          <w:p>
            <w:r>
              <w:rPr>
                <w:rFonts w:hint="eastAsia"/>
              </w:rPr>
              <w:t>3)座垫：一体成型定型绵,密度≥48kg/m³,回弹性≥40%,通过CA TB117-2013防火性能检测</w:t>
            </w:r>
            <w:r>
              <w:rPr>
                <w:rFonts w:hint="eastAsia"/>
              </w:rPr>
              <w:br w:type="page"/>
            </w:r>
          </w:p>
          <w:p>
            <w:r>
              <w:rPr>
                <w:rFonts w:hint="eastAsia"/>
              </w:rPr>
              <w:t>4)曲木板:E1级成型胶合板（曲木板）,符合GB/T 22350-2017标准、GB 18580-2017标准、HJ 571-2010标准、GB 18584-2001标准，其中尺寸（长度、宽度及厚度）偏差、形位偏差、外观质量、含水率、浸渍剥离性能、抗压性能、点抗压性能均合格，甲醛释放量≤0.02mg/m³，TVOC≤0.10mg/㎡.h。</w:t>
            </w:r>
          </w:p>
          <w:p>
            <w:r>
              <w:rPr>
                <w:rFonts w:hint="eastAsia"/>
              </w:rPr>
              <w:br w:type="page"/>
            </w:r>
            <w:r>
              <w:rPr>
                <w:rFonts w:hint="eastAsia"/>
              </w:rPr>
              <w:t>5)扶手:固定PP扶手,可承受水平方向445N加载持续15s,垂直方向750N加载持续15s,10±1°施力400N执行60000次循环</w:t>
            </w:r>
          </w:p>
          <w:p>
            <w:r>
              <w:rPr>
                <w:rFonts w:hint="eastAsia"/>
              </w:rPr>
              <w:br w:type="page"/>
            </w:r>
            <w:r>
              <w:rPr>
                <w:rFonts w:hint="eastAsia"/>
              </w:rPr>
              <w:t>6)椅架：壁厚1.8mm钢管折弯而成，表面电镀处理壁,涂层附着力不低于2级,耐腐蚀100h,可承受136kg冲击及57kg耐久100000次冲击。</w:t>
            </w:r>
            <w:r>
              <w:rPr>
                <w:rFonts w:hint="eastAsia"/>
              </w:rPr>
              <w:br w:type="page"/>
            </w:r>
            <w:r>
              <w:rPr>
                <w:rFonts w:hint="eastAsia"/>
              </w:rPr>
              <w:br w:type="page"/>
            </w:r>
            <w:r>
              <w:rPr>
                <w:rFonts w:hint="eastAsia"/>
              </w:rPr>
              <w:br w:type="page"/>
            </w:r>
            <w:r>
              <w:rPr>
                <w:rFonts w:hint="eastAsia"/>
              </w:rPr>
              <w:br w:type="page"/>
            </w:r>
            <w:r>
              <w:rPr>
                <w:rFonts w:hint="eastAsia"/>
              </w:rPr>
              <w:br w:type="page"/>
            </w:r>
            <w:r>
              <w:rPr>
                <w:rFonts w:hint="eastAsia"/>
              </w:rPr>
              <w:br w:type="page"/>
            </w:r>
            <w:r>
              <w:rPr>
                <w:rFonts w:hint="eastAsia"/>
              </w:rPr>
              <w:br w:type="page"/>
            </w:r>
          </w:p>
        </w:tc>
        <w:tc>
          <w:tcPr>
            <w:tcW w:w="1811" w:type="dxa"/>
            <w:vAlign w:val="center"/>
          </w:tcPr>
          <w:p>
            <w:pPr>
              <w:jc w:val="center"/>
            </w:pPr>
            <w:r>
              <w:rPr>
                <w:rFonts w:hint="eastAsia"/>
              </w:rPr>
              <w:t>6</w:t>
            </w:r>
            <w:r>
              <w:t>20</w:t>
            </w:r>
            <w:r>
              <w:rPr>
                <w:rFonts w:hint="eastAsia"/>
              </w:rPr>
              <w:t xml:space="preserve"> mm (L)</w:t>
            </w:r>
            <w:r>
              <w:rPr>
                <w:rFonts w:hint="eastAsia"/>
              </w:rPr>
              <w:br w:type="textWrapping"/>
            </w:r>
            <w:r>
              <w:rPr>
                <w:rFonts w:hint="eastAsia"/>
              </w:rPr>
              <w:t>6</w:t>
            </w:r>
            <w:r>
              <w:t>15</w:t>
            </w:r>
            <w:r>
              <w:rPr>
                <w:rFonts w:hint="eastAsia"/>
              </w:rPr>
              <w:t xml:space="preserve"> mm (W)</w:t>
            </w:r>
            <w:r>
              <w:rPr>
                <w:rFonts w:hint="eastAsia"/>
              </w:rPr>
              <w:br w:type="textWrapping"/>
            </w:r>
            <w:r>
              <w:rPr>
                <w:rFonts w:hint="eastAsia"/>
              </w:rPr>
              <w:t>10</w:t>
            </w:r>
            <w:r>
              <w:t>15</w:t>
            </w:r>
            <w:r>
              <w:rPr>
                <w:rFonts w:hint="eastAsia"/>
              </w:rPr>
              <w:t xml:space="preserve"> mm (H)</w:t>
            </w:r>
          </w:p>
        </w:tc>
        <w:tc>
          <w:tcPr>
            <w:tcW w:w="705" w:type="dxa"/>
            <w:vAlign w:val="center"/>
          </w:tcPr>
          <w:p>
            <w:pPr>
              <w:jc w:val="center"/>
            </w:pPr>
            <w:r>
              <w:rPr>
                <w:rFonts w:hint="eastAsia"/>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0" w:hRule="atLeast"/>
        </w:trPr>
        <w:tc>
          <w:tcPr>
            <w:tcW w:w="1199" w:type="dxa"/>
            <w:vAlign w:val="center"/>
          </w:tcPr>
          <w:p>
            <w:r>
              <w:rPr>
                <w:rFonts w:hint="eastAsia"/>
              </w:rPr>
              <w:t>文件柜</w:t>
            </w:r>
          </w:p>
        </w:tc>
        <w:tc>
          <w:tcPr>
            <w:tcW w:w="2198" w:type="dxa"/>
          </w:tcPr>
          <w:p>
            <w:r>
              <w:rPr>
                <w:rFonts w:hint="eastAsia"/>
              </w:rPr>
              <w:drawing>
                <wp:anchor distT="0" distB="0" distL="114300" distR="114300" simplePos="0" relativeHeight="251693056" behindDoc="0" locked="0" layoutInCell="1" allowOverlap="1">
                  <wp:simplePos x="0" y="0"/>
                  <wp:positionH relativeFrom="column">
                    <wp:posOffset>123825</wp:posOffset>
                  </wp:positionH>
                  <wp:positionV relativeFrom="paragraph">
                    <wp:posOffset>862965</wp:posOffset>
                  </wp:positionV>
                  <wp:extent cx="982345" cy="1067435"/>
                  <wp:effectExtent l="0" t="0" r="8255" b="18415"/>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4"/>
                          <a:stretch>
                            <a:fillRect/>
                          </a:stretch>
                        </pic:blipFill>
                        <pic:spPr>
                          <a:xfrm>
                            <a:off x="0" y="0"/>
                            <a:ext cx="982221" cy="1067172"/>
                          </a:xfrm>
                          <a:prstGeom prst="rect">
                            <a:avLst/>
                          </a:prstGeom>
                        </pic:spPr>
                      </pic:pic>
                    </a:graphicData>
                  </a:graphic>
                </wp:anchor>
              </w:drawing>
            </w:r>
          </w:p>
        </w:tc>
        <w:tc>
          <w:tcPr>
            <w:tcW w:w="9781" w:type="dxa"/>
          </w:tcPr>
          <w:p>
            <w:r>
              <w:rPr>
                <w:rFonts w:hint="eastAsia"/>
              </w:rPr>
              <w:br w:type="page"/>
            </w:r>
            <w:r>
              <w:rPr>
                <w:rFonts w:hint="eastAsia"/>
              </w:rPr>
              <w:br w:type="page"/>
            </w:r>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p>
          <w:p>
            <w:r>
              <w:rPr>
                <w:rFonts w:hint="eastAsia"/>
              </w:rPr>
              <w:br w:type="page"/>
            </w:r>
            <w:r>
              <w:rPr>
                <w:rFonts w:hint="eastAsia"/>
              </w:rPr>
              <w:t>2)PVC封边条:符合QB/T 4463-2013标准、GB 28481-2012标准,其中甲醛释放量、可溶性重金属(镉、铬、汞、砷、锑、硒)、邻苯二甲酸酯、多溴联苯、多㴪二苯醚含量均须低于检出限。</w:t>
            </w:r>
          </w:p>
          <w:p>
            <w:r>
              <w:rPr>
                <w:rFonts w:hint="eastAsia"/>
              </w:rPr>
              <w:br w:type="page"/>
            </w:r>
            <w:r>
              <w:rPr>
                <w:rFonts w:hint="eastAsia"/>
              </w:rPr>
              <w:t>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p>
            <w:r>
              <w:rPr>
                <w:rFonts w:hint="eastAsia"/>
              </w:rPr>
              <w:br w:type="page"/>
            </w:r>
            <w:r>
              <w:rPr>
                <w:rFonts w:hint="eastAsia"/>
              </w:rPr>
              <w:t>4)正面锁:符合QB/T1621-2015标准，其中电镀件中性盐雾试验耐腐蚀100H达到10级，钥匙不同牙花数大于700种，互开率合格，使用寿命达到30000次正常。</w:t>
            </w:r>
            <w:r>
              <w:rPr>
                <w:rFonts w:hint="eastAsia"/>
              </w:rPr>
              <w:br w:type="page"/>
            </w:r>
            <w:r>
              <w:rPr>
                <w:rFonts w:hint="eastAsia"/>
              </w:rPr>
              <w:br w:type="page"/>
            </w:r>
          </w:p>
        </w:tc>
        <w:tc>
          <w:tcPr>
            <w:tcW w:w="1811" w:type="dxa"/>
            <w:vAlign w:val="center"/>
          </w:tcPr>
          <w:p>
            <w:pPr>
              <w:jc w:val="center"/>
            </w:pPr>
            <w:r>
              <w:rPr>
                <w:rFonts w:hint="eastAsia"/>
              </w:rPr>
              <w:t>1400 mm (L)</w:t>
            </w:r>
            <w:r>
              <w:rPr>
                <w:rFonts w:hint="eastAsia"/>
              </w:rPr>
              <w:br w:type="textWrapping"/>
            </w:r>
            <w:r>
              <w:rPr>
                <w:rFonts w:hint="eastAsia"/>
              </w:rPr>
              <w:t>400 mm (W)</w:t>
            </w:r>
            <w:r>
              <w:rPr>
                <w:rFonts w:hint="eastAsia"/>
              </w:rPr>
              <w:br w:type="textWrapping"/>
            </w:r>
            <w:r>
              <w:rPr>
                <w:rFonts w:hint="eastAsia"/>
              </w:rPr>
              <w:t>1202 mm (H)</w:t>
            </w:r>
          </w:p>
        </w:tc>
        <w:tc>
          <w:tcPr>
            <w:tcW w:w="705" w:type="dxa"/>
            <w:vAlign w:val="center"/>
          </w:tcPr>
          <w:p>
            <w:pPr>
              <w:jc w:val="center"/>
            </w:pPr>
            <w:r>
              <w:rPr>
                <w:rFonts w:hint="eastAsia"/>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15694" w:type="dxa"/>
            <w:gridSpan w:val="5"/>
            <w:noWrap/>
            <w:vAlign w:val="center"/>
          </w:tcPr>
          <w:p>
            <w:pPr>
              <w:jc w:val="center"/>
              <w:rPr>
                <w:b/>
                <w:bCs/>
              </w:rPr>
            </w:pPr>
            <w:r>
              <w:rPr>
                <w:rFonts w:hint="eastAsia"/>
                <w:b/>
                <w:bCs/>
              </w:rPr>
              <w:t>独立办公室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0" w:hRule="atLeast"/>
        </w:trPr>
        <w:tc>
          <w:tcPr>
            <w:tcW w:w="1199" w:type="dxa"/>
            <w:vMerge w:val="restart"/>
            <w:vAlign w:val="center"/>
          </w:tcPr>
          <w:p>
            <w:r>
              <w:rPr>
                <w:rFonts w:hint="eastAsia"/>
              </w:rPr>
              <w:t>副所长办公桌</w:t>
            </w:r>
          </w:p>
        </w:tc>
        <w:tc>
          <w:tcPr>
            <w:tcW w:w="2198" w:type="dxa"/>
            <w:vMerge w:val="restart"/>
            <w:noWrap/>
          </w:tcPr>
          <w:p/>
          <w:p>
            <w:r>
              <w:rPr>
                <w:rFonts w:hint="eastAsia"/>
              </w:rPr>
              <w:drawing>
                <wp:anchor distT="0" distB="0" distL="114300" distR="114300" simplePos="0" relativeHeight="251689984" behindDoc="0" locked="0" layoutInCell="1" allowOverlap="1">
                  <wp:simplePos x="0" y="0"/>
                  <wp:positionH relativeFrom="column">
                    <wp:posOffset>17145</wp:posOffset>
                  </wp:positionH>
                  <wp:positionV relativeFrom="paragraph">
                    <wp:posOffset>2706370</wp:posOffset>
                  </wp:positionV>
                  <wp:extent cx="1222375" cy="691515"/>
                  <wp:effectExtent l="0" t="0" r="15875" b="13335"/>
                  <wp:wrapNone/>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22"/>
                          <a:stretch>
                            <a:fillRect/>
                          </a:stretch>
                        </pic:blipFill>
                        <pic:spPr>
                          <a:xfrm>
                            <a:off x="0" y="0"/>
                            <a:ext cx="1222666" cy="691764"/>
                          </a:xfrm>
                          <a:prstGeom prst="rect">
                            <a:avLst/>
                          </a:prstGeom>
                        </pic:spPr>
                      </pic:pic>
                    </a:graphicData>
                  </a:graphic>
                </wp:anchor>
              </w:drawing>
            </w:r>
          </w:p>
        </w:tc>
        <w:tc>
          <w:tcPr>
            <w:tcW w:w="9781" w:type="dxa"/>
            <w:vMerge w:val="restart"/>
          </w:tcPr>
          <w:p>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textWrapping"/>
            </w:r>
            <w:r>
              <w:rPr>
                <w:rFonts w:hint="eastAsia"/>
              </w:rPr>
              <w:t>2)优质浸渍胶膜纸饰面板,基材采用"E0"环保刨花板,甲醛释放量优于国家标准;</w:t>
            </w:r>
            <w:r>
              <w:rPr>
                <w:rFonts w:hint="eastAsia"/>
              </w:rPr>
              <w:br w:type="textWrapping"/>
            </w:r>
            <w:r>
              <w:rPr>
                <w:rFonts w:hint="eastAsia"/>
              </w:rPr>
              <w:t>3)包覆抽屉:表面胶合强度≥0.4Mpa;表面耐磨性能80r;耐剥离力45N±5N;耐划痕性能≥1.5N时间表面无整圈划痕;甲醛释放量≤0.08mg/m³;通过《LY/T 1279-2008 聚氯乙烯薄膜饰面人造板》中理化性能检测要求</w:t>
            </w:r>
            <w:r>
              <w:rPr>
                <w:rFonts w:hint="eastAsia"/>
              </w:rPr>
              <w:br w:type="textWrapping"/>
            </w:r>
            <w:r>
              <w:rPr>
                <w:rFonts w:hint="eastAsia"/>
              </w:rPr>
              <w:t>4)ABS封边条:表面耐光色牢度≥4级;表面耐龟裂性≥2级;表面耐磨性能30r;通过QB/T4463-2013 《家具用封边条技术要求》理化性能检测要求</w:t>
            </w:r>
            <w:r>
              <w:rPr>
                <w:rFonts w:hint="eastAsia"/>
              </w:rPr>
              <w:br w:type="textWrapping"/>
            </w:r>
            <w:r>
              <w:rPr>
                <w:rFonts w:hint="eastAsia"/>
              </w:rPr>
              <w:t>5)钢架:表面耐腐蚀中性盐雾测试100h后无锈蚀、剥落、起皱;表面附着力≥2级;升降/折叠/伸缩耐久性测定20000次后,零部件无断裂、曲、变形、磨损、变形;通过《GB/T 3325-2017金属家具通用技术条件》理化性能检测要求</w:t>
            </w:r>
            <w:r>
              <w:rPr>
                <w:rFonts w:hint="eastAsia"/>
              </w:rPr>
              <w:br w:type="textWrapping"/>
            </w:r>
            <w:r>
              <w:rPr>
                <w:rFonts w:hint="eastAsia"/>
              </w:rPr>
              <w:t>6)正面锁:正面锁符合QB/T 1621-2015家具锁标准中电镀件耐腐蚀规定,电镀件外露表面经12h的中性盐雾试验后,应达到外观评级RA6级的规定,弹子锁、叶片锁使用寿命达不少于10000次</w:t>
            </w:r>
            <w:r>
              <w:rPr>
                <w:rFonts w:hint="eastAsia"/>
              </w:rPr>
              <w:br w:type="textWrapping"/>
            </w:r>
            <w:r>
              <w:rPr>
                <w:rFonts w:hint="eastAsia"/>
              </w:rPr>
              <w:t>7)优质钢架,表面经静电粉末喷涂;</w:t>
            </w:r>
            <w:r>
              <w:rPr>
                <w:rFonts w:hint="eastAsia"/>
              </w:rPr>
              <w:br w:type="textWrapping"/>
            </w:r>
            <w:r>
              <w:rPr>
                <w:rFonts w:hint="eastAsia"/>
              </w:rPr>
              <w:t>8)铰链:耐久性商用型达到80000次;表面盐雾18h无锈蚀;通过《QBT 2189-2013 家具五金 杯状暗铰链》理化性能检测要求</w:t>
            </w:r>
            <w:r>
              <w:rPr>
                <w:rFonts w:hint="eastAsia"/>
              </w:rPr>
              <w:br w:type="textWrapping"/>
            </w:r>
            <w:r>
              <w:rPr>
                <w:rFonts w:hint="eastAsia"/>
              </w:rPr>
              <w:t>9)钢脚:表面耐腐蚀中性盐雾测试100h后无锈蚀、剥落、起皱;表面附着力不低于2级;升降/折叠/伸缩耐久性测定20000次后,零部件无断裂、曲、变形、磨损、变形;通过《GB/T 3325-2017金属家具通用技术条件》理化性能检测要求</w:t>
            </w:r>
            <w:r>
              <w:rPr>
                <w:rFonts w:hint="eastAsia"/>
              </w:rPr>
              <w:br w:type="textWrapping"/>
            </w:r>
            <w:r>
              <w:rPr>
                <w:rFonts w:hint="eastAsia"/>
              </w:rPr>
              <w:t>10)线盒:表面耐腐蚀中性盐雾测试100h后无锈蚀、剥落、起皱;表面附着力≥2级;通过《GB/T 3325-2017金属家具通用技术条件》理化性能检测要求</w:t>
            </w:r>
            <w:r>
              <w:rPr>
                <w:rFonts w:hint="eastAsia"/>
              </w:rPr>
              <w:br w:type="textWrapping"/>
            </w:r>
            <w:r>
              <w:rPr>
                <w:rFonts w:hint="eastAsia"/>
              </w:rPr>
              <w:t>工艺说明:</w:t>
            </w:r>
            <w:r>
              <w:rPr>
                <w:rFonts w:hint="eastAsia"/>
              </w:rPr>
              <w:br w:type="textWrapping"/>
            </w:r>
            <w:r>
              <w:rPr>
                <w:rFonts w:hint="eastAsia"/>
              </w:rPr>
              <w:t>1)采用先进激光封边技术;</w:t>
            </w:r>
            <w:r>
              <w:rPr>
                <w:rFonts w:hint="eastAsia"/>
              </w:rPr>
              <w:br w:type="textWrapping"/>
            </w:r>
            <w:r>
              <w:rPr>
                <w:rFonts w:hint="eastAsia"/>
              </w:rPr>
              <w:t>2)抽屉采用包覆工艺;</w:t>
            </w:r>
          </w:p>
        </w:tc>
        <w:tc>
          <w:tcPr>
            <w:tcW w:w="1811" w:type="dxa"/>
            <w:vMerge w:val="restart"/>
            <w:vAlign w:val="center"/>
          </w:tcPr>
          <w:p>
            <w:pPr>
              <w:jc w:val="center"/>
            </w:pPr>
            <w:r>
              <w:rPr>
                <w:rFonts w:hint="eastAsia"/>
              </w:rPr>
              <w:t>1600 mm (L)</w:t>
            </w:r>
            <w:r>
              <w:rPr>
                <w:rFonts w:hint="eastAsia"/>
              </w:rPr>
              <w:br w:type="textWrapping"/>
            </w:r>
            <w:r>
              <w:rPr>
                <w:rFonts w:hint="eastAsia"/>
              </w:rPr>
              <w:t>1600 mm (W)</w:t>
            </w:r>
            <w:r>
              <w:rPr>
                <w:rFonts w:hint="eastAsia"/>
              </w:rPr>
              <w:br w:type="textWrapping"/>
            </w:r>
            <w:r>
              <w:rPr>
                <w:rFonts w:hint="eastAsia"/>
              </w:rPr>
              <w:t>750 mm (H)</w:t>
            </w:r>
          </w:p>
        </w:tc>
        <w:tc>
          <w:tcPr>
            <w:tcW w:w="705" w:type="dxa"/>
            <w:vMerge w:val="restart"/>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0" w:hRule="atLeast"/>
        </w:trPr>
        <w:tc>
          <w:tcPr>
            <w:tcW w:w="1199" w:type="dxa"/>
            <w:vMerge w:val="continue"/>
            <w:vAlign w:val="center"/>
          </w:tcPr>
          <w:p/>
        </w:tc>
        <w:tc>
          <w:tcPr>
            <w:tcW w:w="2198" w:type="dxa"/>
            <w:vMerge w:val="continue"/>
          </w:tcPr>
          <w:p/>
        </w:tc>
        <w:tc>
          <w:tcPr>
            <w:tcW w:w="9781" w:type="dxa"/>
            <w:vMerge w:val="continue"/>
          </w:tcPr>
          <w:p/>
        </w:tc>
        <w:tc>
          <w:tcPr>
            <w:tcW w:w="1811" w:type="dxa"/>
            <w:vMerge w:val="continue"/>
            <w:vAlign w:val="center"/>
          </w:tcPr>
          <w:p>
            <w:pPr>
              <w:jc w:val="center"/>
            </w:pPr>
          </w:p>
        </w:tc>
        <w:tc>
          <w:tcPr>
            <w:tcW w:w="705"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0" w:hRule="atLeast"/>
        </w:trPr>
        <w:tc>
          <w:tcPr>
            <w:tcW w:w="1199" w:type="dxa"/>
            <w:vAlign w:val="center"/>
          </w:tcPr>
          <w:p>
            <w:r>
              <w:rPr>
                <w:rFonts w:hint="eastAsia"/>
              </w:rPr>
              <w:t>副所长办公椅</w:t>
            </w:r>
          </w:p>
        </w:tc>
        <w:tc>
          <w:tcPr>
            <w:tcW w:w="2198" w:type="dxa"/>
          </w:tcPr>
          <w:p>
            <w:r>
              <w:rPr>
                <w:rFonts w:hint="eastAsia"/>
              </w:rPr>
              <w:drawing>
                <wp:anchor distT="0" distB="0" distL="114300" distR="114300" simplePos="0" relativeHeight="251691008" behindDoc="0" locked="0" layoutInCell="1" allowOverlap="1">
                  <wp:simplePos x="0" y="0"/>
                  <wp:positionH relativeFrom="column">
                    <wp:posOffset>5715</wp:posOffset>
                  </wp:positionH>
                  <wp:positionV relativeFrom="paragraph">
                    <wp:posOffset>1852295</wp:posOffset>
                  </wp:positionV>
                  <wp:extent cx="977900" cy="1474470"/>
                  <wp:effectExtent l="0" t="0" r="12700" b="11430"/>
                  <wp:wrapNone/>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23"/>
                          <a:srcRect t="3948"/>
                          <a:stretch>
                            <a:fillRect/>
                          </a:stretch>
                        </pic:blipFill>
                        <pic:spPr>
                          <a:xfrm>
                            <a:off x="0" y="0"/>
                            <a:ext cx="978010" cy="1474747"/>
                          </a:xfrm>
                          <a:prstGeom prst="rect">
                            <a:avLst/>
                          </a:prstGeom>
                        </pic:spPr>
                      </pic:pic>
                    </a:graphicData>
                  </a:graphic>
                </wp:anchor>
              </w:drawing>
            </w:r>
          </w:p>
        </w:tc>
        <w:tc>
          <w:tcPr>
            <w:tcW w:w="9781" w:type="dxa"/>
          </w:tcPr>
          <w:p>
            <w:r>
              <w:t>1)面料:优质网布面料,符合GB 18401-2010、GB/T 19817-2005标准;芳香胺有害物质含量0,颜色干擦牢度≥3级,耐磨性≥12000转,断裂强度≥350N</w:t>
            </w:r>
          </w:p>
          <w:p>
            <w:r>
              <w:t>2)背框:尼龙+30%玻纤,可承受1001N载荷强度试验,可在座面载荷109kg时,施加445N的力于背架上,执行120000次往复循环</w:t>
            </w:r>
          </w:p>
          <w:p>
            <w:r>
              <w:t>3)海绵:一体成型定型绵,密度≥48kg/m³,回弹性≥40%,通过CA TB117-2013防火性能检测</w:t>
            </w:r>
          </w:p>
          <w:p>
            <w:r>
              <w:t>4)曲木板:E1级成型胶合板,甲醛释放量≤0.124mg/m³</w:t>
            </w:r>
          </w:p>
          <w:p>
            <w:r>
              <w:t>5)扶手:升降PU面扶手,可承受水平方向667N加载持续15s,垂直方向1125N加载持续15s,10±1°施力400N执行60000次循环</w:t>
            </w:r>
          </w:p>
          <w:p>
            <w:r>
              <w:t>6)底盘:优质底盘,底座钢板厚度＞2mm,可承受每分钟10至30次共计300000次倾仰</w:t>
            </w:r>
          </w:p>
          <w:p>
            <w:r>
              <w:t>7)气杆:三级气杆,行程92±2mm,升降平稳,无漏声、噪声,可在5次/min—15次/min回旋频率下进行12万次升降</w:t>
            </w:r>
          </w:p>
          <w:p>
            <w:r>
              <w:t>8)五星脚:抛光铝合金五星脚,可承受垂直方向施力11120N持续1分钟</w:t>
            </w:r>
          </w:p>
          <w:p>
            <w:r>
              <w:t>9)椅轮:PU轮,载荷122kg在无障碍平台进行98000次,有障碍物平台进行2000次往返无破损</w:t>
            </w:r>
          </w:p>
          <w:p>
            <w:r>
              <w:rPr>
                <w:rFonts w:hint="eastAsia"/>
              </w:rPr>
              <w:t>功能说明</w:t>
            </w:r>
            <w:r>
              <w:t>:</w:t>
            </w:r>
          </w:p>
          <w:p>
            <w:r>
              <w:t>1)头枕调节:上下调节45mm</w:t>
            </w:r>
          </w:p>
          <w:p>
            <w:r>
              <w:t>2)腰托调节:上下调节35mm</w:t>
            </w:r>
          </w:p>
          <w:p>
            <w:r>
              <w:t>3)扶手调节:扶手可上下调节60mm,左右旋转15°</w:t>
            </w:r>
          </w:p>
          <w:p>
            <w:r>
              <w:t>4)底盘调节:STG背座同步倾仰,四档锁定功能,自负重机构无需调节倾仰力度</w:t>
            </w:r>
          </w:p>
          <w:p>
            <w:r>
              <w:t>5)腰靠：展翼式腰托；腰靠结构前倾7°，支撑感提升；高弹海绵填充，柔性撑腰，久靠不塌陷。</w:t>
            </w:r>
          </w:p>
        </w:tc>
        <w:tc>
          <w:tcPr>
            <w:tcW w:w="1811" w:type="dxa"/>
            <w:vAlign w:val="center"/>
          </w:tcPr>
          <w:p>
            <w:pPr>
              <w:jc w:val="center"/>
            </w:pPr>
            <w:r>
              <w:rPr>
                <w:rFonts w:hint="eastAsia"/>
              </w:rPr>
              <w:t>630 mm (L)</w:t>
            </w:r>
            <w:r>
              <w:rPr>
                <w:rFonts w:hint="eastAsia"/>
              </w:rPr>
              <w:br w:type="textWrapping"/>
            </w:r>
            <w:r>
              <w:rPr>
                <w:rFonts w:hint="eastAsia"/>
              </w:rPr>
              <w:t>595 mm (W)</w:t>
            </w:r>
            <w:r>
              <w:rPr>
                <w:rFonts w:hint="eastAsia"/>
              </w:rPr>
              <w:br w:type="textWrapping"/>
            </w:r>
            <w:r>
              <w:rPr>
                <w:rFonts w:hint="eastAsia"/>
              </w:rPr>
              <w:t>1240 mm (H)</w:t>
            </w:r>
          </w:p>
        </w:tc>
        <w:tc>
          <w:tcPr>
            <w:tcW w:w="705" w:type="dxa"/>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1" w:hRule="atLeast"/>
        </w:trPr>
        <w:tc>
          <w:tcPr>
            <w:tcW w:w="1199" w:type="dxa"/>
            <w:vAlign w:val="center"/>
          </w:tcPr>
          <w:p>
            <w:r>
              <w:rPr>
                <w:rFonts w:hint="eastAsia"/>
              </w:rPr>
              <w:t>会客椅</w:t>
            </w:r>
          </w:p>
        </w:tc>
        <w:tc>
          <w:tcPr>
            <w:tcW w:w="2198" w:type="dxa"/>
          </w:tcPr>
          <w:p>
            <w:r>
              <w:rPr>
                <w:rFonts w:hint="eastAsia"/>
              </w:rPr>
              <w:drawing>
                <wp:anchor distT="0" distB="0" distL="114300" distR="114300" simplePos="0" relativeHeight="251692032" behindDoc="0" locked="0" layoutInCell="1" allowOverlap="1">
                  <wp:simplePos x="0" y="0"/>
                  <wp:positionH relativeFrom="column">
                    <wp:posOffset>71755</wp:posOffset>
                  </wp:positionH>
                  <wp:positionV relativeFrom="paragraph">
                    <wp:posOffset>499110</wp:posOffset>
                  </wp:positionV>
                  <wp:extent cx="1156970" cy="1542415"/>
                  <wp:effectExtent l="0" t="0" r="5080" b="63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8"/>
                          <a:stretch>
                            <a:fillRect/>
                          </a:stretch>
                        </pic:blipFill>
                        <pic:spPr>
                          <a:xfrm>
                            <a:off x="0" y="0"/>
                            <a:ext cx="1156915" cy="1542553"/>
                          </a:xfrm>
                          <a:prstGeom prst="rect">
                            <a:avLst/>
                          </a:prstGeom>
                        </pic:spPr>
                      </pic:pic>
                    </a:graphicData>
                  </a:graphic>
                </wp:anchor>
              </w:drawing>
            </w:r>
          </w:p>
        </w:tc>
        <w:tc>
          <w:tcPr>
            <w:tcW w:w="9781" w:type="dxa"/>
          </w:tcPr>
          <w:p>
            <w:r>
              <w:rPr>
                <w:rFonts w:hint="eastAsia"/>
              </w:rPr>
              <w:t>1)面料:优质网布面料,符合GB 18401-2010、GB/T 19817-2005标准;芳香胺有害物质含量0,颜色干擦牢度≥3级,耐磨性≥12000转,断裂强度≥350N</w:t>
            </w:r>
            <w:r>
              <w:rPr>
                <w:rFonts w:hint="eastAsia"/>
              </w:rPr>
              <w:br w:type="textWrapping"/>
            </w:r>
            <w:r>
              <w:rPr>
                <w:rFonts w:hint="eastAsia"/>
              </w:rPr>
              <w:t>2)背框:尼龙+30%玻纤</w:t>
            </w:r>
            <w:r>
              <w:rPr>
                <w:rFonts w:hint="eastAsia"/>
              </w:rPr>
              <w:br w:type="textWrapping"/>
            </w:r>
            <w:r>
              <w:rPr>
                <w:rFonts w:hint="eastAsia"/>
              </w:rPr>
              <w:t>3)座垫：一体成型定型绵,密度≥48kg/m³,回弹性≥40%,通过CA TB117-2013防火性能检测</w:t>
            </w:r>
            <w:r>
              <w:rPr>
                <w:rFonts w:hint="eastAsia"/>
              </w:rPr>
              <w:br w:type="textWrapping"/>
            </w:r>
            <w:r>
              <w:rPr>
                <w:rFonts w:hint="eastAsia"/>
              </w:rPr>
              <w:t>4)曲木板:E1级成型胶合板（曲木板）,符合GB/T 22350-2017标准、GB 18580-2017标准、HJ 571-2010标准、GB 18584-2001标准，其中尺寸（长度、宽度及厚度）偏差、形位偏差、外观质量、含水率、浸渍剥离性能、抗压性能、点抗压性能均合格，甲醛释放量≤0.02mg/m³，TVOC≤0.10mg/㎡.h。</w:t>
            </w:r>
            <w:r>
              <w:rPr>
                <w:rFonts w:hint="eastAsia"/>
              </w:rPr>
              <w:br w:type="textWrapping"/>
            </w:r>
            <w:r>
              <w:rPr>
                <w:rFonts w:hint="eastAsia"/>
              </w:rPr>
              <w:t>5)扶手:固定PP扶手,可承受水平方向445N加载持续15s,垂直方向750N加载持续15s,10±1°施力400N执行60000次循环</w:t>
            </w:r>
            <w:r>
              <w:rPr>
                <w:rFonts w:hint="eastAsia"/>
              </w:rPr>
              <w:br w:type="textWrapping"/>
            </w:r>
            <w:r>
              <w:rPr>
                <w:rFonts w:hint="eastAsia"/>
              </w:rPr>
              <w:t>6)椅架：壁厚1.8mm钢管折弯而成，表面电镀处理壁,涂层附着力不低于2级,耐腐蚀100h,可承受136kg冲击及57kg耐久100000次冲击。</w:t>
            </w:r>
            <w:r>
              <w:rPr>
                <w:rFonts w:hint="eastAsia"/>
              </w:rPr>
              <w:br w:type="textWrapping"/>
            </w:r>
          </w:p>
        </w:tc>
        <w:tc>
          <w:tcPr>
            <w:tcW w:w="1811" w:type="dxa"/>
            <w:vAlign w:val="center"/>
          </w:tcPr>
          <w:p>
            <w:pPr>
              <w:jc w:val="center"/>
            </w:pPr>
            <w:r>
              <w:rPr>
                <w:rFonts w:hint="eastAsia"/>
              </w:rPr>
              <w:t>6</w:t>
            </w:r>
            <w:r>
              <w:t>20</w:t>
            </w:r>
            <w:r>
              <w:rPr>
                <w:rFonts w:hint="eastAsia"/>
              </w:rPr>
              <w:t xml:space="preserve"> mm (L)</w:t>
            </w:r>
            <w:r>
              <w:rPr>
                <w:rFonts w:hint="eastAsia"/>
              </w:rPr>
              <w:br w:type="textWrapping"/>
            </w:r>
            <w:r>
              <w:rPr>
                <w:rFonts w:hint="eastAsia"/>
              </w:rPr>
              <w:t>6</w:t>
            </w:r>
            <w:r>
              <w:t>15</w:t>
            </w:r>
            <w:r>
              <w:rPr>
                <w:rFonts w:hint="eastAsia"/>
              </w:rPr>
              <w:t xml:space="preserve"> mm (W)</w:t>
            </w:r>
            <w:r>
              <w:rPr>
                <w:rFonts w:hint="eastAsia"/>
              </w:rPr>
              <w:br w:type="textWrapping"/>
            </w:r>
            <w:r>
              <w:rPr>
                <w:rFonts w:hint="eastAsia"/>
              </w:rPr>
              <w:t>10</w:t>
            </w:r>
            <w:r>
              <w:t>15</w:t>
            </w:r>
            <w:r>
              <w:rPr>
                <w:rFonts w:hint="eastAsia"/>
              </w:rPr>
              <w:t xml:space="preserve"> mm (H)</w:t>
            </w:r>
          </w:p>
        </w:tc>
        <w:tc>
          <w:tcPr>
            <w:tcW w:w="705" w:type="dxa"/>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4" w:hRule="atLeast"/>
        </w:trPr>
        <w:tc>
          <w:tcPr>
            <w:tcW w:w="1199" w:type="dxa"/>
            <w:vAlign w:val="center"/>
          </w:tcPr>
          <w:p>
            <w:r>
              <w:rPr>
                <w:rFonts w:hint="eastAsia"/>
              </w:rPr>
              <w:t>文件柜</w:t>
            </w:r>
          </w:p>
        </w:tc>
        <w:tc>
          <w:tcPr>
            <w:tcW w:w="2198" w:type="dxa"/>
          </w:tcPr>
          <w:p>
            <w:r>
              <w:rPr>
                <w:rFonts w:hint="eastAsia"/>
              </w:rPr>
              <w:drawing>
                <wp:anchor distT="0" distB="0" distL="114300" distR="114300" simplePos="0" relativeHeight="251694080" behindDoc="0" locked="0" layoutInCell="1" allowOverlap="1">
                  <wp:simplePos x="0" y="0"/>
                  <wp:positionH relativeFrom="column">
                    <wp:posOffset>45720</wp:posOffset>
                  </wp:positionH>
                  <wp:positionV relativeFrom="paragraph">
                    <wp:posOffset>904240</wp:posOffset>
                  </wp:positionV>
                  <wp:extent cx="1074420" cy="1170305"/>
                  <wp:effectExtent l="0" t="0" r="11430" b="10795"/>
                  <wp:wrapNone/>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4"/>
                          <a:stretch>
                            <a:fillRect/>
                          </a:stretch>
                        </pic:blipFill>
                        <pic:spPr>
                          <a:xfrm>
                            <a:off x="0" y="0"/>
                            <a:ext cx="1074192" cy="1170388"/>
                          </a:xfrm>
                          <a:prstGeom prst="rect">
                            <a:avLst/>
                          </a:prstGeom>
                        </pic:spPr>
                      </pic:pic>
                    </a:graphicData>
                  </a:graphic>
                </wp:anchor>
              </w:drawing>
            </w:r>
          </w:p>
        </w:tc>
        <w:tc>
          <w:tcPr>
            <w:tcW w:w="9781" w:type="dxa"/>
          </w:tcPr>
          <w:p>
            <w:r>
              <w:rPr>
                <w:rFonts w:hint="eastAsia"/>
              </w:rPr>
              <w:br w:type="page"/>
            </w:r>
            <w:r>
              <w:rPr>
                <w:rFonts w:hint="eastAsia"/>
              </w:rPr>
              <w:br w:type="page"/>
            </w:r>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p>
          <w:p>
            <w:r>
              <w:rPr>
                <w:rFonts w:hint="eastAsia"/>
              </w:rPr>
              <w:br w:type="page"/>
            </w:r>
            <w:r>
              <w:rPr>
                <w:rFonts w:hint="eastAsia"/>
              </w:rPr>
              <w:t>2)PVC封边条:符合QB/T 4463-2013标准、GB 28481-2012标准,其中甲醛释放量、可溶性重金属(镉、铬、汞、砷、锑、硒)、邻苯二甲酸酯、多溴联苯、多㴪二苯醚含量均须低于检出限。</w:t>
            </w:r>
          </w:p>
          <w:p>
            <w:r>
              <w:rPr>
                <w:rFonts w:hint="eastAsia"/>
              </w:rPr>
              <w:br w:type="page"/>
            </w:r>
            <w:r>
              <w:rPr>
                <w:rFonts w:hint="eastAsia"/>
              </w:rPr>
              <w:t>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p>
            <w:r>
              <w:rPr>
                <w:rFonts w:hint="eastAsia"/>
              </w:rPr>
              <w:br w:type="page"/>
            </w:r>
            <w:r>
              <w:rPr>
                <w:rFonts w:hint="eastAsia"/>
              </w:rPr>
              <w:t>4)正面锁:符合QB/T1621-2015标准，其中电镀件中性盐雾试验耐腐蚀100H达到10级，钥匙不同牙花数大于700种，互开率合格，使用寿命达到30000次正常。</w:t>
            </w:r>
            <w:r>
              <w:rPr>
                <w:rFonts w:hint="eastAsia"/>
              </w:rPr>
              <w:br w:type="page"/>
            </w:r>
            <w:r>
              <w:rPr>
                <w:rFonts w:hint="eastAsia"/>
              </w:rPr>
              <w:br w:type="page"/>
            </w:r>
          </w:p>
        </w:tc>
        <w:tc>
          <w:tcPr>
            <w:tcW w:w="1811" w:type="dxa"/>
            <w:vAlign w:val="center"/>
          </w:tcPr>
          <w:p>
            <w:pPr>
              <w:jc w:val="center"/>
            </w:pPr>
            <w:r>
              <w:rPr>
                <w:rFonts w:hint="eastAsia"/>
              </w:rPr>
              <w:t>1400 mm (L)</w:t>
            </w:r>
            <w:r>
              <w:rPr>
                <w:rFonts w:hint="eastAsia"/>
              </w:rPr>
              <w:br w:type="textWrapping"/>
            </w:r>
            <w:r>
              <w:rPr>
                <w:rFonts w:hint="eastAsia"/>
              </w:rPr>
              <w:t>400 mm (W)</w:t>
            </w:r>
            <w:r>
              <w:rPr>
                <w:rFonts w:hint="eastAsia"/>
              </w:rPr>
              <w:br w:type="textWrapping"/>
            </w:r>
            <w:r>
              <w:rPr>
                <w:rFonts w:hint="eastAsia"/>
              </w:rPr>
              <w:t>1202 mm (H)</w:t>
            </w:r>
          </w:p>
        </w:tc>
        <w:tc>
          <w:tcPr>
            <w:tcW w:w="705" w:type="dxa"/>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15694" w:type="dxa"/>
            <w:gridSpan w:val="5"/>
            <w:noWrap/>
            <w:vAlign w:val="center"/>
          </w:tcPr>
          <w:p>
            <w:pPr>
              <w:jc w:val="center"/>
              <w:rPr>
                <w:b/>
                <w:bCs/>
              </w:rPr>
            </w:pPr>
            <w:r>
              <w:rPr>
                <w:rFonts w:hint="eastAsia"/>
                <w:b/>
                <w:bCs/>
              </w:rPr>
              <w:t>会议室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9" w:hRule="atLeast"/>
        </w:trPr>
        <w:tc>
          <w:tcPr>
            <w:tcW w:w="1199" w:type="dxa"/>
            <w:vAlign w:val="center"/>
          </w:tcPr>
          <w:p>
            <w:r>
              <w:rPr>
                <w:rFonts w:hint="eastAsia"/>
              </w:rPr>
              <w:t>会议桌</w:t>
            </w:r>
            <w:r>
              <w:rPr>
                <w:rFonts w:hint="eastAsia"/>
              </w:rPr>
              <w:br w:type="page"/>
            </w:r>
          </w:p>
        </w:tc>
        <w:tc>
          <w:tcPr>
            <w:tcW w:w="2198" w:type="dxa"/>
          </w:tcPr>
          <w:p>
            <w:r>
              <w:rPr>
                <w:rFonts w:hint="eastAsia"/>
              </w:rPr>
              <w:drawing>
                <wp:anchor distT="0" distB="0" distL="114300" distR="114300" simplePos="0" relativeHeight="251695104" behindDoc="0" locked="0" layoutInCell="1" allowOverlap="1">
                  <wp:simplePos x="0" y="0"/>
                  <wp:positionH relativeFrom="column">
                    <wp:posOffset>37465</wp:posOffset>
                  </wp:positionH>
                  <wp:positionV relativeFrom="paragraph">
                    <wp:posOffset>1123950</wp:posOffset>
                  </wp:positionV>
                  <wp:extent cx="1177290" cy="731520"/>
                  <wp:effectExtent l="0" t="0" r="3810" b="11430"/>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7"/>
                          <a:stretch>
                            <a:fillRect/>
                          </a:stretch>
                        </pic:blipFill>
                        <pic:spPr>
                          <a:xfrm>
                            <a:off x="0" y="0"/>
                            <a:ext cx="1177290" cy="731236"/>
                          </a:xfrm>
                          <a:prstGeom prst="rect">
                            <a:avLst/>
                          </a:prstGeom>
                        </pic:spPr>
                      </pic:pic>
                    </a:graphicData>
                  </a:graphic>
                </wp:anchor>
              </w:drawing>
            </w:r>
          </w:p>
        </w:tc>
        <w:tc>
          <w:tcPr>
            <w:tcW w:w="9781" w:type="dxa"/>
          </w:tcPr>
          <w:p>
            <w:r>
              <w:rPr>
                <w:rFonts w:hint="eastAsia"/>
              </w:rPr>
              <w:br w:type="page"/>
            </w:r>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p>
          <w:p>
            <w:r>
              <w:rPr>
                <w:rFonts w:hint="eastAsia"/>
              </w:rPr>
              <w:br w:type="page"/>
            </w:r>
            <w:r>
              <w:rPr>
                <w:rFonts w:hint="eastAsia"/>
              </w:rPr>
              <w:t>2)优质浸渍胶膜纸饰面板,基材采用"E0"环保刨花板,甲醛释放量优于国家标准;</w:t>
            </w:r>
            <w:r>
              <w:rPr>
                <w:rFonts w:hint="eastAsia"/>
              </w:rPr>
              <w:br w:type="page"/>
            </w:r>
          </w:p>
          <w:p>
            <w:r>
              <w:rPr>
                <w:rFonts w:hint="eastAsia"/>
              </w:rPr>
              <w:t>3)ABS封边条:表面耐光色牢度≥4级;表面耐龟裂性≥2级;表面耐磨性能30r;通过QB/T4463-2013 《家具用封边条技术要求》理化性能检测要求</w:t>
            </w:r>
          </w:p>
          <w:p>
            <w:r>
              <w:rPr>
                <w:rFonts w:hint="eastAsia"/>
              </w:rPr>
              <w:br w:type="page"/>
            </w:r>
            <w:r>
              <w:rPr>
                <w:rFonts w:hint="eastAsia"/>
              </w:rPr>
              <w:t>4)线盒:表面耐腐蚀中性盐雾测试100h后无锈蚀、剥落、起皱;表面附着力≥2级;通过《GB/T 3325-2017金属家具通用技术条件》理化性能检测要求</w:t>
            </w:r>
          </w:p>
          <w:p>
            <w:r>
              <w:rPr>
                <w:rFonts w:hint="eastAsia"/>
              </w:rPr>
              <w:br w:type="page"/>
            </w:r>
            <w:r>
              <w:rPr>
                <w:rFonts w:hint="eastAsia"/>
              </w:rPr>
              <w:t>5)采用ADC12铝合金一体压铸成型,表面抛光处理。</w:t>
            </w:r>
          </w:p>
          <w:p>
            <w:r>
              <w:rPr>
                <w:rFonts w:hint="eastAsia"/>
              </w:rPr>
              <w:br w:type="page"/>
            </w:r>
            <w:r>
              <w:rPr>
                <w:rFonts w:hint="eastAsia"/>
              </w:rPr>
              <w:t>6)喷涂铝材:采用AL6063-T5铝合金,型材截面厚度1mm~1.5mm,满足GB/T 5237.1-2017 铝合金建筑型材 第1部分:基材（包装、尺寸、装配要求）;表面处理:静电粉末喷涂,漆膜的划格试验涂层附着力满足GB/T 9286-1998 色漆和清漆要求;符合(QB/T 1950-2013 家具表面漆膜耐盐浴测定法)</w:t>
            </w:r>
            <w:r>
              <w:rPr>
                <w:rFonts w:hint="eastAsia"/>
              </w:rPr>
              <w:br w:type="page"/>
            </w:r>
          </w:p>
          <w:p>
            <w:r>
              <w:rPr>
                <w:rFonts w:hint="eastAsia"/>
              </w:rPr>
              <w:t>7)喷涂五金:符合GB/T 3325-2017要求:附着力≥1级,耐冲击强度≥50mm,耐碱性,耐酸性,耐沸水性良好</w:t>
            </w:r>
          </w:p>
          <w:p>
            <w:r>
              <w:rPr>
                <w:rFonts w:hint="eastAsia"/>
              </w:rPr>
              <w:br w:type="page"/>
            </w:r>
            <w:r>
              <w:rPr>
                <w:rFonts w:hint="eastAsia"/>
              </w:rPr>
              <w:t>8)塑胶件:符合(GB/T 3325-2017金属家具通用技术条件)中5.5.2产品部件材质理化性能,耐老化性能,户外使用的产品塑料件耐老化试验时间500h,试验后拉伸强度、断裂伸长率、冲击强度的保持率不小于60%;外观颜色变色评级不小于3级</w:t>
            </w:r>
            <w:r>
              <w:rPr>
                <w:rFonts w:hint="eastAsia"/>
              </w:rPr>
              <w:br w:type="page"/>
            </w:r>
          </w:p>
          <w:p>
            <w:r>
              <w:rPr>
                <w:rFonts w:hint="eastAsia"/>
              </w:rPr>
              <w:t>工艺说明:</w:t>
            </w:r>
            <w:r>
              <w:rPr>
                <w:rFonts w:hint="eastAsia"/>
              </w:rPr>
              <w:br w:type="page"/>
            </w:r>
          </w:p>
          <w:p>
            <w:r>
              <w:rPr>
                <w:rFonts w:hint="eastAsia"/>
              </w:rPr>
              <w:t>1)采用先进激光封边技术;</w:t>
            </w:r>
            <w:r>
              <w:rPr>
                <w:rFonts w:hint="eastAsia"/>
              </w:rPr>
              <w:br w:type="page"/>
            </w:r>
          </w:p>
          <w:p>
            <w:r>
              <w:rPr>
                <w:rFonts w:hint="eastAsia"/>
              </w:rPr>
              <w:t>2)板材边部斜切薄边工艺;</w:t>
            </w:r>
            <w:r>
              <w:rPr>
                <w:rFonts w:hint="eastAsia"/>
              </w:rPr>
              <w:br w:type="page"/>
            </w:r>
          </w:p>
          <w:p>
            <w:r>
              <w:rPr>
                <w:rFonts w:hint="eastAsia"/>
              </w:rPr>
              <w:t>3)板材厚度25mm,边部10mm薄边,斜切,光滑平整、不易破损、脱落</w:t>
            </w:r>
            <w:r>
              <w:rPr>
                <w:rFonts w:hint="eastAsia"/>
              </w:rPr>
              <w:br w:type="page"/>
            </w:r>
          </w:p>
        </w:tc>
        <w:tc>
          <w:tcPr>
            <w:tcW w:w="1811" w:type="dxa"/>
            <w:vAlign w:val="center"/>
          </w:tcPr>
          <w:p>
            <w:pPr>
              <w:jc w:val="center"/>
            </w:pPr>
            <w:r>
              <w:rPr>
                <w:rFonts w:hint="eastAsia"/>
              </w:rPr>
              <w:br w:type="page"/>
            </w:r>
            <w:r>
              <w:rPr>
                <w:rFonts w:hint="eastAsia"/>
              </w:rPr>
              <w:t>3800 mm (L)</w:t>
            </w:r>
            <w:r>
              <w:rPr>
                <w:rFonts w:hint="eastAsia"/>
              </w:rPr>
              <w:br w:type="page"/>
            </w:r>
          </w:p>
          <w:p>
            <w:pPr>
              <w:jc w:val="center"/>
            </w:pPr>
            <w:r>
              <w:rPr>
                <w:rFonts w:hint="eastAsia"/>
              </w:rPr>
              <w:t>1480 mm (W)</w:t>
            </w:r>
            <w:r>
              <w:rPr>
                <w:rFonts w:hint="eastAsia"/>
              </w:rPr>
              <w:br w:type="page"/>
            </w:r>
          </w:p>
          <w:p>
            <w:pPr>
              <w:jc w:val="center"/>
            </w:pPr>
            <w:r>
              <w:rPr>
                <w:rFonts w:hint="eastAsia"/>
              </w:rPr>
              <w:t>750 mm (H)</w:t>
            </w:r>
            <w:r>
              <w:rPr>
                <w:rFonts w:hint="eastAsia"/>
              </w:rPr>
              <w:br w:type="page"/>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9" w:hRule="atLeast"/>
        </w:trPr>
        <w:tc>
          <w:tcPr>
            <w:tcW w:w="1199" w:type="dxa"/>
            <w:vAlign w:val="center"/>
          </w:tcPr>
          <w:p>
            <w:r>
              <w:rPr>
                <w:rFonts w:hint="eastAsia"/>
              </w:rPr>
              <w:t>会议椅</w:t>
            </w:r>
          </w:p>
        </w:tc>
        <w:tc>
          <w:tcPr>
            <w:tcW w:w="2198" w:type="dxa"/>
          </w:tcPr>
          <w:p>
            <w:r>
              <w:rPr>
                <w:rFonts w:hint="eastAsia"/>
              </w:rPr>
              <w:drawing>
                <wp:anchor distT="0" distB="0" distL="114300" distR="114300" simplePos="0" relativeHeight="251734016" behindDoc="0" locked="0" layoutInCell="1" allowOverlap="1">
                  <wp:simplePos x="0" y="0"/>
                  <wp:positionH relativeFrom="column">
                    <wp:posOffset>57150</wp:posOffset>
                  </wp:positionH>
                  <wp:positionV relativeFrom="paragraph">
                    <wp:posOffset>550545</wp:posOffset>
                  </wp:positionV>
                  <wp:extent cx="1073150" cy="1494155"/>
                  <wp:effectExtent l="0" t="0" r="12700" b="10795"/>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38"/>
                          <a:stretch>
                            <a:fillRect/>
                          </a:stretch>
                        </pic:blipFill>
                        <pic:spPr>
                          <a:xfrm>
                            <a:off x="0" y="0"/>
                            <a:ext cx="1073426" cy="1493892"/>
                          </a:xfrm>
                          <a:prstGeom prst="rect">
                            <a:avLst/>
                          </a:prstGeom>
                        </pic:spPr>
                      </pic:pic>
                    </a:graphicData>
                  </a:graphic>
                </wp:anchor>
              </w:drawing>
            </w:r>
          </w:p>
        </w:tc>
        <w:tc>
          <w:tcPr>
            <w:tcW w:w="9781" w:type="dxa"/>
          </w:tcPr>
          <w:p>
            <w:r>
              <w:rPr>
                <w:rFonts w:hint="eastAsia"/>
              </w:rPr>
              <w:t>1)面料:优质网布面料,符合GB 18401-2010、GB/T 19817-2005标准;芳香胺有害物质含量0,颜色干擦牢度≥3级,耐磨性≥12000转,断裂强度≥350N</w:t>
            </w:r>
            <w:r>
              <w:rPr>
                <w:rFonts w:hint="eastAsia"/>
              </w:rPr>
              <w:br w:type="textWrapping"/>
            </w:r>
            <w:r>
              <w:rPr>
                <w:rFonts w:hint="eastAsia"/>
              </w:rPr>
              <w:t>2)背框:尼龙+30%玻纤</w:t>
            </w:r>
            <w:r>
              <w:rPr>
                <w:rFonts w:hint="eastAsia"/>
              </w:rPr>
              <w:br w:type="textWrapping"/>
            </w:r>
            <w:r>
              <w:rPr>
                <w:rFonts w:hint="eastAsia"/>
              </w:rPr>
              <w:t>3)座垫：一体成型定型绵,密度≥48kg/m³,回弹性≥40%,通过CA TB117-2013防火性能检测</w:t>
            </w:r>
            <w:r>
              <w:rPr>
                <w:rFonts w:hint="eastAsia"/>
              </w:rPr>
              <w:br w:type="textWrapping"/>
            </w:r>
            <w:r>
              <w:rPr>
                <w:rFonts w:hint="eastAsia"/>
              </w:rPr>
              <w:t>4)曲木板:E1级成型胶合板（曲木板）,符合GB/T 22350-2017标准、GB 18580-2017标准、HJ 571-2010标准、GB 18584-2001标准，其中尺寸（长度、宽度及厚度）偏差、形位偏差、外观质量、含水率、浸渍剥离性能、抗压性能、点抗压性能均合格，甲醛释放量≤0.02mg/m³，TVOC≤0.10mg/㎡.h。</w:t>
            </w:r>
            <w:r>
              <w:rPr>
                <w:rFonts w:hint="eastAsia"/>
              </w:rPr>
              <w:br w:type="textWrapping"/>
            </w:r>
            <w:r>
              <w:rPr>
                <w:rFonts w:hint="eastAsia"/>
              </w:rPr>
              <w:t>5)扶手:固定PP扶手,可承受水平方向445N加载持续15s,垂直方向750N加载持续15s,10±1°施力400N执行60000次循环</w:t>
            </w:r>
            <w:r>
              <w:rPr>
                <w:rFonts w:hint="eastAsia"/>
              </w:rPr>
              <w:br w:type="textWrapping"/>
            </w:r>
            <w:r>
              <w:rPr>
                <w:rFonts w:hint="eastAsia"/>
              </w:rPr>
              <w:t>6)椅架：壁厚1.8mm钢管折弯而成，表面电镀处理壁,涂层附着力不低于2级,耐腐蚀100h,可承受136kg冲击及57kg耐久100000次冲击。</w:t>
            </w:r>
            <w:r>
              <w:rPr>
                <w:rFonts w:hint="eastAsia"/>
              </w:rPr>
              <w:br w:type="textWrapping"/>
            </w:r>
          </w:p>
        </w:tc>
        <w:tc>
          <w:tcPr>
            <w:tcW w:w="1811" w:type="dxa"/>
            <w:vAlign w:val="center"/>
          </w:tcPr>
          <w:p>
            <w:pPr>
              <w:jc w:val="center"/>
            </w:pPr>
            <w:r>
              <w:rPr>
                <w:rFonts w:hint="eastAsia"/>
              </w:rPr>
              <w:t>620 mm (L)</w:t>
            </w:r>
            <w:r>
              <w:rPr>
                <w:rFonts w:hint="eastAsia"/>
              </w:rPr>
              <w:br w:type="textWrapping"/>
            </w:r>
            <w:r>
              <w:rPr>
                <w:rFonts w:hint="eastAsia"/>
              </w:rPr>
              <w:t>615 mm (W)</w:t>
            </w:r>
            <w:r>
              <w:rPr>
                <w:rFonts w:hint="eastAsia"/>
              </w:rPr>
              <w:br w:type="textWrapping"/>
            </w:r>
            <w:r>
              <w:rPr>
                <w:rFonts w:hint="eastAsia"/>
              </w:rPr>
              <w:t>1015 mm (H)</w:t>
            </w:r>
          </w:p>
        </w:tc>
        <w:tc>
          <w:tcPr>
            <w:tcW w:w="705" w:type="dxa"/>
            <w:vAlign w:val="center"/>
          </w:tcPr>
          <w:p>
            <w:pPr>
              <w:jc w:val="center"/>
            </w:pPr>
            <w:r>
              <w:rPr>
                <w:rFonts w:hint="eastAsia"/>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8" w:hRule="atLeast"/>
        </w:trPr>
        <w:tc>
          <w:tcPr>
            <w:tcW w:w="1199" w:type="dxa"/>
            <w:vAlign w:val="center"/>
          </w:tcPr>
          <w:p>
            <w:r>
              <w:rPr>
                <w:rFonts w:hint="eastAsia"/>
              </w:rPr>
              <w:t>茶水矮柜</w:t>
            </w:r>
          </w:p>
        </w:tc>
        <w:tc>
          <w:tcPr>
            <w:tcW w:w="2198" w:type="dxa"/>
          </w:tcPr>
          <w:p>
            <w:r>
              <w:rPr>
                <w:rFonts w:hint="eastAsia"/>
              </w:rPr>
              <w:drawing>
                <wp:anchor distT="0" distB="0" distL="114300" distR="114300" simplePos="0" relativeHeight="251698176" behindDoc="0" locked="0" layoutInCell="1" allowOverlap="1">
                  <wp:simplePos x="0" y="0"/>
                  <wp:positionH relativeFrom="column">
                    <wp:posOffset>140970</wp:posOffset>
                  </wp:positionH>
                  <wp:positionV relativeFrom="paragraph">
                    <wp:posOffset>316230</wp:posOffset>
                  </wp:positionV>
                  <wp:extent cx="1073785" cy="1137920"/>
                  <wp:effectExtent l="0" t="0" r="12065" b="508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9"/>
                          <a:stretch>
                            <a:fillRect/>
                          </a:stretch>
                        </pic:blipFill>
                        <pic:spPr>
                          <a:xfrm>
                            <a:off x="0" y="0"/>
                            <a:ext cx="1073888" cy="1137683"/>
                          </a:xfrm>
                          <a:prstGeom prst="rect">
                            <a:avLst/>
                          </a:prstGeom>
                        </pic:spPr>
                      </pic:pic>
                    </a:graphicData>
                  </a:graphic>
                </wp:anchor>
              </w:drawing>
            </w:r>
          </w:p>
        </w:tc>
        <w:tc>
          <w:tcPr>
            <w:tcW w:w="9781" w:type="dxa"/>
          </w:tcPr>
          <w:p>
            <w:r>
              <w:rPr>
                <w:rFonts w:hint="eastAsia"/>
              </w:rPr>
              <w:t>1)防火饰面板:面材采用装饰原纸,选用优质三聚氰胺浸胶工艺,使表面稳定性更好,层次感更优,耐污抗磨性更强,通过GB/T 15102浸渍胶膜纸饰面人造板表面理化性能要求;基材采用E0级中纤板、E0级刨花板,通过GB/T18580-2017要求,甲醛释放量≤0.124mg/m³</w:t>
            </w:r>
            <w:r>
              <w:rPr>
                <w:rFonts w:hint="eastAsia"/>
              </w:rPr>
              <w:br w:type="textWrapping"/>
            </w:r>
            <w:r>
              <w:rPr>
                <w:rFonts w:hint="eastAsia"/>
              </w:rPr>
              <w:t>2)PVC封边条:表面耐光色牢度≥4级;表面耐龟裂性≥2级;表面耐磨性能30r;通过QB/T4463-2013 《家具用封边条技术要求》理化性能检测要求</w:t>
            </w:r>
            <w:r>
              <w:rPr>
                <w:rFonts w:hint="eastAsia"/>
              </w:rPr>
              <w:br w:type="textWrapping"/>
            </w:r>
            <w:r>
              <w:rPr>
                <w:rFonts w:hint="eastAsia"/>
              </w:rPr>
              <w:t>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tc>
        <w:tc>
          <w:tcPr>
            <w:tcW w:w="1811" w:type="dxa"/>
            <w:vAlign w:val="center"/>
          </w:tcPr>
          <w:p>
            <w:pPr>
              <w:jc w:val="center"/>
            </w:pPr>
            <w:r>
              <w:rPr>
                <w:rFonts w:hint="eastAsia"/>
              </w:rPr>
              <w:t>816 mm (L)</w:t>
            </w:r>
            <w:r>
              <w:rPr>
                <w:rFonts w:hint="eastAsia"/>
              </w:rPr>
              <w:br w:type="textWrapping"/>
            </w:r>
            <w:r>
              <w:rPr>
                <w:rFonts w:hint="eastAsia"/>
              </w:rPr>
              <w:t>400 mm (W)</w:t>
            </w:r>
            <w:r>
              <w:rPr>
                <w:rFonts w:hint="eastAsia"/>
              </w:rPr>
              <w:br w:type="textWrapping"/>
            </w:r>
            <w:r>
              <w:rPr>
                <w:rFonts w:hint="eastAsia"/>
              </w:rPr>
              <w:t>808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5694" w:type="dxa"/>
            <w:gridSpan w:val="5"/>
            <w:noWrap/>
            <w:vAlign w:val="center"/>
          </w:tcPr>
          <w:p>
            <w:pPr>
              <w:jc w:val="center"/>
              <w:rPr>
                <w:b/>
                <w:bCs/>
              </w:rPr>
            </w:pPr>
            <w:r>
              <w:rPr>
                <w:rFonts w:hint="eastAsia"/>
                <w:b/>
                <w:bCs/>
              </w:rPr>
              <w:t>三楼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5694" w:type="dxa"/>
            <w:gridSpan w:val="5"/>
            <w:noWrap/>
            <w:vAlign w:val="center"/>
          </w:tcPr>
          <w:p>
            <w:pPr>
              <w:jc w:val="center"/>
              <w:rPr>
                <w:b/>
                <w:bCs/>
              </w:rPr>
            </w:pPr>
            <w:r>
              <w:rPr>
                <w:rFonts w:hint="eastAsia"/>
                <w:b/>
                <w:bCs/>
              </w:rPr>
              <w:t>所长办公室、会客室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6" w:hRule="atLeast"/>
        </w:trPr>
        <w:tc>
          <w:tcPr>
            <w:tcW w:w="1199" w:type="dxa"/>
            <w:vMerge w:val="restart"/>
            <w:vAlign w:val="center"/>
          </w:tcPr>
          <w:p>
            <w:r>
              <w:rPr>
                <w:rFonts w:hint="eastAsia"/>
              </w:rPr>
              <w:br w:type="page"/>
            </w:r>
            <w:r>
              <w:rPr>
                <w:rFonts w:hint="eastAsia"/>
              </w:rPr>
              <w:t>所长办公桌</w:t>
            </w:r>
            <w:r>
              <w:rPr>
                <w:rFonts w:hint="eastAsia"/>
              </w:rPr>
              <w:br w:type="page"/>
            </w:r>
          </w:p>
        </w:tc>
        <w:tc>
          <w:tcPr>
            <w:tcW w:w="2198" w:type="dxa"/>
            <w:vMerge w:val="restart"/>
            <w:noWrap/>
          </w:tcPr>
          <w:p/>
          <w:p>
            <w:r>
              <w:rPr>
                <w:rFonts w:hint="eastAsia"/>
              </w:rPr>
              <w:drawing>
                <wp:anchor distT="0" distB="0" distL="114300" distR="114300" simplePos="0" relativeHeight="251697152" behindDoc="0" locked="0" layoutInCell="1" allowOverlap="1">
                  <wp:simplePos x="0" y="0"/>
                  <wp:positionH relativeFrom="column">
                    <wp:posOffset>15240</wp:posOffset>
                  </wp:positionH>
                  <wp:positionV relativeFrom="paragraph">
                    <wp:posOffset>1087120</wp:posOffset>
                  </wp:positionV>
                  <wp:extent cx="1224280" cy="652145"/>
                  <wp:effectExtent l="0" t="0" r="13970" b="14605"/>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0"/>
                          <a:stretch>
                            <a:fillRect/>
                          </a:stretch>
                        </pic:blipFill>
                        <pic:spPr>
                          <a:xfrm>
                            <a:off x="0" y="0"/>
                            <a:ext cx="1224501" cy="652007"/>
                          </a:xfrm>
                          <a:prstGeom prst="rect">
                            <a:avLst/>
                          </a:prstGeom>
                        </pic:spPr>
                      </pic:pic>
                    </a:graphicData>
                  </a:graphic>
                </wp:anchor>
              </w:drawing>
            </w:r>
          </w:p>
        </w:tc>
        <w:tc>
          <w:tcPr>
            <w:tcW w:w="9781" w:type="dxa"/>
            <w:vMerge w:val="restart"/>
          </w:tcPr>
          <w:p>
            <w:r>
              <w:t>1)防火饰面板:面材采用优质装饰原纸,选用优质三聚氰胺浸胶工艺,使表面稳定性更好,层次感更优,耐污抗磨性更强,通过GB/T 15102浸渍胶膜纸饰面人造板表面理化性能要求;基材采用E0级中纤板、E0级刨花板,通过GB/T 39600-2021要求,甲醛释放量≤0.05mg/m³</w:t>
            </w:r>
          </w:p>
          <w:p>
            <w:r>
              <w:t>2)包覆抽屉:表面胶合强度≥0.4Mpa;表面耐磨性能80r;耐剥离力45N±5N;耐划痕性能≥1.5N时间表面无整圈划痕;甲醛释放量≤0.08mg/m³;通过《LY/T 1279-2008 聚氯乙烯薄膜饰面人造板》中理化性能检测要求</w:t>
            </w:r>
          </w:p>
          <w:p>
            <w:r>
              <w:t>3)PVC封边条:符合QB/T 4463-2013标准、GB 28481-2012标准,其中甲醛释放量、可溶性重金属(镉、铬、汞、砷、锑、硒)、邻苯二甲酸酯、多溴联苯、多</w:t>
            </w:r>
            <w:r>
              <w:rPr>
                <w:rFonts w:hint="eastAsia"/>
              </w:rPr>
              <w:t>㴪二苯醚含量均须低于检出限。</w:t>
            </w:r>
          </w:p>
          <w:p>
            <w:r>
              <w:t>4)喷涂铝材:采用AL6063-T5铝合金,型材截面厚度1mm~1.5mm,满足GB/T 5237.1-2017 铝合金建筑型材 第1部分:基材（包装、尺寸、装配要求）;表面处理:静电粉末喷涂,漆膜的划格试验涂层附着力满足GB/T 9286-1998 色漆和清漆要求;符合(QB/T 1950-2013 家具表面漆膜耐盐浴测定法)</w:t>
            </w:r>
          </w:p>
          <w:p>
            <w:r>
              <w:t>5)氧化铝材:采用AL6063-T5铝合金,型材截面厚度1mm~1.5mm,满足GB/T 5237.1-2017 铝合金建筑型材 第1部分:基材（包装、尺寸、装配要求）;表面处理:碱式氧化,符合(GB/T 5237.2-2017 铝合金建筑型材 第2部分:阳极氧化型材)中耐盐雾腐蚀性。</w:t>
            </w:r>
          </w:p>
          <w:p>
            <w:r>
              <w:t>6)正面锁:符合QB/T1621-2015标准，其中电镀件中性盐雾试验耐腐蚀100H达到10级，钥匙不同牙花数大于700种，互开率合格，使用寿命达到30000次正常。</w:t>
            </w:r>
          </w:p>
          <w:p>
            <w:r>
              <w:t>7)铰链:耐久性商用型达到80000次;表面盐雾18h无锈蚀;通过《QBT 2189-2013 家具五金 杯状暗铰链》理化性能检测要求</w:t>
            </w:r>
          </w:p>
          <w:p>
            <w:r>
              <w:t>8)滑轨:符合GB/T2454-2013要求,通过耐久性4万次测试</w:t>
            </w:r>
          </w:p>
          <w:p>
            <w:r>
              <w:t>9)单面翻转USB充电线盒:线盒1个,适配器1个,USB充电接口2个,USB延长线1根（1.5米）,沉头自攻螺丝（镀镍）ST4*16=1颗ST3*35=1颗</w:t>
            </w:r>
          </w:p>
          <w:p>
            <w:r>
              <w:rPr>
                <w:rFonts w:hint="eastAsia"/>
              </w:rPr>
              <w:t>工艺说明</w:t>
            </w:r>
            <w:r>
              <w:t>:</w:t>
            </w:r>
          </w:p>
          <w:p>
            <w:r>
              <w:t>1)桌面采用双层结构，桌面整体厚度45-55mm，上层面板为中纤板基材+胡桃木皮贴面，经水性漆开孔涂饰工艺处理，厚度不超过10mm，桌面下层部分沿边采用铝合金45度内切斜边处理，铝合金斜边表面采用静电粉末喷涂工艺对铝材保护。</w:t>
            </w:r>
          </w:p>
          <w:p>
            <w:r>
              <w:t>2)桌板下方的6.5cm高度的隐形薄抽可储存私密物品，安全性和私密性极强；</w:t>
            </w:r>
          </w:p>
          <w:p>
            <w:r>
              <w:t>3)侧柜抽屉、背柜下柜门两处采用内斜边的无把手设计，打造隐形柜体，同时手触点处采用了圆弧凹槽设计，方便手指抽拉。隐形斜边把手采用阳极氧化工艺，触摸更细腻亲肤。</w:t>
            </w:r>
          </w:p>
          <w:p>
            <w:r>
              <w:t>4)侧柜抽屉采用PVC一体覆皮工艺，全面真空包覆，与抽屉板一体贴合，无螺丝钉外露，抽屉内部平滑无痕易清理；同时，覆皮有效杜绝抽屉气味外露，更加环保健康。</w:t>
            </w:r>
          </w:p>
          <w:p>
            <w:r>
              <w:t>5)桌角阳角拼接处利用铝合金插件打造高颜值的美缝拼接，无缝一体造型。</w:t>
            </w:r>
          </w:p>
          <w:p>
            <w:r>
              <w:t>6)桌沿边及侧柜边沿采用铝合金内45度内切斜边设计，铝合金斜边表面采用静电粉末喷涂工艺对铝材具有保护作用，喷涂工艺使图层附着力强、不易脱落，经久耐用</w:t>
            </w:r>
          </w:p>
        </w:tc>
        <w:tc>
          <w:tcPr>
            <w:tcW w:w="1811" w:type="dxa"/>
            <w:vMerge w:val="restart"/>
            <w:vAlign w:val="center"/>
          </w:tcPr>
          <w:p>
            <w:pPr>
              <w:jc w:val="center"/>
            </w:pPr>
            <w:r>
              <w:rPr>
                <w:rFonts w:hint="eastAsia"/>
              </w:rPr>
              <w:br w:type="page"/>
            </w:r>
            <w:r>
              <w:rPr>
                <w:rFonts w:hint="eastAsia"/>
              </w:rPr>
              <w:t>1600 mm (L)</w:t>
            </w:r>
          </w:p>
          <w:p>
            <w:pPr>
              <w:jc w:val="center"/>
            </w:pPr>
            <w:r>
              <w:rPr>
                <w:rFonts w:hint="eastAsia"/>
              </w:rPr>
              <w:br w:type="page"/>
            </w:r>
            <w:r>
              <w:rPr>
                <w:rFonts w:hint="eastAsia"/>
              </w:rPr>
              <w:t>1600 mm (W)</w:t>
            </w:r>
            <w:r>
              <w:rPr>
                <w:rFonts w:hint="eastAsia"/>
              </w:rPr>
              <w:br w:type="page"/>
            </w:r>
          </w:p>
          <w:p>
            <w:pPr>
              <w:jc w:val="center"/>
            </w:pPr>
            <w:r>
              <w:rPr>
                <w:rFonts w:hint="eastAsia"/>
              </w:rPr>
              <w:t>750 mm (H)</w:t>
            </w:r>
            <w:r>
              <w:rPr>
                <w:rFonts w:hint="eastAsia"/>
              </w:rPr>
              <w:br w:type="page"/>
            </w:r>
          </w:p>
        </w:tc>
        <w:tc>
          <w:tcPr>
            <w:tcW w:w="705" w:type="dxa"/>
            <w:vMerge w:val="restart"/>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6" w:hRule="atLeast"/>
        </w:trPr>
        <w:tc>
          <w:tcPr>
            <w:tcW w:w="1199" w:type="dxa"/>
            <w:vMerge w:val="continue"/>
            <w:vAlign w:val="center"/>
          </w:tcPr>
          <w:p/>
        </w:tc>
        <w:tc>
          <w:tcPr>
            <w:tcW w:w="2198" w:type="dxa"/>
            <w:vMerge w:val="continue"/>
          </w:tcPr>
          <w:p/>
        </w:tc>
        <w:tc>
          <w:tcPr>
            <w:tcW w:w="9781" w:type="dxa"/>
            <w:vMerge w:val="continue"/>
          </w:tcPr>
          <w:p/>
        </w:tc>
        <w:tc>
          <w:tcPr>
            <w:tcW w:w="1811" w:type="dxa"/>
            <w:vMerge w:val="continue"/>
            <w:vAlign w:val="center"/>
          </w:tcPr>
          <w:p>
            <w:pPr>
              <w:jc w:val="center"/>
            </w:pPr>
          </w:p>
        </w:tc>
        <w:tc>
          <w:tcPr>
            <w:tcW w:w="705"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0" w:hRule="atLeast"/>
        </w:trPr>
        <w:tc>
          <w:tcPr>
            <w:tcW w:w="1199" w:type="dxa"/>
            <w:vMerge w:val="restart"/>
            <w:vAlign w:val="center"/>
          </w:tcPr>
          <w:p>
            <w:r>
              <w:rPr>
                <w:rFonts w:hint="eastAsia"/>
              </w:rPr>
              <w:t>教导办公桌</w:t>
            </w:r>
          </w:p>
        </w:tc>
        <w:tc>
          <w:tcPr>
            <w:tcW w:w="2198" w:type="dxa"/>
            <w:vMerge w:val="restart"/>
            <w:noWrap/>
          </w:tcPr>
          <w:p/>
          <w:p>
            <w:r>
              <w:rPr>
                <w:rFonts w:hint="eastAsia"/>
              </w:rPr>
              <w:drawing>
                <wp:anchor distT="0" distB="0" distL="114300" distR="114300" simplePos="0" relativeHeight="251699200" behindDoc="0" locked="0" layoutInCell="1" allowOverlap="1">
                  <wp:simplePos x="0" y="0"/>
                  <wp:positionH relativeFrom="column">
                    <wp:posOffset>31115</wp:posOffset>
                  </wp:positionH>
                  <wp:positionV relativeFrom="paragraph">
                    <wp:posOffset>1677670</wp:posOffset>
                  </wp:positionV>
                  <wp:extent cx="1176655" cy="653415"/>
                  <wp:effectExtent l="0" t="0" r="4445" b="13335"/>
                  <wp:wrapNone/>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40"/>
                          <a:stretch>
                            <a:fillRect/>
                          </a:stretch>
                        </pic:blipFill>
                        <pic:spPr>
                          <a:xfrm>
                            <a:off x="0" y="0"/>
                            <a:ext cx="1176793" cy="653412"/>
                          </a:xfrm>
                          <a:prstGeom prst="rect">
                            <a:avLst/>
                          </a:prstGeom>
                        </pic:spPr>
                      </pic:pic>
                    </a:graphicData>
                  </a:graphic>
                </wp:anchor>
              </w:drawing>
            </w:r>
          </w:p>
        </w:tc>
        <w:tc>
          <w:tcPr>
            <w:tcW w:w="9781" w:type="dxa"/>
            <w:vMerge w:val="restart"/>
          </w:tcPr>
          <w:p>
            <w:r>
              <w:t>1)防火饰面板:面材采用优质装饰原纸,选用优质三聚氰胺浸胶工艺,使表面稳定性更好,层次感更优,耐污抗磨性更强,通过GB/T 15102浸渍胶膜纸饰面人造板表面理化性能要求;基材采用E0级中纤板、E0级刨花板,通过GB/T 39600-2021要求,甲醛释放量≤0.05mg/m³</w:t>
            </w:r>
          </w:p>
          <w:p>
            <w:r>
              <w:t>2)包覆抽屉:表面胶合强度≥0.4Mpa;表面耐磨性能80r;耐剥离力45N±5N;耐划痕性能≥1.5N时间表面无整圈划痕;甲醛释放量≤0.08mg/m³;通过《LY/T 1279-2008 聚氯乙烯薄膜饰面人造板》中理化性能检测要求</w:t>
            </w:r>
          </w:p>
          <w:p>
            <w:r>
              <w:t>3)PVC封边条:符合QB/T 4463-2013标准、GB 28481-2012标准,其中甲醛释放量、可溶性重金属(镉、铬、汞、砷、锑、硒)、邻苯二甲酸酯、多溴联苯、多</w:t>
            </w:r>
            <w:r>
              <w:rPr>
                <w:rFonts w:hint="eastAsia"/>
              </w:rPr>
              <w:t>㴪二苯醚含量均须低于检出限。</w:t>
            </w:r>
          </w:p>
          <w:p>
            <w:r>
              <w:t>4)喷涂铝材:采用AL6063-T5铝合金,型材截面厚度1mm~1.5mm,满足GB/T 5237.1-2017 铝合金建筑型材 第1部分:基材（包装、尺寸、装配要求）;表面处理:静电粉末喷涂,漆膜的划格试验涂层附着力满足GB/T 9286-1998 色漆和清漆要求;符合(QB/T 1950-2013 家具表面漆膜耐盐浴测定法)</w:t>
            </w:r>
          </w:p>
          <w:p>
            <w:r>
              <w:t>5)氧化铝材:采用AL6063-T5铝合金,型材截面厚度1mm~1.5mm,满足GB/T 5237.1-2017 铝合金建筑型材 第1部分:基材（包装、尺寸、装配要求）;表面处理:碱式氧化,符合(GB/T 5237.2-2017 铝合金建筑型材 第2部分:阳极氧化型材)中耐盐雾腐蚀性。</w:t>
            </w:r>
          </w:p>
          <w:p>
            <w:r>
              <w:t>6)正面锁:符合QB/T1621-2015标准，其中电镀件中性盐雾试验耐腐蚀100H达到10级，钥匙不同牙花数大于700种，互开率合格，使用寿命达到30000次正常。</w:t>
            </w:r>
          </w:p>
          <w:p>
            <w:r>
              <w:t>7)铰链:耐久性商用型达到80000次;表面盐雾18h无锈蚀;通过《QBT 2189-2013 家具五金 杯状暗铰链》理化性能检测要求</w:t>
            </w:r>
          </w:p>
          <w:p>
            <w:r>
              <w:t>8)滑轨:符合GB/T2454-2013要求,通过耐久性4万次测试</w:t>
            </w:r>
          </w:p>
          <w:p>
            <w:r>
              <w:t>9)单面翻转USB充电线盒:线盒1个,适配器1个,USB充电接口2个,USB延长线1根（1.5米）,沉头自攻螺丝（镀镍）ST4*16=1颗ST3*35=1颗</w:t>
            </w:r>
          </w:p>
          <w:p>
            <w:r>
              <w:rPr>
                <w:rFonts w:hint="eastAsia"/>
              </w:rPr>
              <w:t>工艺说明</w:t>
            </w:r>
            <w:r>
              <w:t>:</w:t>
            </w:r>
          </w:p>
          <w:p>
            <w:r>
              <w:t>1)桌面采用双层结构，桌面整体厚度45-55mm，上层面板为中纤板基材+胡桃木皮贴面，经水性漆开孔涂饰工艺处理，厚度不超过10mm，桌面下层部分沿边采用铝合金45度内切斜边处理，铝合金斜边表面采用静电粉末喷涂工艺对铝材保护。</w:t>
            </w:r>
          </w:p>
          <w:p>
            <w:r>
              <w:t>2)桌板下方的6.5cm高度的隐形薄抽可储存私密物品，安全性和私密性极强；</w:t>
            </w:r>
          </w:p>
          <w:p>
            <w:r>
              <w:t>3)侧柜抽屉、背柜下柜门两处采用内斜边的无把手设计，打造隐形柜体，同时手触点处采用了圆弧凹槽设计，方便手指抽拉。隐形斜边把手采用阳极氧化工艺，触摸更细腻亲肤。</w:t>
            </w:r>
          </w:p>
          <w:p>
            <w:r>
              <w:t>4)侧柜抽屉采用PVC一体覆皮工艺，全面真空包覆，与抽屉板一体贴合，无螺丝钉外露，抽屉内部平滑无痕易清理；同时，覆皮有效杜绝抽屉气味外露，更加环保健康。</w:t>
            </w:r>
          </w:p>
          <w:p>
            <w:r>
              <w:t>5)桌角阳角拼接处利用铝合金插件打造高颜值的美缝拼接，无缝一体造型。</w:t>
            </w:r>
          </w:p>
          <w:p>
            <w:r>
              <w:t>6)桌沿边及侧柜边沿采用铝合金内45度内切斜边设计，铝合金斜边表面采用静电粉末喷涂工艺对铝材具有保护作用，喷涂工艺使图层附着力强、不易脱落，经久耐用</w:t>
            </w:r>
          </w:p>
        </w:tc>
        <w:tc>
          <w:tcPr>
            <w:tcW w:w="1811" w:type="dxa"/>
            <w:vMerge w:val="restart"/>
            <w:vAlign w:val="center"/>
          </w:tcPr>
          <w:p>
            <w:pPr>
              <w:jc w:val="center"/>
            </w:pPr>
            <w:r>
              <w:rPr>
                <w:rFonts w:hint="eastAsia"/>
              </w:rPr>
              <w:t>1600 mm (L)</w:t>
            </w:r>
            <w:r>
              <w:rPr>
                <w:rFonts w:hint="eastAsia"/>
              </w:rPr>
              <w:br w:type="textWrapping"/>
            </w:r>
            <w:r>
              <w:rPr>
                <w:rFonts w:hint="eastAsia"/>
              </w:rPr>
              <w:t>1600 mm (W)</w:t>
            </w:r>
            <w:r>
              <w:rPr>
                <w:rFonts w:hint="eastAsia"/>
              </w:rPr>
              <w:br w:type="textWrapping"/>
            </w:r>
            <w:r>
              <w:rPr>
                <w:rFonts w:hint="eastAsia"/>
              </w:rPr>
              <w:t>750 mm (H)</w:t>
            </w:r>
          </w:p>
        </w:tc>
        <w:tc>
          <w:tcPr>
            <w:tcW w:w="705" w:type="dxa"/>
            <w:vMerge w:val="restart"/>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0" w:hRule="atLeast"/>
        </w:trPr>
        <w:tc>
          <w:tcPr>
            <w:tcW w:w="1199" w:type="dxa"/>
            <w:vMerge w:val="continue"/>
            <w:vAlign w:val="center"/>
          </w:tcPr>
          <w:p/>
        </w:tc>
        <w:tc>
          <w:tcPr>
            <w:tcW w:w="2198" w:type="dxa"/>
            <w:vMerge w:val="continue"/>
          </w:tcPr>
          <w:p/>
        </w:tc>
        <w:tc>
          <w:tcPr>
            <w:tcW w:w="9781" w:type="dxa"/>
            <w:vMerge w:val="continue"/>
          </w:tcPr>
          <w:p/>
        </w:tc>
        <w:tc>
          <w:tcPr>
            <w:tcW w:w="1811" w:type="dxa"/>
            <w:vMerge w:val="continue"/>
            <w:vAlign w:val="center"/>
          </w:tcPr>
          <w:p>
            <w:pPr>
              <w:jc w:val="center"/>
            </w:pPr>
          </w:p>
        </w:tc>
        <w:tc>
          <w:tcPr>
            <w:tcW w:w="705"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8" w:hRule="atLeast"/>
        </w:trPr>
        <w:tc>
          <w:tcPr>
            <w:tcW w:w="1199" w:type="dxa"/>
            <w:vAlign w:val="center"/>
          </w:tcPr>
          <w:p>
            <w:r>
              <w:rPr>
                <w:rFonts w:hint="eastAsia"/>
              </w:rPr>
              <w:t>所长椅</w:t>
            </w:r>
          </w:p>
        </w:tc>
        <w:tc>
          <w:tcPr>
            <w:tcW w:w="2198" w:type="dxa"/>
          </w:tcPr>
          <w:p>
            <w:r>
              <w:rPr>
                <w:rFonts w:hint="eastAsia"/>
              </w:rPr>
              <w:drawing>
                <wp:anchor distT="0" distB="0" distL="114300" distR="114300" simplePos="0" relativeHeight="251696128" behindDoc="0" locked="0" layoutInCell="1" allowOverlap="1">
                  <wp:simplePos x="0" y="0"/>
                  <wp:positionH relativeFrom="column">
                    <wp:posOffset>236855</wp:posOffset>
                  </wp:positionH>
                  <wp:positionV relativeFrom="paragraph">
                    <wp:posOffset>568960</wp:posOffset>
                  </wp:positionV>
                  <wp:extent cx="875665" cy="1475740"/>
                  <wp:effectExtent l="0" t="0" r="635" b="1016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1"/>
                          <a:stretch>
                            <a:fillRect/>
                          </a:stretch>
                        </pic:blipFill>
                        <pic:spPr>
                          <a:xfrm>
                            <a:off x="0" y="0"/>
                            <a:ext cx="875627" cy="1475715"/>
                          </a:xfrm>
                          <a:prstGeom prst="rect">
                            <a:avLst/>
                          </a:prstGeom>
                        </pic:spPr>
                      </pic:pic>
                    </a:graphicData>
                  </a:graphic>
                </wp:anchor>
              </w:drawing>
            </w:r>
          </w:p>
        </w:tc>
        <w:tc>
          <w:tcPr>
            <w:tcW w:w="9781" w:type="dxa"/>
          </w:tcPr>
          <w:p>
            <w:r>
              <w:rPr>
                <w:rFonts w:hint="eastAsia"/>
              </w:rPr>
              <w:t>1)荔枝纹真皮:中牛皮业,符合GB/T 16799-2018《家具用皮革》,皮厚度0.9-1.1㎜,摩擦色牢度≥4级,耐光性≥5级,撕裂力≥30N,涂层粘着牢度≥2.5N/10mm,耐折牢度50000次无裂纹</w:t>
            </w:r>
            <w:r>
              <w:rPr>
                <w:rFonts w:hint="eastAsia"/>
              </w:rPr>
              <w:br w:type="textWrapping"/>
            </w:r>
            <w:r>
              <w:rPr>
                <w:rFonts w:hint="eastAsia"/>
              </w:rPr>
              <w:t>2)曲木板:E1级成型胶合板,甲醛释放量≤0.124mg/m³</w:t>
            </w:r>
            <w:r>
              <w:rPr>
                <w:rFonts w:hint="eastAsia"/>
              </w:rPr>
              <w:br w:type="textWrapping"/>
            </w:r>
            <w:r>
              <w:rPr>
                <w:rFonts w:hint="eastAsia"/>
              </w:rPr>
              <w:t>3)海绵:座垫密度≥25kg/m³,回弹性≥35%,通过CA TB117-2013防火性能检测</w:t>
            </w:r>
            <w:r>
              <w:rPr>
                <w:rFonts w:hint="eastAsia"/>
              </w:rPr>
              <w:br w:type="textWrapping"/>
            </w:r>
            <w:r>
              <w:rPr>
                <w:rFonts w:hint="eastAsia"/>
              </w:rPr>
              <w:t>4)扶手:铝合金精抛,可承受水平方向667N加载持续15s,垂直方向1125N加载持续15s,10±1°施力400N执行60000次循环</w:t>
            </w:r>
            <w:r>
              <w:rPr>
                <w:rFonts w:hint="eastAsia"/>
              </w:rPr>
              <w:br w:type="textWrapping"/>
            </w:r>
            <w:r>
              <w:rPr>
                <w:rFonts w:hint="eastAsia"/>
              </w:rPr>
              <w:t>5)底盘:优质底盘,底座钢板厚度＞2mm,可承受每分钟10至30次共计300000次倾仰</w:t>
            </w:r>
            <w:r>
              <w:rPr>
                <w:rFonts w:hint="eastAsia"/>
              </w:rPr>
              <w:br w:type="textWrapping"/>
            </w:r>
            <w:r>
              <w:rPr>
                <w:rFonts w:hint="eastAsia"/>
              </w:rPr>
              <w:t>6)气杆:三级气杆,行程72±2mm,升降平稳,无漏声、噪声,可在5次/min—15次/min回旋频率下进行12万次升降</w:t>
            </w:r>
            <w:r>
              <w:rPr>
                <w:rFonts w:hint="eastAsia"/>
              </w:rPr>
              <w:br w:type="textWrapping"/>
            </w:r>
            <w:r>
              <w:rPr>
                <w:rFonts w:hint="eastAsia"/>
              </w:rPr>
              <w:t>7)五星脚:抛光铝合金五星脚,可承受垂直方向施力11120N持续1分钟</w:t>
            </w:r>
            <w:r>
              <w:rPr>
                <w:rFonts w:hint="eastAsia"/>
              </w:rPr>
              <w:br w:type="textWrapping"/>
            </w:r>
            <w:r>
              <w:rPr>
                <w:rFonts w:hint="eastAsia"/>
              </w:rPr>
              <w:t>8)椅轮:PA轮,载荷122kg在无障碍平台进行98000次,有障碍物平台进行2000次往返无破损</w:t>
            </w:r>
            <w:r>
              <w:rPr>
                <w:rFonts w:hint="eastAsia"/>
              </w:rPr>
              <w:br w:type="textWrapping"/>
            </w:r>
            <w:r>
              <w:rPr>
                <w:rFonts w:hint="eastAsia"/>
              </w:rPr>
              <w:t>功能说明:</w:t>
            </w:r>
            <w:r>
              <w:rPr>
                <w:rFonts w:hint="eastAsia"/>
              </w:rPr>
              <w:br w:type="textWrapping"/>
            </w:r>
            <w:r>
              <w:rPr>
                <w:rFonts w:hint="eastAsia"/>
              </w:rPr>
              <w:t>1)底盘调节:STG背座同步倾仰,五档位置锁定,旋钮可调节倾仰松紧力度</w:t>
            </w:r>
          </w:p>
        </w:tc>
        <w:tc>
          <w:tcPr>
            <w:tcW w:w="1811" w:type="dxa"/>
            <w:vAlign w:val="center"/>
          </w:tcPr>
          <w:p>
            <w:pPr>
              <w:jc w:val="center"/>
            </w:pPr>
            <w:r>
              <w:rPr>
                <w:rFonts w:hint="eastAsia"/>
              </w:rPr>
              <w:t>6</w:t>
            </w:r>
            <w:r>
              <w:t>3</w:t>
            </w:r>
            <w:r>
              <w:rPr>
                <w:rFonts w:hint="eastAsia"/>
              </w:rPr>
              <w:t>5 mm (L)</w:t>
            </w:r>
            <w:r>
              <w:rPr>
                <w:rFonts w:hint="eastAsia"/>
              </w:rPr>
              <w:br w:type="textWrapping"/>
            </w:r>
            <w:r>
              <w:rPr>
                <w:rFonts w:hint="eastAsia"/>
              </w:rPr>
              <w:t>680 mm (W)</w:t>
            </w:r>
            <w:r>
              <w:rPr>
                <w:rFonts w:hint="eastAsia"/>
              </w:rPr>
              <w:br w:type="textWrapping"/>
            </w:r>
            <w:r>
              <w:rPr>
                <w:rFonts w:hint="eastAsia"/>
              </w:rPr>
              <w:t>1225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8" w:hRule="atLeast"/>
        </w:trPr>
        <w:tc>
          <w:tcPr>
            <w:tcW w:w="1199" w:type="dxa"/>
            <w:vAlign w:val="center"/>
          </w:tcPr>
          <w:p>
            <w:r>
              <w:rPr>
                <w:rFonts w:hint="eastAsia"/>
              </w:rPr>
              <w:t>教导椅</w:t>
            </w:r>
          </w:p>
        </w:tc>
        <w:tc>
          <w:tcPr>
            <w:tcW w:w="2198" w:type="dxa"/>
          </w:tcPr>
          <w:p>
            <w:r>
              <w:rPr>
                <w:rFonts w:hint="eastAsia"/>
              </w:rPr>
              <w:drawing>
                <wp:anchor distT="0" distB="0" distL="114300" distR="114300" simplePos="0" relativeHeight="251702272" behindDoc="0" locked="0" layoutInCell="1" allowOverlap="1">
                  <wp:simplePos x="0" y="0"/>
                  <wp:positionH relativeFrom="column">
                    <wp:posOffset>154305</wp:posOffset>
                  </wp:positionH>
                  <wp:positionV relativeFrom="paragraph">
                    <wp:posOffset>167640</wp:posOffset>
                  </wp:positionV>
                  <wp:extent cx="948055" cy="1506220"/>
                  <wp:effectExtent l="0" t="0" r="4445" b="17780"/>
                  <wp:wrapNone/>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41"/>
                          <a:stretch>
                            <a:fillRect/>
                          </a:stretch>
                        </pic:blipFill>
                        <pic:spPr>
                          <a:xfrm>
                            <a:off x="0" y="0"/>
                            <a:ext cx="948055" cy="1506220"/>
                          </a:xfrm>
                          <a:prstGeom prst="rect">
                            <a:avLst/>
                          </a:prstGeom>
                        </pic:spPr>
                      </pic:pic>
                    </a:graphicData>
                  </a:graphic>
                </wp:anchor>
              </w:drawing>
            </w:r>
          </w:p>
        </w:tc>
        <w:tc>
          <w:tcPr>
            <w:tcW w:w="9781" w:type="dxa"/>
          </w:tcPr>
          <w:p>
            <w:r>
              <w:rPr>
                <w:rFonts w:hint="eastAsia"/>
              </w:rPr>
              <w:t>1)荔枝纹真皮:中牛皮业,符合GB/T 16799-2018《家具用皮革》,皮厚度0.9-1.1㎜,摩擦色牢度≥4级,耐光性≥5级,撕裂力≥30N,涂层粘着牢度≥2.5N/10mm,耐折牢度50000次无裂纹</w:t>
            </w:r>
            <w:r>
              <w:rPr>
                <w:rFonts w:hint="eastAsia"/>
              </w:rPr>
              <w:br w:type="page"/>
            </w:r>
            <w:r>
              <w:rPr>
                <w:rFonts w:hint="eastAsia"/>
              </w:rPr>
              <w:t>2)曲木板:E1级成型胶合板,甲醛释放量≤0.124mg/m³</w:t>
            </w:r>
            <w:r>
              <w:rPr>
                <w:rFonts w:hint="eastAsia"/>
              </w:rPr>
              <w:br w:type="page"/>
            </w:r>
            <w:r>
              <w:rPr>
                <w:rFonts w:hint="eastAsia"/>
              </w:rPr>
              <w:t>3)海绵:座垫密度≥25kg/m³,回弹性≥35%,通过CA TB117-2013防火性能检测</w:t>
            </w:r>
            <w:r>
              <w:rPr>
                <w:rFonts w:hint="eastAsia"/>
              </w:rPr>
              <w:br w:type="page"/>
            </w:r>
            <w:r>
              <w:rPr>
                <w:rFonts w:hint="eastAsia"/>
              </w:rPr>
              <w:t>4)扶手:铝合金精抛,可承受水平方向667N加载持续15s,垂直方向1125N加载持续15s,10±1°施力400N执行60000次循环</w:t>
            </w:r>
            <w:r>
              <w:rPr>
                <w:rFonts w:hint="eastAsia"/>
              </w:rPr>
              <w:br w:type="page"/>
            </w:r>
            <w:r>
              <w:rPr>
                <w:rFonts w:hint="eastAsia"/>
              </w:rPr>
              <w:t>5)底盘:优质底盘,底座钢板厚度＞2mm,可承受每分钟10至30次共计300000次倾仰</w:t>
            </w:r>
            <w:r>
              <w:rPr>
                <w:rFonts w:hint="eastAsia"/>
              </w:rPr>
              <w:br w:type="page"/>
            </w:r>
            <w:r>
              <w:rPr>
                <w:rFonts w:hint="eastAsia"/>
              </w:rPr>
              <w:t>6)气杆:三级气杆,行程72±2mm,升降平稳,无漏声、噪声,可在5次/min—15次/min回旋频率下进行12万次升降</w:t>
            </w:r>
            <w:r>
              <w:rPr>
                <w:rFonts w:hint="eastAsia"/>
              </w:rPr>
              <w:br w:type="page"/>
            </w:r>
            <w:r>
              <w:rPr>
                <w:rFonts w:hint="eastAsia"/>
              </w:rPr>
              <w:t>7)五星脚:抛光铝合金五星脚,可承受垂直方向施力11120N持续1分钟</w:t>
            </w:r>
            <w:r>
              <w:rPr>
                <w:rFonts w:hint="eastAsia"/>
              </w:rPr>
              <w:br w:type="page"/>
            </w:r>
            <w:r>
              <w:rPr>
                <w:rFonts w:hint="eastAsia"/>
              </w:rPr>
              <w:t>8)椅轮:PA轮,载荷122kg在无障碍平台进行98000次,有障碍物平台进行2000次往返无破损</w:t>
            </w:r>
            <w:r>
              <w:rPr>
                <w:rFonts w:hint="eastAsia"/>
              </w:rPr>
              <w:br w:type="page"/>
            </w:r>
            <w:r>
              <w:rPr>
                <w:rFonts w:hint="eastAsia"/>
              </w:rPr>
              <w:t>功能说明:</w:t>
            </w:r>
            <w:r>
              <w:rPr>
                <w:rFonts w:hint="eastAsia"/>
              </w:rPr>
              <w:br w:type="page"/>
            </w:r>
            <w:r>
              <w:rPr>
                <w:rFonts w:hint="eastAsia"/>
              </w:rPr>
              <w:t>1)底盘调节:STG背座同步倾仰,五档位置锁定,旋钮可调节倾仰松紧力度</w:t>
            </w:r>
            <w:r>
              <w:rPr>
                <w:rFonts w:hint="eastAsia"/>
              </w:rPr>
              <w:br w:type="page"/>
            </w:r>
          </w:p>
        </w:tc>
        <w:tc>
          <w:tcPr>
            <w:tcW w:w="1811" w:type="dxa"/>
            <w:vAlign w:val="center"/>
          </w:tcPr>
          <w:p>
            <w:pPr>
              <w:jc w:val="center"/>
            </w:pPr>
            <w:r>
              <w:rPr>
                <w:rFonts w:hint="eastAsia"/>
              </w:rPr>
              <w:t>6</w:t>
            </w:r>
            <w:r>
              <w:t>3</w:t>
            </w:r>
            <w:r>
              <w:rPr>
                <w:rFonts w:hint="eastAsia"/>
              </w:rPr>
              <w:t>5 mm (L)</w:t>
            </w:r>
            <w:r>
              <w:rPr>
                <w:rFonts w:hint="eastAsia"/>
              </w:rPr>
              <w:br w:type="textWrapping"/>
            </w:r>
            <w:r>
              <w:rPr>
                <w:rFonts w:hint="eastAsia"/>
              </w:rPr>
              <w:t>680 mm (W)</w:t>
            </w:r>
            <w:r>
              <w:rPr>
                <w:rFonts w:hint="eastAsia"/>
              </w:rPr>
              <w:br w:type="textWrapping"/>
            </w:r>
            <w:r>
              <w:rPr>
                <w:rFonts w:hint="eastAsia"/>
              </w:rPr>
              <w:t>1225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7" w:hRule="atLeast"/>
        </w:trPr>
        <w:tc>
          <w:tcPr>
            <w:tcW w:w="1199" w:type="dxa"/>
            <w:vAlign w:val="center"/>
          </w:tcPr>
          <w:p>
            <w:r>
              <w:rPr>
                <w:rFonts w:hint="eastAsia"/>
              </w:rPr>
              <w:t>会客椅</w:t>
            </w:r>
          </w:p>
        </w:tc>
        <w:tc>
          <w:tcPr>
            <w:tcW w:w="2198" w:type="dxa"/>
          </w:tcPr>
          <w:p>
            <w:r>
              <w:rPr>
                <w:rFonts w:hint="eastAsia"/>
              </w:rPr>
              <w:drawing>
                <wp:anchor distT="0" distB="0" distL="114300" distR="114300" simplePos="0" relativeHeight="251700224" behindDoc="0" locked="0" layoutInCell="1" allowOverlap="1">
                  <wp:simplePos x="0" y="0"/>
                  <wp:positionH relativeFrom="column">
                    <wp:posOffset>110490</wp:posOffset>
                  </wp:positionH>
                  <wp:positionV relativeFrom="paragraph">
                    <wp:posOffset>157480</wp:posOffset>
                  </wp:positionV>
                  <wp:extent cx="1035685" cy="1311910"/>
                  <wp:effectExtent l="0" t="0" r="12065" b="254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2"/>
                          <a:stretch>
                            <a:fillRect/>
                          </a:stretch>
                        </pic:blipFill>
                        <pic:spPr>
                          <a:xfrm>
                            <a:off x="0" y="0"/>
                            <a:ext cx="1035406" cy="1311965"/>
                          </a:xfrm>
                          <a:prstGeom prst="rect">
                            <a:avLst/>
                          </a:prstGeom>
                        </pic:spPr>
                      </pic:pic>
                    </a:graphicData>
                  </a:graphic>
                </wp:anchor>
              </w:drawing>
            </w:r>
          </w:p>
        </w:tc>
        <w:tc>
          <w:tcPr>
            <w:tcW w:w="9781" w:type="dxa"/>
          </w:tcPr>
          <w:p>
            <w:r>
              <w:rPr>
                <w:rFonts w:hint="eastAsia"/>
              </w:rPr>
              <w:t>1)西皮,水性皮:皮革材质力学及耐磨色牢度等符合GB/T16799-2008 《家具用皮革》要求,PH要求3.5-6.0,禁用偶氮染料≤30mg/kg,游离甲醛≤75mg/kg,气味≤3级</w:t>
            </w:r>
            <w:r>
              <w:rPr>
                <w:rFonts w:hint="eastAsia"/>
              </w:rPr>
              <w:br w:type="textWrapping"/>
            </w:r>
            <w:r>
              <w:rPr>
                <w:rFonts w:hint="eastAsia"/>
              </w:rPr>
              <w:t>2)曲木板:E1级成型胶合板,甲醛释放量≤0.124mg/m³</w:t>
            </w:r>
            <w:r>
              <w:rPr>
                <w:rFonts w:hint="eastAsia"/>
              </w:rPr>
              <w:br w:type="textWrapping"/>
            </w:r>
            <w:r>
              <w:rPr>
                <w:rFonts w:hint="eastAsia"/>
              </w:rPr>
              <w:t>3)海绵:座垫密度≥25kg/m³,回弹性≥35%,通过CA TB117-2013防火性能检测</w:t>
            </w:r>
            <w:r>
              <w:rPr>
                <w:rFonts w:hint="eastAsia"/>
              </w:rPr>
              <w:br w:type="textWrapping"/>
            </w:r>
            <w:r>
              <w:rPr>
                <w:rFonts w:hint="eastAsia"/>
              </w:rPr>
              <w:t>4)椅架:壁厚2.0mm,镀层耐盐雾18h,可承受136kg冲击及57kg耐久100000次冲击</w:t>
            </w:r>
          </w:p>
        </w:tc>
        <w:tc>
          <w:tcPr>
            <w:tcW w:w="1811" w:type="dxa"/>
            <w:vAlign w:val="center"/>
          </w:tcPr>
          <w:p>
            <w:pPr>
              <w:jc w:val="center"/>
            </w:pPr>
            <w:r>
              <w:rPr>
                <w:rFonts w:hint="eastAsia"/>
              </w:rPr>
              <w:t>595 mm (L)</w:t>
            </w:r>
            <w:r>
              <w:rPr>
                <w:rFonts w:hint="eastAsia"/>
              </w:rPr>
              <w:br w:type="textWrapping"/>
            </w:r>
            <w:r>
              <w:rPr>
                <w:rFonts w:hint="eastAsia"/>
              </w:rPr>
              <w:t>710 mm (W)</w:t>
            </w:r>
            <w:r>
              <w:rPr>
                <w:rFonts w:hint="eastAsia"/>
              </w:rPr>
              <w:br w:type="textWrapping"/>
            </w:r>
            <w:r>
              <w:rPr>
                <w:rFonts w:hint="eastAsia"/>
              </w:rPr>
              <w:t>950 mm (H)</w:t>
            </w:r>
          </w:p>
        </w:tc>
        <w:tc>
          <w:tcPr>
            <w:tcW w:w="705" w:type="dxa"/>
            <w:vAlign w:val="center"/>
          </w:tcPr>
          <w:p>
            <w:pPr>
              <w:jc w:val="center"/>
            </w:pPr>
            <w:r>
              <w:rPr>
                <w:rFonts w:hint="eastAsi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4" w:hRule="atLeast"/>
        </w:trPr>
        <w:tc>
          <w:tcPr>
            <w:tcW w:w="1199" w:type="dxa"/>
            <w:vAlign w:val="center"/>
          </w:tcPr>
          <w:p>
            <w:r>
              <w:rPr>
                <w:rFonts w:hint="eastAsia"/>
              </w:rPr>
              <w:t>洽谈桌</w:t>
            </w:r>
          </w:p>
        </w:tc>
        <w:tc>
          <w:tcPr>
            <w:tcW w:w="2198" w:type="dxa"/>
          </w:tcPr>
          <w:p>
            <w:r>
              <w:rPr>
                <w:rFonts w:hint="eastAsia"/>
              </w:rPr>
              <w:drawing>
                <wp:anchor distT="0" distB="0" distL="114300" distR="114300" simplePos="0" relativeHeight="251701248" behindDoc="0" locked="0" layoutInCell="1" allowOverlap="1">
                  <wp:simplePos x="0" y="0"/>
                  <wp:positionH relativeFrom="column">
                    <wp:posOffset>1270</wp:posOffset>
                  </wp:positionH>
                  <wp:positionV relativeFrom="paragraph">
                    <wp:posOffset>800735</wp:posOffset>
                  </wp:positionV>
                  <wp:extent cx="1050290" cy="789305"/>
                  <wp:effectExtent l="0" t="0" r="16510" b="10795"/>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43"/>
                          <a:stretch>
                            <a:fillRect/>
                          </a:stretch>
                        </pic:blipFill>
                        <pic:spPr>
                          <a:xfrm>
                            <a:off x="0" y="0"/>
                            <a:ext cx="1050202" cy="789370"/>
                          </a:xfrm>
                          <a:prstGeom prst="rect">
                            <a:avLst/>
                          </a:prstGeom>
                        </pic:spPr>
                      </pic:pic>
                    </a:graphicData>
                  </a:graphic>
                </wp:anchor>
              </w:drawing>
            </w:r>
          </w:p>
        </w:tc>
        <w:tc>
          <w:tcPr>
            <w:tcW w:w="9781" w:type="dxa"/>
          </w:tcPr>
          <w:p>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textWrapping"/>
            </w:r>
            <w:r>
              <w:rPr>
                <w:rFonts w:hint="eastAsia"/>
              </w:rPr>
              <w:t>2)PVC封边条:表面耐光色牢度≥4级;表面耐龟裂性≥2级;表面耐磨性能30r;通过QB/T4463-2013 《家具用封边条技术要求》理化性能检测要求</w:t>
            </w:r>
            <w:r>
              <w:rPr>
                <w:rFonts w:hint="eastAsia"/>
              </w:rPr>
              <w:br w:type="textWrapping"/>
            </w:r>
            <w:r>
              <w:rPr>
                <w:rFonts w:hint="eastAsia"/>
              </w:rPr>
              <w:t>3)喷涂铝材:采用AL6063-T5铝合金,型材截面厚度1mm~1.5mm,满足GB/T 5237.1-2017 铝合金建筑型材 第1部分:基材（包装、尺寸、装配要求）;表面处理:静电粉末喷涂,漆膜的划格试验涂层附着力满足GB/T 9286-1998 色漆和清漆要求;符合(QB/T 1950-2013 家具表面漆膜耐盐浴测定法)</w:t>
            </w:r>
          </w:p>
        </w:tc>
        <w:tc>
          <w:tcPr>
            <w:tcW w:w="1811" w:type="dxa"/>
            <w:vAlign w:val="center"/>
          </w:tcPr>
          <w:p>
            <w:pPr>
              <w:jc w:val="center"/>
            </w:pPr>
            <w:r>
              <w:rPr>
                <w:rFonts w:hint="eastAsia"/>
              </w:rPr>
              <w:t>2000 mm (L)</w:t>
            </w:r>
            <w:r>
              <w:rPr>
                <w:rFonts w:hint="eastAsia"/>
              </w:rPr>
              <w:br w:type="textWrapping"/>
            </w:r>
            <w:r>
              <w:rPr>
                <w:rFonts w:hint="eastAsia"/>
              </w:rPr>
              <w:t>1000 mm (W)</w:t>
            </w:r>
            <w:r>
              <w:rPr>
                <w:rFonts w:hint="eastAsia"/>
              </w:rPr>
              <w:br w:type="textWrapping"/>
            </w:r>
            <w:r>
              <w:rPr>
                <w:rFonts w:hint="eastAsia"/>
              </w:rPr>
              <w:t>750 mm (H)</w:t>
            </w:r>
          </w:p>
        </w:tc>
        <w:tc>
          <w:tcPr>
            <w:tcW w:w="705" w:type="dxa"/>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9" w:hRule="atLeast"/>
        </w:trPr>
        <w:tc>
          <w:tcPr>
            <w:tcW w:w="1199" w:type="dxa"/>
            <w:vAlign w:val="center"/>
          </w:tcPr>
          <w:p>
            <w:r>
              <w:rPr>
                <w:rFonts w:hint="eastAsia"/>
              </w:rPr>
              <w:t>员工椅</w:t>
            </w:r>
          </w:p>
        </w:tc>
        <w:tc>
          <w:tcPr>
            <w:tcW w:w="2198" w:type="dxa"/>
          </w:tcPr>
          <w:p>
            <w:r>
              <w:rPr>
                <w:rFonts w:hint="eastAsia"/>
              </w:rPr>
              <w:drawing>
                <wp:anchor distT="0" distB="0" distL="114300" distR="114300" simplePos="0" relativeHeight="251715584" behindDoc="0" locked="0" layoutInCell="1" allowOverlap="1">
                  <wp:simplePos x="0" y="0"/>
                  <wp:positionH relativeFrom="column">
                    <wp:posOffset>32385</wp:posOffset>
                  </wp:positionH>
                  <wp:positionV relativeFrom="paragraph">
                    <wp:posOffset>485775</wp:posOffset>
                  </wp:positionV>
                  <wp:extent cx="1089025" cy="1644015"/>
                  <wp:effectExtent l="0" t="0" r="15875" b="13335"/>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4"/>
                          <a:stretch>
                            <a:fillRect/>
                          </a:stretch>
                        </pic:blipFill>
                        <pic:spPr>
                          <a:xfrm>
                            <a:off x="0" y="0"/>
                            <a:ext cx="1089329" cy="1643807"/>
                          </a:xfrm>
                          <a:prstGeom prst="rect">
                            <a:avLst/>
                          </a:prstGeom>
                        </pic:spPr>
                      </pic:pic>
                    </a:graphicData>
                  </a:graphic>
                </wp:anchor>
              </w:drawing>
            </w:r>
          </w:p>
        </w:tc>
        <w:tc>
          <w:tcPr>
            <w:tcW w:w="9781" w:type="dxa"/>
          </w:tcPr>
          <w:p>
            <w:r>
              <w:rPr>
                <w:rFonts w:hint="eastAsia"/>
              </w:rPr>
              <w:t>1)面料:优质网布面料,符合GB 18401-2010、GB/T 19817-2005标准;芳香胺有害物质含量0,颜色干擦牢度≥3级,耐磨性≥12000转,断裂强度≥350N</w:t>
            </w:r>
            <w:r>
              <w:rPr>
                <w:rFonts w:hint="eastAsia"/>
              </w:rPr>
              <w:br w:type="textWrapping"/>
            </w:r>
            <w:r>
              <w:rPr>
                <w:rFonts w:hint="eastAsia"/>
              </w:rPr>
              <w:t>2)背框:尼龙+30%玻纤</w:t>
            </w:r>
            <w:r>
              <w:rPr>
                <w:rFonts w:hint="eastAsia"/>
              </w:rPr>
              <w:br w:type="textWrapping"/>
            </w:r>
            <w:r>
              <w:rPr>
                <w:rFonts w:hint="eastAsia"/>
              </w:rPr>
              <w:t>3)座垫：一体成型定型绵,密度≥48kg/m³,回弹性≥40%,通过CA TB117-2013防火性能检测</w:t>
            </w:r>
            <w:r>
              <w:rPr>
                <w:rFonts w:hint="eastAsia"/>
              </w:rPr>
              <w:br w:type="textWrapping"/>
            </w:r>
            <w:r>
              <w:rPr>
                <w:rFonts w:hint="eastAsia"/>
              </w:rPr>
              <w:t>4)曲木板:E1级成型胶合板（曲木板）,符合GB/T 22350-2017标准、GB 18580-2017标准、HJ 571-2010标准、GB 18584-2001标准，其中尺寸（长度、宽度及厚度）偏差、形位偏差、外观质量、含水率、浸渍剥离性能、抗压性能、点抗压性能均合格，甲醛释放量≤0.02mg/m³，TVOC≤0.10mg/㎡.h。</w:t>
            </w:r>
            <w:r>
              <w:rPr>
                <w:rFonts w:hint="eastAsia"/>
              </w:rPr>
              <w:br w:type="textWrapping"/>
            </w:r>
            <w:r>
              <w:rPr>
                <w:rFonts w:hint="eastAsia"/>
              </w:rPr>
              <w:t>5)扶手:固定PP扶手,可承受水平方向445N加载持续15s,垂直方向750N加载持续15s,10±1°施力400N执行60000次循环</w:t>
            </w:r>
            <w:r>
              <w:rPr>
                <w:rFonts w:hint="eastAsia"/>
              </w:rPr>
              <w:br w:type="textWrapping"/>
            </w:r>
            <w:r>
              <w:rPr>
                <w:rFonts w:hint="eastAsia"/>
              </w:rPr>
              <w:t>6)椅架：壁厚1.8mm钢管折弯而成，表面电镀处理壁,涂层附着力不低于2级,耐腐蚀100h,可承受136kg冲击及57kg耐久100000次冲击。</w:t>
            </w:r>
            <w:r>
              <w:rPr>
                <w:rFonts w:hint="eastAsia"/>
              </w:rPr>
              <w:br w:type="textWrapping"/>
            </w:r>
          </w:p>
        </w:tc>
        <w:tc>
          <w:tcPr>
            <w:tcW w:w="1811" w:type="dxa"/>
            <w:vAlign w:val="center"/>
          </w:tcPr>
          <w:p>
            <w:pPr>
              <w:jc w:val="center"/>
            </w:pPr>
            <w:r>
              <w:rPr>
                <w:rFonts w:hint="eastAsia"/>
              </w:rPr>
              <w:t>6</w:t>
            </w:r>
            <w:r>
              <w:t>20</w:t>
            </w:r>
            <w:r>
              <w:rPr>
                <w:rFonts w:hint="eastAsia"/>
              </w:rPr>
              <w:t xml:space="preserve"> mm (L)</w:t>
            </w:r>
            <w:r>
              <w:rPr>
                <w:rFonts w:hint="eastAsia"/>
              </w:rPr>
              <w:br w:type="textWrapping"/>
            </w:r>
            <w:r>
              <w:rPr>
                <w:rFonts w:hint="eastAsia"/>
              </w:rPr>
              <w:t>6</w:t>
            </w:r>
            <w:r>
              <w:t>15</w:t>
            </w:r>
            <w:r>
              <w:rPr>
                <w:rFonts w:hint="eastAsia"/>
              </w:rPr>
              <w:t xml:space="preserve"> mm (W)</w:t>
            </w:r>
            <w:r>
              <w:rPr>
                <w:rFonts w:hint="eastAsia"/>
              </w:rPr>
              <w:br w:type="textWrapping"/>
            </w:r>
            <w:r>
              <w:rPr>
                <w:rFonts w:hint="eastAsia"/>
              </w:rPr>
              <w:t>10</w:t>
            </w:r>
            <w:r>
              <w:t>15</w:t>
            </w:r>
            <w:r>
              <w:rPr>
                <w:rFonts w:hint="eastAsia"/>
              </w:rPr>
              <w:t xml:space="preserve"> mm (H)</w:t>
            </w:r>
          </w:p>
        </w:tc>
        <w:tc>
          <w:tcPr>
            <w:tcW w:w="705" w:type="dxa"/>
            <w:vAlign w:val="center"/>
          </w:tcPr>
          <w:p>
            <w:pPr>
              <w:jc w:val="center"/>
            </w:pPr>
            <w:r>
              <w:rPr>
                <w:rFonts w:hint="eastAsia"/>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0" w:hRule="atLeast"/>
        </w:trPr>
        <w:tc>
          <w:tcPr>
            <w:tcW w:w="1199" w:type="dxa"/>
            <w:vAlign w:val="center"/>
          </w:tcPr>
          <w:p>
            <w:r>
              <w:rPr>
                <w:rFonts w:hint="eastAsia"/>
              </w:rPr>
              <w:br w:type="page"/>
            </w:r>
            <w:r>
              <w:rPr>
                <w:rFonts w:hint="eastAsia"/>
              </w:rPr>
              <w:t>文件柜</w:t>
            </w:r>
            <w:r>
              <w:rPr>
                <w:rFonts w:hint="eastAsia"/>
              </w:rPr>
              <w:br w:type="page"/>
            </w:r>
          </w:p>
        </w:tc>
        <w:tc>
          <w:tcPr>
            <w:tcW w:w="2198" w:type="dxa"/>
          </w:tcPr>
          <w:p>
            <w:r>
              <w:rPr>
                <w:rFonts w:hint="eastAsia"/>
              </w:rPr>
              <w:drawing>
                <wp:anchor distT="0" distB="0" distL="114300" distR="114300" simplePos="0" relativeHeight="251716608" behindDoc="0" locked="0" layoutInCell="1" allowOverlap="1">
                  <wp:simplePos x="0" y="0"/>
                  <wp:positionH relativeFrom="column">
                    <wp:posOffset>113665</wp:posOffset>
                  </wp:positionH>
                  <wp:positionV relativeFrom="paragraph">
                    <wp:posOffset>734060</wp:posOffset>
                  </wp:positionV>
                  <wp:extent cx="1031875" cy="720725"/>
                  <wp:effectExtent l="0" t="0" r="15875" b="3175"/>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45"/>
                          <a:stretch>
                            <a:fillRect/>
                          </a:stretch>
                        </pic:blipFill>
                        <pic:spPr>
                          <a:xfrm>
                            <a:off x="0" y="0"/>
                            <a:ext cx="1032095" cy="720465"/>
                          </a:xfrm>
                          <a:prstGeom prst="rect">
                            <a:avLst/>
                          </a:prstGeom>
                        </pic:spPr>
                      </pic:pic>
                    </a:graphicData>
                  </a:graphic>
                </wp:anchor>
              </w:drawing>
            </w:r>
          </w:p>
        </w:tc>
        <w:tc>
          <w:tcPr>
            <w:tcW w:w="9781" w:type="dxa"/>
          </w:tcPr>
          <w:p>
            <w:r>
              <w:rPr>
                <w:rFonts w:hint="eastAsia"/>
              </w:rPr>
              <w:br w:type="page"/>
            </w:r>
            <w:r>
              <w:rPr>
                <w:rFonts w:hint="eastAsia"/>
              </w:rPr>
              <w:br w:type="page"/>
            </w:r>
            <w:r>
              <w:rPr>
                <w:rFonts w:hint="eastAsia"/>
              </w:rPr>
              <w:t>1)防火饰面板:面材采用装饰原纸,选用优质三聚氰胺浸胶工艺,使表面稳定性更好,层次感更优,耐污抗磨性更强,通过GB/T 15102浸渍胶膜纸饰面人造板表面理化性能要求;基材采用E0级中纤板、E0级刨花板,通过GB/T18580-2017要求,甲醛释放量≤0.124mg/m³</w:t>
            </w:r>
            <w:r>
              <w:rPr>
                <w:rFonts w:hint="eastAsia"/>
              </w:rPr>
              <w:br w:type="page"/>
            </w:r>
          </w:p>
          <w:p>
            <w:r>
              <w:rPr>
                <w:rFonts w:hint="eastAsia"/>
              </w:rPr>
              <w:t>2)PVC封边条:表面耐光色牢度≥4级;表面耐龟裂性≥2级;表面耐磨性能30r;通过QB/T4463-2013 《家具用封边条技术要求》理化性能检测要求</w:t>
            </w:r>
          </w:p>
          <w:p>
            <w:r>
              <w:rPr>
                <w:rFonts w:hint="eastAsia"/>
              </w:rPr>
              <w:br w:type="page"/>
            </w:r>
            <w:r>
              <w:rPr>
                <w:rFonts w:hint="eastAsia"/>
              </w:rPr>
              <w:t>3)塑胶件:符合(GB/T 3325-2017金属家具通用技术条件)中5.5.2产品部件材质理化性能,耐老化性能,户外使用的产品塑料件耐老化试验时间500h,试验后拉伸强度、断裂伸长率、冲击强度的保持率不小于60%;外观颜色变色评级不小于3级</w:t>
            </w:r>
            <w:r>
              <w:rPr>
                <w:rFonts w:hint="eastAsia"/>
              </w:rPr>
              <w:br w:type="page"/>
            </w:r>
            <w:r>
              <w:rPr>
                <w:rFonts w:hint="eastAsia"/>
              </w:rPr>
              <w:br w:type="page"/>
            </w:r>
          </w:p>
        </w:tc>
        <w:tc>
          <w:tcPr>
            <w:tcW w:w="1811" w:type="dxa"/>
            <w:vAlign w:val="center"/>
          </w:tcPr>
          <w:p>
            <w:pPr>
              <w:jc w:val="center"/>
            </w:pPr>
            <w:r>
              <w:rPr>
                <w:rFonts w:hint="eastAsia"/>
              </w:rPr>
              <w:br w:type="page"/>
            </w:r>
            <w:r>
              <w:rPr>
                <w:rFonts w:hint="eastAsia"/>
              </w:rPr>
              <w:t>1412 mm (L)</w:t>
            </w:r>
            <w:r>
              <w:rPr>
                <w:rFonts w:hint="eastAsia"/>
              </w:rPr>
              <w:br w:type="page"/>
            </w:r>
            <w:r>
              <w:t xml:space="preserve">            </w:t>
            </w:r>
            <w:r>
              <w:rPr>
                <w:rFonts w:hint="eastAsia"/>
              </w:rPr>
              <w:t>400 mm (W)</w:t>
            </w:r>
            <w:r>
              <w:rPr>
                <w:rFonts w:hint="eastAsia"/>
              </w:rPr>
              <w:br w:type="page"/>
            </w:r>
            <w:r>
              <w:t xml:space="preserve">           </w:t>
            </w:r>
            <w:r>
              <w:rPr>
                <w:rFonts w:hint="eastAsia"/>
              </w:rPr>
              <w:t>750 mm (H)</w:t>
            </w:r>
            <w:r>
              <w:rPr>
                <w:rFonts w:hint="eastAsia"/>
              </w:rPr>
              <w:br w:type="page"/>
            </w:r>
          </w:p>
        </w:tc>
        <w:tc>
          <w:tcPr>
            <w:tcW w:w="705" w:type="dxa"/>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15694" w:type="dxa"/>
            <w:gridSpan w:val="5"/>
            <w:noWrap/>
            <w:vAlign w:val="center"/>
          </w:tcPr>
          <w:p>
            <w:pPr>
              <w:jc w:val="center"/>
              <w:rPr>
                <w:b/>
                <w:bCs/>
              </w:rPr>
            </w:pPr>
            <w:r>
              <w:rPr>
                <w:rFonts w:hint="eastAsia"/>
                <w:b/>
                <w:bCs/>
              </w:rPr>
              <w:t>财务室+内勤+员工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1199" w:type="dxa"/>
            <w:vMerge w:val="restart"/>
            <w:vAlign w:val="center"/>
          </w:tcPr>
          <w:p>
            <w:r>
              <w:rPr>
                <w:rFonts w:hint="eastAsia"/>
              </w:rPr>
              <w:t>员工桌</w:t>
            </w:r>
          </w:p>
        </w:tc>
        <w:tc>
          <w:tcPr>
            <w:tcW w:w="2198" w:type="dxa"/>
            <w:vMerge w:val="restart"/>
            <w:noWrap/>
          </w:tcPr>
          <w:p/>
          <w:p>
            <w:r>
              <w:rPr>
                <w:rFonts w:hint="eastAsia"/>
              </w:rPr>
              <w:drawing>
                <wp:anchor distT="0" distB="0" distL="114300" distR="114300" simplePos="0" relativeHeight="251717632" behindDoc="0" locked="0" layoutInCell="1" allowOverlap="1">
                  <wp:simplePos x="0" y="0"/>
                  <wp:positionH relativeFrom="column">
                    <wp:posOffset>41910</wp:posOffset>
                  </wp:positionH>
                  <wp:positionV relativeFrom="paragraph">
                    <wp:posOffset>1824990</wp:posOffset>
                  </wp:positionV>
                  <wp:extent cx="1158875" cy="926465"/>
                  <wp:effectExtent l="0" t="0" r="3175" b="6985"/>
                  <wp:wrapNone/>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2"/>
                          <a:stretch>
                            <a:fillRect/>
                          </a:stretch>
                        </pic:blipFill>
                        <pic:spPr>
                          <a:xfrm>
                            <a:off x="0" y="0"/>
                            <a:ext cx="1158843" cy="926438"/>
                          </a:xfrm>
                          <a:prstGeom prst="rect">
                            <a:avLst/>
                          </a:prstGeom>
                        </pic:spPr>
                      </pic:pic>
                    </a:graphicData>
                  </a:graphic>
                </wp:anchor>
              </w:drawing>
            </w:r>
          </w:p>
        </w:tc>
        <w:tc>
          <w:tcPr>
            <w:tcW w:w="9781" w:type="dxa"/>
            <w:vMerge w:val="restart"/>
          </w:tcPr>
          <w:p>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textWrapping"/>
            </w:r>
            <w:r>
              <w:rPr>
                <w:rFonts w:hint="eastAsia"/>
              </w:rPr>
              <w:t>2)优质浸渍胶膜纸饰面板,基材采用"E0"环保刨花板,甲醛释放量优于国家标准;</w:t>
            </w:r>
            <w:r>
              <w:rPr>
                <w:rFonts w:hint="eastAsia"/>
              </w:rPr>
              <w:br w:type="textWrapping"/>
            </w:r>
            <w:r>
              <w:rPr>
                <w:rFonts w:hint="eastAsia"/>
              </w:rPr>
              <w:t>3)包覆抽屉:表面胶合强度≥0.4Mpa;表面耐磨性能80r;耐剥离力45N±5N;耐划痕性能≥1.5N时间表面无整圈划痕;甲醛释放量≤0.08mg/m³;通过《LY/T 1279-2008 聚氯乙烯薄膜饰面人造板》中理化性能检测要求</w:t>
            </w:r>
            <w:r>
              <w:rPr>
                <w:rFonts w:hint="eastAsia"/>
              </w:rPr>
              <w:br w:type="textWrapping"/>
            </w:r>
            <w:r>
              <w:rPr>
                <w:rFonts w:hint="eastAsia"/>
              </w:rPr>
              <w:t>4)ABS封边条:表面耐光色牢度≥4级;表面耐龟裂性≥2级;表面耐磨性能30r;通过QB/T4463-2013 《家具用封边条技术要求》理化性能检测要求</w:t>
            </w:r>
            <w:r>
              <w:rPr>
                <w:rFonts w:hint="eastAsia"/>
              </w:rPr>
              <w:br w:type="textWrapping"/>
            </w:r>
            <w:r>
              <w:rPr>
                <w:rFonts w:hint="eastAsia"/>
              </w:rPr>
              <w:t>5)钢架:表面耐腐蚀中性盐雾测试100h后无锈蚀、剥落、起皱;表面附着力≥2级;升降/折叠/伸缩耐久性测定20000次后,零部件无断裂、曲、变形、磨损、变形;通过《GB/T 3325-2017金属家具通用技术条件》理化性能检测要求</w:t>
            </w:r>
            <w:r>
              <w:rPr>
                <w:rFonts w:hint="eastAsia"/>
              </w:rPr>
              <w:br w:type="textWrapping"/>
            </w:r>
            <w:r>
              <w:rPr>
                <w:rFonts w:hint="eastAsia"/>
              </w:rPr>
              <w:t>6)正面锁:正面锁符合QB/T 1621-2015家具锁标准中电镀件耐腐蚀规定,电镀件外露表面经12h的中性盐雾试验后,应达到外观评级RA6级的规定,弹子锁、叶片锁使用寿命达不少于10000次</w:t>
            </w:r>
            <w:r>
              <w:rPr>
                <w:rFonts w:hint="eastAsia"/>
              </w:rPr>
              <w:br w:type="textWrapping"/>
            </w:r>
            <w:r>
              <w:rPr>
                <w:rFonts w:hint="eastAsia"/>
              </w:rPr>
              <w:t>7)钢脚:表面耐腐蚀中性盐雾测试100h后无锈蚀、剥落、起皱;表面附着力不低于2级;升降/折叠/伸缩耐久性测定20000次后,零部件无断裂、曲、变形、磨损、变形;通过《GB/T 3325-2017金属家具通用技术条件》理化性能检测要求</w:t>
            </w:r>
            <w:r>
              <w:rPr>
                <w:rFonts w:hint="eastAsia"/>
              </w:rPr>
              <w:br w:type="textWrapping"/>
            </w:r>
            <w:r>
              <w:rPr>
                <w:rFonts w:hint="eastAsia"/>
              </w:rPr>
              <w:t>8)线盒:表面耐腐蚀中性盐雾测试100h后无锈蚀、剥落、起皱;表面附着力≥2级;通过《GB/T 3325-2017金属家具通用技术条件》理化性能检测要求</w:t>
            </w:r>
            <w:r>
              <w:rPr>
                <w:rFonts w:hint="eastAsia"/>
              </w:rPr>
              <w:br w:type="textWrapping"/>
            </w:r>
            <w:r>
              <w:rPr>
                <w:rFonts w:hint="eastAsia"/>
              </w:rPr>
              <w:t>工艺说明:</w:t>
            </w:r>
            <w:r>
              <w:rPr>
                <w:rFonts w:hint="eastAsia"/>
              </w:rPr>
              <w:br w:type="textWrapping"/>
            </w:r>
            <w:r>
              <w:rPr>
                <w:rFonts w:hint="eastAsia"/>
              </w:rPr>
              <w:t>1)采用先进激光封边技术;</w:t>
            </w:r>
            <w:r>
              <w:rPr>
                <w:rFonts w:hint="eastAsia"/>
              </w:rPr>
              <w:br w:type="textWrapping"/>
            </w:r>
            <w:r>
              <w:rPr>
                <w:rFonts w:hint="eastAsia"/>
              </w:rPr>
              <w:t>2)抽屉采用包覆工艺;</w:t>
            </w:r>
          </w:p>
        </w:tc>
        <w:tc>
          <w:tcPr>
            <w:tcW w:w="1811" w:type="dxa"/>
            <w:vMerge w:val="restart"/>
            <w:vAlign w:val="center"/>
          </w:tcPr>
          <w:p>
            <w:pPr>
              <w:jc w:val="center"/>
            </w:pPr>
            <w:r>
              <w:rPr>
                <w:rFonts w:hint="eastAsia"/>
              </w:rPr>
              <w:t>1400 mm (L)</w:t>
            </w:r>
            <w:r>
              <w:rPr>
                <w:rFonts w:hint="eastAsia"/>
              </w:rPr>
              <w:br w:type="textWrapping"/>
            </w:r>
            <w:r>
              <w:rPr>
                <w:rFonts w:hint="eastAsia"/>
              </w:rPr>
              <w:t>700 mm (W)</w:t>
            </w:r>
            <w:r>
              <w:rPr>
                <w:rFonts w:hint="eastAsia"/>
              </w:rPr>
              <w:br w:type="textWrapping"/>
            </w:r>
            <w:r>
              <w:rPr>
                <w:rFonts w:hint="eastAsia"/>
              </w:rPr>
              <w:t>750 mm (H)</w:t>
            </w:r>
          </w:p>
        </w:tc>
        <w:tc>
          <w:tcPr>
            <w:tcW w:w="705" w:type="dxa"/>
            <w:vMerge w:val="restart"/>
            <w:vAlign w:val="center"/>
          </w:tcPr>
          <w:p>
            <w:pPr>
              <w:jc w:val="center"/>
            </w:pPr>
            <w:r>
              <w:rPr>
                <w:rFonts w:hint="eastAsi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0" w:hRule="atLeast"/>
        </w:trPr>
        <w:tc>
          <w:tcPr>
            <w:tcW w:w="1199" w:type="dxa"/>
            <w:vMerge w:val="continue"/>
            <w:vAlign w:val="center"/>
          </w:tcPr>
          <w:p/>
        </w:tc>
        <w:tc>
          <w:tcPr>
            <w:tcW w:w="2198" w:type="dxa"/>
            <w:vMerge w:val="continue"/>
          </w:tcPr>
          <w:p/>
        </w:tc>
        <w:tc>
          <w:tcPr>
            <w:tcW w:w="9781" w:type="dxa"/>
            <w:vMerge w:val="continue"/>
          </w:tcPr>
          <w:p/>
        </w:tc>
        <w:tc>
          <w:tcPr>
            <w:tcW w:w="1811" w:type="dxa"/>
            <w:vMerge w:val="continue"/>
            <w:vAlign w:val="center"/>
          </w:tcPr>
          <w:p>
            <w:pPr>
              <w:jc w:val="center"/>
            </w:pPr>
          </w:p>
        </w:tc>
        <w:tc>
          <w:tcPr>
            <w:tcW w:w="705"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9" w:hRule="atLeast"/>
        </w:trPr>
        <w:tc>
          <w:tcPr>
            <w:tcW w:w="1199" w:type="dxa"/>
            <w:vMerge w:val="restart"/>
            <w:vAlign w:val="center"/>
          </w:tcPr>
          <w:p>
            <w:r>
              <w:rPr>
                <w:rFonts w:hint="eastAsia"/>
              </w:rPr>
              <w:t>员工桌</w:t>
            </w:r>
          </w:p>
        </w:tc>
        <w:tc>
          <w:tcPr>
            <w:tcW w:w="2198" w:type="dxa"/>
            <w:vMerge w:val="restart"/>
            <w:noWrap/>
          </w:tcPr>
          <w:p/>
          <w:p>
            <w:r>
              <w:rPr>
                <w:rFonts w:hint="eastAsia"/>
              </w:rPr>
              <w:drawing>
                <wp:anchor distT="0" distB="0" distL="114300" distR="114300" simplePos="0" relativeHeight="251718656" behindDoc="0" locked="0" layoutInCell="1" allowOverlap="1">
                  <wp:simplePos x="0" y="0"/>
                  <wp:positionH relativeFrom="column">
                    <wp:posOffset>89535</wp:posOffset>
                  </wp:positionH>
                  <wp:positionV relativeFrom="paragraph">
                    <wp:posOffset>1722120</wp:posOffset>
                  </wp:positionV>
                  <wp:extent cx="1057275" cy="739775"/>
                  <wp:effectExtent l="0" t="0" r="9525" b="3175"/>
                  <wp:wrapNone/>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6"/>
                          <a:stretch>
                            <a:fillRect/>
                          </a:stretch>
                        </pic:blipFill>
                        <pic:spPr>
                          <a:xfrm>
                            <a:off x="0" y="0"/>
                            <a:ext cx="1057131" cy="739471"/>
                          </a:xfrm>
                          <a:prstGeom prst="rect">
                            <a:avLst/>
                          </a:prstGeom>
                        </pic:spPr>
                      </pic:pic>
                    </a:graphicData>
                  </a:graphic>
                </wp:anchor>
              </w:drawing>
            </w:r>
          </w:p>
        </w:tc>
        <w:tc>
          <w:tcPr>
            <w:tcW w:w="9781" w:type="dxa"/>
            <w:vMerge w:val="restart"/>
          </w:tcPr>
          <w:p>
            <w: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p>
          <w:p>
            <w:r>
              <w:t>2)优质浸渍胶膜纸饰面板,基材采用"E0"环保刨花板,甲醛释放量优于国家标准;</w:t>
            </w:r>
          </w:p>
          <w:p>
            <w:r>
              <w:t>3)包覆抽屉:表面胶合强度≥0.4Mpa;表面耐磨性能80r;耐剥离力45N±5N;耐划痕性能≥1.5N时间表面无整圈划痕;甲醛释放量≤0.08mg/m³;通过《LY/T 1279-2008 聚氯乙烯薄膜饰面人造板》中理化性能检测要求，全面真空包覆，与抽屉板一体贴合，无螺丝钉外露，抽屉内部平滑无痕易清理；同时，覆皮有效杜绝抽屉气味外露，更加环保健康。</w:t>
            </w:r>
          </w:p>
          <w:p>
            <w:r>
              <w:t>6)ABS封边条:表面耐光色牢度≥4级;表面耐龟裂性≥2级;表面耐磨性能30r;通过QB/T4463-2013 《家具用封边条技术要求》理化性能检测要求</w:t>
            </w:r>
          </w:p>
          <w:p>
            <w:r>
              <w:t>7)优质滑轨,表面黑色喷涂;</w:t>
            </w:r>
          </w:p>
          <w:p>
            <w:r>
              <w:t>8)钢架:表面耐腐蚀中性盐雾测试100h后无锈蚀、剥落、起皱;表面附着力≥2级;升降/折叠/伸缩耐久性测定20000次后,零部件无断裂、曲、变形、磨损、变形;通过《GB/T 3325-2017金属家具通用技术条件》理化性能检测要求</w:t>
            </w:r>
          </w:p>
          <w:p>
            <w:r>
              <w:t>9)正面锁:正面锁符合QB/T 1621-2015家具锁标准中电镀件耐腐蚀规定,电镀件外露表面经12h的中性盐雾试验后,应达到外观评级RA6级的规定,弹子锁、叶片锁使用寿命达不少于10000次</w:t>
            </w:r>
          </w:p>
          <w:p>
            <w:r>
              <w:t>10)钢脚:表面耐腐蚀中性盐雾测试100h后无锈蚀、剥落、起皱;表面附着力不低于2级;升降/折叠/伸缩耐久性测定20000次后,零部件无断裂、曲、变形、磨损、变形;通过《GB/T 3325-2017金属家具通用技术条件》理化性能检测要求</w:t>
            </w:r>
          </w:p>
          <w:p>
            <w:r>
              <w:t>11)线盒:表面耐腐蚀中性盐雾测试100h后无锈蚀、剥落、起皱;表面附着力≥2级;通过《GB/T 3325-2017金属家具通用技术条件》理化性能检测要求</w:t>
            </w:r>
          </w:p>
          <w:p>
            <w:r>
              <w:t>12)面料:优质麻绒面料,符合GB 18401-2010、GB/T 19817-2005标准;芳香胺有害物质含量0,颜色干擦牢度≥3级,耐磨性≥12000转,断裂强度≥350N</w:t>
            </w:r>
          </w:p>
          <w:p>
            <w:r>
              <w:t>13)塑胶件:符合(GB/T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p>
            <w:r>
              <w:t>14)喷涂五金:采用AL6063-T5铝合金,压铸成型,表面静电粉末喷涂,符合(GB/T 3325-2017金属家具通用技术条件)中5.5理化性能要求</w:t>
            </w:r>
          </w:p>
          <w:p>
            <w:r>
              <w:rPr>
                <w:rFonts w:hint="eastAsia"/>
              </w:rPr>
              <w:t>工艺说明</w:t>
            </w:r>
            <w:r>
              <w:t>:</w:t>
            </w:r>
          </w:p>
          <w:p>
            <w:r>
              <w:t>1)采用先进激光封边技术;</w:t>
            </w:r>
          </w:p>
        </w:tc>
        <w:tc>
          <w:tcPr>
            <w:tcW w:w="1811" w:type="dxa"/>
            <w:vMerge w:val="restart"/>
            <w:vAlign w:val="center"/>
          </w:tcPr>
          <w:p>
            <w:pPr>
              <w:jc w:val="center"/>
            </w:pPr>
            <w:r>
              <w:rPr>
                <w:rFonts w:hint="eastAsia"/>
              </w:rPr>
              <w:t>1400 mm (L)</w:t>
            </w:r>
            <w:r>
              <w:rPr>
                <w:rFonts w:hint="eastAsia"/>
              </w:rPr>
              <w:br w:type="textWrapping"/>
            </w:r>
            <w:r>
              <w:rPr>
                <w:rFonts w:hint="eastAsia"/>
              </w:rPr>
              <w:t>700 mm (W)</w:t>
            </w:r>
            <w:r>
              <w:rPr>
                <w:rFonts w:hint="eastAsia"/>
              </w:rPr>
              <w:br w:type="textWrapping"/>
            </w:r>
            <w:r>
              <w:rPr>
                <w:rFonts w:hint="eastAsia"/>
              </w:rPr>
              <w:t>750 mm (H)</w:t>
            </w:r>
          </w:p>
        </w:tc>
        <w:tc>
          <w:tcPr>
            <w:tcW w:w="705" w:type="dxa"/>
            <w:vMerge w:val="restart"/>
            <w:noWrap/>
            <w:vAlign w:val="center"/>
          </w:tcPr>
          <w:p>
            <w:pPr>
              <w:jc w:val="center"/>
            </w:pPr>
            <w:r>
              <w:rPr>
                <w:rFonts w:hint="eastAsi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2" w:hRule="atLeast"/>
        </w:trPr>
        <w:tc>
          <w:tcPr>
            <w:tcW w:w="1199" w:type="dxa"/>
            <w:vMerge w:val="continue"/>
            <w:vAlign w:val="center"/>
          </w:tcPr>
          <w:p/>
        </w:tc>
        <w:tc>
          <w:tcPr>
            <w:tcW w:w="2198" w:type="dxa"/>
            <w:vMerge w:val="continue"/>
          </w:tcPr>
          <w:p/>
        </w:tc>
        <w:tc>
          <w:tcPr>
            <w:tcW w:w="9781" w:type="dxa"/>
            <w:vMerge w:val="continue"/>
          </w:tcPr>
          <w:p/>
        </w:tc>
        <w:tc>
          <w:tcPr>
            <w:tcW w:w="1811" w:type="dxa"/>
            <w:vMerge w:val="continue"/>
            <w:vAlign w:val="center"/>
          </w:tcPr>
          <w:p>
            <w:pPr>
              <w:jc w:val="center"/>
            </w:pPr>
          </w:p>
        </w:tc>
        <w:tc>
          <w:tcPr>
            <w:tcW w:w="705" w:type="dxa"/>
            <w:vMerge w:val="continue"/>
            <w:vAlign w:val="center"/>
          </w:tcPr>
          <w:p>
            <w:pPr>
              <w:jc w:val="cente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2" w:hRule="atLeast"/>
        </w:trPr>
        <w:tc>
          <w:tcPr>
            <w:tcW w:w="1199" w:type="dxa"/>
            <w:vAlign w:val="center"/>
          </w:tcPr>
          <w:p>
            <w:r>
              <w:rPr>
                <w:rFonts w:hint="eastAsia"/>
              </w:rPr>
              <w:t>员工椅</w:t>
            </w:r>
          </w:p>
        </w:tc>
        <w:tc>
          <w:tcPr>
            <w:tcW w:w="2198" w:type="dxa"/>
          </w:tcPr>
          <w:p>
            <w:r>
              <w:rPr>
                <w:rFonts w:hint="eastAsia"/>
              </w:rPr>
              <w:drawing>
                <wp:anchor distT="0" distB="0" distL="114300" distR="114300" simplePos="0" relativeHeight="251729920" behindDoc="0" locked="0" layoutInCell="1" allowOverlap="1">
                  <wp:simplePos x="0" y="0"/>
                  <wp:positionH relativeFrom="column">
                    <wp:posOffset>121285</wp:posOffset>
                  </wp:positionH>
                  <wp:positionV relativeFrom="paragraph">
                    <wp:posOffset>712470</wp:posOffset>
                  </wp:positionV>
                  <wp:extent cx="1089025" cy="1450975"/>
                  <wp:effectExtent l="0" t="0" r="15875" b="15875"/>
                  <wp:wrapNone/>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8"/>
                          <a:stretch>
                            <a:fillRect/>
                          </a:stretch>
                        </pic:blipFill>
                        <pic:spPr>
                          <a:xfrm>
                            <a:off x="0" y="0"/>
                            <a:ext cx="1089328" cy="1450787"/>
                          </a:xfrm>
                          <a:prstGeom prst="rect">
                            <a:avLst/>
                          </a:prstGeom>
                        </pic:spPr>
                      </pic:pic>
                    </a:graphicData>
                  </a:graphic>
                </wp:anchor>
              </w:drawing>
            </w:r>
          </w:p>
        </w:tc>
        <w:tc>
          <w:tcPr>
            <w:tcW w:w="9781" w:type="dxa"/>
          </w:tcPr>
          <w:p>
            <w:r>
              <w:rPr>
                <w:rFonts w:hint="eastAsia"/>
              </w:rPr>
              <w:t>1)面料:优质网布面料,符合GB 18401-2010、GB/T 19817-2005标准;芳香胺有害物质含量0,颜色干擦牢度≥3级,耐磨性≥12000转,断裂强度≥350N</w:t>
            </w:r>
            <w:r>
              <w:rPr>
                <w:rFonts w:hint="eastAsia"/>
              </w:rPr>
              <w:br w:type="textWrapping"/>
            </w:r>
            <w:r>
              <w:rPr>
                <w:rFonts w:hint="eastAsia"/>
              </w:rPr>
              <w:t>2)背框:尼龙+30%玻纤</w:t>
            </w:r>
            <w:r>
              <w:rPr>
                <w:rFonts w:hint="eastAsia"/>
              </w:rPr>
              <w:br w:type="textWrapping"/>
            </w:r>
            <w:r>
              <w:rPr>
                <w:rFonts w:hint="eastAsia"/>
              </w:rPr>
              <w:t>3)座垫：一体成型定型绵,密度≥48kg/m³,回弹性≥40%,通过CA TB117-2013防火性能检测</w:t>
            </w:r>
            <w:r>
              <w:rPr>
                <w:rFonts w:hint="eastAsia"/>
              </w:rPr>
              <w:br w:type="textWrapping"/>
            </w:r>
            <w:r>
              <w:rPr>
                <w:rFonts w:hint="eastAsia"/>
              </w:rPr>
              <w:t>4)曲木板:E1级成型胶合板（曲木板）,符合GB/T 22350-2017标准、GB 18580-2017标准、HJ 571-2010标准、GB 18584-2001标准，其中尺寸（长度、宽度及厚度）偏差、形位偏差、外观质量、含水率、浸渍剥离性能、抗压性能、点抗压性能均合格，甲醛释放量≤0.02mg/m³，TVOC≤0.10mg/㎡.h。</w:t>
            </w:r>
            <w:r>
              <w:rPr>
                <w:rFonts w:hint="eastAsia"/>
              </w:rPr>
              <w:br w:type="textWrapping"/>
            </w:r>
            <w:r>
              <w:rPr>
                <w:rFonts w:hint="eastAsia"/>
              </w:rPr>
              <w:t>5)扶手:固定PP扶手,可承受水平方向445N加载持续15s,垂直方向750N加载持续15s,10±1°施力400N执行60000次循环</w:t>
            </w:r>
            <w:r>
              <w:rPr>
                <w:rFonts w:hint="eastAsia"/>
              </w:rPr>
              <w:br w:type="textWrapping"/>
            </w:r>
            <w:r>
              <w:rPr>
                <w:rFonts w:hint="eastAsia"/>
              </w:rPr>
              <w:t>6)椅架：壁厚1.8mm钢管折弯而成，表面电镀处理壁,涂层附着力不低于2级,耐腐蚀100h,可承受136kg冲击及57kg耐久100000次冲击。</w:t>
            </w:r>
          </w:p>
        </w:tc>
        <w:tc>
          <w:tcPr>
            <w:tcW w:w="1811" w:type="dxa"/>
            <w:vAlign w:val="center"/>
          </w:tcPr>
          <w:p>
            <w:pPr>
              <w:jc w:val="center"/>
            </w:pPr>
            <w:r>
              <w:rPr>
                <w:rFonts w:hint="eastAsia"/>
              </w:rPr>
              <w:t>6</w:t>
            </w:r>
            <w:r>
              <w:t>20</w:t>
            </w:r>
            <w:r>
              <w:rPr>
                <w:rFonts w:hint="eastAsia"/>
              </w:rPr>
              <w:t xml:space="preserve"> mm (L)</w:t>
            </w:r>
            <w:r>
              <w:rPr>
                <w:rFonts w:hint="eastAsia"/>
              </w:rPr>
              <w:br w:type="textWrapping"/>
            </w:r>
            <w:r>
              <w:rPr>
                <w:rFonts w:hint="eastAsia"/>
              </w:rPr>
              <w:t>6</w:t>
            </w:r>
            <w:r>
              <w:t>15</w:t>
            </w:r>
            <w:r>
              <w:rPr>
                <w:rFonts w:hint="eastAsia"/>
              </w:rPr>
              <w:t xml:space="preserve"> mm (W)</w:t>
            </w:r>
            <w:r>
              <w:rPr>
                <w:rFonts w:hint="eastAsia"/>
              </w:rPr>
              <w:br w:type="textWrapping"/>
            </w:r>
            <w:r>
              <w:rPr>
                <w:rFonts w:hint="eastAsia"/>
              </w:rPr>
              <w:t>10</w:t>
            </w:r>
            <w:r>
              <w:t>15</w:t>
            </w:r>
            <w:r>
              <w:rPr>
                <w:rFonts w:hint="eastAsia"/>
              </w:rPr>
              <w:t xml:space="preserve"> mm (H)</w:t>
            </w:r>
          </w:p>
        </w:tc>
        <w:tc>
          <w:tcPr>
            <w:tcW w:w="705" w:type="dxa"/>
            <w:vAlign w:val="center"/>
          </w:tcPr>
          <w:p>
            <w:pPr>
              <w:jc w:val="center"/>
            </w:pPr>
            <w:r>
              <w:rPr>
                <w:rFonts w:hint="eastAsia"/>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5" w:hRule="atLeast"/>
        </w:trPr>
        <w:tc>
          <w:tcPr>
            <w:tcW w:w="1199" w:type="dxa"/>
            <w:vAlign w:val="center"/>
          </w:tcPr>
          <w:p>
            <w:r>
              <w:rPr>
                <w:rFonts w:hint="eastAsia"/>
              </w:rPr>
              <w:t>文件柜</w:t>
            </w:r>
            <w:r>
              <w:rPr>
                <w:rFonts w:hint="eastAsia"/>
              </w:rPr>
              <w:br w:type="page"/>
            </w:r>
          </w:p>
        </w:tc>
        <w:tc>
          <w:tcPr>
            <w:tcW w:w="2198" w:type="dxa"/>
          </w:tcPr>
          <w:p/>
        </w:tc>
        <w:tc>
          <w:tcPr>
            <w:tcW w:w="9781" w:type="dxa"/>
          </w:tcPr>
          <w:p>
            <w:r>
              <w:rPr>
                <w:rFonts w:hint="eastAsia"/>
              </w:rPr>
              <w:br w:type="page"/>
            </w:r>
            <w:r>
              <w:rPr>
                <w:rFonts w:hint="eastAsia"/>
              </w:rPr>
              <w:br w:type="page"/>
            </w:r>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p>
          <w:p>
            <w:r>
              <w:rPr>
                <w:rFonts w:hint="eastAsia"/>
              </w:rPr>
              <w:br w:type="page"/>
            </w:r>
            <w:r>
              <w:rPr>
                <w:rFonts w:hint="eastAsia"/>
              </w:rPr>
              <w:t>2)PVC封边条:符合QB/T 4463-2013标准、GB 28481-2012标准,其中甲醛释放量、可溶性重金属(镉、铬、汞、砷、锑、硒)、邻苯二甲酸酯、多溴联苯、多㴪二苯醚含量均须低于检出限。</w:t>
            </w:r>
          </w:p>
          <w:p>
            <w:r>
              <w:rPr>
                <w:rFonts w:hint="eastAsia"/>
              </w:rPr>
              <w:br w:type="page"/>
            </w:r>
            <w:r>
              <w:rPr>
                <w:rFonts w:hint="eastAsia"/>
              </w:rPr>
              <w:t>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p>
            <w:r>
              <w:rPr>
                <w:rFonts w:hint="eastAsia"/>
              </w:rPr>
              <w:br w:type="page"/>
            </w:r>
            <w:r>
              <w:rPr>
                <w:rFonts w:hint="eastAsia"/>
              </w:rPr>
              <w:t>4)正面锁:符合QB/T1621-2015标准，其中电镀件中性盐雾试验耐腐蚀100H达到10级，钥匙不同牙花数大于700种，互开率合格，使用寿命达到30000次正常。</w:t>
            </w:r>
            <w:r>
              <w:rPr>
                <w:rFonts w:hint="eastAsia"/>
              </w:rPr>
              <w:br w:type="page"/>
            </w:r>
            <w:r>
              <w:rPr>
                <w:rFonts w:hint="eastAsia"/>
              </w:rPr>
              <w:br w:type="page"/>
            </w:r>
          </w:p>
        </w:tc>
        <w:tc>
          <w:tcPr>
            <w:tcW w:w="1811" w:type="dxa"/>
            <w:vAlign w:val="center"/>
          </w:tcPr>
          <w:p>
            <w:pPr>
              <w:jc w:val="center"/>
            </w:pPr>
            <w:r>
              <w:rPr>
                <w:rFonts w:hint="eastAsia"/>
              </w:rPr>
              <w:br w:type="page"/>
            </w:r>
            <w:r>
              <w:rPr>
                <w:rFonts w:hint="eastAsia"/>
              </w:rPr>
              <w:t>1400 mm (L)</w:t>
            </w:r>
            <w:r>
              <w:rPr>
                <w:rFonts w:hint="eastAsia"/>
              </w:rPr>
              <w:br w:type="page"/>
            </w:r>
          </w:p>
          <w:p>
            <w:pPr>
              <w:jc w:val="center"/>
            </w:pPr>
            <w:r>
              <w:rPr>
                <w:rFonts w:hint="eastAsia"/>
              </w:rPr>
              <w:t>400 mm (W)</w:t>
            </w:r>
          </w:p>
          <w:p>
            <w:pPr>
              <w:jc w:val="center"/>
            </w:pPr>
            <w:r>
              <w:rPr>
                <w:rFonts w:hint="eastAsia"/>
              </w:rPr>
              <w:br w:type="page"/>
            </w:r>
            <w:r>
              <w:rPr>
                <w:rFonts w:hint="eastAsia"/>
              </w:rPr>
              <w:t>1202 mm (H)</w:t>
            </w:r>
            <w:r>
              <w:rPr>
                <w:rFonts w:hint="eastAsia"/>
              </w:rPr>
              <w:br w:type="page"/>
            </w:r>
          </w:p>
        </w:tc>
        <w:tc>
          <w:tcPr>
            <w:tcW w:w="705" w:type="dxa"/>
            <w:vAlign w:val="center"/>
          </w:tcPr>
          <w:p>
            <w:pPr>
              <w:jc w:val="center"/>
            </w:pPr>
            <w:r>
              <w:rPr>
                <w:rFonts w:hint="eastAsi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15694" w:type="dxa"/>
            <w:gridSpan w:val="5"/>
            <w:noWrap/>
            <w:vAlign w:val="center"/>
          </w:tcPr>
          <w:p>
            <w:pPr>
              <w:jc w:val="center"/>
              <w:rPr>
                <w:b/>
                <w:bCs/>
              </w:rPr>
            </w:pPr>
            <w:r>
              <w:rPr>
                <w:rFonts w:hint="eastAsia"/>
                <w:b/>
                <w:bCs/>
              </w:rPr>
              <w:t>会议室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1" w:hRule="atLeast"/>
        </w:trPr>
        <w:tc>
          <w:tcPr>
            <w:tcW w:w="1199" w:type="dxa"/>
            <w:vAlign w:val="center"/>
          </w:tcPr>
          <w:p>
            <w:r>
              <w:rPr>
                <w:rFonts w:hint="eastAsia"/>
              </w:rPr>
              <w:t>会议桌</w:t>
            </w:r>
          </w:p>
        </w:tc>
        <w:tc>
          <w:tcPr>
            <w:tcW w:w="2198" w:type="dxa"/>
          </w:tcPr>
          <w:p>
            <w:r>
              <w:rPr>
                <w:rFonts w:hint="eastAsia"/>
              </w:rPr>
              <w:drawing>
                <wp:anchor distT="0" distB="0" distL="114300" distR="114300" simplePos="0" relativeHeight="251730944" behindDoc="0" locked="0" layoutInCell="1" allowOverlap="1">
                  <wp:simplePos x="0" y="0"/>
                  <wp:positionH relativeFrom="column">
                    <wp:posOffset>80010</wp:posOffset>
                  </wp:positionH>
                  <wp:positionV relativeFrom="paragraph">
                    <wp:posOffset>90805</wp:posOffset>
                  </wp:positionV>
                  <wp:extent cx="959485" cy="1042670"/>
                  <wp:effectExtent l="0" t="0" r="12065" b="5080"/>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4"/>
                          <a:stretch>
                            <a:fillRect/>
                          </a:stretch>
                        </pic:blipFill>
                        <pic:spPr>
                          <a:xfrm>
                            <a:off x="0" y="0"/>
                            <a:ext cx="959668" cy="1042602"/>
                          </a:xfrm>
                          <a:prstGeom prst="rect">
                            <a:avLst/>
                          </a:prstGeom>
                        </pic:spPr>
                      </pic:pic>
                    </a:graphicData>
                  </a:graphic>
                </wp:anchor>
              </w:drawing>
            </w:r>
            <w:r>
              <w:rPr>
                <w:rFonts w:hint="eastAsia"/>
              </w:rPr>
              <w:drawing>
                <wp:anchor distT="0" distB="0" distL="114300" distR="114300" simplePos="0" relativeHeight="251724800" behindDoc="0" locked="0" layoutInCell="1" allowOverlap="1">
                  <wp:simplePos x="0" y="0"/>
                  <wp:positionH relativeFrom="column">
                    <wp:posOffset>31750</wp:posOffset>
                  </wp:positionH>
                  <wp:positionV relativeFrom="paragraph">
                    <wp:posOffset>1008380</wp:posOffset>
                  </wp:positionV>
                  <wp:extent cx="1130935" cy="486410"/>
                  <wp:effectExtent l="0" t="0" r="12065" b="889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6"/>
                          <a:stretch>
                            <a:fillRect/>
                          </a:stretch>
                        </pic:blipFill>
                        <pic:spPr>
                          <a:xfrm>
                            <a:off x="0" y="0"/>
                            <a:ext cx="1130683" cy="486286"/>
                          </a:xfrm>
                          <a:prstGeom prst="rect">
                            <a:avLst/>
                          </a:prstGeom>
                        </pic:spPr>
                      </pic:pic>
                    </a:graphicData>
                  </a:graphic>
                </wp:anchor>
              </w:drawing>
            </w:r>
          </w:p>
        </w:tc>
        <w:tc>
          <w:tcPr>
            <w:tcW w:w="9781" w:type="dxa"/>
          </w:tcPr>
          <w:p>
            <w:r>
              <w:rPr>
                <w:rFonts w:hint="eastAsia"/>
              </w:rPr>
              <w:t>1)中纤板:选用E0级中纤板、满足GB/T18580-2017要求,甲醛释放量≤0.124mg/m³</w:t>
            </w:r>
            <w:r>
              <w:rPr>
                <w:rFonts w:hint="eastAsia"/>
              </w:rPr>
              <w:br w:type="textWrapping"/>
            </w:r>
            <w:r>
              <w:rPr>
                <w:rFonts w:hint="eastAsia"/>
              </w:rPr>
              <w:t>2)封边条:1mm胡桃木皮封边条符合QB/T 4463-2013甲醛释放量（干燥器法）≤1.5mg/L</w:t>
            </w:r>
            <w:r>
              <w:rPr>
                <w:rFonts w:hint="eastAsia"/>
              </w:rPr>
              <w:br w:type="textWrapping"/>
            </w:r>
            <w:r>
              <w:rPr>
                <w:rFonts w:hint="eastAsia"/>
              </w:rPr>
              <w:t>3)新多功能插座:标配2个新多功能插座（含2个电源模块、1个网络模块（CAT.6)、1个电话模块、1个HDMI模块,1个磁铁结合的出线模块）符合3C认证</w:t>
            </w:r>
            <w:r>
              <w:rPr>
                <w:rFonts w:hint="eastAsia"/>
              </w:rPr>
              <w:br w:type="textWrapping"/>
            </w:r>
            <w:r>
              <w:rPr>
                <w:rFonts w:hint="eastAsia"/>
              </w:rPr>
              <w:t>4)岩石灰超纤皮:符合GB/T16799《家具用皮革》标准要求,PH值按QB/T 4045《聚氨酯家居用合成革安全技术条件》Ⅱ级标准要求</w:t>
            </w:r>
          </w:p>
        </w:tc>
        <w:tc>
          <w:tcPr>
            <w:tcW w:w="1811" w:type="dxa"/>
            <w:vAlign w:val="center"/>
          </w:tcPr>
          <w:p>
            <w:pPr>
              <w:jc w:val="center"/>
            </w:pPr>
            <w:r>
              <w:rPr>
                <w:rFonts w:hint="eastAsia"/>
              </w:rPr>
              <w:t>9000 mm (L)</w:t>
            </w:r>
            <w:r>
              <w:rPr>
                <w:rFonts w:hint="eastAsia"/>
              </w:rPr>
              <w:br w:type="textWrapping"/>
            </w:r>
            <w:r>
              <w:rPr>
                <w:rFonts w:hint="eastAsia"/>
              </w:rPr>
              <w:t>2200 mm (W)</w:t>
            </w:r>
            <w:r>
              <w:rPr>
                <w:rFonts w:hint="eastAsia"/>
              </w:rPr>
              <w:br w:type="textWrapping"/>
            </w:r>
            <w:r>
              <w:rPr>
                <w:rFonts w:hint="eastAsia"/>
              </w:rPr>
              <w:t>7</w:t>
            </w:r>
            <w:r>
              <w:t>5</w:t>
            </w:r>
            <w:r>
              <w:rPr>
                <w:rFonts w:hint="eastAsia"/>
              </w:rPr>
              <w:t>0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6" w:hRule="atLeast"/>
        </w:trPr>
        <w:tc>
          <w:tcPr>
            <w:tcW w:w="1199" w:type="dxa"/>
            <w:vAlign w:val="center"/>
          </w:tcPr>
          <w:p>
            <w:r>
              <w:rPr>
                <w:rFonts w:hint="eastAsia"/>
              </w:rPr>
              <w:t>会议椅</w:t>
            </w:r>
          </w:p>
        </w:tc>
        <w:tc>
          <w:tcPr>
            <w:tcW w:w="2198" w:type="dxa"/>
          </w:tcPr>
          <w:p>
            <w:r>
              <w:rPr>
                <w:rFonts w:hint="eastAsia"/>
              </w:rPr>
              <w:drawing>
                <wp:anchor distT="0" distB="0" distL="114300" distR="114300" simplePos="0" relativeHeight="251719680" behindDoc="0" locked="0" layoutInCell="1" allowOverlap="1">
                  <wp:simplePos x="0" y="0"/>
                  <wp:positionH relativeFrom="column">
                    <wp:posOffset>142240</wp:posOffset>
                  </wp:positionH>
                  <wp:positionV relativeFrom="paragraph">
                    <wp:posOffset>104140</wp:posOffset>
                  </wp:positionV>
                  <wp:extent cx="805815" cy="1021080"/>
                  <wp:effectExtent l="0" t="0" r="13335" b="7620"/>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42"/>
                          <a:stretch>
                            <a:fillRect/>
                          </a:stretch>
                        </pic:blipFill>
                        <pic:spPr>
                          <a:xfrm>
                            <a:off x="0" y="0"/>
                            <a:ext cx="805758" cy="1020977"/>
                          </a:xfrm>
                          <a:prstGeom prst="rect">
                            <a:avLst/>
                          </a:prstGeom>
                        </pic:spPr>
                      </pic:pic>
                    </a:graphicData>
                  </a:graphic>
                </wp:anchor>
              </w:drawing>
            </w:r>
          </w:p>
        </w:tc>
        <w:tc>
          <w:tcPr>
            <w:tcW w:w="9781" w:type="dxa"/>
          </w:tcPr>
          <w:p>
            <w:r>
              <w:rPr>
                <w:rFonts w:hint="eastAsia"/>
              </w:rPr>
              <w:t>1)西皮,水性皮:皮革材质力学及耐磨色牢度等符合GB/T16799-2008 《家具用皮革》要求,PH要求3.5-6.0,禁用偶氮染料≤30mg/kg,游离甲醛≤75mg/kg,气味≤3级</w:t>
            </w:r>
            <w:r>
              <w:rPr>
                <w:rFonts w:hint="eastAsia"/>
              </w:rPr>
              <w:br w:type="textWrapping"/>
            </w:r>
            <w:r>
              <w:rPr>
                <w:rFonts w:hint="eastAsia"/>
              </w:rPr>
              <w:t>2)曲木板:E1级成型胶合板,甲醛释放量≤0.124mg/m³</w:t>
            </w:r>
            <w:r>
              <w:rPr>
                <w:rFonts w:hint="eastAsia"/>
              </w:rPr>
              <w:br w:type="textWrapping"/>
            </w:r>
            <w:r>
              <w:rPr>
                <w:rFonts w:hint="eastAsia"/>
              </w:rPr>
              <w:t>3)海绵:座垫密度≥25kg/m³,回弹性≥35%,通过CA TB117-2013防火性能检测</w:t>
            </w:r>
            <w:r>
              <w:rPr>
                <w:rFonts w:hint="eastAsia"/>
              </w:rPr>
              <w:br w:type="textWrapping"/>
            </w:r>
            <w:r>
              <w:rPr>
                <w:rFonts w:hint="eastAsia"/>
              </w:rPr>
              <w:t>4)椅架:壁厚2.0mm,镀层耐盐雾18h,可承受136kg冲击及57kg耐久100000次冲击</w:t>
            </w:r>
          </w:p>
        </w:tc>
        <w:tc>
          <w:tcPr>
            <w:tcW w:w="1811" w:type="dxa"/>
            <w:vAlign w:val="center"/>
          </w:tcPr>
          <w:p>
            <w:pPr>
              <w:jc w:val="center"/>
            </w:pPr>
            <w:r>
              <w:rPr>
                <w:rFonts w:hint="eastAsia"/>
              </w:rPr>
              <w:t>595 mm (L)</w:t>
            </w:r>
            <w:r>
              <w:rPr>
                <w:rFonts w:hint="eastAsia"/>
              </w:rPr>
              <w:br w:type="textWrapping"/>
            </w:r>
            <w:r>
              <w:rPr>
                <w:rFonts w:hint="eastAsia"/>
              </w:rPr>
              <w:t>710 mm (W)</w:t>
            </w:r>
            <w:r>
              <w:rPr>
                <w:rFonts w:hint="eastAsia"/>
              </w:rPr>
              <w:br w:type="textWrapping"/>
            </w:r>
            <w:r>
              <w:rPr>
                <w:rFonts w:hint="eastAsia"/>
              </w:rPr>
              <w:t>950 mm (H)</w:t>
            </w:r>
          </w:p>
        </w:tc>
        <w:tc>
          <w:tcPr>
            <w:tcW w:w="705" w:type="dxa"/>
            <w:vAlign w:val="center"/>
          </w:tcPr>
          <w:p>
            <w:pPr>
              <w:jc w:val="center"/>
            </w:pPr>
            <w:r>
              <w:rPr>
                <w:rFonts w:hint="eastAsia"/>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1" w:hRule="atLeast"/>
        </w:trPr>
        <w:tc>
          <w:tcPr>
            <w:tcW w:w="1199" w:type="dxa"/>
            <w:vAlign w:val="center"/>
          </w:tcPr>
          <w:p>
            <w:r>
              <w:rPr>
                <w:rFonts w:hint="eastAsia"/>
              </w:rPr>
              <w:t>茶水矮柜</w:t>
            </w:r>
          </w:p>
        </w:tc>
        <w:tc>
          <w:tcPr>
            <w:tcW w:w="2198" w:type="dxa"/>
          </w:tcPr>
          <w:p>
            <w:r>
              <w:rPr>
                <w:rFonts w:hint="eastAsia"/>
              </w:rPr>
              <w:drawing>
                <wp:anchor distT="0" distB="0" distL="114300" distR="114300" simplePos="0" relativeHeight="251727872" behindDoc="0" locked="0" layoutInCell="1" allowOverlap="1">
                  <wp:simplePos x="0" y="0"/>
                  <wp:positionH relativeFrom="column">
                    <wp:posOffset>27940</wp:posOffset>
                  </wp:positionH>
                  <wp:positionV relativeFrom="paragraph">
                    <wp:posOffset>185420</wp:posOffset>
                  </wp:positionV>
                  <wp:extent cx="1095375" cy="846455"/>
                  <wp:effectExtent l="0" t="0" r="9525" b="10795"/>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7"/>
                          <a:stretch>
                            <a:fillRect/>
                          </a:stretch>
                        </pic:blipFill>
                        <pic:spPr>
                          <a:xfrm>
                            <a:off x="0" y="0"/>
                            <a:ext cx="1098263" cy="848799"/>
                          </a:xfrm>
                          <a:prstGeom prst="rect">
                            <a:avLst/>
                          </a:prstGeom>
                        </pic:spPr>
                      </pic:pic>
                    </a:graphicData>
                  </a:graphic>
                </wp:anchor>
              </w:drawing>
            </w:r>
          </w:p>
        </w:tc>
        <w:tc>
          <w:tcPr>
            <w:tcW w:w="9781" w:type="dxa"/>
          </w:tcPr>
          <w:p>
            <w:r>
              <w:rPr>
                <w:rFonts w:hint="eastAsia"/>
              </w:rPr>
              <w:t>1、面材：60S天然胡桃木。符合GB/T 3324-2017《木家具通用技术条件》，甲醛释放量≤0.05mg/m³</w:t>
            </w:r>
            <w:r>
              <w:rPr>
                <w:rFonts w:hint="eastAsia"/>
              </w:rPr>
              <w:br w:type="textWrapping"/>
            </w:r>
            <w:r>
              <w:rPr>
                <w:rFonts w:hint="eastAsia"/>
              </w:rPr>
              <w:t>2、基材：E0级中纤板、E0级刨花板，满足GB/T18580-2017要求,甲醛释放量≤0.124mg/m³</w:t>
            </w:r>
            <w:r>
              <w:rPr>
                <w:rFonts w:hint="eastAsia"/>
              </w:rPr>
              <w:br w:type="textWrapping"/>
            </w:r>
            <w:r>
              <w:rPr>
                <w:rFonts w:hint="eastAsia"/>
              </w:rPr>
              <w:t>3、五金：无力铰链+回弹装置，黑色钢化玻璃。</w:t>
            </w:r>
            <w:r>
              <w:rPr>
                <w:rFonts w:hint="eastAsia"/>
              </w:rPr>
              <w:br w:type="textWrapping"/>
            </w:r>
            <w:r>
              <w:rPr>
                <w:rFonts w:hint="eastAsia"/>
              </w:rPr>
              <w:t>4、油漆：采用水性环保油漆，开放式涂装。</w:t>
            </w:r>
          </w:p>
          <w:p/>
        </w:tc>
        <w:tc>
          <w:tcPr>
            <w:tcW w:w="1811" w:type="dxa"/>
            <w:vAlign w:val="center"/>
          </w:tcPr>
          <w:p>
            <w:pPr>
              <w:jc w:val="center"/>
            </w:pPr>
            <w:r>
              <w:rPr>
                <w:rFonts w:hint="eastAsia"/>
              </w:rPr>
              <w:t>1604 mm (L)</w:t>
            </w:r>
            <w:r>
              <w:rPr>
                <w:rFonts w:hint="eastAsia"/>
              </w:rPr>
              <w:br w:type="textWrapping"/>
            </w:r>
            <w:r>
              <w:rPr>
                <w:rFonts w:hint="eastAsia"/>
              </w:rPr>
              <w:t>400 mm (W)</w:t>
            </w:r>
            <w:r>
              <w:rPr>
                <w:rFonts w:hint="eastAsia"/>
              </w:rPr>
              <w:br w:type="textWrapping"/>
            </w:r>
            <w:r>
              <w:rPr>
                <w:rFonts w:hint="eastAsia"/>
              </w:rPr>
              <w:t>845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15694" w:type="dxa"/>
            <w:gridSpan w:val="5"/>
            <w:noWrap/>
            <w:vAlign w:val="center"/>
          </w:tcPr>
          <w:p>
            <w:pPr>
              <w:jc w:val="center"/>
              <w:rPr>
                <w:b/>
                <w:bCs/>
              </w:rPr>
            </w:pPr>
            <w:r>
              <w:rPr>
                <w:rFonts w:hint="eastAsia"/>
                <w:b/>
                <w:bCs/>
              </w:rPr>
              <w:t>贵宾接待室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9" w:hRule="atLeast"/>
        </w:trPr>
        <w:tc>
          <w:tcPr>
            <w:tcW w:w="1199" w:type="dxa"/>
            <w:vAlign w:val="center"/>
          </w:tcPr>
          <w:p>
            <w:r>
              <w:rPr>
                <w:rFonts w:hint="eastAsia"/>
              </w:rPr>
              <w:t>接待沙发</w:t>
            </w:r>
            <w:r>
              <w:rPr>
                <w:rFonts w:hint="eastAsia"/>
              </w:rPr>
              <w:br w:type="page"/>
            </w:r>
          </w:p>
        </w:tc>
        <w:tc>
          <w:tcPr>
            <w:tcW w:w="2198" w:type="dxa"/>
          </w:tcPr>
          <w:p>
            <w:r>
              <w:rPr>
                <w:rFonts w:hint="eastAsia"/>
              </w:rPr>
              <w:drawing>
                <wp:anchor distT="0" distB="0" distL="114300" distR="114300" simplePos="0" relativeHeight="251711488" behindDoc="0" locked="0" layoutInCell="1" allowOverlap="1">
                  <wp:simplePos x="0" y="0"/>
                  <wp:positionH relativeFrom="column">
                    <wp:posOffset>71120</wp:posOffset>
                  </wp:positionH>
                  <wp:positionV relativeFrom="paragraph">
                    <wp:posOffset>840105</wp:posOffset>
                  </wp:positionV>
                  <wp:extent cx="1086485" cy="867410"/>
                  <wp:effectExtent l="0" t="0" r="18415" b="8890"/>
                  <wp:wrapNone/>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48"/>
                          <a:stretch>
                            <a:fillRect/>
                          </a:stretch>
                        </pic:blipFill>
                        <pic:spPr>
                          <a:xfrm>
                            <a:off x="0" y="0"/>
                            <a:ext cx="1086416" cy="867687"/>
                          </a:xfrm>
                          <a:prstGeom prst="rect">
                            <a:avLst/>
                          </a:prstGeom>
                        </pic:spPr>
                      </pic:pic>
                    </a:graphicData>
                  </a:graphic>
                </wp:anchor>
              </w:drawing>
            </w:r>
          </w:p>
        </w:tc>
        <w:tc>
          <w:tcPr>
            <w:tcW w:w="9781" w:type="dxa"/>
          </w:tcPr>
          <w:p>
            <w:r>
              <w:rPr>
                <w:rFonts w:hint="eastAsia"/>
              </w:rPr>
              <w:br w:type="page"/>
            </w:r>
            <w:r>
              <w:rPr>
                <w:rFonts w:hint="eastAsia"/>
              </w:rPr>
              <w:t>1)松木:符合GB/T 3324-2017《木家具通用技术条件》,含水率要求在8~16％,甲醛释放量≤1.5mg/L</w:t>
            </w:r>
            <w:r>
              <w:rPr>
                <w:rFonts w:hint="eastAsia"/>
              </w:rPr>
              <w:br w:type="page"/>
            </w:r>
          </w:p>
          <w:p>
            <w:r>
              <w:rPr>
                <w:rFonts w:hint="eastAsia"/>
              </w:rPr>
              <w:t>2)杨木多层板:符合GB/T 9846-2015《普通胶合板》,胶合强度≥7MPa,甲醛释放量≤0.08mg/m3,东北落叶松木材,含水量8%-12%</w:t>
            </w:r>
            <w:r>
              <w:rPr>
                <w:rFonts w:hint="eastAsia"/>
              </w:rPr>
              <w:br w:type="page"/>
            </w:r>
          </w:p>
          <w:p>
            <w:r>
              <w:rPr>
                <w:rFonts w:hint="eastAsia"/>
              </w:rPr>
              <w:t>3)海绵:符合GB/T 10802-2006《通用软质聚醚型聚氨酯泡沫塑料》,优质高密度回弹海绵,座面密度≥28kg/m³,压缩永久变形≤10%,泡沫回弹性≥35%</w:t>
            </w:r>
            <w:r>
              <w:rPr>
                <w:rFonts w:hint="eastAsia"/>
              </w:rPr>
              <w:br w:type="page"/>
            </w:r>
          </w:p>
          <w:p>
            <w:r>
              <w:rPr>
                <w:rFonts w:hint="eastAsia"/>
              </w:rPr>
              <w:t>4)木制油漆件:符合(GB/T 3324-2017木家具通用技术条件)中木家具表面理化性能；耐湿热-漆膜 ≥3级 耐干热-漆膜 ≥3级 耐冷热循环 耐磨性-漆膜 1000r,≥3级 ,耐液性-漆膜≥3级, 附着力-漆膜 ≥3级, 耐冷热温差-漆膜 高温（40±2）℃,湿度（95±3）%,1h,低温（-20±2）℃,1h,3周期,应无鼓泡、裂缝、明显失光, 抗冲击-漆膜 冲击高度50mm,≥3级,甲醛释放量 ≤0.12mg/m³;符合(GB 18584-2001 室内装饰装修材料木家具中有害物质限量)</w:t>
            </w:r>
            <w:r>
              <w:rPr>
                <w:rFonts w:hint="eastAsia"/>
              </w:rPr>
              <w:br w:type="page"/>
            </w:r>
          </w:p>
          <w:p>
            <w:r>
              <w:rPr>
                <w:rFonts w:hint="eastAsia"/>
              </w:rPr>
              <w:t>5)麻绒面料:三防符合GB/T 19817-2005《纺织品装饰用织物》,优质麻绒面料,可分解致癌芳香胺染料＜5mg/kg,颜色干擦牢度≥4级,耐酸碱汗渍变色≥3级、沾色≥3级</w:t>
            </w:r>
          </w:p>
          <w:p>
            <w:r>
              <w:rPr>
                <w:rFonts w:hint="eastAsia"/>
              </w:rPr>
              <w:br w:type="page"/>
            </w:r>
            <w:r>
              <w:rPr>
                <w:rFonts w:hint="eastAsia"/>
              </w:rPr>
              <w:t>6)涤纶:符合GB/T 19817-2005《纺织品装饰用织物》,干摩擦沾色等级:≥3-4级,湿摩擦沾色等级:≥3级,甲醛含量≤75mg/Kg</w:t>
            </w:r>
            <w:r>
              <w:rPr>
                <w:rFonts w:hint="eastAsia"/>
              </w:rPr>
              <w:br w:type="page"/>
            </w:r>
            <w:r>
              <w:rPr>
                <w:rFonts w:hint="eastAsia"/>
              </w:rPr>
              <w:t>7)实木:天然实木满足GB/T18580-2017要求,甲醛释放量≤0.124mg/m³</w:t>
            </w:r>
            <w:r>
              <w:rPr>
                <w:rFonts w:hint="eastAsia"/>
              </w:rPr>
              <w:br w:type="page"/>
            </w:r>
          </w:p>
        </w:tc>
        <w:tc>
          <w:tcPr>
            <w:tcW w:w="1811" w:type="dxa"/>
            <w:vAlign w:val="center"/>
          </w:tcPr>
          <w:p>
            <w:pPr>
              <w:jc w:val="center"/>
            </w:pPr>
            <w:r>
              <w:rPr>
                <w:rFonts w:hint="eastAsia"/>
              </w:rPr>
              <w:br w:type="page"/>
            </w:r>
            <w:r>
              <w:rPr>
                <w:rFonts w:hint="eastAsia"/>
              </w:rPr>
              <w:t>1100 mm (L)</w:t>
            </w:r>
            <w:r>
              <w:rPr>
                <w:rFonts w:hint="eastAsia"/>
              </w:rPr>
              <w:br w:type="page"/>
            </w:r>
          </w:p>
          <w:p>
            <w:pPr>
              <w:jc w:val="center"/>
            </w:pPr>
            <w:r>
              <w:rPr>
                <w:rFonts w:hint="eastAsia"/>
              </w:rPr>
              <w:t>880 mm (W)</w:t>
            </w:r>
            <w:r>
              <w:rPr>
                <w:rFonts w:hint="eastAsia"/>
              </w:rPr>
              <w:br w:type="page"/>
            </w:r>
          </w:p>
          <w:p>
            <w:pPr>
              <w:jc w:val="center"/>
            </w:pPr>
            <w:r>
              <w:rPr>
                <w:rFonts w:hint="eastAsia"/>
              </w:rPr>
              <w:t>910 mm (H)</w:t>
            </w:r>
            <w:r>
              <w:rPr>
                <w:rFonts w:hint="eastAsia"/>
              </w:rPr>
              <w:br w:type="page"/>
            </w:r>
          </w:p>
          <w:p>
            <w:pPr>
              <w:jc w:val="center"/>
            </w:pPr>
            <w:r>
              <w:rPr>
                <w:rFonts w:hint="eastAsia"/>
              </w:rPr>
              <w:t>440 mm (D)</w:t>
            </w:r>
            <w:r>
              <w:rPr>
                <w:rFonts w:hint="eastAsia"/>
              </w:rPr>
              <w:br w:type="page"/>
            </w:r>
          </w:p>
        </w:tc>
        <w:tc>
          <w:tcPr>
            <w:tcW w:w="705" w:type="dxa"/>
            <w:vAlign w:val="center"/>
          </w:tcPr>
          <w:p>
            <w:pPr>
              <w:jc w:val="center"/>
            </w:pPr>
            <w:r>
              <w:rPr>
                <w:rFonts w:hint="eastAsia"/>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6" w:hRule="atLeast"/>
        </w:trPr>
        <w:tc>
          <w:tcPr>
            <w:tcW w:w="1199" w:type="dxa"/>
            <w:vAlign w:val="center"/>
          </w:tcPr>
          <w:p>
            <w:r>
              <w:rPr>
                <w:rFonts w:hint="eastAsia"/>
              </w:rPr>
              <w:t>茶几</w:t>
            </w:r>
          </w:p>
        </w:tc>
        <w:tc>
          <w:tcPr>
            <w:tcW w:w="2198" w:type="dxa"/>
          </w:tcPr>
          <w:p>
            <w:r>
              <w:rPr>
                <w:rFonts w:hint="eastAsia"/>
              </w:rPr>
              <w:drawing>
                <wp:anchor distT="0" distB="0" distL="114300" distR="114300" simplePos="0" relativeHeight="251726848" behindDoc="0" locked="0" layoutInCell="1" allowOverlap="1">
                  <wp:simplePos x="0" y="0"/>
                  <wp:positionH relativeFrom="column">
                    <wp:posOffset>121920</wp:posOffset>
                  </wp:positionH>
                  <wp:positionV relativeFrom="paragraph">
                    <wp:posOffset>139065</wp:posOffset>
                  </wp:positionV>
                  <wp:extent cx="1059180" cy="1010285"/>
                  <wp:effectExtent l="0" t="0" r="7620" b="18415"/>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9"/>
                          <a:stretch>
                            <a:fillRect/>
                          </a:stretch>
                        </pic:blipFill>
                        <pic:spPr>
                          <a:xfrm>
                            <a:off x="0" y="0"/>
                            <a:ext cx="1059256" cy="1010318"/>
                          </a:xfrm>
                          <a:prstGeom prst="rect">
                            <a:avLst/>
                          </a:prstGeom>
                        </pic:spPr>
                      </pic:pic>
                    </a:graphicData>
                  </a:graphic>
                </wp:anchor>
              </w:drawing>
            </w:r>
          </w:p>
        </w:tc>
        <w:tc>
          <w:tcPr>
            <w:tcW w:w="9781" w:type="dxa"/>
          </w:tcPr>
          <w:p>
            <w:r>
              <w:rPr>
                <w:rFonts w:hint="eastAsia"/>
              </w:rPr>
              <w:t>1)木皮:45S天然胡桃木木皮，符合SB/T 10969-2013甲醛释放量≤1.5mg/L</w:t>
            </w:r>
            <w:r>
              <w:rPr>
                <w:rFonts w:hint="eastAsia"/>
              </w:rPr>
              <w:br w:type="textWrapping"/>
            </w:r>
            <w:r>
              <w:rPr>
                <w:rFonts w:hint="eastAsia"/>
              </w:rPr>
              <w:t>2)中纤板:选用E0级中纤板、满足GB/T18580-2017要求,甲醛释放量≤0.124mg/m³</w:t>
            </w:r>
            <w:r>
              <w:rPr>
                <w:rFonts w:hint="eastAsia"/>
              </w:rPr>
              <w:br w:type="textWrapping"/>
            </w:r>
            <w:r>
              <w:rPr>
                <w:rFonts w:hint="eastAsia"/>
              </w:rPr>
              <w:t>3)实木:天然实木满足GB/T18580-2017要求,甲醛释放量≤0.124mg/m³</w:t>
            </w:r>
            <w:r>
              <w:rPr>
                <w:rFonts w:hint="eastAsia"/>
              </w:rPr>
              <w:br w:type="textWrapping"/>
            </w:r>
            <w:r>
              <w:rPr>
                <w:rFonts w:hint="eastAsia"/>
              </w:rPr>
              <w:t>工艺说明:</w:t>
            </w:r>
            <w:r>
              <w:rPr>
                <w:rFonts w:hint="eastAsia"/>
              </w:rPr>
              <w:br w:type="textWrapping"/>
            </w:r>
            <w:r>
              <w:rPr>
                <w:rFonts w:hint="eastAsia"/>
              </w:rPr>
              <w:t>1)采用水性环保油漆,满足GB 18581-2020要求,游离甲醛含量≤100mg/Kg,挥发性有机化合物含量≤300g/L,可溶性重金属含量未检出</w:t>
            </w:r>
          </w:p>
        </w:tc>
        <w:tc>
          <w:tcPr>
            <w:tcW w:w="1811" w:type="dxa"/>
            <w:vAlign w:val="center"/>
          </w:tcPr>
          <w:p>
            <w:pPr>
              <w:jc w:val="center"/>
            </w:pPr>
            <w:r>
              <w:rPr>
                <w:rFonts w:hint="eastAsia"/>
              </w:rPr>
              <w:t>700 mm (L)</w:t>
            </w:r>
            <w:r>
              <w:rPr>
                <w:rFonts w:hint="eastAsia"/>
              </w:rPr>
              <w:br w:type="textWrapping"/>
            </w:r>
            <w:r>
              <w:rPr>
                <w:rFonts w:hint="eastAsia"/>
              </w:rPr>
              <w:t>450 mm (W)</w:t>
            </w:r>
            <w:r>
              <w:rPr>
                <w:rFonts w:hint="eastAsia"/>
              </w:rPr>
              <w:br w:type="textWrapping"/>
            </w:r>
            <w:r>
              <w:rPr>
                <w:rFonts w:hint="eastAsia"/>
              </w:rPr>
              <w:t>550 mm (H)</w:t>
            </w:r>
          </w:p>
        </w:tc>
        <w:tc>
          <w:tcPr>
            <w:tcW w:w="705" w:type="dxa"/>
            <w:vAlign w:val="center"/>
          </w:tcPr>
          <w:p>
            <w:pPr>
              <w:jc w:val="center"/>
            </w:pPr>
            <w:r>
              <w:rPr>
                <w:rFonts w:hint="eastAsia"/>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2" w:hRule="atLeast"/>
        </w:trPr>
        <w:tc>
          <w:tcPr>
            <w:tcW w:w="1199" w:type="dxa"/>
            <w:vAlign w:val="center"/>
          </w:tcPr>
          <w:p>
            <w:r>
              <w:rPr>
                <w:rFonts w:hint="eastAsia"/>
              </w:rPr>
              <w:t>茶几</w:t>
            </w:r>
          </w:p>
        </w:tc>
        <w:tc>
          <w:tcPr>
            <w:tcW w:w="2198" w:type="dxa"/>
          </w:tcPr>
          <w:p>
            <w:r>
              <w:rPr>
                <w:rFonts w:hint="eastAsia"/>
              </w:rPr>
              <w:drawing>
                <wp:anchor distT="0" distB="0" distL="114300" distR="114300" simplePos="0" relativeHeight="251725824" behindDoc="0" locked="0" layoutInCell="1" allowOverlap="1">
                  <wp:simplePos x="0" y="0"/>
                  <wp:positionH relativeFrom="column">
                    <wp:posOffset>163830</wp:posOffset>
                  </wp:positionH>
                  <wp:positionV relativeFrom="paragraph">
                    <wp:posOffset>405130</wp:posOffset>
                  </wp:positionV>
                  <wp:extent cx="1014095" cy="1021080"/>
                  <wp:effectExtent l="0" t="0" r="14605" b="762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50"/>
                          <a:stretch>
                            <a:fillRect/>
                          </a:stretch>
                        </pic:blipFill>
                        <pic:spPr>
                          <a:xfrm>
                            <a:off x="0" y="0"/>
                            <a:ext cx="1014095" cy="1021080"/>
                          </a:xfrm>
                          <a:prstGeom prst="rect">
                            <a:avLst/>
                          </a:prstGeom>
                        </pic:spPr>
                      </pic:pic>
                    </a:graphicData>
                  </a:graphic>
                </wp:anchor>
              </w:drawing>
            </w:r>
          </w:p>
        </w:tc>
        <w:tc>
          <w:tcPr>
            <w:tcW w:w="9781" w:type="dxa"/>
          </w:tcPr>
          <w:p>
            <w:r>
              <w:rPr>
                <w:rFonts w:hint="eastAsia"/>
              </w:rPr>
              <w:t>1)木皮:45S天然胡桃木木皮，符合SB/T 10969-2013甲醛释放量≤1.5mg/L</w:t>
            </w:r>
            <w:r>
              <w:rPr>
                <w:rFonts w:hint="eastAsia"/>
              </w:rPr>
              <w:br w:type="textWrapping"/>
            </w:r>
            <w:r>
              <w:rPr>
                <w:rFonts w:hint="eastAsia"/>
              </w:rPr>
              <w:t>2)中纤板:选用E0级中纤板、满足GB/T18580-2017要求,甲醛释放量≤0.124mg/m³</w:t>
            </w:r>
            <w:r>
              <w:rPr>
                <w:rFonts w:hint="eastAsia"/>
              </w:rPr>
              <w:br w:type="textWrapping"/>
            </w:r>
            <w:r>
              <w:rPr>
                <w:rFonts w:hint="eastAsia"/>
              </w:rPr>
              <w:t>3)实木:天然实木满足GB/T18580-2017要求,甲醛释放量≤0.124mg/m³</w:t>
            </w:r>
            <w:r>
              <w:rPr>
                <w:rFonts w:hint="eastAsia"/>
              </w:rPr>
              <w:br w:type="textWrapping"/>
            </w:r>
            <w:r>
              <w:rPr>
                <w:rFonts w:hint="eastAsia"/>
              </w:rPr>
              <w:t>工艺说明:</w:t>
            </w:r>
            <w:r>
              <w:rPr>
                <w:rFonts w:hint="eastAsia"/>
              </w:rPr>
              <w:br w:type="textWrapping"/>
            </w:r>
            <w:r>
              <w:rPr>
                <w:rFonts w:hint="eastAsia"/>
              </w:rPr>
              <w:t>1)采用水性环保油漆,满足GB 18581-2020要求,游离甲醛含量≤100mg/Kg,挥发性有机化合物含量≤300g/L,可溶性重金属含量未检出</w:t>
            </w:r>
          </w:p>
        </w:tc>
        <w:tc>
          <w:tcPr>
            <w:tcW w:w="1811" w:type="dxa"/>
            <w:vAlign w:val="center"/>
          </w:tcPr>
          <w:p>
            <w:pPr>
              <w:jc w:val="center"/>
            </w:pPr>
            <w:r>
              <w:rPr>
                <w:rFonts w:hint="eastAsia"/>
              </w:rPr>
              <w:t>700 mm (L)</w:t>
            </w:r>
            <w:r>
              <w:rPr>
                <w:rFonts w:hint="eastAsia"/>
              </w:rPr>
              <w:br w:type="textWrapping"/>
            </w:r>
            <w:r>
              <w:rPr>
                <w:rFonts w:hint="eastAsia"/>
              </w:rPr>
              <w:t>700 mm (W)</w:t>
            </w:r>
            <w:r>
              <w:rPr>
                <w:rFonts w:hint="eastAsia"/>
              </w:rPr>
              <w:br w:type="textWrapping"/>
            </w:r>
            <w:r>
              <w:rPr>
                <w:rFonts w:hint="eastAsia"/>
              </w:rPr>
              <w:t>550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6" w:hRule="atLeast"/>
        </w:trPr>
        <w:tc>
          <w:tcPr>
            <w:tcW w:w="1199" w:type="dxa"/>
            <w:vAlign w:val="center"/>
          </w:tcPr>
          <w:p>
            <w:r>
              <w:rPr>
                <w:rFonts w:hint="eastAsia"/>
              </w:rPr>
              <w:t>茶水矮柜</w:t>
            </w:r>
          </w:p>
        </w:tc>
        <w:tc>
          <w:tcPr>
            <w:tcW w:w="2198" w:type="dxa"/>
          </w:tcPr>
          <w:p>
            <w:r>
              <w:rPr>
                <w:rFonts w:hint="eastAsia"/>
              </w:rPr>
              <w:drawing>
                <wp:anchor distT="0" distB="0" distL="114300" distR="114300" simplePos="0" relativeHeight="251720704" behindDoc="0" locked="0" layoutInCell="1" allowOverlap="1">
                  <wp:simplePos x="0" y="0"/>
                  <wp:positionH relativeFrom="column">
                    <wp:posOffset>65405</wp:posOffset>
                  </wp:positionH>
                  <wp:positionV relativeFrom="paragraph">
                    <wp:posOffset>49530</wp:posOffset>
                  </wp:positionV>
                  <wp:extent cx="1094105" cy="739775"/>
                  <wp:effectExtent l="0" t="0" r="10795" b="317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1"/>
                          <a:stretch>
                            <a:fillRect/>
                          </a:stretch>
                        </pic:blipFill>
                        <pic:spPr>
                          <a:xfrm>
                            <a:off x="0" y="0"/>
                            <a:ext cx="1093801" cy="739471"/>
                          </a:xfrm>
                          <a:prstGeom prst="rect">
                            <a:avLst/>
                          </a:prstGeom>
                        </pic:spPr>
                      </pic:pic>
                    </a:graphicData>
                  </a:graphic>
                </wp:anchor>
              </w:drawing>
            </w:r>
          </w:p>
        </w:tc>
        <w:tc>
          <w:tcPr>
            <w:tcW w:w="9781" w:type="dxa"/>
          </w:tcPr>
          <w:p>
            <w:r>
              <w:rPr>
                <w:rFonts w:hint="eastAsia"/>
              </w:rPr>
              <w:t>1、面材：60S天然胡桃木。符合GB/T 3324-2017《木家具通用技术条件》，甲醛释放量≤0.05mg/m³</w:t>
            </w:r>
            <w:r>
              <w:rPr>
                <w:rFonts w:hint="eastAsia"/>
              </w:rPr>
              <w:br w:type="textWrapping"/>
            </w:r>
            <w:r>
              <w:rPr>
                <w:rFonts w:hint="eastAsia"/>
              </w:rPr>
              <w:t>2、基材：E0级中纤板、E0级刨花板，满足GB/T18580-2017要求,甲醛释放量≤0.124mg/m³</w:t>
            </w:r>
            <w:r>
              <w:rPr>
                <w:rFonts w:hint="eastAsia"/>
              </w:rPr>
              <w:br w:type="textWrapping"/>
            </w:r>
            <w:r>
              <w:rPr>
                <w:rFonts w:hint="eastAsia"/>
              </w:rPr>
              <w:t>3、五金：无力铰链+回弹装置，黑色钢化玻璃。</w:t>
            </w:r>
            <w:r>
              <w:rPr>
                <w:rFonts w:hint="eastAsia"/>
              </w:rPr>
              <w:br w:type="textWrapping"/>
            </w:r>
            <w:r>
              <w:rPr>
                <w:rFonts w:hint="eastAsia"/>
              </w:rPr>
              <w:t>4、油漆：采用水性环保油漆，开放式涂装。</w:t>
            </w:r>
          </w:p>
        </w:tc>
        <w:tc>
          <w:tcPr>
            <w:tcW w:w="1811" w:type="dxa"/>
            <w:vAlign w:val="center"/>
          </w:tcPr>
          <w:p>
            <w:pPr>
              <w:jc w:val="center"/>
            </w:pPr>
            <w:r>
              <w:rPr>
                <w:rFonts w:hint="eastAsia"/>
              </w:rPr>
              <w:t>1604 mm (L)</w:t>
            </w:r>
            <w:r>
              <w:rPr>
                <w:rFonts w:hint="eastAsia"/>
              </w:rPr>
              <w:br w:type="textWrapping"/>
            </w:r>
            <w:r>
              <w:rPr>
                <w:rFonts w:hint="eastAsia"/>
              </w:rPr>
              <w:t>400 mm (W)</w:t>
            </w:r>
            <w:r>
              <w:rPr>
                <w:rFonts w:hint="eastAsia"/>
              </w:rPr>
              <w:br w:type="textWrapping"/>
            </w:r>
            <w:r>
              <w:rPr>
                <w:rFonts w:hint="eastAsia"/>
              </w:rPr>
              <w:t>845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5694" w:type="dxa"/>
            <w:gridSpan w:val="5"/>
            <w:noWrap/>
            <w:vAlign w:val="center"/>
          </w:tcPr>
          <w:p>
            <w:pPr>
              <w:jc w:val="center"/>
              <w:rPr>
                <w:b/>
                <w:bCs/>
              </w:rPr>
            </w:pPr>
            <w:r>
              <w:rPr>
                <w:rFonts w:hint="eastAsia"/>
                <w:b/>
                <w:bCs/>
              </w:rPr>
              <w:t>五楼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5694" w:type="dxa"/>
            <w:gridSpan w:val="5"/>
            <w:noWrap/>
            <w:vAlign w:val="center"/>
          </w:tcPr>
          <w:p>
            <w:pPr>
              <w:jc w:val="center"/>
              <w:rPr>
                <w:b/>
                <w:bCs/>
              </w:rPr>
            </w:pPr>
            <w:r>
              <w:rPr>
                <w:rFonts w:hint="eastAsia"/>
                <w:b/>
                <w:bCs/>
              </w:rPr>
              <w:t>报告厅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99" w:type="dxa"/>
            <w:vAlign w:val="center"/>
          </w:tcPr>
          <w:p>
            <w:r>
              <w:rPr>
                <w:rFonts w:hint="eastAsia"/>
              </w:rPr>
              <w:t>培训桌</w:t>
            </w:r>
          </w:p>
        </w:tc>
        <w:tc>
          <w:tcPr>
            <w:tcW w:w="2198" w:type="dxa"/>
          </w:tcPr>
          <w:p>
            <w:r>
              <w:rPr>
                <w:rFonts w:hint="eastAsia"/>
              </w:rPr>
              <w:drawing>
                <wp:anchor distT="0" distB="0" distL="114300" distR="114300" simplePos="0" relativeHeight="251704320" behindDoc="0" locked="0" layoutInCell="1" allowOverlap="1">
                  <wp:simplePos x="0" y="0"/>
                  <wp:positionH relativeFrom="column">
                    <wp:posOffset>99060</wp:posOffset>
                  </wp:positionH>
                  <wp:positionV relativeFrom="paragraph">
                    <wp:posOffset>173990</wp:posOffset>
                  </wp:positionV>
                  <wp:extent cx="969645" cy="818515"/>
                  <wp:effectExtent l="0" t="0" r="1905" b="635"/>
                  <wp:wrapNone/>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52"/>
                          <a:stretch>
                            <a:fillRect/>
                          </a:stretch>
                        </pic:blipFill>
                        <pic:spPr>
                          <a:xfrm>
                            <a:off x="0" y="0"/>
                            <a:ext cx="969645" cy="818515"/>
                          </a:xfrm>
                          <a:prstGeom prst="rect">
                            <a:avLst/>
                          </a:prstGeom>
                        </pic:spPr>
                      </pic:pic>
                    </a:graphicData>
                  </a:graphic>
                </wp:anchor>
              </w:drawing>
            </w:r>
          </w:p>
        </w:tc>
        <w:tc>
          <w:tcPr>
            <w:tcW w:w="9781" w:type="dxa"/>
          </w:tcPr>
          <w:p>
            <w:r>
              <w:rPr>
                <w:rFonts w:hint="eastAsia"/>
              </w:rPr>
              <w:t>1、木皮：天然胡桃木木皮贴面，厚度≥0.6mm。</w:t>
            </w:r>
            <w:r>
              <w:rPr>
                <w:rFonts w:hint="eastAsia"/>
              </w:rPr>
              <w:br w:type="textWrapping"/>
            </w:r>
            <w:r>
              <w:rPr>
                <w:rFonts w:hint="eastAsia"/>
              </w:rPr>
              <w:t>2、基材:E0级中纤板，甲醛释放量≤0.03mg/m³。</w:t>
            </w:r>
            <w:r>
              <w:rPr>
                <w:rFonts w:hint="eastAsia"/>
              </w:rPr>
              <w:br w:type="textWrapping"/>
            </w:r>
            <w:r>
              <w:rPr>
                <w:rFonts w:hint="eastAsia"/>
              </w:rPr>
              <w:t>3、油漆:采用水性油漆，漆膜硬度≥2.5H,更加环保，开放式涂装。</w:t>
            </w:r>
            <w:r>
              <w:rPr>
                <w:rFonts w:hint="eastAsia"/>
              </w:rPr>
              <w:br w:type="textWrapping"/>
            </w:r>
            <w:r>
              <w:rPr>
                <w:rFonts w:hint="eastAsia"/>
              </w:rPr>
              <w:t>4、水性面漆、水性底漆环保指标：按HJ2537-2014标准，挥发性有机化合物（VOC）≤7g/L，游离甲醛含量≤35mg/Kg，可溶性重金属和苯系物含量未检出。</w:t>
            </w:r>
          </w:p>
        </w:tc>
        <w:tc>
          <w:tcPr>
            <w:tcW w:w="1811" w:type="dxa"/>
            <w:vAlign w:val="center"/>
          </w:tcPr>
          <w:p>
            <w:pPr>
              <w:jc w:val="center"/>
            </w:pPr>
            <w:r>
              <w:rPr>
                <w:rFonts w:hint="eastAsia"/>
              </w:rPr>
              <w:t>1600 mm (L)</w:t>
            </w:r>
            <w:r>
              <w:rPr>
                <w:rFonts w:hint="eastAsia"/>
              </w:rPr>
              <w:br w:type="textWrapping"/>
            </w:r>
            <w:r>
              <w:rPr>
                <w:rFonts w:hint="eastAsia"/>
              </w:rPr>
              <w:t>600 mm (W)</w:t>
            </w:r>
            <w:r>
              <w:rPr>
                <w:rFonts w:hint="eastAsia"/>
              </w:rPr>
              <w:br w:type="textWrapping"/>
            </w:r>
            <w:r>
              <w:rPr>
                <w:rFonts w:hint="eastAsia"/>
              </w:rPr>
              <w:t>760 mm (H)</w:t>
            </w:r>
          </w:p>
        </w:tc>
        <w:tc>
          <w:tcPr>
            <w:tcW w:w="705" w:type="dxa"/>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5" w:hRule="atLeast"/>
        </w:trPr>
        <w:tc>
          <w:tcPr>
            <w:tcW w:w="1199" w:type="dxa"/>
            <w:vAlign w:val="center"/>
          </w:tcPr>
          <w:p>
            <w:r>
              <w:rPr>
                <w:rFonts w:hint="eastAsia"/>
              </w:rPr>
              <w:t>培训桌</w:t>
            </w:r>
          </w:p>
        </w:tc>
        <w:tc>
          <w:tcPr>
            <w:tcW w:w="2198" w:type="dxa"/>
          </w:tcPr>
          <w:p>
            <w:r>
              <w:rPr>
                <w:rFonts w:hint="eastAsia"/>
              </w:rPr>
              <w:drawing>
                <wp:anchor distT="0" distB="0" distL="114300" distR="114300" simplePos="0" relativeHeight="251703296" behindDoc="0" locked="0" layoutInCell="1" allowOverlap="1">
                  <wp:simplePos x="0" y="0"/>
                  <wp:positionH relativeFrom="column">
                    <wp:posOffset>144780</wp:posOffset>
                  </wp:positionH>
                  <wp:positionV relativeFrom="paragraph">
                    <wp:posOffset>490220</wp:posOffset>
                  </wp:positionV>
                  <wp:extent cx="993140" cy="746125"/>
                  <wp:effectExtent l="0" t="0" r="16510" b="15875"/>
                  <wp:wrapNone/>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53"/>
                          <a:stretch>
                            <a:fillRect/>
                          </a:stretch>
                        </pic:blipFill>
                        <pic:spPr>
                          <a:xfrm>
                            <a:off x="0" y="0"/>
                            <a:ext cx="993140" cy="746125"/>
                          </a:xfrm>
                          <a:prstGeom prst="rect">
                            <a:avLst/>
                          </a:prstGeom>
                        </pic:spPr>
                      </pic:pic>
                    </a:graphicData>
                  </a:graphic>
                </wp:anchor>
              </w:drawing>
            </w:r>
          </w:p>
        </w:tc>
        <w:tc>
          <w:tcPr>
            <w:tcW w:w="9781" w:type="dxa"/>
          </w:tcPr>
          <w:p>
            <w:r>
              <w:rPr>
                <w:rFonts w:hint="eastAsia"/>
              </w:rPr>
              <w:t>1、木皮：天然胡桃木木皮贴面，厚度≥0.6mm。</w:t>
            </w:r>
            <w:r>
              <w:rPr>
                <w:rFonts w:hint="eastAsia"/>
              </w:rPr>
              <w:br w:type="textWrapping"/>
            </w:r>
            <w:r>
              <w:rPr>
                <w:rFonts w:hint="eastAsia"/>
              </w:rPr>
              <w:t>2、基材:E0级中纤板，甲醛释放量≤0.03mg/m³。</w:t>
            </w:r>
            <w:r>
              <w:rPr>
                <w:rFonts w:hint="eastAsia"/>
              </w:rPr>
              <w:br w:type="textWrapping"/>
            </w:r>
            <w:r>
              <w:rPr>
                <w:rFonts w:hint="eastAsia"/>
              </w:rPr>
              <w:t>3、油漆:采用水性油漆，漆膜硬度≥2.5H,更加环保，开放式涂装。</w:t>
            </w:r>
            <w:r>
              <w:rPr>
                <w:rFonts w:hint="eastAsia"/>
              </w:rPr>
              <w:br w:type="textWrapping"/>
            </w:r>
            <w:r>
              <w:rPr>
                <w:rFonts w:hint="eastAsia"/>
              </w:rPr>
              <w:t>4、水性面漆、水性底漆环保指标：按HJ2537-2014标准，挥发性有机化合物（VOC）≤7g/L，游离甲醛含量≤35mg/Kg，可溶性重金属和苯系物含量未检出。</w:t>
            </w:r>
            <w:r>
              <w:rPr>
                <w:rFonts w:hint="eastAsia"/>
              </w:rPr>
              <w:br w:type="textWrapping"/>
            </w:r>
            <w:r>
              <w:rPr>
                <w:rFonts w:hint="eastAsia"/>
              </w:rPr>
              <w:t>5、桌体内部隐藏式走线，台面桌板可上翻，翻起高度可多点固定。</w:t>
            </w:r>
          </w:p>
        </w:tc>
        <w:tc>
          <w:tcPr>
            <w:tcW w:w="1811" w:type="dxa"/>
            <w:vAlign w:val="center"/>
          </w:tcPr>
          <w:p>
            <w:pPr>
              <w:jc w:val="center"/>
            </w:pPr>
            <w:r>
              <w:rPr>
                <w:rFonts w:hint="eastAsia"/>
              </w:rPr>
              <w:t>2400 mm (L)</w:t>
            </w:r>
            <w:r>
              <w:rPr>
                <w:rFonts w:hint="eastAsia"/>
              </w:rPr>
              <w:br w:type="textWrapping"/>
            </w:r>
            <w:r>
              <w:rPr>
                <w:rFonts w:hint="eastAsia"/>
              </w:rPr>
              <w:t>600 mm (W)</w:t>
            </w:r>
            <w:r>
              <w:rPr>
                <w:rFonts w:hint="eastAsia"/>
              </w:rPr>
              <w:br w:type="textWrapping"/>
            </w:r>
            <w:r>
              <w:rPr>
                <w:rFonts w:hint="eastAsia"/>
              </w:rPr>
              <w:t>760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8" w:hRule="atLeast"/>
        </w:trPr>
        <w:tc>
          <w:tcPr>
            <w:tcW w:w="1199" w:type="dxa"/>
            <w:vAlign w:val="center"/>
          </w:tcPr>
          <w:p>
            <w:r>
              <w:rPr>
                <w:rFonts w:hint="eastAsia"/>
              </w:rPr>
              <w:t>演讲台</w:t>
            </w:r>
          </w:p>
        </w:tc>
        <w:tc>
          <w:tcPr>
            <w:tcW w:w="2198" w:type="dxa"/>
          </w:tcPr>
          <w:p>
            <w:r>
              <w:rPr>
                <w:rFonts w:hint="eastAsia"/>
              </w:rPr>
              <w:drawing>
                <wp:anchor distT="0" distB="0" distL="114300" distR="114300" simplePos="0" relativeHeight="251705344" behindDoc="0" locked="0" layoutInCell="1" allowOverlap="1">
                  <wp:simplePos x="0" y="0"/>
                  <wp:positionH relativeFrom="column">
                    <wp:posOffset>211455</wp:posOffset>
                  </wp:positionH>
                  <wp:positionV relativeFrom="paragraph">
                    <wp:posOffset>156845</wp:posOffset>
                  </wp:positionV>
                  <wp:extent cx="819150" cy="1110615"/>
                  <wp:effectExtent l="0" t="0" r="0" b="13335"/>
                  <wp:wrapNone/>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54"/>
                          <a:stretch>
                            <a:fillRect/>
                          </a:stretch>
                        </pic:blipFill>
                        <pic:spPr>
                          <a:xfrm>
                            <a:off x="0" y="0"/>
                            <a:ext cx="819374" cy="1110707"/>
                          </a:xfrm>
                          <a:prstGeom prst="rect">
                            <a:avLst/>
                          </a:prstGeom>
                        </pic:spPr>
                      </pic:pic>
                    </a:graphicData>
                  </a:graphic>
                </wp:anchor>
              </w:drawing>
            </w:r>
          </w:p>
        </w:tc>
        <w:tc>
          <w:tcPr>
            <w:tcW w:w="9781" w:type="dxa"/>
          </w:tcPr>
          <w:p>
            <w:r>
              <w:rPr>
                <w:rFonts w:hint="eastAsia"/>
              </w:rPr>
              <w:t>1、木皮：天然胡桃木木皮贴面，厚度≥0.6mm。</w:t>
            </w:r>
            <w:r>
              <w:rPr>
                <w:rFonts w:hint="eastAsia"/>
              </w:rPr>
              <w:br w:type="textWrapping"/>
            </w:r>
            <w:r>
              <w:rPr>
                <w:rFonts w:hint="eastAsia"/>
              </w:rPr>
              <w:t>2、基材:E0级中纤板，甲醛释放量≤0.03mg/m³。</w:t>
            </w:r>
            <w:r>
              <w:rPr>
                <w:rFonts w:hint="eastAsia"/>
              </w:rPr>
              <w:br w:type="textWrapping"/>
            </w:r>
            <w:r>
              <w:rPr>
                <w:rFonts w:hint="eastAsia"/>
              </w:rPr>
              <w:t>3、油漆:采用水性油漆，漆膜硬度≥2.5H,更加环保，开放式涂装。</w:t>
            </w:r>
            <w:r>
              <w:rPr>
                <w:rFonts w:hint="eastAsia"/>
              </w:rPr>
              <w:br w:type="textWrapping"/>
            </w:r>
            <w:r>
              <w:rPr>
                <w:rFonts w:hint="eastAsia"/>
              </w:rPr>
              <w:t>4、水性面漆、水性底漆环保指标：按HJ2537-2014标准，挥发性有机化合物（VOC）≤7g/L，游离甲醛含量≤35mg/Kg，可溶性重金属和苯系物含量未检出。</w:t>
            </w:r>
            <w:r>
              <w:rPr>
                <w:rFonts w:hint="eastAsia"/>
              </w:rPr>
              <w:br w:type="textWrapping"/>
            </w:r>
            <w:r>
              <w:rPr>
                <w:rFonts w:hint="eastAsia"/>
              </w:rPr>
              <w:t>5、桌体内部隐藏式走线，台面桌板可上翻，翻起高度可多点固定。</w:t>
            </w:r>
          </w:p>
        </w:tc>
        <w:tc>
          <w:tcPr>
            <w:tcW w:w="1811" w:type="dxa"/>
            <w:vAlign w:val="center"/>
          </w:tcPr>
          <w:p>
            <w:pPr>
              <w:jc w:val="center"/>
            </w:pPr>
            <w:r>
              <w:rPr>
                <w:rFonts w:hint="eastAsia"/>
              </w:rPr>
              <w:t>700 mm (L)</w:t>
            </w:r>
            <w:r>
              <w:rPr>
                <w:rFonts w:hint="eastAsia"/>
              </w:rPr>
              <w:br w:type="textWrapping"/>
            </w:r>
            <w:r>
              <w:rPr>
                <w:rFonts w:hint="eastAsia"/>
              </w:rPr>
              <w:t>500 mm (W)</w:t>
            </w:r>
            <w:r>
              <w:rPr>
                <w:rFonts w:hint="eastAsia"/>
              </w:rPr>
              <w:br w:type="textWrapping"/>
            </w:r>
            <w:r>
              <w:rPr>
                <w:rFonts w:hint="eastAsia"/>
              </w:rPr>
              <w:t>1130 mm (H)</w:t>
            </w:r>
          </w:p>
        </w:tc>
        <w:tc>
          <w:tcPr>
            <w:tcW w:w="705" w:type="dxa"/>
            <w:vAlign w:val="center"/>
          </w:tcPr>
          <w:p>
            <w:pPr>
              <w:jc w:val="center"/>
            </w:pPr>
            <w:r>
              <w:rPr>
                <w:rFonts w:hint="eastAsia"/>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4" w:hRule="atLeast"/>
        </w:trPr>
        <w:tc>
          <w:tcPr>
            <w:tcW w:w="1199" w:type="dxa"/>
            <w:vAlign w:val="center"/>
          </w:tcPr>
          <w:p>
            <w:r>
              <w:rPr>
                <w:rFonts w:hint="eastAsia"/>
              </w:rPr>
              <w:t>培训桌</w:t>
            </w:r>
          </w:p>
        </w:tc>
        <w:tc>
          <w:tcPr>
            <w:tcW w:w="2198" w:type="dxa"/>
          </w:tcPr>
          <w:p>
            <w:r>
              <w:rPr>
                <w:rFonts w:hint="eastAsia"/>
              </w:rPr>
              <w:drawing>
                <wp:anchor distT="0" distB="0" distL="114300" distR="114300" simplePos="0" relativeHeight="251706368" behindDoc="0" locked="0" layoutInCell="1" allowOverlap="1">
                  <wp:simplePos x="0" y="0"/>
                  <wp:positionH relativeFrom="column">
                    <wp:posOffset>168910</wp:posOffset>
                  </wp:positionH>
                  <wp:positionV relativeFrom="paragraph">
                    <wp:posOffset>368935</wp:posOffset>
                  </wp:positionV>
                  <wp:extent cx="995680" cy="669290"/>
                  <wp:effectExtent l="0" t="0" r="13970" b="16510"/>
                  <wp:wrapNone/>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55"/>
                          <a:stretch>
                            <a:fillRect/>
                          </a:stretch>
                        </pic:blipFill>
                        <pic:spPr>
                          <a:xfrm>
                            <a:off x="0" y="0"/>
                            <a:ext cx="995881" cy="669448"/>
                          </a:xfrm>
                          <a:prstGeom prst="rect">
                            <a:avLst/>
                          </a:prstGeom>
                        </pic:spPr>
                      </pic:pic>
                    </a:graphicData>
                  </a:graphic>
                </wp:anchor>
              </w:drawing>
            </w:r>
          </w:p>
        </w:tc>
        <w:tc>
          <w:tcPr>
            <w:tcW w:w="9781" w:type="dxa"/>
          </w:tcPr>
          <w:p>
            <w:r>
              <w:rPr>
                <w:rFonts w:hint="eastAsia"/>
              </w:rPr>
              <w:t>1、木皮：天然胡桃木木皮贴面，厚度≥0.6mm。</w:t>
            </w:r>
            <w:r>
              <w:rPr>
                <w:rFonts w:hint="eastAsia"/>
              </w:rPr>
              <w:br w:type="textWrapping"/>
            </w:r>
            <w:r>
              <w:rPr>
                <w:rFonts w:hint="eastAsia"/>
              </w:rPr>
              <w:t>2、基材:E0级中纤板，甲醛释放量≤0.03mg/m³。</w:t>
            </w:r>
            <w:r>
              <w:rPr>
                <w:rFonts w:hint="eastAsia"/>
              </w:rPr>
              <w:br w:type="textWrapping"/>
            </w:r>
            <w:r>
              <w:rPr>
                <w:rFonts w:hint="eastAsia"/>
              </w:rPr>
              <w:t>3、油漆:采用水性油漆，漆膜硬度≥2.5H,更加环保，开放式涂装。</w:t>
            </w:r>
            <w:r>
              <w:rPr>
                <w:rFonts w:hint="eastAsia"/>
              </w:rPr>
              <w:br w:type="textWrapping"/>
            </w:r>
            <w:r>
              <w:rPr>
                <w:rFonts w:hint="eastAsia"/>
              </w:rPr>
              <w:t>4、水性面漆、水性底漆环保指标：按HJ2537-2014标准，挥发性有机化合物（VOC）≤7g/L，游离甲醛含量≤35mg/Kg，可溶性重金属和苯系物含量未检出。</w:t>
            </w:r>
            <w:r>
              <w:rPr>
                <w:rFonts w:hint="eastAsia"/>
              </w:rPr>
              <w:br w:type="textWrapping"/>
            </w:r>
            <w:r>
              <w:rPr>
                <w:rFonts w:hint="eastAsia"/>
              </w:rPr>
              <w:t>5、桌体内部隐藏式走线，台面桌板可上翻，翻起高度可多点固定。</w:t>
            </w:r>
          </w:p>
        </w:tc>
        <w:tc>
          <w:tcPr>
            <w:tcW w:w="1811" w:type="dxa"/>
            <w:vAlign w:val="center"/>
          </w:tcPr>
          <w:p>
            <w:pPr>
              <w:jc w:val="center"/>
            </w:pPr>
            <w:r>
              <w:rPr>
                <w:rFonts w:hint="eastAsia"/>
              </w:rPr>
              <w:t>1200 mm (L)</w:t>
            </w:r>
            <w:r>
              <w:rPr>
                <w:rFonts w:hint="eastAsia"/>
              </w:rPr>
              <w:br w:type="textWrapping"/>
            </w:r>
            <w:r>
              <w:rPr>
                <w:rFonts w:hint="eastAsia"/>
              </w:rPr>
              <w:t>500 mm (W)</w:t>
            </w:r>
            <w:r>
              <w:rPr>
                <w:rFonts w:hint="eastAsia"/>
              </w:rPr>
              <w:br w:type="textWrapping"/>
            </w:r>
            <w:r>
              <w:rPr>
                <w:rFonts w:hint="eastAsia"/>
              </w:rPr>
              <w:t>760 mm (H)</w:t>
            </w:r>
          </w:p>
        </w:tc>
        <w:tc>
          <w:tcPr>
            <w:tcW w:w="705" w:type="dxa"/>
            <w:vAlign w:val="center"/>
          </w:tcPr>
          <w:p>
            <w:pPr>
              <w:jc w:val="center"/>
            </w:pPr>
            <w:r>
              <w:rPr>
                <w:rFonts w:hint="eastAsia"/>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8" w:hRule="atLeast"/>
        </w:trPr>
        <w:tc>
          <w:tcPr>
            <w:tcW w:w="1199" w:type="dxa"/>
            <w:vAlign w:val="center"/>
          </w:tcPr>
          <w:p>
            <w:r>
              <w:rPr>
                <w:rFonts w:hint="eastAsia"/>
              </w:rPr>
              <w:t>培训桌</w:t>
            </w:r>
          </w:p>
        </w:tc>
        <w:tc>
          <w:tcPr>
            <w:tcW w:w="2198" w:type="dxa"/>
          </w:tcPr>
          <w:p>
            <w:r>
              <w:rPr>
                <w:rFonts w:hint="eastAsia"/>
              </w:rPr>
              <w:drawing>
                <wp:anchor distT="0" distB="0" distL="114300" distR="114300" simplePos="0" relativeHeight="251707392" behindDoc="0" locked="0" layoutInCell="1" allowOverlap="1">
                  <wp:simplePos x="0" y="0"/>
                  <wp:positionH relativeFrom="column">
                    <wp:posOffset>88265</wp:posOffset>
                  </wp:positionH>
                  <wp:positionV relativeFrom="paragraph">
                    <wp:posOffset>345440</wp:posOffset>
                  </wp:positionV>
                  <wp:extent cx="1064260" cy="688340"/>
                  <wp:effectExtent l="0" t="0" r="2540" b="16510"/>
                  <wp:wrapNone/>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55"/>
                          <a:stretch>
                            <a:fillRect/>
                          </a:stretch>
                        </pic:blipFill>
                        <pic:spPr>
                          <a:xfrm>
                            <a:off x="0" y="0"/>
                            <a:ext cx="1064203" cy="688063"/>
                          </a:xfrm>
                          <a:prstGeom prst="rect">
                            <a:avLst/>
                          </a:prstGeom>
                        </pic:spPr>
                      </pic:pic>
                    </a:graphicData>
                  </a:graphic>
                </wp:anchor>
              </w:drawing>
            </w:r>
          </w:p>
        </w:tc>
        <w:tc>
          <w:tcPr>
            <w:tcW w:w="9781" w:type="dxa"/>
          </w:tcPr>
          <w:p>
            <w:r>
              <w:rPr>
                <w:rFonts w:hint="eastAsia"/>
              </w:rPr>
              <w:t>1、木皮：天然胡桃木木皮贴面，厚度≥0.6mm。</w:t>
            </w:r>
            <w:r>
              <w:rPr>
                <w:rFonts w:hint="eastAsia"/>
              </w:rPr>
              <w:br w:type="textWrapping"/>
            </w:r>
            <w:r>
              <w:rPr>
                <w:rFonts w:hint="eastAsia"/>
              </w:rPr>
              <w:t>2、基材:E0级中纤板，甲醛释放量≤0.03mg/m³。</w:t>
            </w:r>
            <w:r>
              <w:rPr>
                <w:rFonts w:hint="eastAsia"/>
              </w:rPr>
              <w:br w:type="textWrapping"/>
            </w:r>
            <w:r>
              <w:rPr>
                <w:rFonts w:hint="eastAsia"/>
              </w:rPr>
              <w:t>3、油漆:采用水性油漆，漆膜硬度≥2.5H,更加环保，开放式涂装。</w:t>
            </w:r>
            <w:r>
              <w:rPr>
                <w:rFonts w:hint="eastAsia"/>
              </w:rPr>
              <w:br w:type="textWrapping"/>
            </w:r>
            <w:r>
              <w:rPr>
                <w:rFonts w:hint="eastAsia"/>
              </w:rPr>
              <w:t>4、水性面漆、水性底漆环保指标：按HJ2537-2014标准，挥发性有机化合物（VOC）≤7g/L，游离甲醛含量≤35mg/Kg，可溶性重金属和苯系物含量未检出。</w:t>
            </w:r>
            <w:r>
              <w:rPr>
                <w:rFonts w:hint="eastAsia"/>
              </w:rPr>
              <w:br w:type="textWrapping"/>
            </w:r>
            <w:r>
              <w:rPr>
                <w:rFonts w:hint="eastAsia"/>
              </w:rPr>
              <w:t>5、桌体内部隐藏式走线，台面桌板可上翻，翻起高度可多点固定。</w:t>
            </w:r>
          </w:p>
        </w:tc>
        <w:tc>
          <w:tcPr>
            <w:tcW w:w="1811" w:type="dxa"/>
            <w:vAlign w:val="center"/>
          </w:tcPr>
          <w:p>
            <w:pPr>
              <w:jc w:val="center"/>
            </w:pPr>
            <w:r>
              <w:rPr>
                <w:rFonts w:hint="eastAsia"/>
              </w:rPr>
              <w:t>1800 mm (L)</w:t>
            </w:r>
            <w:r>
              <w:rPr>
                <w:rFonts w:hint="eastAsia"/>
              </w:rPr>
              <w:br w:type="textWrapping"/>
            </w:r>
            <w:r>
              <w:rPr>
                <w:rFonts w:hint="eastAsia"/>
              </w:rPr>
              <w:t>500 mm (W)</w:t>
            </w:r>
            <w:r>
              <w:rPr>
                <w:rFonts w:hint="eastAsia"/>
              </w:rPr>
              <w:br w:type="textWrapping"/>
            </w:r>
            <w:r>
              <w:rPr>
                <w:rFonts w:hint="eastAsia"/>
              </w:rPr>
              <w:t>760 mm (H)</w:t>
            </w:r>
          </w:p>
        </w:tc>
        <w:tc>
          <w:tcPr>
            <w:tcW w:w="705" w:type="dxa"/>
            <w:vAlign w:val="center"/>
          </w:tcPr>
          <w:p>
            <w:pPr>
              <w:jc w:val="center"/>
            </w:pPr>
            <w:r>
              <w:rPr>
                <w:rFonts w:hint="eastAsia"/>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6" w:hRule="atLeast"/>
        </w:trPr>
        <w:tc>
          <w:tcPr>
            <w:tcW w:w="1199" w:type="dxa"/>
            <w:vAlign w:val="center"/>
          </w:tcPr>
          <w:p>
            <w:r>
              <w:rPr>
                <w:rFonts w:hint="eastAsia"/>
              </w:rPr>
              <w:br w:type="page"/>
            </w:r>
            <w:r>
              <w:rPr>
                <w:rFonts w:hint="eastAsia"/>
              </w:rPr>
              <w:t>会议椅</w:t>
            </w:r>
          </w:p>
        </w:tc>
        <w:tc>
          <w:tcPr>
            <w:tcW w:w="2198" w:type="dxa"/>
          </w:tcPr>
          <w:p>
            <w:r>
              <w:rPr>
                <w:rFonts w:hint="eastAsia"/>
              </w:rPr>
              <w:drawing>
                <wp:anchor distT="0" distB="0" distL="114300" distR="114300" simplePos="0" relativeHeight="251709440" behindDoc="0" locked="0" layoutInCell="1" allowOverlap="1">
                  <wp:simplePos x="0" y="0"/>
                  <wp:positionH relativeFrom="column">
                    <wp:posOffset>349250</wp:posOffset>
                  </wp:positionH>
                  <wp:positionV relativeFrom="paragraph">
                    <wp:posOffset>50800</wp:posOffset>
                  </wp:positionV>
                  <wp:extent cx="532765" cy="684530"/>
                  <wp:effectExtent l="0" t="0" r="635" b="127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56"/>
                          <a:stretch>
                            <a:fillRect/>
                          </a:stretch>
                        </pic:blipFill>
                        <pic:spPr>
                          <a:xfrm>
                            <a:off x="0" y="0"/>
                            <a:ext cx="536611" cy="689300"/>
                          </a:xfrm>
                          <a:prstGeom prst="rect">
                            <a:avLst/>
                          </a:prstGeom>
                        </pic:spPr>
                      </pic:pic>
                    </a:graphicData>
                  </a:graphic>
                </wp:anchor>
              </w:drawing>
            </w:r>
          </w:p>
        </w:tc>
        <w:tc>
          <w:tcPr>
            <w:tcW w:w="9781" w:type="dxa"/>
          </w:tcPr>
          <w:p>
            <w:r>
              <w:rPr>
                <w:rFonts w:hint="eastAsia"/>
              </w:rPr>
              <w:t>1)面材：优质牛皮</w:t>
            </w:r>
            <w:r>
              <w:rPr>
                <w:rFonts w:hint="eastAsia"/>
              </w:rPr>
              <w:br w:type="page"/>
            </w:r>
          </w:p>
          <w:p>
            <w:r>
              <w:rPr>
                <w:rFonts w:hint="eastAsia"/>
              </w:rPr>
              <w:t>2)海棉：座面密度≥25kg/m3其他部位密度≥18kg/m3</w:t>
            </w:r>
            <w:r>
              <w:rPr>
                <w:rFonts w:hint="eastAsia"/>
              </w:rPr>
              <w:br w:type="page"/>
            </w:r>
          </w:p>
          <w:p>
            <w:r>
              <w:rPr>
                <w:rFonts w:hint="eastAsia"/>
              </w:rPr>
              <w:t>3)曲木板：12mm外板/6mm内板，E1级优质曲木板</w:t>
            </w:r>
            <w:r>
              <w:rPr>
                <w:rFonts w:hint="eastAsia"/>
              </w:rPr>
              <w:br w:type="page"/>
            </w:r>
          </w:p>
          <w:p>
            <w:r>
              <w:rPr>
                <w:rFonts w:hint="eastAsia"/>
              </w:rPr>
              <w:t>4)椅架：曲木椅架</w:t>
            </w:r>
            <w:r>
              <w:rPr>
                <w:rFonts w:hint="eastAsia"/>
              </w:rPr>
              <w:br w:type="page"/>
            </w:r>
          </w:p>
        </w:tc>
        <w:tc>
          <w:tcPr>
            <w:tcW w:w="1811" w:type="dxa"/>
            <w:vAlign w:val="center"/>
          </w:tcPr>
          <w:p>
            <w:pPr>
              <w:jc w:val="center"/>
            </w:pPr>
            <w:r>
              <w:rPr>
                <w:rFonts w:hint="eastAsia"/>
              </w:rPr>
              <w:br w:type="page"/>
            </w:r>
            <w:r>
              <w:rPr>
                <w:rFonts w:hint="eastAsia"/>
              </w:rPr>
              <w:t>630 mm (L)</w:t>
            </w:r>
          </w:p>
          <w:p>
            <w:pPr>
              <w:jc w:val="center"/>
            </w:pPr>
            <w:r>
              <w:rPr>
                <w:rFonts w:hint="eastAsia"/>
              </w:rPr>
              <w:br w:type="page"/>
            </w:r>
            <w:r>
              <w:rPr>
                <w:rFonts w:hint="eastAsia"/>
              </w:rPr>
              <w:t>755 mm (W)</w:t>
            </w:r>
            <w:r>
              <w:rPr>
                <w:rFonts w:hint="eastAsia"/>
              </w:rPr>
              <w:br w:type="page"/>
            </w:r>
          </w:p>
          <w:p>
            <w:pPr>
              <w:jc w:val="center"/>
            </w:pPr>
            <w:r>
              <w:rPr>
                <w:rFonts w:hint="eastAsia"/>
              </w:rPr>
              <w:t>1060 mm (H)</w:t>
            </w:r>
            <w:r>
              <w:rPr>
                <w:rFonts w:hint="eastAsia"/>
              </w:rPr>
              <w:br w:type="page"/>
            </w:r>
          </w:p>
        </w:tc>
        <w:tc>
          <w:tcPr>
            <w:tcW w:w="705" w:type="dxa"/>
            <w:vAlign w:val="center"/>
          </w:tcPr>
          <w:p>
            <w:pPr>
              <w:jc w:val="center"/>
            </w:pPr>
            <w:r>
              <w:rPr>
                <w:rFonts w:hint="eastAsia"/>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7" w:hRule="atLeast"/>
        </w:trPr>
        <w:tc>
          <w:tcPr>
            <w:tcW w:w="1199" w:type="dxa"/>
            <w:vAlign w:val="center"/>
          </w:tcPr>
          <w:p>
            <w:r>
              <w:rPr>
                <w:rFonts w:hint="eastAsia"/>
              </w:rPr>
              <w:t>会议椅</w:t>
            </w:r>
          </w:p>
        </w:tc>
        <w:tc>
          <w:tcPr>
            <w:tcW w:w="2198" w:type="dxa"/>
          </w:tcPr>
          <w:p>
            <w:r>
              <w:rPr>
                <w:rFonts w:hint="eastAsia"/>
              </w:rPr>
              <w:drawing>
                <wp:anchor distT="0" distB="0" distL="114300" distR="114300" simplePos="0" relativeHeight="251708416" behindDoc="0" locked="0" layoutInCell="1" allowOverlap="1">
                  <wp:simplePos x="0" y="0"/>
                  <wp:positionH relativeFrom="column">
                    <wp:posOffset>262890</wp:posOffset>
                  </wp:positionH>
                  <wp:positionV relativeFrom="paragraph">
                    <wp:posOffset>90805</wp:posOffset>
                  </wp:positionV>
                  <wp:extent cx="655320" cy="932180"/>
                  <wp:effectExtent l="0" t="0" r="11430" b="1270"/>
                  <wp:wrapNone/>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57"/>
                          <a:stretch>
                            <a:fillRect/>
                          </a:stretch>
                        </pic:blipFill>
                        <pic:spPr>
                          <a:xfrm>
                            <a:off x="0" y="0"/>
                            <a:ext cx="655032" cy="932096"/>
                          </a:xfrm>
                          <a:prstGeom prst="rect">
                            <a:avLst/>
                          </a:prstGeom>
                        </pic:spPr>
                      </pic:pic>
                    </a:graphicData>
                  </a:graphic>
                </wp:anchor>
              </w:drawing>
            </w:r>
          </w:p>
        </w:tc>
        <w:tc>
          <w:tcPr>
            <w:tcW w:w="9781" w:type="dxa"/>
          </w:tcPr>
          <w:p>
            <w:r>
              <w:rPr>
                <w:rFonts w:hint="eastAsia"/>
              </w:rPr>
              <w:t>1)面材：黑色西皮</w:t>
            </w:r>
            <w:r>
              <w:rPr>
                <w:rFonts w:hint="eastAsia"/>
              </w:rPr>
              <w:br w:type="textWrapping"/>
            </w:r>
            <w:r>
              <w:rPr>
                <w:rFonts w:hint="eastAsia"/>
              </w:rPr>
              <w:t>1)海棉：座面密度≥25kg/m3，其他部位密度≥18kg/m3</w:t>
            </w:r>
            <w:r>
              <w:rPr>
                <w:rFonts w:hint="eastAsia"/>
              </w:rPr>
              <w:br w:type="textWrapping"/>
            </w:r>
            <w:r>
              <w:rPr>
                <w:rFonts w:hint="eastAsia"/>
              </w:rPr>
              <w:t>2)曲木板：12mm外板/6mm内板，E1级优质曲木板</w:t>
            </w:r>
            <w:r>
              <w:rPr>
                <w:rFonts w:hint="eastAsia"/>
              </w:rPr>
              <w:br w:type="textWrapping"/>
            </w:r>
            <w:r>
              <w:rPr>
                <w:rFonts w:hint="eastAsia"/>
              </w:rPr>
              <w:t>3)椅脚：曲木椅架</w:t>
            </w:r>
          </w:p>
          <w:p/>
        </w:tc>
        <w:tc>
          <w:tcPr>
            <w:tcW w:w="1811" w:type="dxa"/>
            <w:vAlign w:val="center"/>
          </w:tcPr>
          <w:p>
            <w:pPr>
              <w:jc w:val="center"/>
            </w:pPr>
            <w:r>
              <w:rPr>
                <w:rFonts w:hint="eastAsia"/>
              </w:rPr>
              <w:t>460 mm (L)</w:t>
            </w:r>
            <w:r>
              <w:rPr>
                <w:rFonts w:hint="eastAsia"/>
              </w:rPr>
              <w:br w:type="textWrapping"/>
            </w:r>
            <w:r>
              <w:rPr>
                <w:rFonts w:hint="eastAsia"/>
              </w:rPr>
              <w:t>555 mm (W)</w:t>
            </w:r>
            <w:r>
              <w:rPr>
                <w:rFonts w:hint="eastAsia"/>
              </w:rPr>
              <w:br w:type="textWrapping"/>
            </w:r>
            <w:r>
              <w:rPr>
                <w:rFonts w:hint="eastAsia"/>
              </w:rPr>
              <w:t>915 mm (H)</w:t>
            </w:r>
          </w:p>
        </w:tc>
        <w:tc>
          <w:tcPr>
            <w:tcW w:w="705" w:type="dxa"/>
            <w:vAlign w:val="center"/>
          </w:tcPr>
          <w:p>
            <w:pPr>
              <w:jc w:val="center"/>
            </w:pPr>
            <w:r>
              <w:rPr>
                <w:rFonts w:hint="eastAsia"/>
              </w:rPr>
              <w:t>102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94" w:type="dxa"/>
            <w:gridSpan w:val="5"/>
            <w:noWrap/>
            <w:vAlign w:val="center"/>
          </w:tcPr>
          <w:p>
            <w:pPr>
              <w:jc w:val="center"/>
              <w:rPr>
                <w:b/>
                <w:bCs/>
              </w:rPr>
            </w:pPr>
            <w:r>
              <w:rPr>
                <w:rFonts w:hint="eastAsia"/>
                <w:b/>
                <w:bCs/>
              </w:rPr>
              <w:t>宿舍床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3" w:hRule="atLeast"/>
        </w:trPr>
        <w:tc>
          <w:tcPr>
            <w:tcW w:w="1199" w:type="dxa"/>
            <w:vAlign w:val="center"/>
          </w:tcPr>
          <w:p>
            <w:pPr>
              <w:rPr>
                <w:color w:val="FF0000"/>
              </w:rPr>
            </w:pPr>
            <w:r>
              <w:rPr>
                <w:rFonts w:hint="eastAsia"/>
              </w:rPr>
              <w:t>定制桌</w:t>
            </w:r>
          </w:p>
        </w:tc>
        <w:tc>
          <w:tcPr>
            <w:tcW w:w="2198" w:type="dxa"/>
          </w:tcPr>
          <w:p>
            <w:r>
              <w:rPr>
                <w:rFonts w:hint="eastAsia"/>
              </w:rPr>
              <w:drawing>
                <wp:anchor distT="0" distB="0" distL="114300" distR="114300" simplePos="0" relativeHeight="251722752" behindDoc="0" locked="0" layoutInCell="1" allowOverlap="1">
                  <wp:simplePos x="0" y="0"/>
                  <wp:positionH relativeFrom="column">
                    <wp:posOffset>-43180</wp:posOffset>
                  </wp:positionH>
                  <wp:positionV relativeFrom="paragraph">
                    <wp:posOffset>2086610</wp:posOffset>
                  </wp:positionV>
                  <wp:extent cx="1158875" cy="985520"/>
                  <wp:effectExtent l="0" t="0" r="3175" b="508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58"/>
                          <a:stretch>
                            <a:fillRect/>
                          </a:stretch>
                        </pic:blipFill>
                        <pic:spPr>
                          <a:xfrm>
                            <a:off x="0" y="0"/>
                            <a:ext cx="1161263" cy="987856"/>
                          </a:xfrm>
                          <a:prstGeom prst="rect">
                            <a:avLst/>
                          </a:prstGeom>
                        </pic:spPr>
                      </pic:pic>
                    </a:graphicData>
                  </a:graphic>
                </wp:anchor>
              </w:drawing>
            </w:r>
          </w:p>
        </w:tc>
        <w:tc>
          <w:tcPr>
            <w:tcW w:w="9781" w:type="dxa"/>
          </w:tcPr>
          <w:p>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textWrapping"/>
            </w:r>
            <w:r>
              <w:rPr>
                <w:rFonts w:hint="eastAsia"/>
              </w:rPr>
              <w:t>2)优质浸渍胶膜纸饰面板,基材采用"E0"环保刨花板,甲醛释放量优于国家标准;</w:t>
            </w:r>
            <w:r>
              <w:rPr>
                <w:rFonts w:hint="eastAsia"/>
              </w:rPr>
              <w:br w:type="textWrapping"/>
            </w:r>
            <w:r>
              <w:rPr>
                <w:rFonts w:hint="eastAsia"/>
              </w:rPr>
              <w:t>3)ABS封边条:表面耐光色牢度≥4级;表面耐龟裂性≥2级;表面耐磨性能30r;通过QB/T4463-2013 《家具用封边条技术要求》理化性能检测要求</w:t>
            </w:r>
            <w:r>
              <w:rPr>
                <w:rFonts w:hint="eastAsia"/>
              </w:rPr>
              <w:br w:type="textWrapping"/>
            </w:r>
            <w:r>
              <w:rPr>
                <w:rFonts w:hint="eastAsia"/>
              </w:rPr>
              <w:t>4)钢架:表面耐腐蚀中性盐雾测试100h后无锈蚀、剥落、起皱;表面附着力≥2级;升降/折叠/伸缩耐久性测定20000次后,零部件无断裂、曲、变形、磨损、变形;通过《GB/T 3325-2017金属家具通用技术条件》理化性能检测要求</w:t>
            </w:r>
            <w:r>
              <w:rPr>
                <w:rFonts w:hint="eastAsia"/>
              </w:rPr>
              <w:br w:type="textWrapping"/>
            </w:r>
            <w:r>
              <w:rPr>
                <w:rFonts w:hint="eastAsia"/>
              </w:rPr>
              <w:t>5)钢脚:表面耐腐蚀中性盐雾测试100h后无锈蚀、剥落、起皱;表面附着力不低于2级;升降/折叠/伸缩耐久性测定20000次后,零部件无断裂、曲、变形、磨损、变形;通过《GB/T 3325-2017金属家具通用技术条件》理化性能检测要求</w:t>
            </w:r>
            <w:r>
              <w:rPr>
                <w:rFonts w:hint="eastAsia"/>
              </w:rPr>
              <w:br w:type="textWrapping"/>
            </w:r>
            <w:r>
              <w:rPr>
                <w:rFonts w:hint="eastAsia"/>
              </w:rPr>
              <w:t>6)线盒:表面耐腐蚀中性盐雾测试100h后无锈蚀、剥落、起皱;表面附着力≥2级;通过《GB/T 3325-2017金属家具通用技术条件》理化性能检测要求</w:t>
            </w:r>
            <w:r>
              <w:rPr>
                <w:rFonts w:hint="eastAsia"/>
              </w:rPr>
              <w:br w:type="textWrapping"/>
            </w:r>
            <w:r>
              <w:rPr>
                <w:rFonts w:hint="eastAsia"/>
              </w:rPr>
              <w:t>工艺说明:</w:t>
            </w:r>
            <w:r>
              <w:rPr>
                <w:rFonts w:hint="eastAsia"/>
              </w:rPr>
              <w:br w:type="textWrapping"/>
            </w:r>
            <w:r>
              <w:rPr>
                <w:rFonts w:hint="eastAsia"/>
              </w:rPr>
              <w:t>1)采用先进激光封边技术;</w:t>
            </w:r>
          </w:p>
        </w:tc>
        <w:tc>
          <w:tcPr>
            <w:tcW w:w="1811" w:type="dxa"/>
            <w:vAlign w:val="center"/>
          </w:tcPr>
          <w:p>
            <w:pPr>
              <w:jc w:val="center"/>
            </w:pPr>
            <w:r>
              <w:rPr>
                <w:rFonts w:hint="eastAsia"/>
              </w:rPr>
              <w:t>1200 mm (L)</w:t>
            </w:r>
            <w:r>
              <w:rPr>
                <w:rFonts w:hint="eastAsia"/>
              </w:rPr>
              <w:br w:type="textWrapping"/>
            </w:r>
            <w:r>
              <w:rPr>
                <w:rFonts w:hint="eastAsia"/>
              </w:rPr>
              <w:t>600 mm (W)</w:t>
            </w:r>
            <w:r>
              <w:rPr>
                <w:rFonts w:hint="eastAsia"/>
              </w:rPr>
              <w:br w:type="textWrapping"/>
            </w:r>
            <w:r>
              <w:rPr>
                <w:rFonts w:hint="eastAsia"/>
              </w:rPr>
              <w:t>750 mm (H)</w:t>
            </w:r>
          </w:p>
        </w:tc>
        <w:tc>
          <w:tcPr>
            <w:tcW w:w="705" w:type="dxa"/>
            <w:vAlign w:val="center"/>
          </w:tcPr>
          <w:p>
            <w:pPr>
              <w:jc w:val="center"/>
            </w:pPr>
            <w:r>
              <w:rPr>
                <w:rFonts w:hint="eastAsia"/>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0" w:hRule="atLeast"/>
        </w:trPr>
        <w:tc>
          <w:tcPr>
            <w:tcW w:w="1199" w:type="dxa"/>
            <w:vAlign w:val="center"/>
          </w:tcPr>
          <w:p>
            <w:pPr>
              <w:rPr>
                <w:color w:val="FF0000"/>
              </w:rPr>
            </w:pPr>
            <w:r>
              <w:rPr>
                <w:rFonts w:hint="eastAsia"/>
              </w:rPr>
              <w:t>定制桌</w:t>
            </w:r>
          </w:p>
        </w:tc>
        <w:tc>
          <w:tcPr>
            <w:tcW w:w="2198" w:type="dxa"/>
          </w:tcPr>
          <w:p>
            <w:r>
              <w:rPr>
                <w:rFonts w:hint="eastAsia"/>
              </w:rPr>
              <w:drawing>
                <wp:anchor distT="0" distB="0" distL="114300" distR="114300" simplePos="0" relativeHeight="251723776" behindDoc="0" locked="0" layoutInCell="1" allowOverlap="1">
                  <wp:simplePos x="0" y="0"/>
                  <wp:positionH relativeFrom="column">
                    <wp:posOffset>-34290</wp:posOffset>
                  </wp:positionH>
                  <wp:positionV relativeFrom="paragraph">
                    <wp:posOffset>1624965</wp:posOffset>
                  </wp:positionV>
                  <wp:extent cx="1149985" cy="1024890"/>
                  <wp:effectExtent l="0" t="0" r="12065" b="381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8"/>
                          <a:stretch>
                            <a:fillRect/>
                          </a:stretch>
                        </pic:blipFill>
                        <pic:spPr>
                          <a:xfrm>
                            <a:off x="0" y="0"/>
                            <a:ext cx="1150670" cy="1025864"/>
                          </a:xfrm>
                          <a:prstGeom prst="rect">
                            <a:avLst/>
                          </a:prstGeom>
                        </pic:spPr>
                      </pic:pic>
                    </a:graphicData>
                  </a:graphic>
                </wp:anchor>
              </w:drawing>
            </w:r>
          </w:p>
        </w:tc>
        <w:tc>
          <w:tcPr>
            <w:tcW w:w="9781" w:type="dxa"/>
          </w:tcPr>
          <w:p>
            <w:r>
              <w:rPr>
                <w:rFonts w:hint="eastAsia"/>
              </w:rPr>
              <w:t>1)防火饰面板:面材采用优质三聚氰胺浸胶工艺,使表面稳定性更好,层次感更优,耐污抗磨性更强,通过GB/T 15102浸渍胶膜纸饰面人造板表面理化性能要求;基材采用E0级中纤板、E0级刨花板,通过GB/T18580-2017要求,甲醛释放量≤0.08mg/m³</w:t>
            </w:r>
            <w:r>
              <w:rPr>
                <w:rFonts w:hint="eastAsia"/>
              </w:rPr>
              <w:br w:type="textWrapping"/>
            </w:r>
            <w:r>
              <w:rPr>
                <w:rFonts w:hint="eastAsia"/>
              </w:rPr>
              <w:t>2)优质浸渍胶膜纸饰面板,基材采用"E0"环保刨花板,甲醛释放量优于国家标准;</w:t>
            </w:r>
            <w:r>
              <w:rPr>
                <w:rFonts w:hint="eastAsia"/>
              </w:rPr>
              <w:br w:type="textWrapping"/>
            </w:r>
            <w:r>
              <w:rPr>
                <w:rFonts w:hint="eastAsia"/>
              </w:rPr>
              <w:t>3)ABS封边条:表面耐光色牢度≥4级;表面耐龟裂性≥2级;表面耐磨性能30r;通过QB/T4463-2013 《家具用封边条技术要求》理化性能检测要求</w:t>
            </w:r>
            <w:r>
              <w:rPr>
                <w:rFonts w:hint="eastAsia"/>
              </w:rPr>
              <w:br w:type="textWrapping"/>
            </w:r>
            <w:r>
              <w:rPr>
                <w:rFonts w:hint="eastAsia"/>
              </w:rPr>
              <w:t>4)钢架:表面耐腐蚀中性盐雾测试100h后无锈蚀、剥落、起皱;表面附着力≥2级;升降/折叠/伸缩耐久性测定20000次后,零部件无断裂、曲、变形、磨损、变形;通过《GB/T 3325-2017金属家具通用技术条件》理化性能检测要求</w:t>
            </w:r>
            <w:r>
              <w:rPr>
                <w:rFonts w:hint="eastAsia"/>
              </w:rPr>
              <w:br w:type="textWrapping"/>
            </w:r>
            <w:r>
              <w:rPr>
                <w:rFonts w:hint="eastAsia"/>
              </w:rPr>
              <w:t>5)钢脚:表面耐腐蚀中性盐雾测试100h后无锈蚀、剥落、起皱;表面附着力不低于2级;升降/折叠/伸缩耐久性测定20000次后,零部件无断裂、曲、变形、磨损、变形;通过《GB/T 3325-2017金属家具通用技术条件》理化性能检测要求</w:t>
            </w:r>
            <w:r>
              <w:rPr>
                <w:rFonts w:hint="eastAsia"/>
              </w:rPr>
              <w:br w:type="textWrapping"/>
            </w:r>
            <w:r>
              <w:rPr>
                <w:rFonts w:hint="eastAsia"/>
              </w:rPr>
              <w:t>6)线盒:表面耐腐蚀中性盐雾测试100h后无锈蚀、剥落、起皱;表面附着力≥2级;通过《GB/T 3325-2017金属家具通用技术条件》理化性能检测要求</w:t>
            </w:r>
            <w:r>
              <w:rPr>
                <w:rFonts w:hint="eastAsia"/>
              </w:rPr>
              <w:br w:type="textWrapping"/>
            </w:r>
            <w:r>
              <w:rPr>
                <w:rFonts w:hint="eastAsia"/>
              </w:rPr>
              <w:t>工艺说明:</w:t>
            </w:r>
            <w:r>
              <w:rPr>
                <w:rFonts w:hint="eastAsia"/>
              </w:rPr>
              <w:br w:type="textWrapping"/>
            </w:r>
            <w:r>
              <w:rPr>
                <w:rFonts w:hint="eastAsia"/>
              </w:rPr>
              <w:t>1)采用先进激光封边技术;</w:t>
            </w:r>
          </w:p>
        </w:tc>
        <w:tc>
          <w:tcPr>
            <w:tcW w:w="1811" w:type="dxa"/>
            <w:vAlign w:val="center"/>
          </w:tcPr>
          <w:p>
            <w:pPr>
              <w:jc w:val="center"/>
            </w:pPr>
            <w:r>
              <w:rPr>
                <w:rFonts w:hint="eastAsia"/>
              </w:rPr>
              <w:t>1000 mm (L)</w:t>
            </w:r>
            <w:r>
              <w:rPr>
                <w:rFonts w:hint="eastAsia"/>
              </w:rPr>
              <w:br w:type="textWrapping"/>
            </w:r>
            <w:r>
              <w:rPr>
                <w:rFonts w:hint="eastAsia"/>
              </w:rPr>
              <w:t>600 mm (W)</w:t>
            </w:r>
            <w:r>
              <w:rPr>
                <w:rFonts w:hint="eastAsia"/>
              </w:rPr>
              <w:br w:type="textWrapping"/>
            </w:r>
            <w:r>
              <w:rPr>
                <w:rFonts w:hint="eastAsia"/>
              </w:rPr>
              <w:t>750 mm (H)</w:t>
            </w:r>
          </w:p>
        </w:tc>
        <w:tc>
          <w:tcPr>
            <w:tcW w:w="705" w:type="dxa"/>
            <w:vAlign w:val="center"/>
          </w:tcPr>
          <w:p>
            <w:pPr>
              <w:jc w:val="center"/>
            </w:pPr>
            <w:r>
              <w:rPr>
                <w:rFonts w:hint="eastAsi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3" w:hRule="atLeast"/>
        </w:trPr>
        <w:tc>
          <w:tcPr>
            <w:tcW w:w="1199" w:type="dxa"/>
            <w:vAlign w:val="center"/>
          </w:tcPr>
          <w:p>
            <w:pPr>
              <w:rPr>
                <w:color w:val="FF0000"/>
              </w:rPr>
            </w:pPr>
            <w:r>
              <w:rPr>
                <w:rFonts w:hint="eastAsia"/>
              </w:rPr>
              <w:t>椅子</w:t>
            </w:r>
          </w:p>
        </w:tc>
        <w:tc>
          <w:tcPr>
            <w:tcW w:w="2198" w:type="dxa"/>
          </w:tcPr>
          <w:p>
            <w:r>
              <w:rPr>
                <w:rFonts w:hint="eastAsia"/>
              </w:rPr>
              <w:drawing>
                <wp:anchor distT="0" distB="0" distL="114300" distR="114300" simplePos="0" relativeHeight="251712512" behindDoc="0" locked="0" layoutInCell="1" allowOverlap="1">
                  <wp:simplePos x="0" y="0"/>
                  <wp:positionH relativeFrom="column">
                    <wp:posOffset>200660</wp:posOffset>
                  </wp:positionH>
                  <wp:positionV relativeFrom="paragraph">
                    <wp:posOffset>109855</wp:posOffset>
                  </wp:positionV>
                  <wp:extent cx="633730" cy="932815"/>
                  <wp:effectExtent l="0" t="0" r="13970" b="635"/>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9"/>
                          <a:stretch>
                            <a:fillRect/>
                          </a:stretch>
                        </pic:blipFill>
                        <pic:spPr>
                          <a:xfrm>
                            <a:off x="0" y="0"/>
                            <a:ext cx="634567" cy="933841"/>
                          </a:xfrm>
                          <a:prstGeom prst="rect">
                            <a:avLst/>
                          </a:prstGeom>
                        </pic:spPr>
                      </pic:pic>
                    </a:graphicData>
                  </a:graphic>
                </wp:anchor>
              </w:drawing>
            </w:r>
          </w:p>
        </w:tc>
        <w:tc>
          <w:tcPr>
            <w:tcW w:w="9781" w:type="dxa"/>
          </w:tcPr>
          <w:p>
            <w:r>
              <w:rPr>
                <w:rFonts w:hint="eastAsia"/>
              </w:rPr>
              <w:t>1)背框+椅面:尼龙+20%玻纤一体成型，椅背做镂空设计。</w:t>
            </w:r>
            <w:r>
              <w:rPr>
                <w:rFonts w:hint="eastAsia"/>
              </w:rPr>
              <w:br w:type="textWrapping"/>
            </w:r>
            <w:r>
              <w:rPr>
                <w:rFonts w:hint="eastAsia"/>
              </w:rPr>
              <w:t>2)座垫：采用可拆卸设计座垫椅套，优质麻绒布+高弹海绵，与椅面固定采用无胶工艺。</w:t>
            </w:r>
            <w:r>
              <w:rPr>
                <w:rFonts w:hint="eastAsia"/>
              </w:rPr>
              <w:br w:type="textWrapping"/>
            </w:r>
            <w:r>
              <w:rPr>
                <w:rFonts w:hint="eastAsia"/>
              </w:rPr>
              <w:t>3)椅架: 壁厚1.5mm一体折弯成型钢管椅架，表面镀铬处理。</w:t>
            </w:r>
          </w:p>
        </w:tc>
        <w:tc>
          <w:tcPr>
            <w:tcW w:w="1811" w:type="dxa"/>
            <w:vAlign w:val="center"/>
          </w:tcPr>
          <w:p>
            <w:pPr>
              <w:jc w:val="center"/>
            </w:pPr>
            <w:r>
              <w:rPr>
                <w:rFonts w:hint="eastAsia"/>
              </w:rPr>
              <w:t>570 mm (L)</w:t>
            </w:r>
            <w:r>
              <w:rPr>
                <w:rFonts w:hint="eastAsia"/>
              </w:rPr>
              <w:br w:type="textWrapping"/>
            </w:r>
            <w:r>
              <w:rPr>
                <w:rFonts w:hint="eastAsia"/>
              </w:rPr>
              <w:t>520 mm (W)</w:t>
            </w:r>
            <w:r>
              <w:rPr>
                <w:rFonts w:hint="eastAsia"/>
              </w:rPr>
              <w:br w:type="textWrapping"/>
            </w:r>
            <w:r>
              <w:rPr>
                <w:rFonts w:hint="eastAsia"/>
              </w:rPr>
              <w:t>815 mm (H)</w:t>
            </w:r>
          </w:p>
        </w:tc>
        <w:tc>
          <w:tcPr>
            <w:tcW w:w="705" w:type="dxa"/>
            <w:vAlign w:val="center"/>
          </w:tcPr>
          <w:p>
            <w:pPr>
              <w:jc w:val="center"/>
            </w:pPr>
            <w:r>
              <w:rPr>
                <w:rFonts w:hint="eastAsia"/>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8" w:hRule="atLeast"/>
        </w:trPr>
        <w:tc>
          <w:tcPr>
            <w:tcW w:w="1199" w:type="dxa"/>
            <w:vAlign w:val="center"/>
          </w:tcPr>
          <w:p>
            <w:r>
              <w:rPr>
                <w:rFonts w:hint="eastAsia"/>
              </w:rPr>
              <w:t>高低铺床</w:t>
            </w:r>
          </w:p>
        </w:tc>
        <w:tc>
          <w:tcPr>
            <w:tcW w:w="2198" w:type="dxa"/>
          </w:tcPr>
          <w:p>
            <w:r>
              <w:rPr>
                <w:rFonts w:hint="eastAsia"/>
              </w:rPr>
              <w:drawing>
                <wp:anchor distT="0" distB="0" distL="114300" distR="114300" simplePos="0" relativeHeight="251713536" behindDoc="0" locked="0" layoutInCell="1" allowOverlap="1">
                  <wp:simplePos x="0" y="0"/>
                  <wp:positionH relativeFrom="column">
                    <wp:posOffset>66040</wp:posOffset>
                  </wp:positionH>
                  <wp:positionV relativeFrom="paragraph">
                    <wp:posOffset>324485</wp:posOffset>
                  </wp:positionV>
                  <wp:extent cx="1040765" cy="606425"/>
                  <wp:effectExtent l="0" t="0" r="6985" b="3175"/>
                  <wp:wrapNone/>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60" cstate="print">
                            <a:extLst>
                              <a:ext uri="{28A0092B-C50C-407E-A947-70E740481C1C}">
                                <a14:useLocalDpi xmlns:a14="http://schemas.microsoft.com/office/drawing/2010/main" val="0"/>
                              </a:ext>
                            </a:extLst>
                          </a:blip>
                          <a:srcRect l="7776" t="14463" r="241" b="14074"/>
                          <a:stretch>
                            <a:fillRect/>
                          </a:stretch>
                        </pic:blipFill>
                        <pic:spPr>
                          <a:xfrm>
                            <a:off x="0" y="0"/>
                            <a:ext cx="1040524" cy="606301"/>
                          </a:xfrm>
                          <a:prstGeom prst="rect">
                            <a:avLst/>
                          </a:prstGeom>
                        </pic:spPr>
                      </pic:pic>
                    </a:graphicData>
                  </a:graphic>
                </wp:anchor>
              </w:drawing>
            </w:r>
          </w:p>
        </w:tc>
        <w:tc>
          <w:tcPr>
            <w:tcW w:w="9781" w:type="dxa"/>
          </w:tcPr>
          <w:p>
            <w:r>
              <w:rPr>
                <w:rFonts w:hint="eastAsia"/>
              </w:rPr>
              <w:t>主材质为橡木，床板材质为松木，</w:t>
            </w:r>
            <w:r>
              <w:rPr>
                <w:rFonts w:hint="eastAsia"/>
              </w:rPr>
              <w:br w:type="textWrapping"/>
            </w:r>
            <w:r>
              <w:rPr>
                <w:rFonts w:hint="eastAsia"/>
              </w:rPr>
              <w:t>床板2块80*12mm、床头2块80*60、90*35、40*35mm，鞋架2块17mm，上床爬梯1块70*35、50*35mm，床框4块120*35mm，上层床护栏1块40*35、60*35mm，不锈钢金属加强件8个4mm，床下抽屉2块17mm，（含床垫）</w:t>
            </w:r>
          </w:p>
        </w:tc>
        <w:tc>
          <w:tcPr>
            <w:tcW w:w="1811" w:type="dxa"/>
            <w:vAlign w:val="center"/>
          </w:tcPr>
          <w:p>
            <w:pPr>
              <w:jc w:val="center"/>
            </w:pPr>
            <w:r>
              <w:rPr>
                <w:rFonts w:hint="eastAsia"/>
              </w:rPr>
              <w:t>1.2米</w:t>
            </w:r>
          </w:p>
        </w:tc>
        <w:tc>
          <w:tcPr>
            <w:tcW w:w="705" w:type="dxa"/>
            <w:vAlign w:val="center"/>
          </w:tcPr>
          <w:p>
            <w:pPr>
              <w:jc w:val="center"/>
            </w:pPr>
            <w:r>
              <w:rPr>
                <w:rFonts w:hint="eastAsia"/>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0" w:hRule="atLeast"/>
        </w:trPr>
        <w:tc>
          <w:tcPr>
            <w:tcW w:w="1199" w:type="dxa"/>
            <w:vAlign w:val="center"/>
          </w:tcPr>
          <w:p>
            <w:r>
              <w:rPr>
                <w:rFonts w:hint="eastAsia"/>
              </w:rPr>
              <w:t>单人床</w:t>
            </w:r>
          </w:p>
        </w:tc>
        <w:tc>
          <w:tcPr>
            <w:tcW w:w="2198" w:type="dxa"/>
            <w:vMerge w:val="restart"/>
            <w:noWrap/>
          </w:tcPr>
          <w:p/>
          <w:p>
            <w:r>
              <w:rPr>
                <w:rFonts w:hint="eastAsia"/>
              </w:rPr>
              <w:drawing>
                <wp:anchor distT="0" distB="0" distL="114300" distR="114300" simplePos="0" relativeHeight="251710464" behindDoc="0" locked="0" layoutInCell="1" allowOverlap="1">
                  <wp:simplePos x="0" y="0"/>
                  <wp:positionH relativeFrom="column">
                    <wp:posOffset>35560</wp:posOffset>
                  </wp:positionH>
                  <wp:positionV relativeFrom="paragraph">
                    <wp:posOffset>810260</wp:posOffset>
                  </wp:positionV>
                  <wp:extent cx="1167765" cy="574040"/>
                  <wp:effectExtent l="0" t="0" r="13335" b="1651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61" cstate="print">
                            <a:extLst>
                              <a:ext uri="{28A0092B-C50C-407E-A947-70E740481C1C}">
                                <a14:useLocalDpi xmlns:a14="http://schemas.microsoft.com/office/drawing/2010/main" val="0"/>
                              </a:ext>
                            </a:extLst>
                          </a:blip>
                          <a:srcRect t="22500" b="5349"/>
                          <a:stretch>
                            <a:fillRect/>
                          </a:stretch>
                        </pic:blipFill>
                        <pic:spPr>
                          <a:xfrm>
                            <a:off x="0" y="0"/>
                            <a:ext cx="1167897" cy="573822"/>
                          </a:xfrm>
                          <a:prstGeom prst="rect">
                            <a:avLst/>
                          </a:prstGeom>
                        </pic:spPr>
                      </pic:pic>
                    </a:graphicData>
                  </a:graphic>
                </wp:anchor>
              </w:drawing>
            </w:r>
          </w:p>
        </w:tc>
        <w:tc>
          <w:tcPr>
            <w:tcW w:w="9781" w:type="dxa"/>
            <w:vMerge w:val="restart"/>
          </w:tcPr>
          <w:p>
            <w:r>
              <w:rPr>
                <w:rFonts w:hint="eastAsia"/>
              </w:rPr>
              <w:t xml:space="preserve">1、主材：采用板木结合，框架采用白蜡木实木，木榫工艺，内嵌优质品牌多层板，板材环保标准符合GB/T18580-2017《室内装饰装修材料人造板及其制品中甲醛释放量》≤0.124mg/m³（E0级），白蜡木经烘干、防虫工艺处理，含水率符合GB/T3324-2017标准，制作工艺精细；                                                                    </w:t>
            </w:r>
            <w:r>
              <w:rPr>
                <w:rFonts w:hint="eastAsia"/>
              </w:rPr>
              <w:br w:type="textWrapping"/>
            </w:r>
            <w:r>
              <w:rPr>
                <w:rFonts w:hint="eastAsia"/>
              </w:rPr>
              <w:t>2、贴面木皮：整体贴皮工艺，采用黑胡桃木木皮，纹路木纹清晰，干燥度合适，无裂口；</w:t>
            </w:r>
            <w:r>
              <w:rPr>
                <w:rFonts w:hint="eastAsia"/>
              </w:rPr>
              <w:br w:type="textWrapping"/>
            </w:r>
            <w:r>
              <w:rPr>
                <w:rFonts w:hint="eastAsia"/>
              </w:rPr>
              <w:t xml:space="preserve">3、油漆：优质品牌水性漆，符合GB/T18581-2009《室内装饰装修材料 溶剂型木器涂料中有害物质限量》，采用五底三面工艺喷涂；                                                                                         </w:t>
            </w:r>
            <w:r>
              <w:rPr>
                <w:rFonts w:hint="eastAsia"/>
              </w:rPr>
              <w:br w:type="textWrapping"/>
            </w:r>
            <w:r>
              <w:rPr>
                <w:rFonts w:hint="eastAsia"/>
              </w:rPr>
              <w:t xml:space="preserve">4、床板：采用15mm厚松木板材质，底部四根30*40mm松木档加强烘干、防虫处理，结疤合理，四面刨光处理；                                                                                                              </w:t>
            </w:r>
            <w:r>
              <w:rPr>
                <w:rFonts w:hint="eastAsia"/>
              </w:rPr>
              <w:br w:type="textWrapping"/>
            </w:r>
            <w:r>
              <w:rPr>
                <w:rFonts w:hint="eastAsia"/>
              </w:rPr>
              <w:t>5、配置国内知名品牌乳胶床垫，厚度约22公分；                                                                                                                                                                            产品整体标准符合GB/T 3328-2016 家具 床类主要尺寸及GB/T10357.6 家具力学性能试验 第6部分：单层床强度和耐久性要求。</w:t>
            </w:r>
            <w:r>
              <w:rPr>
                <w:rFonts w:hint="eastAsia"/>
              </w:rPr>
              <w:br w:type="textWrapping"/>
            </w:r>
            <w:r>
              <w:rPr>
                <w:rFonts w:hint="eastAsia"/>
              </w:rPr>
              <w:t>（含床垫）</w:t>
            </w:r>
          </w:p>
        </w:tc>
        <w:tc>
          <w:tcPr>
            <w:tcW w:w="1811" w:type="dxa"/>
            <w:vAlign w:val="center"/>
          </w:tcPr>
          <w:p>
            <w:pPr>
              <w:jc w:val="center"/>
            </w:pPr>
            <w:r>
              <w:rPr>
                <w:rFonts w:hint="eastAsia"/>
              </w:rPr>
              <w:t>1.5米</w:t>
            </w:r>
          </w:p>
        </w:tc>
        <w:tc>
          <w:tcPr>
            <w:tcW w:w="705" w:type="dxa"/>
            <w:vAlign w:val="center"/>
          </w:tcPr>
          <w:p>
            <w:pPr>
              <w:jc w:val="center"/>
            </w:pPr>
            <w:r>
              <w:rPr>
                <w:rFonts w:hint="eastAsia"/>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trPr>
        <w:tc>
          <w:tcPr>
            <w:tcW w:w="1199" w:type="dxa"/>
            <w:vAlign w:val="center"/>
          </w:tcPr>
          <w:p>
            <w:r>
              <w:rPr>
                <w:rFonts w:hint="eastAsia"/>
              </w:rPr>
              <w:t>单人床</w:t>
            </w:r>
          </w:p>
        </w:tc>
        <w:tc>
          <w:tcPr>
            <w:tcW w:w="2198" w:type="dxa"/>
            <w:vMerge w:val="continue"/>
          </w:tcPr>
          <w:p/>
        </w:tc>
        <w:tc>
          <w:tcPr>
            <w:tcW w:w="9781" w:type="dxa"/>
            <w:vMerge w:val="continue"/>
          </w:tcPr>
          <w:p/>
        </w:tc>
        <w:tc>
          <w:tcPr>
            <w:tcW w:w="1811" w:type="dxa"/>
            <w:vAlign w:val="center"/>
          </w:tcPr>
          <w:p>
            <w:pPr>
              <w:jc w:val="center"/>
            </w:pPr>
            <w:r>
              <w:rPr>
                <w:rFonts w:hint="eastAsia"/>
              </w:rPr>
              <w:t>1米</w:t>
            </w:r>
          </w:p>
        </w:tc>
        <w:tc>
          <w:tcPr>
            <w:tcW w:w="705" w:type="dxa"/>
            <w:vAlign w:val="center"/>
          </w:tcPr>
          <w:p>
            <w:pPr>
              <w:jc w:val="center"/>
            </w:pPr>
            <w:r>
              <w:rPr>
                <w:rFonts w:hint="eastAsia"/>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4" w:hRule="atLeast"/>
        </w:trPr>
        <w:tc>
          <w:tcPr>
            <w:tcW w:w="1199" w:type="dxa"/>
            <w:vAlign w:val="center"/>
          </w:tcPr>
          <w:p>
            <w:r>
              <w:rPr>
                <w:rFonts w:hint="eastAsia"/>
              </w:rPr>
              <w:t>床头柜</w:t>
            </w:r>
          </w:p>
        </w:tc>
        <w:tc>
          <w:tcPr>
            <w:tcW w:w="2198" w:type="dxa"/>
          </w:tcPr>
          <w:p>
            <w:r>
              <w:rPr>
                <w:rFonts w:hint="eastAsia"/>
              </w:rPr>
              <w:drawing>
                <wp:anchor distT="0" distB="0" distL="114300" distR="114300" simplePos="0" relativeHeight="251721728" behindDoc="0" locked="0" layoutInCell="1" allowOverlap="1">
                  <wp:simplePos x="0" y="0"/>
                  <wp:positionH relativeFrom="column">
                    <wp:posOffset>146050</wp:posOffset>
                  </wp:positionH>
                  <wp:positionV relativeFrom="paragraph">
                    <wp:posOffset>702310</wp:posOffset>
                  </wp:positionV>
                  <wp:extent cx="1022985" cy="822960"/>
                  <wp:effectExtent l="0" t="0" r="5715" b="15240"/>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62"/>
                          <a:stretch>
                            <a:fillRect/>
                          </a:stretch>
                        </pic:blipFill>
                        <pic:spPr>
                          <a:xfrm>
                            <a:off x="0" y="0"/>
                            <a:ext cx="1023041" cy="823098"/>
                          </a:xfrm>
                          <a:prstGeom prst="rect">
                            <a:avLst/>
                          </a:prstGeom>
                        </pic:spPr>
                      </pic:pic>
                    </a:graphicData>
                  </a:graphic>
                </wp:anchor>
              </w:drawing>
            </w:r>
          </w:p>
        </w:tc>
        <w:tc>
          <w:tcPr>
            <w:tcW w:w="9781" w:type="dxa"/>
          </w:tcPr>
          <w:p>
            <w:r>
              <w:rPr>
                <w:rFonts w:hint="eastAsia"/>
              </w:rPr>
              <w:t xml:space="preserve">1、主材：采用优质品牌多层板，板材环保标准符合GB/T 18580-2017《室内装饰装修材料 人造板及其制品中甲醛释放量》≤0.124mg/m³（E0级）；                                                                    </w:t>
            </w:r>
            <w:r>
              <w:rPr>
                <w:rFonts w:hint="eastAsia"/>
              </w:rPr>
              <w:br w:type="textWrapping"/>
            </w:r>
            <w:r>
              <w:rPr>
                <w:rFonts w:hint="eastAsia"/>
              </w:rPr>
              <w:t>2、贴面木皮：整体贴皮工艺，采用黑胡桃木木皮，纹路木纹清晰，干燥度合适，无裂口；</w:t>
            </w:r>
            <w:r>
              <w:rPr>
                <w:rFonts w:hint="eastAsia"/>
              </w:rPr>
              <w:br w:type="textWrapping"/>
            </w:r>
            <w:r>
              <w:rPr>
                <w:rFonts w:hint="eastAsia"/>
              </w:rPr>
              <w:t xml:space="preserve">3、油漆：优质品牌水性漆，符合GB/T18581-2009《室内装饰装修材料 溶剂型木器涂料中有害物质限量》，采用五底三面工艺喷涂；                                                                                         </w:t>
            </w:r>
            <w:r>
              <w:rPr>
                <w:rFonts w:hint="eastAsia"/>
              </w:rPr>
              <w:br w:type="textWrapping"/>
            </w:r>
            <w:r>
              <w:rPr>
                <w:rFonts w:hint="eastAsia"/>
              </w:rPr>
              <w:t xml:space="preserve">4、五金：国内一线知名品牌，五金带缓冲功能，导轨过载要求、功能试验、耐腐蚀要求必须符合QB/T 2454-2013标准，耐久性检测不低于十万次无损；                                                                    </w:t>
            </w:r>
            <w:r>
              <w:rPr>
                <w:rFonts w:hint="eastAsia"/>
              </w:rPr>
              <w:br w:type="textWrapping"/>
            </w:r>
            <w:r>
              <w:rPr>
                <w:rFonts w:hint="eastAsia"/>
              </w:rPr>
              <w:t>产品整体标准符合；GB/T 3324-2017木家具通用技术条件。</w:t>
            </w:r>
          </w:p>
        </w:tc>
        <w:tc>
          <w:tcPr>
            <w:tcW w:w="1811" w:type="dxa"/>
            <w:vAlign w:val="center"/>
          </w:tcPr>
          <w:p>
            <w:pPr>
              <w:jc w:val="center"/>
            </w:pPr>
            <w:r>
              <w:t>4</w:t>
            </w:r>
            <w:r>
              <w:rPr>
                <w:rFonts w:hint="eastAsia"/>
              </w:rPr>
              <w:t>00*</w:t>
            </w:r>
            <w:r>
              <w:t>45</w:t>
            </w:r>
            <w:r>
              <w:rPr>
                <w:rFonts w:hint="eastAsia"/>
              </w:rPr>
              <w:t>0*</w:t>
            </w:r>
            <w:r>
              <w:t>450</w:t>
            </w:r>
          </w:p>
        </w:tc>
        <w:tc>
          <w:tcPr>
            <w:tcW w:w="705" w:type="dxa"/>
            <w:vAlign w:val="center"/>
          </w:tcPr>
          <w:p>
            <w:pPr>
              <w:jc w:val="center"/>
            </w:pPr>
            <w:r>
              <w:rPr>
                <w:rFonts w:hint="eastAsia"/>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trPr>
        <w:tc>
          <w:tcPr>
            <w:tcW w:w="1199" w:type="dxa"/>
            <w:vAlign w:val="center"/>
          </w:tcPr>
          <w:p>
            <w:r>
              <w:rPr>
                <w:rFonts w:hint="eastAsia"/>
              </w:rPr>
              <w:t>衣柜</w:t>
            </w:r>
          </w:p>
        </w:tc>
        <w:tc>
          <w:tcPr>
            <w:tcW w:w="2198" w:type="dxa"/>
            <w:vMerge w:val="restart"/>
            <w:noWrap/>
          </w:tcPr>
          <w:p/>
          <w:p>
            <w:r>
              <w:rPr>
                <w:rFonts w:hint="eastAsia"/>
              </w:rPr>
              <w:drawing>
                <wp:anchor distT="0" distB="0" distL="114300" distR="114300" simplePos="0" relativeHeight="251714560" behindDoc="0" locked="0" layoutInCell="1" allowOverlap="1">
                  <wp:simplePos x="0" y="0"/>
                  <wp:positionH relativeFrom="column">
                    <wp:posOffset>122555</wp:posOffset>
                  </wp:positionH>
                  <wp:positionV relativeFrom="paragraph">
                    <wp:posOffset>495935</wp:posOffset>
                  </wp:positionV>
                  <wp:extent cx="941070" cy="708025"/>
                  <wp:effectExtent l="0" t="0" r="11430" b="15875"/>
                  <wp:wrapNone/>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941083" cy="708025"/>
                          </a:xfrm>
                          <a:prstGeom prst="rect">
                            <a:avLst/>
                          </a:prstGeom>
                        </pic:spPr>
                      </pic:pic>
                    </a:graphicData>
                  </a:graphic>
                </wp:anchor>
              </w:drawing>
            </w:r>
          </w:p>
        </w:tc>
        <w:tc>
          <w:tcPr>
            <w:tcW w:w="9781" w:type="dxa"/>
            <w:vMerge w:val="restart"/>
          </w:tcPr>
          <w:p>
            <w:r>
              <w:rPr>
                <w:rFonts w:hint="eastAsia"/>
              </w:rPr>
              <w:br w:type="page"/>
            </w:r>
            <w:r>
              <w:rPr>
                <w:rFonts w:hint="eastAsia"/>
              </w:rPr>
              <w:t>1)防火饰面板:面材采用装饰原纸，选用优质三聚氰胺浸胶工艺,使表面稳定性更好,层次感更优,耐污抗磨性更强,通过GB/T 15102浸渍胶膜纸饰面人造板表面理化性能要求;基材采用E0级中纤板、E0级刨花板,通过GB/T18580-2017要求,甲醛释放量≤0.124mg/m³</w:t>
            </w:r>
            <w:r>
              <w:rPr>
                <w:rFonts w:hint="eastAsia"/>
              </w:rPr>
              <w:br w:type="page"/>
            </w:r>
          </w:p>
          <w:p>
            <w:r>
              <w:rPr>
                <w:rFonts w:hint="eastAsia"/>
              </w:rPr>
              <w:t>2)铰链:铰链表面镀镍处理,满足GB/T2189-2013要求,通过耐久性4万次,垂直静载荷20KG,水平静载荷40N测试</w:t>
            </w:r>
          </w:p>
          <w:p>
            <w:r>
              <w:rPr>
                <w:rFonts w:hint="eastAsia"/>
              </w:rPr>
              <w:br w:type="page"/>
            </w:r>
            <w:r>
              <w:rPr>
                <w:rFonts w:hint="eastAsia"/>
              </w:rPr>
              <w:t>3)塑胶件:符合(GB/T 3325-2017金属家具通用技术条件)中5.5.2产品部件材质理化性能,耐老化性能,户外使用的产品塑料件耐老化试验时间500h,试验后拉伸强度、断裂伸长率、冲击强度的保持率不小于60%;外观颜色变色评级不小于3级</w:t>
            </w:r>
          </w:p>
          <w:p>
            <w:r>
              <w:rPr>
                <w:rFonts w:hint="eastAsia"/>
              </w:rPr>
              <w:br w:type="page"/>
            </w:r>
            <w:r>
              <w:rPr>
                <w:rFonts w:hint="eastAsia"/>
              </w:rPr>
              <w:t>4)PVC封边条:表面耐光色牢度≥4级;表面耐龟裂性≥2级;表面耐磨性能30r;通过QB/T4463-2013 《家具用封边条技术要求》理化性能检测要求</w:t>
            </w:r>
          </w:p>
          <w:p/>
          <w:p/>
        </w:tc>
        <w:tc>
          <w:tcPr>
            <w:tcW w:w="1811" w:type="dxa"/>
            <w:vAlign w:val="center"/>
          </w:tcPr>
          <w:p>
            <w:pPr>
              <w:jc w:val="center"/>
            </w:pPr>
            <w:r>
              <w:rPr>
                <w:rFonts w:hint="eastAsia"/>
              </w:rPr>
              <w:t>1500*600*2000</w:t>
            </w:r>
          </w:p>
        </w:tc>
        <w:tc>
          <w:tcPr>
            <w:tcW w:w="705" w:type="dxa"/>
            <w:vAlign w:val="center"/>
          </w:tcPr>
          <w:p>
            <w:pPr>
              <w:jc w:val="center"/>
            </w:pPr>
            <w:r>
              <w:rPr>
                <w:rFonts w:hint="eastAsia"/>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7" w:hRule="atLeast"/>
        </w:trPr>
        <w:tc>
          <w:tcPr>
            <w:tcW w:w="1199" w:type="dxa"/>
            <w:vAlign w:val="center"/>
          </w:tcPr>
          <w:p>
            <w:r>
              <w:rPr>
                <w:rFonts w:hint="eastAsia"/>
              </w:rPr>
              <w:t>衣柜</w:t>
            </w:r>
          </w:p>
        </w:tc>
        <w:tc>
          <w:tcPr>
            <w:tcW w:w="2198" w:type="dxa"/>
            <w:vMerge w:val="continue"/>
          </w:tcPr>
          <w:p/>
        </w:tc>
        <w:tc>
          <w:tcPr>
            <w:tcW w:w="9781" w:type="dxa"/>
            <w:vMerge w:val="continue"/>
          </w:tcPr>
          <w:p/>
        </w:tc>
        <w:tc>
          <w:tcPr>
            <w:tcW w:w="1811" w:type="dxa"/>
            <w:vAlign w:val="center"/>
          </w:tcPr>
          <w:p>
            <w:pPr>
              <w:jc w:val="center"/>
            </w:pPr>
            <w:r>
              <w:rPr>
                <w:rFonts w:hint="eastAsia"/>
              </w:rPr>
              <w:t>2160*600*2000</w:t>
            </w:r>
          </w:p>
        </w:tc>
        <w:tc>
          <w:tcPr>
            <w:tcW w:w="705" w:type="dxa"/>
            <w:vAlign w:val="center"/>
          </w:tcPr>
          <w:p>
            <w:pPr>
              <w:jc w:val="center"/>
            </w:pPr>
            <w:r>
              <w:rPr>
                <w:rFonts w:hint="eastAsia"/>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1199" w:type="dxa"/>
            <w:vAlign w:val="center"/>
          </w:tcPr>
          <w:p>
            <w:r>
              <w:rPr>
                <w:rFonts w:hint="eastAsia"/>
              </w:rPr>
              <w:t>衣柜</w:t>
            </w:r>
          </w:p>
        </w:tc>
        <w:tc>
          <w:tcPr>
            <w:tcW w:w="2198" w:type="dxa"/>
            <w:vMerge w:val="continue"/>
          </w:tcPr>
          <w:p/>
        </w:tc>
        <w:tc>
          <w:tcPr>
            <w:tcW w:w="9781" w:type="dxa"/>
            <w:vMerge w:val="continue"/>
          </w:tcPr>
          <w:p/>
        </w:tc>
        <w:tc>
          <w:tcPr>
            <w:tcW w:w="1811" w:type="dxa"/>
            <w:vAlign w:val="center"/>
          </w:tcPr>
          <w:p>
            <w:pPr>
              <w:jc w:val="center"/>
            </w:pPr>
            <w:r>
              <w:rPr>
                <w:rFonts w:hint="eastAsia"/>
              </w:rPr>
              <w:t>1340*4700*2000</w:t>
            </w:r>
          </w:p>
        </w:tc>
        <w:tc>
          <w:tcPr>
            <w:tcW w:w="705" w:type="dxa"/>
            <w:vAlign w:val="center"/>
          </w:tcPr>
          <w:p>
            <w:pPr>
              <w:jc w:val="center"/>
            </w:pPr>
            <w:r>
              <w:rPr>
                <w:rFonts w:hint="eastAsia"/>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 w:hRule="atLeast"/>
        </w:trPr>
        <w:tc>
          <w:tcPr>
            <w:tcW w:w="15694" w:type="dxa"/>
            <w:gridSpan w:val="5"/>
            <w:noWrap/>
            <w:vAlign w:val="center"/>
          </w:tcPr>
          <w:p>
            <w:pPr>
              <w:jc w:val="center"/>
              <w:rPr>
                <w:b/>
                <w:bCs/>
              </w:rPr>
            </w:pPr>
            <w:r>
              <w:rPr>
                <w:rFonts w:hint="eastAsia"/>
                <w:b/>
                <w:bCs/>
              </w:rPr>
              <w:t>档案架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2" w:hRule="atLeast"/>
        </w:trPr>
        <w:tc>
          <w:tcPr>
            <w:tcW w:w="1199" w:type="dxa"/>
            <w:vAlign w:val="center"/>
          </w:tcPr>
          <w:p>
            <w:r>
              <w:rPr>
                <w:rFonts w:hint="eastAsia"/>
              </w:rPr>
              <w:t>双面固定档案架</w:t>
            </w:r>
          </w:p>
        </w:tc>
        <w:tc>
          <w:tcPr>
            <w:tcW w:w="2198" w:type="dxa"/>
          </w:tcPr>
          <w:p>
            <w:r>
              <w:rPr>
                <w:rFonts w:hint="eastAsia"/>
              </w:rPr>
              <w:drawing>
                <wp:anchor distT="0" distB="0" distL="114300" distR="114300" simplePos="0" relativeHeight="251728896" behindDoc="0" locked="0" layoutInCell="1" allowOverlap="1">
                  <wp:simplePos x="0" y="0"/>
                  <wp:positionH relativeFrom="column">
                    <wp:posOffset>92075</wp:posOffset>
                  </wp:positionH>
                  <wp:positionV relativeFrom="paragraph">
                    <wp:posOffset>498475</wp:posOffset>
                  </wp:positionV>
                  <wp:extent cx="950595" cy="1674495"/>
                  <wp:effectExtent l="0" t="0" r="1905" b="1905"/>
                  <wp:wrapNone/>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64"/>
                          <a:stretch>
                            <a:fillRect/>
                          </a:stretch>
                        </pic:blipFill>
                        <pic:spPr>
                          <a:xfrm>
                            <a:off x="0" y="0"/>
                            <a:ext cx="950613" cy="1674375"/>
                          </a:xfrm>
                          <a:prstGeom prst="rect">
                            <a:avLst/>
                          </a:prstGeom>
                        </pic:spPr>
                      </pic:pic>
                    </a:graphicData>
                  </a:graphic>
                </wp:anchor>
              </w:drawing>
            </w:r>
          </w:p>
        </w:tc>
        <w:tc>
          <w:tcPr>
            <w:tcW w:w="9781" w:type="dxa"/>
          </w:tcPr>
          <w:p>
            <w:r>
              <w:rPr>
                <w:rFonts w:hint="eastAsia"/>
              </w:rPr>
              <w:t>材质说明:</w:t>
            </w:r>
            <w:r>
              <w:rPr>
                <w:rFonts w:hint="eastAsia"/>
              </w:rPr>
              <w:br w:type="textWrapping"/>
            </w:r>
            <w:r>
              <w:rPr>
                <w:rFonts w:hint="eastAsia"/>
              </w:rPr>
              <w:t>1)钢板:柜体、层板采用优质一级冷轧钢板,厚度均匀,表面质量优越,符合(GB/T 5213-2019 冷轧低碳钢板及钢带)标准中力学性能要求</w:t>
            </w:r>
            <w:r>
              <w:rPr>
                <w:rFonts w:hint="eastAsia"/>
              </w:rPr>
              <w:br w:type="textWrapping"/>
            </w:r>
            <w:r>
              <w:rPr>
                <w:rFonts w:hint="eastAsia"/>
              </w:rPr>
              <w:t>2)塑粉:环氧聚酯型粉末涂料,表面性能突出,环保无污染,具有优异的耐候、耐热、耐冲击性能,符合HG/T 2006-2006(2015)  热固性粉末涂料性能要求</w:t>
            </w:r>
            <w:r>
              <w:rPr>
                <w:rFonts w:hint="eastAsia"/>
              </w:rPr>
              <w:br w:type="textWrapping"/>
            </w:r>
            <w:r>
              <w:rPr>
                <w:rFonts w:hint="eastAsia"/>
              </w:rPr>
              <w:t>工艺说明:</w:t>
            </w:r>
            <w:r>
              <w:rPr>
                <w:rFonts w:hint="eastAsia"/>
              </w:rPr>
              <w:br w:type="textWrapping"/>
            </w:r>
            <w:r>
              <w:rPr>
                <w:rFonts w:hint="eastAsia"/>
              </w:rPr>
              <w:t>1)通过剪板机、模具或激光切割加工出钢柜的各部件需要的材料尺寸</w:t>
            </w:r>
            <w:r>
              <w:rPr>
                <w:rFonts w:hint="eastAsia"/>
              </w:rPr>
              <w:br w:type="textWrapping"/>
            </w:r>
            <w:r>
              <w:rPr>
                <w:rFonts w:hint="eastAsia"/>
              </w:rPr>
              <w:t>2)层板及顶板采用萨瓦尼尼折弯中心自动折弯,柜体及其他部件采用手动折弯设备及气动折弯工装成型</w:t>
            </w:r>
            <w:r>
              <w:rPr>
                <w:rFonts w:hint="eastAsia"/>
              </w:rPr>
              <w:br w:type="textWrapping"/>
            </w:r>
            <w:r>
              <w:rPr>
                <w:rFonts w:hint="eastAsia"/>
              </w:rPr>
              <w:t>3)采用电阻焊接机点焊,加强部件采用氩弧焊或二氧化碳保护焊接技术,拆分式背板采用手持式焊枪焊接</w:t>
            </w:r>
            <w:r>
              <w:rPr>
                <w:rFonts w:hint="eastAsia"/>
              </w:rPr>
              <w:br w:type="textWrapping"/>
            </w:r>
            <w:r>
              <w:rPr>
                <w:rFonts w:hint="eastAsia"/>
              </w:rPr>
              <w:t>4)硅烷、陶化:焊接好的钢柜产品经过预脱脂→主脱脂→水洗→水洗→陶化→水洗→水洗→干燥,摒弃磷酸盐体系更环保,成膜性能优于磷化膜喷塑:电箱上漆,静电喷塑;组装:一个流拼接组装,减少周转,利于产品外观防护</w:t>
            </w:r>
            <w:r>
              <w:rPr>
                <w:rFonts w:hint="eastAsia"/>
              </w:rPr>
              <w:br w:type="textWrapping"/>
            </w:r>
            <w:r>
              <w:rPr>
                <w:rFonts w:hint="eastAsia"/>
              </w:rPr>
              <w:t>5)一个流水线拼接组装,减少周转,利于产品外观防护</w:t>
            </w:r>
            <w:r>
              <w:rPr>
                <w:rFonts w:hint="eastAsia"/>
              </w:rPr>
              <w:br w:type="textWrapping"/>
            </w:r>
            <w:r>
              <w:rPr>
                <w:rFonts w:hint="eastAsia"/>
              </w:rPr>
              <w:t>6)EPS泡沫包角,一体式塑料袋防护柜身外观,天地盖或一体式AB瓦楞板箱包装防护</w:t>
            </w:r>
          </w:p>
        </w:tc>
        <w:tc>
          <w:tcPr>
            <w:tcW w:w="1811" w:type="dxa"/>
            <w:vAlign w:val="center"/>
          </w:tcPr>
          <w:p>
            <w:pPr>
              <w:jc w:val="center"/>
            </w:pPr>
            <w:r>
              <w:rPr>
                <w:rFonts w:hint="eastAsia"/>
              </w:rPr>
              <w:t>1立方米</w:t>
            </w:r>
          </w:p>
        </w:tc>
        <w:tc>
          <w:tcPr>
            <w:tcW w:w="705" w:type="dxa"/>
            <w:vAlign w:val="center"/>
          </w:tcPr>
          <w:p>
            <w:pPr>
              <w:jc w:val="center"/>
            </w:pPr>
            <w:r>
              <w:rPr>
                <w:rFonts w:hint="eastAsia"/>
              </w:rPr>
              <w:t>31.75</w:t>
            </w:r>
          </w:p>
        </w:tc>
      </w:tr>
    </w:tbl>
    <w:p>
      <w:pPr>
        <w:pStyle w:val="15"/>
        <w:adjustRightInd w:val="0"/>
        <w:snapToGrid w:val="0"/>
        <w:spacing w:line="380" w:lineRule="exact"/>
        <w:rPr>
          <w:rFonts w:hint="eastAsia" w:hAnsi="宋体" w:cs="宋体"/>
          <w:color w:val="000000"/>
          <w:sz w:val="24"/>
        </w:rPr>
        <w:sectPr>
          <w:pgSz w:w="16838" w:h="11906" w:orient="landscape"/>
          <w:pgMar w:top="1803" w:right="1440" w:bottom="1803" w:left="1440" w:header="851" w:footer="992" w:gutter="0"/>
          <w:pgNumType w:fmt="decimal"/>
          <w:cols w:space="0" w:num="1"/>
          <w:rtlGutter w:val="0"/>
          <w:docGrid w:type="lines" w:linePitch="319" w:charSpace="0"/>
        </w:sectPr>
      </w:pPr>
    </w:p>
    <w:p>
      <w:pPr>
        <w:pStyle w:val="15"/>
        <w:adjustRightInd w:val="0"/>
        <w:snapToGrid w:val="0"/>
        <w:spacing w:line="380" w:lineRule="exact"/>
        <w:rPr>
          <w:rFonts w:hAnsi="宋体" w:cs="宋体"/>
          <w:color w:val="000000"/>
          <w:sz w:val="24"/>
        </w:rPr>
      </w:pPr>
      <w:r>
        <w:rPr>
          <w:rFonts w:hint="eastAsia" w:hAnsi="宋体" w:cs="宋体"/>
          <w:color w:val="000000"/>
          <w:sz w:val="24"/>
        </w:rPr>
        <w:t>三、商务条款</w:t>
      </w:r>
    </w:p>
    <w:p>
      <w:pPr>
        <w:widowControl/>
        <w:autoSpaceDE w:val="0"/>
        <w:autoSpaceDN w:val="0"/>
        <w:adjustRightInd w:val="0"/>
        <w:snapToGrid w:val="0"/>
        <w:spacing w:line="380" w:lineRule="exact"/>
        <w:ind w:firstLine="480" w:firstLineChars="200"/>
        <w:textAlignment w:val="bottom"/>
        <w:rPr>
          <w:rFonts w:ascii="宋体" w:hAnsi="宋体" w:cs="宋体"/>
          <w:color w:val="auto"/>
          <w:sz w:val="24"/>
        </w:rPr>
      </w:pPr>
      <w:r>
        <w:rPr>
          <w:rFonts w:hint="eastAsia" w:ascii="宋体" w:hAnsi="宋体" w:cs="宋体"/>
          <w:color w:val="auto"/>
          <w:sz w:val="24"/>
        </w:rPr>
        <w:t>1、付款方式：</w:t>
      </w:r>
    </w:p>
    <w:p>
      <w:pPr>
        <w:widowControl/>
        <w:autoSpaceDE w:val="0"/>
        <w:autoSpaceDN w:val="0"/>
        <w:adjustRightInd w:val="0"/>
        <w:snapToGrid w:val="0"/>
        <w:spacing w:line="380" w:lineRule="exact"/>
        <w:ind w:left="8" w:firstLine="559" w:firstLineChars="233"/>
        <w:textAlignment w:val="bottom"/>
        <w:rPr>
          <w:rFonts w:hint="eastAsia" w:ascii="宋体" w:hAnsi="宋体" w:cs="宋体"/>
          <w:color w:val="auto"/>
          <w:sz w:val="24"/>
          <w:u w:val="none"/>
        </w:rPr>
      </w:pPr>
      <w:r>
        <w:rPr>
          <w:rFonts w:hint="eastAsia" w:ascii="宋体" w:hAnsi="宋体" w:cs="宋体"/>
          <w:color w:val="auto"/>
          <w:sz w:val="24"/>
          <w:u w:val="none"/>
        </w:rPr>
        <w:t>在合同签订前成交供应商应提供合同金额的</w:t>
      </w:r>
      <w:r>
        <w:rPr>
          <w:rFonts w:hint="eastAsia" w:ascii="宋体" w:hAnsi="宋体" w:cs="宋体"/>
          <w:color w:val="auto"/>
          <w:sz w:val="24"/>
          <w:u w:val="none"/>
          <w:lang w:val="en-US" w:eastAsia="zh-CN"/>
        </w:rPr>
        <w:t>1</w:t>
      </w:r>
      <w:r>
        <w:rPr>
          <w:rFonts w:hint="eastAsia" w:ascii="宋体" w:hAnsi="宋体" w:cs="宋体"/>
          <w:color w:val="auto"/>
          <w:sz w:val="24"/>
          <w:u w:val="none"/>
        </w:rPr>
        <w:t>%作为履约保证金。在合同签订后，所有</w:t>
      </w:r>
      <w:r>
        <w:rPr>
          <w:rFonts w:hint="eastAsia" w:ascii="宋体" w:hAnsi="宋体" w:cs="宋体"/>
          <w:color w:val="auto"/>
          <w:sz w:val="24"/>
          <w:u w:val="none"/>
          <w:lang w:eastAsia="zh-CN"/>
        </w:rPr>
        <w:t>设备</w:t>
      </w:r>
      <w:r>
        <w:rPr>
          <w:rFonts w:hint="eastAsia" w:ascii="宋体" w:hAnsi="宋体" w:cs="宋体"/>
          <w:color w:val="auto"/>
          <w:sz w:val="24"/>
          <w:u w:val="none"/>
        </w:rPr>
        <w:t>需在30日内运送至采购人指定地点并完成安装。采购人在收到供应商开具100%合同款有效发票后，</w:t>
      </w:r>
      <w:r>
        <w:rPr>
          <w:rFonts w:hint="eastAsia" w:ascii="宋体" w:hAnsi="宋体" w:cs="宋体"/>
          <w:color w:val="auto"/>
          <w:sz w:val="24"/>
          <w:u w:val="none"/>
          <w:lang w:eastAsia="zh-CN"/>
        </w:rPr>
        <w:t>于</w:t>
      </w:r>
      <w:r>
        <w:rPr>
          <w:rFonts w:hint="eastAsia" w:ascii="宋体" w:hAnsi="宋体" w:cs="宋体"/>
          <w:color w:val="auto"/>
          <w:sz w:val="24"/>
          <w:u w:val="none"/>
          <w:lang w:val="en-US" w:eastAsia="zh-CN"/>
        </w:rPr>
        <w:t>7个工作日内支付合同金额40%的预付款，</w:t>
      </w:r>
      <w:r>
        <w:rPr>
          <w:rFonts w:hint="eastAsia" w:ascii="宋体" w:hAnsi="宋体" w:cs="宋体"/>
          <w:color w:val="auto"/>
          <w:sz w:val="24"/>
          <w:u w:val="none"/>
          <w:lang w:eastAsia="zh-CN"/>
        </w:rPr>
        <w:t>安装完成并验收通过后</w:t>
      </w:r>
      <w:r>
        <w:rPr>
          <w:rFonts w:hint="eastAsia" w:ascii="宋体" w:hAnsi="宋体" w:cs="宋体"/>
          <w:color w:val="auto"/>
          <w:sz w:val="24"/>
          <w:u w:val="none"/>
          <w:lang w:val="en-US" w:eastAsia="zh-CN"/>
        </w:rPr>
        <w:t>7个工作日内</w:t>
      </w:r>
      <w:r>
        <w:rPr>
          <w:rFonts w:hint="eastAsia" w:ascii="宋体" w:hAnsi="宋体" w:cs="宋体"/>
          <w:color w:val="auto"/>
          <w:sz w:val="24"/>
          <w:u w:val="none"/>
        </w:rPr>
        <w:t>内支付供应商全部合同款，</w:t>
      </w:r>
      <w:r>
        <w:rPr>
          <w:rFonts w:hint="eastAsia" w:ascii="宋体" w:hAnsi="宋体" w:cs="宋体"/>
          <w:color w:val="auto"/>
          <w:sz w:val="24"/>
          <w:u w:val="none"/>
          <w:lang w:eastAsia="zh-CN"/>
        </w:rPr>
        <w:t>履约（质保）</w:t>
      </w:r>
      <w:r>
        <w:rPr>
          <w:rFonts w:hint="eastAsia" w:ascii="宋体" w:hAnsi="宋体" w:cs="宋体"/>
          <w:color w:val="auto"/>
          <w:sz w:val="24"/>
          <w:u w:val="none"/>
        </w:rPr>
        <w:t>期结束后7个工作日内无息退还履约保证金。</w:t>
      </w:r>
    </w:p>
    <w:p>
      <w:pPr>
        <w:pStyle w:val="28"/>
        <w:rPr>
          <w:rFonts w:hint="default"/>
          <w:color w:val="auto"/>
          <w:u w:val="none"/>
          <w:lang w:val="en-US" w:eastAsia="zh-CN"/>
        </w:rPr>
      </w:pPr>
      <w:r>
        <w:rPr>
          <w:rFonts w:hint="eastAsia" w:ascii="宋体" w:hAnsi="宋体" w:cs="宋体"/>
          <w:color w:val="auto"/>
          <w:sz w:val="24"/>
          <w:u w:val="none"/>
          <w:lang w:val="en-US" w:eastAsia="zh-CN"/>
        </w:rPr>
        <w:t>2、供货期：发起供货通知后30天内</w:t>
      </w:r>
    </w:p>
    <w:p>
      <w:pPr>
        <w:widowControl/>
        <w:autoSpaceDE w:val="0"/>
        <w:autoSpaceDN w:val="0"/>
        <w:adjustRightInd w:val="0"/>
        <w:snapToGrid w:val="0"/>
        <w:spacing w:line="380" w:lineRule="exact"/>
        <w:ind w:firstLine="480" w:firstLineChars="200"/>
        <w:textAlignment w:val="bottom"/>
        <w:rPr>
          <w:rFonts w:hint="eastAsia" w:hAnsi="宋体" w:cs="宋体"/>
          <w:color w:val="auto"/>
          <w:sz w:val="24"/>
          <w:lang w:val="en-US" w:eastAsia="zh-CN"/>
        </w:rPr>
      </w:pPr>
      <w:r>
        <w:rPr>
          <w:rFonts w:hint="eastAsia" w:ascii="宋体" w:hAnsi="宋体" w:cs="宋体"/>
          <w:color w:val="auto"/>
          <w:sz w:val="24"/>
          <w:u w:val="none"/>
          <w:lang w:val="en-US" w:eastAsia="zh-CN"/>
        </w:rPr>
        <w:t>3、本地化服务：</w:t>
      </w:r>
      <w:r>
        <w:rPr>
          <w:rFonts w:hint="eastAsia" w:hAnsi="宋体" w:cs="宋体"/>
          <w:color w:val="auto"/>
          <w:sz w:val="24"/>
          <w:lang w:val="en-US" w:eastAsia="zh-CN"/>
        </w:rPr>
        <w:t>中标供应商应在验收前在玉环设立分公司或设立维修站或具备维修能力的玉环本地公司签订相关合作协议，否则，不予验收。如在使用过程中发生质量问题，中标供应商在接到采购人通知在售后服务约定时限内到达甲方现场，如不能及时到达现场，每次需扣除履约保证金的1500元作为违约金。</w:t>
      </w:r>
    </w:p>
    <w:p>
      <w:pPr>
        <w:widowControl/>
        <w:autoSpaceDE w:val="0"/>
        <w:autoSpaceDN w:val="0"/>
        <w:adjustRightInd w:val="0"/>
        <w:snapToGrid w:val="0"/>
        <w:spacing w:line="380" w:lineRule="exact"/>
        <w:ind w:left="328" w:leftChars="156" w:firstLine="240" w:firstLineChars="100"/>
        <w:textAlignment w:val="bottom"/>
        <w:rPr>
          <w:rFonts w:ascii="宋体" w:hAnsi="宋体" w:cs="宋体"/>
          <w:color w:val="000000"/>
          <w:sz w:val="24"/>
          <w:u w:val="single"/>
        </w:rPr>
      </w:pPr>
      <w:r>
        <w:rPr>
          <w:rFonts w:hint="eastAsia" w:hAnsi="宋体" w:cs="宋体"/>
          <w:color w:val="auto"/>
          <w:sz w:val="24"/>
          <w:lang w:val="en-US" w:eastAsia="zh-CN"/>
        </w:rPr>
        <w:t>4、质保期：不得低于5年。</w:t>
      </w:r>
    </w:p>
    <w:p>
      <w:pPr>
        <w:pStyle w:val="15"/>
        <w:adjustRightInd w:val="0"/>
        <w:snapToGrid w:val="0"/>
        <w:spacing w:line="380" w:lineRule="exact"/>
        <w:rPr>
          <w:rFonts w:hAnsi="宋体" w:cs="宋体"/>
          <w:color w:val="000000"/>
          <w:sz w:val="24"/>
        </w:rPr>
      </w:pPr>
      <w:r>
        <w:rPr>
          <w:rFonts w:hint="eastAsia" w:hAnsi="宋体" w:cs="宋体"/>
          <w:color w:val="000000"/>
          <w:sz w:val="24"/>
        </w:rPr>
        <w:t>四、工作范围：</w:t>
      </w:r>
    </w:p>
    <w:p>
      <w:pPr>
        <w:pStyle w:val="15"/>
        <w:adjustRightInd w:val="0"/>
        <w:snapToGrid w:val="0"/>
        <w:spacing w:line="380" w:lineRule="exact"/>
        <w:ind w:firstLine="480"/>
        <w:rPr>
          <w:rFonts w:hAnsi="宋体" w:cs="宋体"/>
          <w:color w:val="000000"/>
          <w:sz w:val="24"/>
        </w:rPr>
      </w:pPr>
      <w:r>
        <w:rPr>
          <w:rFonts w:hint="eastAsia" w:hAnsi="宋体" w:cs="宋体"/>
          <w:color w:val="000000"/>
          <w:sz w:val="24"/>
        </w:rPr>
        <w:t>根据招标文件，各供应商须按国家有关标准及规范完成下列工作：</w:t>
      </w:r>
    </w:p>
    <w:p>
      <w:pPr>
        <w:pStyle w:val="15"/>
        <w:adjustRightInd w:val="0"/>
        <w:snapToGrid w:val="0"/>
        <w:spacing w:line="380" w:lineRule="exact"/>
        <w:ind w:firstLine="480"/>
        <w:rPr>
          <w:rFonts w:hAnsi="宋体" w:cs="宋体"/>
          <w:color w:val="000000"/>
          <w:sz w:val="24"/>
        </w:rPr>
      </w:pPr>
      <w:r>
        <w:rPr>
          <w:rFonts w:hint="eastAsia" w:hAnsi="宋体" w:cs="宋体"/>
          <w:color w:val="000000"/>
          <w:sz w:val="24"/>
        </w:rPr>
        <w:t>1、提供本次采购所需的货物；</w:t>
      </w:r>
    </w:p>
    <w:p>
      <w:pPr>
        <w:pStyle w:val="15"/>
        <w:adjustRightInd w:val="0"/>
        <w:snapToGrid w:val="0"/>
        <w:spacing w:line="380" w:lineRule="exact"/>
        <w:ind w:firstLine="480"/>
        <w:rPr>
          <w:rFonts w:hAnsi="宋体" w:cs="宋体"/>
          <w:color w:val="000000"/>
          <w:sz w:val="24"/>
        </w:rPr>
      </w:pPr>
      <w:r>
        <w:rPr>
          <w:rFonts w:hint="eastAsia" w:hAnsi="宋体" w:cs="宋体"/>
          <w:color w:val="000000"/>
          <w:sz w:val="24"/>
        </w:rPr>
        <w:t>2、完成货物的提供、储运、安装、验收等等；</w:t>
      </w:r>
    </w:p>
    <w:p>
      <w:pPr>
        <w:adjustRightInd w:val="0"/>
        <w:snapToGrid w:val="0"/>
        <w:spacing w:line="380" w:lineRule="exact"/>
        <w:ind w:firstLine="480" w:firstLineChars="200"/>
        <w:rPr>
          <w:rFonts w:ascii="宋体" w:hAnsi="宋体" w:cs="宋体"/>
          <w:color w:val="000000"/>
          <w:sz w:val="24"/>
          <w:u w:val="single"/>
        </w:rPr>
      </w:pPr>
      <w:r>
        <w:rPr>
          <w:rFonts w:hint="eastAsia" w:ascii="宋体" w:hAnsi="宋体" w:cs="宋体"/>
          <w:color w:val="000000"/>
          <w:sz w:val="24"/>
          <w:u w:val="single"/>
        </w:rPr>
        <w:t>以上工作内容的费用均包含在投标总价中。</w:t>
      </w:r>
    </w:p>
    <w:p>
      <w:pPr>
        <w:pStyle w:val="11"/>
      </w:pPr>
      <w:r>
        <w:br w:type="page"/>
      </w:r>
    </w:p>
    <w:p>
      <w:pPr>
        <w:spacing w:line="360" w:lineRule="auto"/>
        <w:jc w:val="center"/>
        <w:rPr>
          <w:rFonts w:hint="eastAsia" w:ascii="宋体" w:hAnsi="宋体"/>
          <w:b/>
          <w:sz w:val="36"/>
          <w:szCs w:val="36"/>
        </w:rPr>
      </w:pPr>
      <w:r>
        <w:rPr>
          <w:rFonts w:hint="eastAsia" w:ascii="宋体" w:hAnsi="宋体"/>
          <w:b/>
          <w:sz w:val="36"/>
          <w:szCs w:val="36"/>
        </w:rPr>
        <w:t>第五章　政府采购合同主要条款指引</w:t>
      </w:r>
    </w:p>
    <w:p>
      <w:pPr>
        <w:pStyle w:val="29"/>
        <w:rPr>
          <w:rFonts w:hint="eastAsia"/>
        </w:rPr>
      </w:pPr>
      <w:r>
        <w:rPr>
          <w:rFonts w:hint="eastAsia" w:ascii="宋体" w:hAnsi="宋体"/>
          <w:b/>
          <w:color w:val="FF0000"/>
          <w:sz w:val="36"/>
          <w:szCs w:val="36"/>
          <w:lang w:eastAsia="zh-CN"/>
        </w:rPr>
        <w:t>（合同指引仅供参考，请根据投标文件及实际情况拟定合同）</w:t>
      </w:r>
    </w:p>
    <w:p>
      <w:pPr>
        <w:pStyle w:val="15"/>
        <w:snapToGrid w:val="0"/>
        <w:spacing w:before="120" w:after="120" w:line="360" w:lineRule="auto"/>
        <w:rPr>
          <w:rFonts w:hAnsi="宋体"/>
          <w:sz w:val="24"/>
        </w:rPr>
      </w:pPr>
      <w:r>
        <w:rPr>
          <w:rFonts w:hAnsi="宋体"/>
          <w:sz w:val="24"/>
        </w:rPr>
        <w:t>项目名称：                                       项目编号：</w:t>
      </w:r>
    </w:p>
    <w:p>
      <w:pPr>
        <w:pStyle w:val="15"/>
        <w:snapToGrid w:val="0"/>
        <w:spacing w:before="120" w:after="120" w:line="360" w:lineRule="auto"/>
        <w:rPr>
          <w:rFonts w:hAnsi="宋体"/>
          <w:color w:val="000000"/>
          <w:sz w:val="24"/>
        </w:rPr>
      </w:pPr>
      <w:r>
        <w:rPr>
          <w:rFonts w:hAnsi="宋体"/>
          <w:color w:val="000000"/>
          <w:sz w:val="24"/>
        </w:rPr>
        <w:t>甲方：（</w:t>
      </w:r>
      <w:r>
        <w:rPr>
          <w:rFonts w:hint="eastAsia" w:hAnsi="宋体"/>
          <w:color w:val="000000"/>
          <w:sz w:val="24"/>
        </w:rPr>
        <w:t>采购</w:t>
      </w:r>
      <w:r>
        <w:rPr>
          <w:rFonts w:hint="eastAsia" w:hAnsi="宋体"/>
          <w:color w:val="FF0000"/>
          <w:sz w:val="24"/>
        </w:rPr>
        <w:t>人</w:t>
      </w:r>
      <w:r>
        <w:rPr>
          <w:rFonts w:hAnsi="宋体"/>
          <w:color w:val="000000"/>
          <w:sz w:val="24"/>
        </w:rPr>
        <w:t>）</w:t>
      </w:r>
      <w:r>
        <w:rPr>
          <w:rFonts w:hint="eastAsia" w:hAnsi="宋体"/>
          <w:color w:val="000000"/>
          <w:sz w:val="24"/>
        </w:rPr>
        <w:t xml:space="preserve">                            所在地：                              </w:t>
      </w:r>
    </w:p>
    <w:p>
      <w:pPr>
        <w:pStyle w:val="15"/>
        <w:snapToGrid w:val="0"/>
        <w:spacing w:before="120" w:after="120" w:line="360" w:lineRule="auto"/>
        <w:rPr>
          <w:rFonts w:hAnsi="宋体"/>
          <w:color w:val="000000"/>
          <w:sz w:val="24"/>
        </w:rPr>
      </w:pPr>
      <w:r>
        <w:rPr>
          <w:rFonts w:hAnsi="宋体"/>
          <w:color w:val="000000"/>
          <w:sz w:val="24"/>
        </w:rPr>
        <w:t>乙方：（</w:t>
      </w:r>
      <w:r>
        <w:rPr>
          <w:rFonts w:hint="eastAsia" w:hAnsi="宋体"/>
          <w:color w:val="000000"/>
          <w:sz w:val="24"/>
        </w:rPr>
        <w:t>成交供应商</w:t>
      </w:r>
      <w:r>
        <w:rPr>
          <w:rFonts w:hAnsi="宋体"/>
          <w:color w:val="000000"/>
          <w:sz w:val="24"/>
        </w:rPr>
        <w:t>）</w:t>
      </w:r>
      <w:r>
        <w:rPr>
          <w:rFonts w:hint="eastAsia" w:hAnsi="宋体"/>
          <w:color w:val="000000"/>
          <w:sz w:val="24"/>
        </w:rPr>
        <w:t xml:space="preserve">                          所在地：</w:t>
      </w:r>
    </w:p>
    <w:p>
      <w:pPr>
        <w:pStyle w:val="15"/>
        <w:snapToGrid w:val="0"/>
        <w:spacing w:before="120" w:after="120" w:line="360" w:lineRule="auto"/>
        <w:rPr>
          <w:rFonts w:hAnsi="宋体"/>
          <w:b/>
          <w:sz w:val="24"/>
        </w:rPr>
      </w:pPr>
      <w:r>
        <w:rPr>
          <w:rFonts w:hAnsi="宋体"/>
          <w:sz w:val="24"/>
        </w:rPr>
        <w:t>甲、乙双方根据</w:t>
      </w:r>
      <w:r>
        <w:rPr>
          <w:rFonts w:hint="eastAsia" w:hAnsi="宋体" w:cs="Arial"/>
          <w:color w:val="FF00FF"/>
          <w:sz w:val="24"/>
        </w:rPr>
        <w:t>××</w:t>
      </w:r>
      <w:r>
        <w:rPr>
          <w:rFonts w:hint="eastAsia" w:hAnsi="宋体"/>
          <w:sz w:val="24"/>
        </w:rPr>
        <w:t>(采购组织机构名称）</w:t>
      </w:r>
      <w:r>
        <w:rPr>
          <w:rFonts w:hAnsi="宋体"/>
          <w:sz w:val="24"/>
        </w:rPr>
        <w:t>关于</w:t>
      </w:r>
      <w:r>
        <w:rPr>
          <w:rFonts w:hint="eastAsia" w:hAnsi="宋体" w:cs="Arial"/>
          <w:color w:val="FF00FF"/>
          <w:sz w:val="24"/>
        </w:rPr>
        <w:t>××</w:t>
      </w:r>
      <w:r>
        <w:rPr>
          <w:rFonts w:hAnsi="宋体"/>
          <w:sz w:val="24"/>
        </w:rPr>
        <w:t>单位</w:t>
      </w:r>
      <w:r>
        <w:rPr>
          <w:rFonts w:hint="eastAsia" w:hAnsi="宋体" w:cs="Arial"/>
          <w:color w:val="FF00FF"/>
          <w:sz w:val="24"/>
        </w:rPr>
        <w:t>××</w:t>
      </w:r>
      <w:r>
        <w:rPr>
          <w:rFonts w:hAnsi="宋体"/>
          <w:sz w:val="24"/>
        </w:rPr>
        <w:t>项目</w:t>
      </w:r>
      <w:r>
        <w:rPr>
          <w:rFonts w:hint="eastAsia" w:hAnsi="宋体"/>
          <w:sz w:val="24"/>
        </w:rPr>
        <w:t>磋商采购</w:t>
      </w:r>
      <w:r>
        <w:rPr>
          <w:rFonts w:hAnsi="宋体"/>
          <w:sz w:val="24"/>
        </w:rPr>
        <w:t>的结果，签署本合同。</w:t>
      </w:r>
    </w:p>
    <w:p>
      <w:pPr>
        <w:spacing w:line="360" w:lineRule="auto"/>
        <w:rPr>
          <w:rFonts w:ascii="宋体"/>
          <w:color w:val="000000"/>
          <w:sz w:val="24"/>
          <w:lang w:val="zh-CN"/>
        </w:rPr>
      </w:pPr>
      <w:r>
        <w:rPr>
          <w:rFonts w:hint="eastAsia" w:ascii="宋体"/>
          <w:color w:val="000000"/>
          <w:sz w:val="24"/>
          <w:lang w:val="zh-CN"/>
        </w:rPr>
        <w:t xml:space="preserve">一、合同文件： </w:t>
      </w:r>
    </w:p>
    <w:p>
      <w:pPr>
        <w:spacing w:line="360" w:lineRule="auto"/>
        <w:ind w:firstLine="480" w:firstLineChars="200"/>
        <w:rPr>
          <w:rFonts w:ascii="宋体"/>
          <w:color w:val="000000"/>
          <w:sz w:val="24"/>
          <w:lang w:val="zh-CN"/>
        </w:rPr>
      </w:pPr>
      <w:r>
        <w:rPr>
          <w:rFonts w:hint="eastAsia" w:ascii="宋体"/>
          <w:color w:val="000000"/>
          <w:sz w:val="24"/>
          <w:lang w:val="zh-CN"/>
        </w:rPr>
        <w:t>1.合同条款。</w:t>
      </w:r>
    </w:p>
    <w:p>
      <w:pPr>
        <w:spacing w:line="360" w:lineRule="auto"/>
        <w:ind w:firstLine="480" w:firstLineChars="200"/>
        <w:rPr>
          <w:rFonts w:ascii="宋体"/>
          <w:color w:val="000000"/>
          <w:sz w:val="24"/>
          <w:lang w:val="zh-CN"/>
        </w:rPr>
      </w:pPr>
      <w:r>
        <w:rPr>
          <w:rFonts w:hint="eastAsia" w:ascii="宋体"/>
          <w:color w:val="000000"/>
          <w:sz w:val="24"/>
          <w:lang w:val="zh-CN"/>
        </w:rPr>
        <w:t>2.成交通知书。</w:t>
      </w:r>
    </w:p>
    <w:p>
      <w:pPr>
        <w:spacing w:line="360" w:lineRule="auto"/>
        <w:ind w:firstLine="480" w:firstLineChars="200"/>
        <w:rPr>
          <w:rFonts w:ascii="宋体"/>
          <w:color w:val="000000"/>
          <w:sz w:val="24"/>
          <w:lang w:val="zh-CN"/>
        </w:rPr>
      </w:pPr>
      <w:r>
        <w:rPr>
          <w:rFonts w:hint="eastAsia" w:ascii="宋体"/>
          <w:color w:val="000000"/>
          <w:sz w:val="24"/>
          <w:lang w:val="zh-CN"/>
        </w:rPr>
        <w:t>3.更正补充文件。</w:t>
      </w:r>
    </w:p>
    <w:p>
      <w:pPr>
        <w:spacing w:line="360" w:lineRule="auto"/>
        <w:ind w:firstLine="480" w:firstLineChars="200"/>
        <w:rPr>
          <w:rFonts w:ascii="宋体"/>
          <w:color w:val="000000"/>
          <w:sz w:val="24"/>
          <w:lang w:val="zh-CN"/>
        </w:rPr>
      </w:pPr>
      <w:r>
        <w:rPr>
          <w:rFonts w:hint="eastAsia" w:ascii="宋体"/>
          <w:color w:val="000000"/>
          <w:sz w:val="24"/>
          <w:lang w:val="zh-CN"/>
        </w:rPr>
        <w:t>4.磋商采购文件。</w:t>
      </w:r>
    </w:p>
    <w:p>
      <w:pPr>
        <w:spacing w:line="360" w:lineRule="auto"/>
        <w:ind w:firstLine="480" w:firstLineChars="200"/>
        <w:rPr>
          <w:rFonts w:ascii="宋体"/>
          <w:color w:val="000000"/>
          <w:sz w:val="24"/>
          <w:lang w:val="zh-CN"/>
        </w:rPr>
      </w:pPr>
      <w:r>
        <w:rPr>
          <w:rFonts w:hint="eastAsia" w:ascii="宋体"/>
          <w:color w:val="000000"/>
          <w:sz w:val="24"/>
          <w:lang w:val="zh-CN"/>
        </w:rPr>
        <w:t>5.成交供应商磋商响应文件。</w:t>
      </w:r>
    </w:p>
    <w:p>
      <w:pPr>
        <w:spacing w:line="360" w:lineRule="auto"/>
        <w:ind w:firstLine="480" w:firstLineChars="200"/>
        <w:rPr>
          <w:rFonts w:ascii="宋体"/>
          <w:color w:val="000000"/>
          <w:sz w:val="24"/>
          <w:lang w:val="zh-CN"/>
        </w:rPr>
      </w:pPr>
      <w:r>
        <w:rPr>
          <w:rFonts w:hint="eastAsia" w:ascii="宋体"/>
          <w:color w:val="000000"/>
          <w:sz w:val="24"/>
          <w:lang w:val="zh-CN"/>
        </w:rPr>
        <w:t>6.其他。</w:t>
      </w:r>
    </w:p>
    <w:p>
      <w:pPr>
        <w:pStyle w:val="15"/>
        <w:snapToGrid w:val="0"/>
        <w:spacing w:line="360" w:lineRule="auto"/>
        <w:ind w:firstLine="480" w:firstLineChars="200"/>
        <w:rPr>
          <w:rFonts w:hAnsi="Times New Roman"/>
          <w:color w:val="000000"/>
          <w:sz w:val="24"/>
          <w:lang w:val="zh-CN"/>
        </w:rPr>
      </w:pPr>
      <w:r>
        <w:rPr>
          <w:rFonts w:hint="eastAsia"/>
          <w:color w:val="000000"/>
          <w:sz w:val="24"/>
          <w:lang w:val="zh-CN"/>
        </w:rPr>
        <w:t>上述所指合同文件应认为是互相补充和解释的，但是有模棱两可或互相矛盾之处，以其所列内容顺序为准。</w:t>
      </w:r>
    </w:p>
    <w:p>
      <w:pPr>
        <w:pStyle w:val="15"/>
        <w:snapToGrid w:val="0"/>
        <w:spacing w:before="120" w:after="120" w:line="360" w:lineRule="auto"/>
        <w:rPr>
          <w:rFonts w:hAnsi="宋体"/>
          <w:b/>
          <w:sz w:val="24"/>
        </w:rPr>
      </w:pPr>
      <w:r>
        <w:rPr>
          <w:rFonts w:hint="eastAsia" w:hAnsi="宋体"/>
          <w:b/>
          <w:sz w:val="24"/>
        </w:rPr>
        <w:t>二</w:t>
      </w:r>
      <w:r>
        <w:rPr>
          <w:rFonts w:hAnsi="宋体"/>
          <w:b/>
          <w:sz w:val="24"/>
        </w:rPr>
        <w:t>、货物内容</w:t>
      </w:r>
    </w:p>
    <w:p>
      <w:pPr>
        <w:pStyle w:val="15"/>
        <w:snapToGrid w:val="0"/>
        <w:spacing w:before="120" w:after="120" w:line="360" w:lineRule="auto"/>
        <w:rPr>
          <w:rFonts w:hAnsi="宋体"/>
          <w:sz w:val="24"/>
        </w:rPr>
      </w:pPr>
      <w:r>
        <w:rPr>
          <w:rFonts w:hAnsi="宋体"/>
          <w:sz w:val="24"/>
        </w:rPr>
        <w:t>1. 货物名称：</w:t>
      </w:r>
    </w:p>
    <w:p>
      <w:pPr>
        <w:pStyle w:val="15"/>
        <w:snapToGrid w:val="0"/>
        <w:spacing w:before="120" w:after="120" w:line="360" w:lineRule="auto"/>
        <w:rPr>
          <w:rFonts w:hAnsi="宋体"/>
          <w:sz w:val="24"/>
        </w:rPr>
      </w:pPr>
      <w:r>
        <w:rPr>
          <w:rFonts w:hint="eastAsia" w:hAnsi="宋体"/>
          <w:sz w:val="24"/>
        </w:rPr>
        <w:t>2</w:t>
      </w:r>
      <w:r>
        <w:rPr>
          <w:rFonts w:hAnsi="宋体"/>
          <w:sz w:val="24"/>
        </w:rPr>
        <w:t>. 型号规格：</w:t>
      </w:r>
    </w:p>
    <w:p>
      <w:pPr>
        <w:pStyle w:val="15"/>
        <w:snapToGrid w:val="0"/>
        <w:spacing w:before="120" w:after="120" w:line="360" w:lineRule="auto"/>
        <w:rPr>
          <w:rFonts w:hAnsi="宋体"/>
          <w:sz w:val="24"/>
        </w:rPr>
      </w:pPr>
      <w:r>
        <w:rPr>
          <w:rFonts w:hint="eastAsia" w:hAnsi="宋体"/>
          <w:sz w:val="24"/>
        </w:rPr>
        <w:t>3</w:t>
      </w:r>
      <w:r>
        <w:rPr>
          <w:rFonts w:hAnsi="宋体"/>
          <w:sz w:val="24"/>
        </w:rPr>
        <w:t>. 技术参数：</w:t>
      </w:r>
    </w:p>
    <w:p>
      <w:pPr>
        <w:pStyle w:val="15"/>
        <w:snapToGrid w:val="0"/>
        <w:spacing w:before="120" w:after="120" w:line="360" w:lineRule="auto"/>
        <w:rPr>
          <w:rFonts w:hAnsi="宋体"/>
          <w:sz w:val="24"/>
        </w:rPr>
      </w:pPr>
      <w:r>
        <w:rPr>
          <w:rFonts w:hAnsi="宋体"/>
          <w:sz w:val="24"/>
        </w:rPr>
        <w:t>4</w:t>
      </w:r>
      <w:r>
        <w:rPr>
          <w:rFonts w:hint="eastAsia" w:hAnsi="宋体"/>
          <w:sz w:val="24"/>
        </w:rPr>
        <w:t>.</w:t>
      </w:r>
      <w:r>
        <w:rPr>
          <w:rFonts w:hAnsi="宋体"/>
          <w:sz w:val="24"/>
        </w:rPr>
        <w:t xml:space="preserve"> 数量（单位）：</w:t>
      </w:r>
    </w:p>
    <w:p>
      <w:pPr>
        <w:pStyle w:val="15"/>
        <w:snapToGrid w:val="0"/>
        <w:spacing w:before="120" w:after="120" w:line="360" w:lineRule="auto"/>
        <w:rPr>
          <w:rFonts w:hAnsi="宋体"/>
          <w:b/>
          <w:sz w:val="24"/>
        </w:rPr>
      </w:pPr>
      <w:r>
        <w:rPr>
          <w:rFonts w:hint="eastAsia" w:hAnsi="宋体"/>
          <w:b/>
          <w:sz w:val="24"/>
        </w:rPr>
        <w:t>三</w:t>
      </w:r>
      <w:r>
        <w:rPr>
          <w:rFonts w:hAnsi="宋体"/>
          <w:b/>
          <w:sz w:val="24"/>
        </w:rPr>
        <w:t>、合同金额</w:t>
      </w:r>
    </w:p>
    <w:p>
      <w:pPr>
        <w:pStyle w:val="15"/>
        <w:snapToGrid w:val="0"/>
        <w:spacing w:before="120" w:after="120" w:line="360" w:lineRule="auto"/>
        <w:ind w:left="410" w:hanging="410" w:hangingChars="171"/>
        <w:rPr>
          <w:rFonts w:hAnsi="宋体"/>
          <w:sz w:val="24"/>
        </w:rPr>
      </w:pPr>
      <w:r>
        <w:rPr>
          <w:rFonts w:hAnsi="宋体"/>
          <w:sz w:val="24"/>
        </w:rPr>
        <w:t xml:space="preserve"> 本合同金额为（大写）：____________________________________元（￥_______________元）人民币。</w:t>
      </w:r>
    </w:p>
    <w:p>
      <w:pPr>
        <w:pStyle w:val="15"/>
        <w:snapToGrid w:val="0"/>
        <w:spacing w:before="120" w:after="120" w:line="360" w:lineRule="auto"/>
        <w:rPr>
          <w:rFonts w:hAnsi="宋体"/>
          <w:b/>
          <w:sz w:val="24"/>
        </w:rPr>
      </w:pPr>
      <w:r>
        <w:rPr>
          <w:rFonts w:hint="eastAsia" w:hAnsi="宋体"/>
          <w:b/>
          <w:sz w:val="24"/>
        </w:rPr>
        <w:t>四</w:t>
      </w:r>
      <w:r>
        <w:rPr>
          <w:rFonts w:hAnsi="宋体"/>
          <w:b/>
          <w:sz w:val="24"/>
        </w:rPr>
        <w:t>、技术资料</w:t>
      </w:r>
    </w:p>
    <w:p>
      <w:pPr>
        <w:pStyle w:val="15"/>
        <w:snapToGrid w:val="0"/>
        <w:spacing w:before="120" w:after="120" w:line="360" w:lineRule="auto"/>
        <w:ind w:left="410" w:hanging="410" w:hangingChars="171"/>
        <w:rPr>
          <w:rFonts w:hAnsi="宋体"/>
          <w:sz w:val="24"/>
        </w:rPr>
      </w:pPr>
      <w:r>
        <w:rPr>
          <w:rFonts w:hAnsi="宋体"/>
          <w:sz w:val="24"/>
        </w:rPr>
        <w:t>1</w:t>
      </w:r>
      <w:r>
        <w:rPr>
          <w:rFonts w:hint="eastAsia" w:hAnsi="宋体"/>
          <w:sz w:val="24"/>
        </w:rPr>
        <w:t>.</w:t>
      </w:r>
      <w:r>
        <w:rPr>
          <w:rFonts w:hAnsi="宋体"/>
          <w:sz w:val="24"/>
        </w:rPr>
        <w:t>乙方应按</w:t>
      </w:r>
      <w:r>
        <w:rPr>
          <w:rFonts w:hint="eastAsia" w:hAnsi="宋体"/>
          <w:sz w:val="24"/>
        </w:rPr>
        <w:t>磋商采购</w:t>
      </w:r>
      <w:r>
        <w:rPr>
          <w:rFonts w:hAnsi="宋体"/>
          <w:sz w:val="24"/>
        </w:rPr>
        <w:t>文件规定的时间向甲方提供使用货物的有关技术资料。</w:t>
      </w:r>
    </w:p>
    <w:p>
      <w:pPr>
        <w:pStyle w:val="15"/>
        <w:snapToGrid w:val="0"/>
        <w:spacing w:before="120" w:after="120" w:line="360" w:lineRule="auto"/>
        <w:ind w:left="410" w:hanging="410" w:hangingChars="171"/>
        <w:rPr>
          <w:rFonts w:hAnsi="宋体"/>
          <w:sz w:val="24"/>
        </w:rPr>
      </w:pPr>
      <w:r>
        <w:rPr>
          <w:rFonts w:hAnsi="宋体"/>
          <w:sz w:val="24"/>
        </w:rPr>
        <w:t>2</w:t>
      </w:r>
      <w:r>
        <w:rPr>
          <w:rFonts w:hint="eastAsia" w:hAnsi="宋体"/>
          <w:sz w:val="24"/>
        </w:rPr>
        <w:t>.</w:t>
      </w:r>
      <w:r>
        <w:rPr>
          <w:rFonts w:hAnsi="宋体"/>
          <w:sz w:val="24"/>
        </w:rPr>
        <w:t xml:space="preserve"> 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pPr>
        <w:pStyle w:val="15"/>
        <w:snapToGrid w:val="0"/>
        <w:spacing w:before="120" w:after="120" w:line="360" w:lineRule="auto"/>
        <w:ind w:left="412" w:hanging="412" w:hangingChars="171"/>
        <w:rPr>
          <w:rFonts w:hAnsi="宋体"/>
          <w:b/>
          <w:sz w:val="24"/>
        </w:rPr>
      </w:pPr>
      <w:r>
        <w:rPr>
          <w:rFonts w:hint="eastAsia" w:hAnsi="宋体"/>
          <w:b/>
          <w:sz w:val="24"/>
        </w:rPr>
        <w:t>五</w:t>
      </w:r>
      <w:r>
        <w:rPr>
          <w:rFonts w:hAnsi="宋体"/>
          <w:b/>
          <w:sz w:val="24"/>
        </w:rPr>
        <w:t>、知识产权</w:t>
      </w:r>
    </w:p>
    <w:p>
      <w:pPr>
        <w:pStyle w:val="15"/>
        <w:snapToGrid w:val="0"/>
        <w:spacing w:before="120" w:after="120" w:line="360" w:lineRule="auto"/>
        <w:rPr>
          <w:rFonts w:hAnsi="宋体"/>
          <w:sz w:val="24"/>
        </w:rPr>
      </w:pPr>
      <w:r>
        <w:rPr>
          <w:rFonts w:hint="eastAsia" w:hAnsi="宋体"/>
          <w:sz w:val="24"/>
        </w:rPr>
        <w:t>1.</w:t>
      </w:r>
      <w:r>
        <w:rPr>
          <w:rFonts w:hAnsi="宋体"/>
          <w:sz w:val="24"/>
        </w:rPr>
        <w:t>乙方应保证所提供的货物或其任何一部分均不会侵犯任何第三方的知识产权。</w:t>
      </w:r>
    </w:p>
    <w:p>
      <w:pPr>
        <w:pStyle w:val="15"/>
        <w:snapToGrid w:val="0"/>
        <w:spacing w:before="120" w:after="120" w:line="360" w:lineRule="auto"/>
        <w:rPr>
          <w:rFonts w:hint="eastAsia" w:hAnsi="宋体"/>
          <w:sz w:val="24"/>
        </w:rPr>
      </w:pPr>
      <w:r>
        <w:rPr>
          <w:rFonts w:hint="eastAsia" w:hAnsi="宋体"/>
          <w:sz w:val="24"/>
        </w:rPr>
        <w:t>2.若侵犯,由乙方赔偿甲方因此遭受的损失（包括但不限于应对及追偿过程中所支付的律师费、差旅费、诉讼费、保全费、鉴定费、评估费等）。</w:t>
      </w:r>
    </w:p>
    <w:p>
      <w:pPr>
        <w:pStyle w:val="15"/>
        <w:snapToGrid w:val="0"/>
        <w:spacing w:before="120" w:after="120" w:line="360" w:lineRule="auto"/>
        <w:rPr>
          <w:rFonts w:hAnsi="宋体"/>
          <w:sz w:val="24"/>
          <w:u w:val="single"/>
        </w:rPr>
      </w:pPr>
      <w:r>
        <w:rPr>
          <w:rFonts w:hint="eastAsia" w:hAnsi="宋体"/>
          <w:b/>
          <w:sz w:val="24"/>
        </w:rPr>
        <w:t>六</w:t>
      </w:r>
      <w:r>
        <w:rPr>
          <w:rFonts w:hAnsi="宋体"/>
          <w:b/>
          <w:sz w:val="24"/>
        </w:rPr>
        <w:t>、产权担保</w:t>
      </w:r>
    </w:p>
    <w:p>
      <w:pPr>
        <w:pStyle w:val="15"/>
        <w:snapToGrid w:val="0"/>
        <w:spacing w:before="120" w:after="120" w:line="360" w:lineRule="auto"/>
        <w:rPr>
          <w:rFonts w:hAnsi="宋体"/>
          <w:sz w:val="24"/>
          <w:u w:val="single"/>
        </w:rPr>
      </w:pPr>
      <w:r>
        <w:rPr>
          <w:rFonts w:hAnsi="宋体"/>
          <w:sz w:val="24"/>
        </w:rPr>
        <w:t>乙方保证所交付的货物的所有权完全属于乙方且无任何抵押、查封等产权瑕疵。</w:t>
      </w:r>
    </w:p>
    <w:p>
      <w:pPr>
        <w:pStyle w:val="15"/>
        <w:snapToGrid w:val="0"/>
        <w:spacing w:before="120" w:after="120" w:line="360" w:lineRule="auto"/>
        <w:ind w:left="410" w:hanging="410" w:hangingChars="170"/>
        <w:rPr>
          <w:rFonts w:hAnsi="宋体"/>
          <w:b/>
          <w:sz w:val="24"/>
        </w:rPr>
      </w:pPr>
      <w:r>
        <w:rPr>
          <w:rFonts w:hint="eastAsia" w:hAnsi="宋体"/>
          <w:b/>
          <w:sz w:val="24"/>
        </w:rPr>
        <w:t>七</w:t>
      </w:r>
      <w:r>
        <w:rPr>
          <w:rFonts w:hAnsi="宋体"/>
          <w:b/>
          <w:sz w:val="24"/>
        </w:rPr>
        <w:t>、履约保证金</w:t>
      </w:r>
    </w:p>
    <w:p>
      <w:pPr>
        <w:tabs>
          <w:tab w:val="left" w:pos="1418"/>
        </w:tabs>
        <w:autoSpaceDE w:val="0"/>
        <w:autoSpaceDN w:val="0"/>
        <w:adjustRightInd w:val="0"/>
        <w:spacing w:line="360" w:lineRule="auto"/>
        <w:ind w:firstLine="480" w:firstLineChars="200"/>
        <w:rPr>
          <w:rFonts w:ascii="宋体" w:hAnsi="宋体"/>
          <w:sz w:val="24"/>
        </w:rPr>
      </w:pPr>
      <w:r>
        <w:rPr>
          <w:rFonts w:hint="eastAsia" w:ascii="宋体" w:hAnsi="宋体"/>
          <w:sz w:val="24"/>
        </w:rPr>
        <w:t>本项目履约保证金为合同金额的</w:t>
      </w:r>
      <w:r>
        <w:rPr>
          <w:rFonts w:ascii="宋体" w:hAnsi="宋体"/>
          <w:sz w:val="24"/>
        </w:rPr>
        <w:t>____</w:t>
      </w:r>
      <w:r>
        <w:rPr>
          <w:rFonts w:hint="eastAsia" w:ascii="宋体" w:hAnsi="宋体"/>
          <w:sz w:val="24"/>
        </w:rPr>
        <w:t>%。</w:t>
      </w:r>
      <w:r>
        <w:rPr>
          <w:rFonts w:hint="eastAsia" w:ascii="宋体" w:hAnsi="宋体"/>
          <w:sz w:val="24"/>
          <w:lang w:val="zh-CN"/>
        </w:rPr>
        <w:t>[履约保证金交至采购人处，在合同约定交货验收合格满（</w:t>
      </w:r>
      <w:r>
        <w:rPr>
          <w:rFonts w:hint="eastAsia" w:ascii="宋体" w:hAnsi="宋体"/>
          <w:sz w:val="24"/>
        </w:rPr>
        <w:t xml:space="preserve"> </w:t>
      </w:r>
      <w:r>
        <w:rPr>
          <w:rFonts w:hint="eastAsia" w:ascii="宋体" w:hAnsi="宋体"/>
          <w:sz w:val="24"/>
          <w:lang w:val="zh-CN"/>
        </w:rPr>
        <w:t>）个月之日起5个工作日内无息退还]</w:t>
      </w:r>
    </w:p>
    <w:p>
      <w:pPr>
        <w:pStyle w:val="15"/>
        <w:snapToGrid w:val="0"/>
        <w:spacing w:before="120" w:after="120" w:line="360" w:lineRule="auto"/>
        <w:ind w:left="410" w:hanging="410" w:hangingChars="170"/>
        <w:rPr>
          <w:rFonts w:hAnsi="宋体"/>
          <w:b/>
          <w:sz w:val="24"/>
        </w:rPr>
      </w:pPr>
      <w:r>
        <w:rPr>
          <w:rFonts w:hint="eastAsia" w:hAnsi="宋体"/>
          <w:b/>
          <w:sz w:val="24"/>
        </w:rPr>
        <w:t>八、转包或分包</w:t>
      </w:r>
    </w:p>
    <w:p>
      <w:pPr>
        <w:snapToGrid w:val="0"/>
        <w:spacing w:before="156" w:beforeLines="50" w:after="156" w:afterLines="50" w:line="360" w:lineRule="auto"/>
        <w:rPr>
          <w:rFonts w:ascii="宋体" w:hAnsi="宋体"/>
          <w:sz w:val="24"/>
        </w:rPr>
      </w:pPr>
      <w:r>
        <w:rPr>
          <w:rFonts w:ascii="宋体" w:hAnsi="宋体"/>
          <w:sz w:val="24"/>
        </w:rPr>
        <w:t>1</w:t>
      </w:r>
      <w:r>
        <w:rPr>
          <w:rFonts w:hint="eastAsia" w:ascii="宋体" w:hAnsi="宋体"/>
          <w:sz w:val="24"/>
        </w:rPr>
        <w:t>.本合同范围的货物，应由</w:t>
      </w:r>
      <w:r>
        <w:rPr>
          <w:rFonts w:ascii="宋体" w:hAnsi="宋体"/>
          <w:sz w:val="24"/>
        </w:rPr>
        <w:t>乙</w:t>
      </w:r>
      <w:r>
        <w:rPr>
          <w:rFonts w:hint="eastAsia" w:ascii="宋体" w:hAnsi="宋体"/>
          <w:sz w:val="24"/>
        </w:rPr>
        <w:t>方直接供应，不得转让他人供应；</w:t>
      </w:r>
    </w:p>
    <w:p>
      <w:pPr>
        <w:snapToGrid w:val="0"/>
        <w:spacing w:before="156" w:beforeLines="50" w:after="156" w:afterLines="50" w:line="360" w:lineRule="auto"/>
        <w:rPr>
          <w:rFonts w:ascii="宋体" w:hAnsi="宋体"/>
          <w:sz w:val="24"/>
        </w:rPr>
      </w:pPr>
      <w:r>
        <w:rPr>
          <w:rFonts w:ascii="宋体" w:hAnsi="宋体"/>
          <w:sz w:val="24"/>
        </w:rPr>
        <w:t>2</w:t>
      </w:r>
      <w:r>
        <w:rPr>
          <w:rFonts w:hint="eastAsia" w:ascii="宋体" w:hAnsi="宋体"/>
          <w:sz w:val="24"/>
        </w:rPr>
        <w:t>.除非得到</w:t>
      </w:r>
      <w:r>
        <w:rPr>
          <w:rFonts w:ascii="宋体" w:hAnsi="宋体"/>
          <w:sz w:val="24"/>
        </w:rPr>
        <w:t>甲</w:t>
      </w:r>
      <w:r>
        <w:rPr>
          <w:rFonts w:hint="eastAsia" w:ascii="宋体" w:hAnsi="宋体"/>
          <w:sz w:val="24"/>
        </w:rPr>
        <w:t>方的书面同意，</w:t>
      </w:r>
      <w:r>
        <w:rPr>
          <w:rFonts w:ascii="宋体" w:hAnsi="宋体"/>
          <w:sz w:val="24"/>
        </w:rPr>
        <w:t>乙</w:t>
      </w:r>
      <w:r>
        <w:rPr>
          <w:rFonts w:hint="eastAsia" w:ascii="宋体" w:hAnsi="宋体"/>
          <w:sz w:val="24"/>
        </w:rPr>
        <w:t>方不得将本合同范围的货物全部或部分分包给他人供应；</w:t>
      </w:r>
    </w:p>
    <w:p>
      <w:pPr>
        <w:snapToGrid w:val="0"/>
        <w:spacing w:before="156" w:beforeLines="50" w:after="156" w:afterLines="50" w:line="360" w:lineRule="auto"/>
        <w:rPr>
          <w:rFonts w:ascii="宋体" w:hAnsi="宋体"/>
          <w:sz w:val="24"/>
        </w:rPr>
      </w:pPr>
      <w:r>
        <w:rPr>
          <w:rFonts w:ascii="宋体" w:hAnsi="宋体"/>
          <w:sz w:val="24"/>
        </w:rPr>
        <w:t>3</w:t>
      </w:r>
      <w:r>
        <w:rPr>
          <w:rFonts w:hint="eastAsia" w:ascii="宋体" w:hAnsi="宋体"/>
          <w:sz w:val="24"/>
        </w:rPr>
        <w:t>.如有转让和未经</w:t>
      </w:r>
      <w:r>
        <w:rPr>
          <w:rFonts w:ascii="宋体" w:hAnsi="宋体"/>
          <w:sz w:val="24"/>
        </w:rPr>
        <w:t>甲</w:t>
      </w:r>
      <w:r>
        <w:rPr>
          <w:rFonts w:hint="eastAsia" w:ascii="宋体" w:hAnsi="宋体"/>
          <w:sz w:val="24"/>
        </w:rPr>
        <w:t>方同意的分包行为，</w:t>
      </w:r>
      <w:r>
        <w:rPr>
          <w:rFonts w:ascii="宋体" w:hAnsi="宋体"/>
          <w:sz w:val="24"/>
        </w:rPr>
        <w:t>甲</w:t>
      </w:r>
      <w:r>
        <w:rPr>
          <w:rFonts w:hint="eastAsia" w:ascii="宋体" w:hAnsi="宋体"/>
          <w:sz w:val="24"/>
        </w:rPr>
        <w:t>方有权解除合同，没收履约保证金并追究乙方的违约责任。</w:t>
      </w:r>
    </w:p>
    <w:p>
      <w:pPr>
        <w:pStyle w:val="15"/>
        <w:snapToGrid w:val="0"/>
        <w:spacing w:before="120" w:after="120" w:line="360" w:lineRule="auto"/>
        <w:rPr>
          <w:rFonts w:hAnsi="宋体"/>
          <w:sz w:val="24"/>
        </w:rPr>
      </w:pPr>
      <w:r>
        <w:rPr>
          <w:rFonts w:hint="eastAsia" w:hAnsi="宋体"/>
          <w:b/>
          <w:sz w:val="24"/>
        </w:rPr>
        <w:t>九</w:t>
      </w:r>
      <w:r>
        <w:rPr>
          <w:rFonts w:hAnsi="宋体"/>
          <w:b/>
          <w:sz w:val="24"/>
        </w:rPr>
        <w:t>、</w:t>
      </w:r>
      <w:r>
        <w:rPr>
          <w:rFonts w:hint="eastAsia" w:hAnsi="宋体"/>
          <w:b/>
          <w:sz w:val="24"/>
          <w:lang w:eastAsia="zh-CN"/>
        </w:rPr>
        <w:t>履约（质保）</w:t>
      </w:r>
      <w:r>
        <w:rPr>
          <w:rFonts w:hAnsi="宋体"/>
          <w:b/>
          <w:sz w:val="24"/>
        </w:rPr>
        <w:t>期</w:t>
      </w:r>
    </w:p>
    <w:p>
      <w:pPr>
        <w:pStyle w:val="15"/>
        <w:snapToGrid w:val="0"/>
        <w:spacing w:before="120" w:after="120" w:line="360" w:lineRule="auto"/>
        <w:ind w:left="410" w:hanging="410" w:hangingChars="171"/>
        <w:rPr>
          <w:rFonts w:hAnsi="宋体"/>
          <w:sz w:val="24"/>
        </w:rPr>
      </w:pPr>
      <w:r>
        <w:rPr>
          <w:rFonts w:hAnsi="宋体"/>
          <w:sz w:val="24"/>
        </w:rPr>
        <w:t>1</w:t>
      </w:r>
      <w:r>
        <w:rPr>
          <w:rFonts w:hint="eastAsia" w:hAnsi="宋体"/>
          <w:sz w:val="24"/>
        </w:rPr>
        <w:t>.</w:t>
      </w:r>
      <w:r>
        <w:rPr>
          <w:rFonts w:hAnsi="宋体"/>
          <w:sz w:val="24"/>
        </w:rPr>
        <w:t xml:space="preserve"> </w:t>
      </w:r>
      <w:r>
        <w:rPr>
          <w:rFonts w:hint="eastAsia" w:hAnsi="宋体"/>
          <w:sz w:val="24"/>
          <w:lang w:eastAsia="zh-CN"/>
        </w:rPr>
        <w:t>履约（质保）</w:t>
      </w:r>
      <w:r>
        <w:rPr>
          <w:rFonts w:hAnsi="宋体"/>
          <w:sz w:val="24"/>
        </w:rPr>
        <w:t>期___年。（自交货验收合格之日起计）</w:t>
      </w:r>
    </w:p>
    <w:p>
      <w:pPr>
        <w:pStyle w:val="15"/>
        <w:snapToGrid w:val="0"/>
        <w:spacing w:before="120" w:after="120" w:line="360" w:lineRule="auto"/>
        <w:rPr>
          <w:rFonts w:hAnsi="宋体"/>
          <w:b/>
          <w:sz w:val="24"/>
        </w:rPr>
      </w:pPr>
      <w:r>
        <w:rPr>
          <w:rFonts w:hint="eastAsia" w:hAnsi="宋体"/>
          <w:b/>
          <w:sz w:val="24"/>
        </w:rPr>
        <w:t>十</w:t>
      </w:r>
      <w:r>
        <w:rPr>
          <w:rFonts w:hAnsi="宋体"/>
          <w:b/>
          <w:sz w:val="24"/>
        </w:rPr>
        <w:t>、交货期、交货方式及交货地点</w:t>
      </w:r>
    </w:p>
    <w:p>
      <w:pPr>
        <w:pStyle w:val="15"/>
        <w:snapToGrid w:val="0"/>
        <w:spacing w:before="120" w:after="120" w:line="360" w:lineRule="auto"/>
        <w:rPr>
          <w:rFonts w:hAnsi="宋体"/>
          <w:bCs/>
          <w:color w:val="000000"/>
          <w:sz w:val="24"/>
        </w:rPr>
      </w:pPr>
      <w:r>
        <w:rPr>
          <w:rFonts w:hAnsi="宋体"/>
          <w:bCs/>
          <w:sz w:val="24"/>
        </w:rPr>
        <w:t>1</w:t>
      </w:r>
      <w:r>
        <w:rPr>
          <w:rFonts w:hint="eastAsia" w:hAnsi="宋体"/>
          <w:bCs/>
          <w:sz w:val="24"/>
        </w:rPr>
        <w:t>.</w:t>
      </w:r>
      <w:r>
        <w:rPr>
          <w:rFonts w:hAnsi="宋体"/>
          <w:bCs/>
          <w:sz w:val="24"/>
        </w:rPr>
        <w:t xml:space="preserve"> 交货期：</w:t>
      </w:r>
    </w:p>
    <w:p>
      <w:pPr>
        <w:pStyle w:val="15"/>
        <w:snapToGrid w:val="0"/>
        <w:spacing w:before="120" w:after="120" w:line="360" w:lineRule="auto"/>
        <w:rPr>
          <w:rFonts w:hAnsi="宋体"/>
          <w:bCs/>
          <w:color w:val="000000"/>
          <w:sz w:val="24"/>
        </w:rPr>
      </w:pPr>
      <w:r>
        <w:rPr>
          <w:rFonts w:hAnsi="宋体"/>
          <w:bCs/>
          <w:color w:val="000000"/>
          <w:sz w:val="24"/>
        </w:rPr>
        <w:t>2</w:t>
      </w:r>
      <w:r>
        <w:rPr>
          <w:rFonts w:hint="eastAsia" w:hAnsi="宋体"/>
          <w:bCs/>
          <w:color w:val="000000"/>
          <w:sz w:val="24"/>
        </w:rPr>
        <w:t>.</w:t>
      </w:r>
      <w:r>
        <w:rPr>
          <w:rFonts w:hAnsi="宋体"/>
          <w:bCs/>
          <w:color w:val="000000"/>
          <w:sz w:val="24"/>
        </w:rPr>
        <w:t xml:space="preserve"> 交货方式：</w:t>
      </w:r>
    </w:p>
    <w:p>
      <w:pPr>
        <w:pStyle w:val="15"/>
        <w:snapToGrid w:val="0"/>
        <w:spacing w:before="120" w:after="120" w:line="360" w:lineRule="auto"/>
        <w:rPr>
          <w:rFonts w:hAnsi="宋体"/>
          <w:b/>
          <w:color w:val="000000"/>
          <w:sz w:val="24"/>
        </w:rPr>
      </w:pPr>
      <w:r>
        <w:rPr>
          <w:rFonts w:hAnsi="宋体"/>
          <w:bCs/>
          <w:color w:val="000000"/>
          <w:sz w:val="24"/>
        </w:rPr>
        <w:t>3</w:t>
      </w:r>
      <w:r>
        <w:rPr>
          <w:rFonts w:hint="eastAsia" w:hAnsi="宋体"/>
          <w:bCs/>
          <w:color w:val="000000"/>
          <w:sz w:val="24"/>
        </w:rPr>
        <w:t>.</w:t>
      </w:r>
      <w:r>
        <w:rPr>
          <w:rFonts w:hAnsi="宋体"/>
          <w:bCs/>
          <w:color w:val="000000"/>
          <w:sz w:val="24"/>
        </w:rPr>
        <w:t xml:space="preserve"> 交货地点：</w:t>
      </w:r>
    </w:p>
    <w:p>
      <w:pPr>
        <w:pStyle w:val="15"/>
        <w:snapToGrid w:val="0"/>
        <w:spacing w:before="120" w:after="120" w:line="360" w:lineRule="auto"/>
        <w:rPr>
          <w:rFonts w:hAnsi="宋体"/>
          <w:b/>
          <w:color w:val="000000"/>
          <w:sz w:val="24"/>
        </w:rPr>
      </w:pPr>
      <w:r>
        <w:rPr>
          <w:rFonts w:hAnsi="宋体"/>
          <w:b/>
          <w:color w:val="000000"/>
          <w:sz w:val="24"/>
        </w:rPr>
        <w:t>十</w:t>
      </w:r>
      <w:r>
        <w:rPr>
          <w:rFonts w:hint="eastAsia" w:hAnsi="宋体"/>
          <w:b/>
          <w:color w:val="000000"/>
          <w:sz w:val="24"/>
        </w:rPr>
        <w:t>一</w:t>
      </w:r>
      <w:r>
        <w:rPr>
          <w:rFonts w:hAnsi="宋体"/>
          <w:b/>
          <w:color w:val="000000"/>
          <w:sz w:val="24"/>
        </w:rPr>
        <w:t>、货款支付</w:t>
      </w:r>
    </w:p>
    <w:p>
      <w:pPr>
        <w:pStyle w:val="15"/>
        <w:snapToGrid w:val="0"/>
        <w:spacing w:before="120" w:after="120" w:line="360" w:lineRule="auto"/>
        <w:rPr>
          <w:rFonts w:hAnsi="宋体"/>
          <w:bCs/>
          <w:sz w:val="24"/>
        </w:rPr>
      </w:pPr>
      <w:r>
        <w:rPr>
          <w:rFonts w:hAnsi="宋体"/>
          <w:bCs/>
          <w:sz w:val="24"/>
        </w:rPr>
        <w:t>1</w:t>
      </w:r>
      <w:r>
        <w:rPr>
          <w:rFonts w:hint="eastAsia" w:hAnsi="宋体"/>
          <w:bCs/>
          <w:sz w:val="24"/>
        </w:rPr>
        <w:t>.</w:t>
      </w:r>
      <w:r>
        <w:rPr>
          <w:rFonts w:hAnsi="宋体"/>
          <w:bCs/>
          <w:sz w:val="24"/>
        </w:rPr>
        <w:t xml:space="preserve"> 付款方式：</w:t>
      </w:r>
    </w:p>
    <w:p>
      <w:pPr>
        <w:pStyle w:val="15"/>
        <w:snapToGrid w:val="0"/>
        <w:spacing w:line="360" w:lineRule="auto"/>
        <w:rPr>
          <w:rFonts w:hAnsi="宋体"/>
          <w:bCs/>
          <w:sz w:val="24"/>
        </w:rPr>
      </w:pPr>
      <w:r>
        <w:rPr>
          <w:rFonts w:hAnsi="宋体"/>
          <w:bCs/>
          <w:sz w:val="24"/>
          <w:lang w:val="zh-CN"/>
        </w:rPr>
        <w:t>2.当采</w:t>
      </w:r>
      <w:r>
        <w:rPr>
          <w:rFonts w:hint="eastAsia" w:hAnsi="Times New Roman"/>
          <w:sz w:val="24"/>
          <w:lang w:val="zh-CN"/>
        </w:rPr>
        <w:t>购数量与实际使用数量不一致时，由采购人向同级财政部门申请并经批准后，可以由乙方根据实际使用量供货，合同的最终结算金额按实际使用量乘以成交单价进行计算。</w:t>
      </w:r>
    </w:p>
    <w:p>
      <w:pPr>
        <w:snapToGrid w:val="0"/>
        <w:spacing w:before="156" w:beforeLines="50" w:after="156" w:afterLines="50" w:line="360" w:lineRule="auto"/>
        <w:rPr>
          <w:rFonts w:ascii="宋体" w:hAnsi="宋体"/>
          <w:b/>
          <w:sz w:val="24"/>
        </w:rPr>
      </w:pPr>
      <w:r>
        <w:rPr>
          <w:rFonts w:hint="eastAsia" w:ascii="宋体" w:hAnsi="宋体"/>
          <w:b/>
          <w:sz w:val="24"/>
        </w:rPr>
        <w:t>十二、税费</w:t>
      </w:r>
    </w:p>
    <w:p>
      <w:pPr>
        <w:snapToGrid w:val="0"/>
        <w:spacing w:before="156" w:beforeLines="50" w:after="156" w:afterLines="50" w:line="360" w:lineRule="auto"/>
        <w:rPr>
          <w:rFonts w:ascii="宋体" w:hAnsi="宋体"/>
          <w:sz w:val="24"/>
        </w:rPr>
      </w:pPr>
      <w:r>
        <w:rPr>
          <w:rFonts w:hint="eastAsia" w:ascii="宋体" w:hAnsi="宋体"/>
          <w:sz w:val="24"/>
        </w:rPr>
        <w:t>本合同执行中相关的一切税费均由</w:t>
      </w:r>
      <w:r>
        <w:rPr>
          <w:rFonts w:ascii="宋体" w:hAnsi="宋体"/>
          <w:sz w:val="24"/>
        </w:rPr>
        <w:t>乙</w:t>
      </w:r>
      <w:r>
        <w:rPr>
          <w:rFonts w:hint="eastAsia" w:ascii="宋体" w:hAnsi="宋体"/>
          <w:sz w:val="24"/>
        </w:rPr>
        <w:t>方负担。</w:t>
      </w:r>
    </w:p>
    <w:p>
      <w:pPr>
        <w:pStyle w:val="15"/>
        <w:snapToGrid w:val="0"/>
        <w:spacing w:before="120" w:after="120" w:line="360" w:lineRule="auto"/>
        <w:ind w:left="412" w:hanging="412" w:hangingChars="171"/>
        <w:rPr>
          <w:rFonts w:hAnsi="宋体"/>
          <w:sz w:val="24"/>
        </w:rPr>
      </w:pPr>
      <w:r>
        <w:rPr>
          <w:rFonts w:hAnsi="宋体"/>
          <w:b/>
          <w:sz w:val="24"/>
        </w:rPr>
        <w:t>十</w:t>
      </w:r>
      <w:r>
        <w:rPr>
          <w:rFonts w:hint="eastAsia" w:hAnsi="宋体"/>
          <w:b/>
          <w:sz w:val="24"/>
        </w:rPr>
        <w:t>三</w:t>
      </w:r>
      <w:r>
        <w:rPr>
          <w:rFonts w:hAnsi="宋体"/>
          <w:b/>
          <w:sz w:val="24"/>
        </w:rPr>
        <w:t>、质量保证及售后服务</w:t>
      </w:r>
    </w:p>
    <w:p>
      <w:pPr>
        <w:pStyle w:val="15"/>
        <w:snapToGrid w:val="0"/>
        <w:spacing w:before="120" w:after="120" w:line="360" w:lineRule="auto"/>
        <w:ind w:left="410" w:hanging="410" w:hangingChars="171"/>
        <w:rPr>
          <w:rFonts w:hAnsi="宋体"/>
          <w:sz w:val="24"/>
        </w:rPr>
      </w:pPr>
      <w:r>
        <w:rPr>
          <w:rFonts w:hAnsi="宋体"/>
          <w:sz w:val="24"/>
        </w:rPr>
        <w:t>1</w:t>
      </w:r>
      <w:r>
        <w:rPr>
          <w:rFonts w:hint="eastAsia" w:hAnsi="宋体"/>
          <w:sz w:val="24"/>
        </w:rPr>
        <w:t>.</w:t>
      </w:r>
      <w:r>
        <w:rPr>
          <w:rFonts w:hAnsi="宋体"/>
          <w:sz w:val="24"/>
        </w:rPr>
        <w:t xml:space="preserve"> 乙方应按</w:t>
      </w:r>
      <w:r>
        <w:rPr>
          <w:rFonts w:hint="eastAsia" w:hAnsi="宋体"/>
          <w:sz w:val="24"/>
        </w:rPr>
        <w:t>磋商采购</w:t>
      </w:r>
      <w:r>
        <w:rPr>
          <w:rFonts w:hAnsi="宋体"/>
          <w:sz w:val="24"/>
        </w:rPr>
        <w:t>文件规定的货物性能、技术要求、质量标准向甲方提供未经使用的全新产品。</w:t>
      </w:r>
    </w:p>
    <w:p>
      <w:pPr>
        <w:pStyle w:val="15"/>
        <w:snapToGrid w:val="0"/>
        <w:spacing w:before="120" w:after="120" w:line="360" w:lineRule="auto"/>
        <w:ind w:left="480" w:hanging="480" w:hangingChars="200"/>
        <w:rPr>
          <w:rFonts w:hAnsi="宋体"/>
          <w:sz w:val="24"/>
        </w:rPr>
      </w:pPr>
      <w:r>
        <w:rPr>
          <w:rFonts w:hAnsi="宋体"/>
          <w:sz w:val="24"/>
        </w:rPr>
        <w:t>2</w:t>
      </w:r>
      <w:r>
        <w:rPr>
          <w:rFonts w:hint="eastAsia" w:hAnsi="宋体"/>
          <w:sz w:val="24"/>
        </w:rPr>
        <w:t>.</w:t>
      </w:r>
      <w:r>
        <w:rPr>
          <w:rFonts w:hAnsi="宋体"/>
          <w:sz w:val="24"/>
        </w:rPr>
        <w:t xml:space="preserve"> 乙方提供的货物在质</w:t>
      </w:r>
      <w:r>
        <w:rPr>
          <w:rFonts w:hint="eastAsia" w:hAnsi="宋体"/>
          <w:sz w:val="24"/>
        </w:rPr>
        <w:t>保</w:t>
      </w:r>
      <w:r>
        <w:rPr>
          <w:rFonts w:hAnsi="宋体"/>
          <w:sz w:val="24"/>
        </w:rPr>
        <w:t>期内因货物本身的质量问题发生故障，乙方应负责免费更换。对达不到技术要求者，根据实际情况，经双方协商，可按以下办法处理：</w:t>
      </w:r>
    </w:p>
    <w:p>
      <w:pPr>
        <w:pStyle w:val="15"/>
        <w:snapToGrid w:val="0"/>
        <w:spacing w:before="120" w:after="120" w:line="360" w:lineRule="auto"/>
        <w:ind w:firstLine="420"/>
        <w:rPr>
          <w:rFonts w:hAnsi="宋体"/>
          <w:sz w:val="24"/>
        </w:rPr>
      </w:pPr>
      <w:r>
        <w:rPr>
          <w:rFonts w:hAnsi="宋体"/>
          <w:sz w:val="24"/>
        </w:rPr>
        <w:t>⑴更换：由乙方承担所发生的全部费用。</w:t>
      </w:r>
    </w:p>
    <w:p>
      <w:pPr>
        <w:pStyle w:val="15"/>
        <w:snapToGrid w:val="0"/>
        <w:spacing w:before="120" w:after="120" w:line="360" w:lineRule="auto"/>
        <w:ind w:firstLine="420"/>
        <w:rPr>
          <w:rFonts w:hAnsi="宋体"/>
          <w:sz w:val="24"/>
        </w:rPr>
      </w:pPr>
      <w:r>
        <w:rPr>
          <w:rFonts w:hAnsi="宋体"/>
          <w:sz w:val="24"/>
        </w:rPr>
        <w:t>⑵贬值处理：由甲乙双方合议定价。</w:t>
      </w:r>
    </w:p>
    <w:p>
      <w:pPr>
        <w:pStyle w:val="15"/>
        <w:snapToGrid w:val="0"/>
        <w:spacing w:before="120" w:after="120" w:line="360" w:lineRule="auto"/>
        <w:ind w:left="420" w:leftChars="200"/>
        <w:rPr>
          <w:rFonts w:hAnsi="宋体"/>
          <w:sz w:val="24"/>
        </w:rPr>
      </w:pPr>
      <w:r>
        <w:rPr>
          <w:rFonts w:hAnsi="宋体"/>
          <w:sz w:val="24"/>
        </w:rPr>
        <w:t>⑶退货处理：乙方应退还甲方支付的合同款，同时应承担该货物的直接费用（运输、保险、检验、货款利息及银行手续费等）。</w:t>
      </w:r>
    </w:p>
    <w:p>
      <w:pPr>
        <w:pStyle w:val="15"/>
        <w:snapToGrid w:val="0"/>
        <w:spacing w:before="120" w:after="120" w:line="360" w:lineRule="auto"/>
        <w:rPr>
          <w:rFonts w:hAnsi="宋体"/>
          <w:sz w:val="24"/>
        </w:rPr>
      </w:pPr>
      <w:r>
        <w:rPr>
          <w:rFonts w:hAnsi="宋体"/>
          <w:sz w:val="24"/>
        </w:rPr>
        <w:t>3</w:t>
      </w:r>
      <w:r>
        <w:rPr>
          <w:rFonts w:hint="eastAsia" w:hAnsi="宋体"/>
          <w:sz w:val="24"/>
        </w:rPr>
        <w:t>.</w:t>
      </w:r>
      <w:r>
        <w:rPr>
          <w:rFonts w:hAnsi="宋体"/>
          <w:sz w:val="24"/>
        </w:rPr>
        <w:t xml:space="preserve"> 如在使用过程中发生质量问题，乙方在接到甲方通知后</w:t>
      </w:r>
      <w:r>
        <w:rPr>
          <w:rFonts w:hAnsi="宋体"/>
          <w:color w:val="000000"/>
          <w:sz w:val="24"/>
        </w:rPr>
        <w:t>在</w:t>
      </w:r>
      <w:r>
        <w:rPr>
          <w:rFonts w:hint="eastAsia" w:hAnsi="宋体"/>
          <w:color w:val="000000"/>
          <w:sz w:val="24"/>
          <w:u w:val="single"/>
        </w:rPr>
        <w:t xml:space="preserve">  </w:t>
      </w:r>
      <w:r>
        <w:rPr>
          <w:rFonts w:hAnsi="宋体"/>
          <w:color w:val="000000"/>
          <w:sz w:val="24"/>
        </w:rPr>
        <w:t>小时</w:t>
      </w:r>
      <w:r>
        <w:rPr>
          <w:rFonts w:hAnsi="宋体"/>
          <w:sz w:val="24"/>
        </w:rPr>
        <w:t>内到达甲方</w:t>
      </w:r>
    </w:p>
    <w:p>
      <w:pPr>
        <w:pStyle w:val="15"/>
        <w:snapToGrid w:val="0"/>
        <w:spacing w:before="120" w:after="120" w:line="360" w:lineRule="auto"/>
        <w:ind w:firstLine="360" w:firstLineChars="150"/>
        <w:rPr>
          <w:rFonts w:hAnsi="宋体"/>
          <w:sz w:val="24"/>
        </w:rPr>
      </w:pPr>
      <w:r>
        <w:rPr>
          <w:rFonts w:hAnsi="宋体"/>
          <w:sz w:val="24"/>
        </w:rPr>
        <w:t>现场。</w:t>
      </w:r>
    </w:p>
    <w:p>
      <w:pPr>
        <w:pStyle w:val="15"/>
        <w:snapToGrid w:val="0"/>
        <w:spacing w:before="120" w:after="120" w:line="360" w:lineRule="auto"/>
        <w:rPr>
          <w:rFonts w:hAnsi="宋体"/>
          <w:sz w:val="24"/>
        </w:rPr>
      </w:pPr>
      <w:r>
        <w:rPr>
          <w:rFonts w:hAnsi="宋体"/>
          <w:sz w:val="24"/>
        </w:rPr>
        <w:t>4</w:t>
      </w:r>
      <w:r>
        <w:rPr>
          <w:rFonts w:hint="eastAsia" w:hAnsi="宋体"/>
          <w:sz w:val="24"/>
        </w:rPr>
        <w:t>.</w:t>
      </w:r>
      <w:r>
        <w:rPr>
          <w:rFonts w:hAnsi="宋体"/>
          <w:sz w:val="24"/>
        </w:rPr>
        <w:t xml:space="preserve"> 在质保期内，乙方应对货物出现的质量及安全问题负责处理解决并承担一切</w:t>
      </w:r>
    </w:p>
    <w:p>
      <w:pPr>
        <w:pStyle w:val="15"/>
        <w:snapToGrid w:val="0"/>
        <w:spacing w:before="120" w:after="120" w:line="360" w:lineRule="auto"/>
        <w:ind w:firstLine="360" w:firstLineChars="150"/>
        <w:rPr>
          <w:rFonts w:hAnsi="宋体"/>
          <w:sz w:val="24"/>
        </w:rPr>
      </w:pPr>
      <w:r>
        <w:rPr>
          <w:rFonts w:hAnsi="宋体"/>
          <w:sz w:val="24"/>
        </w:rPr>
        <w:t>费用。</w:t>
      </w:r>
    </w:p>
    <w:p>
      <w:pPr>
        <w:pStyle w:val="15"/>
        <w:snapToGrid w:val="0"/>
        <w:spacing w:before="120" w:after="120" w:line="360" w:lineRule="auto"/>
        <w:rPr>
          <w:rFonts w:hAnsi="宋体"/>
          <w:color w:val="000000"/>
          <w:sz w:val="24"/>
        </w:rPr>
      </w:pPr>
      <w:r>
        <w:rPr>
          <w:rFonts w:hAnsi="宋体"/>
          <w:sz w:val="24"/>
        </w:rPr>
        <w:t>5</w:t>
      </w:r>
      <w:r>
        <w:rPr>
          <w:rFonts w:hint="eastAsia" w:hAnsi="宋体"/>
          <w:sz w:val="24"/>
        </w:rPr>
        <w:t>.</w:t>
      </w:r>
      <w:r>
        <w:rPr>
          <w:rFonts w:hAnsi="宋体"/>
          <w:color w:val="000000"/>
          <w:sz w:val="24"/>
        </w:rPr>
        <w:t>上述的</w:t>
      </w:r>
      <w:r>
        <w:rPr>
          <w:rFonts w:hAnsi="宋体"/>
          <w:sz w:val="24"/>
        </w:rPr>
        <w:t>货物</w:t>
      </w:r>
      <w:r>
        <w:rPr>
          <w:rFonts w:hAnsi="宋体"/>
          <w:color w:val="000000"/>
          <w:sz w:val="24"/>
        </w:rPr>
        <w:t>免费保修期为年，因人为因素出现的故障不在免费保修范围</w:t>
      </w:r>
    </w:p>
    <w:p>
      <w:pPr>
        <w:pStyle w:val="15"/>
        <w:snapToGrid w:val="0"/>
        <w:spacing w:before="120" w:after="120" w:line="360" w:lineRule="auto"/>
        <w:ind w:firstLine="240" w:firstLineChars="100"/>
        <w:rPr>
          <w:rFonts w:hAnsi="宋体"/>
          <w:color w:val="000000"/>
          <w:sz w:val="24"/>
        </w:rPr>
      </w:pPr>
      <w:r>
        <w:rPr>
          <w:rFonts w:hAnsi="宋体"/>
          <w:color w:val="000000"/>
          <w:sz w:val="24"/>
        </w:rPr>
        <w:t>内。超过保修期的机器设备，终生维修，维修时只收部件成本费。</w:t>
      </w:r>
    </w:p>
    <w:p>
      <w:pPr>
        <w:pStyle w:val="15"/>
        <w:snapToGrid w:val="0"/>
        <w:spacing w:before="120" w:after="120" w:line="360" w:lineRule="auto"/>
        <w:rPr>
          <w:rFonts w:hAnsi="宋体"/>
          <w:b/>
          <w:sz w:val="24"/>
        </w:rPr>
      </w:pPr>
      <w:r>
        <w:rPr>
          <w:rFonts w:hAnsi="宋体"/>
          <w:b/>
          <w:sz w:val="24"/>
        </w:rPr>
        <w:t>十</w:t>
      </w:r>
      <w:r>
        <w:rPr>
          <w:rFonts w:hint="eastAsia" w:hAnsi="宋体"/>
          <w:b/>
          <w:sz w:val="24"/>
        </w:rPr>
        <w:t>四</w:t>
      </w:r>
      <w:r>
        <w:rPr>
          <w:rFonts w:hAnsi="宋体"/>
          <w:b/>
          <w:sz w:val="24"/>
        </w:rPr>
        <w:t>、调试和验收</w:t>
      </w:r>
    </w:p>
    <w:p>
      <w:pPr>
        <w:pStyle w:val="15"/>
        <w:snapToGrid w:val="0"/>
        <w:spacing w:before="120" w:after="120" w:line="360" w:lineRule="auto"/>
        <w:ind w:left="240" w:hanging="240" w:hangingChars="100"/>
        <w:jc w:val="left"/>
        <w:rPr>
          <w:rFonts w:hAnsi="宋体"/>
          <w:sz w:val="24"/>
        </w:rPr>
      </w:pPr>
      <w:r>
        <w:rPr>
          <w:rFonts w:hAnsi="宋体"/>
          <w:sz w:val="24"/>
        </w:rPr>
        <w:t>1</w:t>
      </w:r>
      <w:r>
        <w:rPr>
          <w:rFonts w:hint="eastAsia" w:hAnsi="宋体"/>
          <w:sz w:val="24"/>
        </w:rPr>
        <w:t>.</w:t>
      </w:r>
      <w:r>
        <w:rPr>
          <w:rFonts w:hAnsi="宋体"/>
          <w:sz w:val="24"/>
        </w:rPr>
        <w:t xml:space="preserve"> 甲方对乙方提交的货物依据</w:t>
      </w:r>
      <w:r>
        <w:rPr>
          <w:rFonts w:hint="eastAsia" w:hAnsi="宋体"/>
          <w:sz w:val="24"/>
        </w:rPr>
        <w:t>磋商采购</w:t>
      </w:r>
      <w:r>
        <w:rPr>
          <w:rFonts w:hAnsi="宋体"/>
          <w:sz w:val="24"/>
        </w:rPr>
        <w:t>文件上的技术规格要求和国家有关质量标准进行现场初步验收，外观、说明书符合</w:t>
      </w:r>
      <w:r>
        <w:rPr>
          <w:rFonts w:hint="eastAsia" w:hAnsi="宋体"/>
          <w:sz w:val="24"/>
        </w:rPr>
        <w:t>磋商采购</w:t>
      </w:r>
      <w:r>
        <w:rPr>
          <w:rFonts w:hAnsi="宋体"/>
          <w:sz w:val="24"/>
        </w:rPr>
        <w:t>文件技术要求的，给予签收，初步验收不合格的不予签收。货到后，甲方需在</w:t>
      </w:r>
      <w:r>
        <w:rPr>
          <w:rFonts w:hint="eastAsia" w:hAnsi="宋体"/>
          <w:color w:val="FF66CC"/>
          <w:sz w:val="24"/>
          <w:u w:val="single"/>
        </w:rPr>
        <w:t>五</w:t>
      </w:r>
      <w:r>
        <w:rPr>
          <w:rFonts w:hint="eastAsia" w:hAnsi="宋体"/>
          <w:sz w:val="24"/>
        </w:rPr>
        <w:t>个</w:t>
      </w:r>
      <w:r>
        <w:rPr>
          <w:rFonts w:hAnsi="宋体"/>
          <w:sz w:val="24"/>
        </w:rPr>
        <w:t>工作日内验收。</w:t>
      </w:r>
    </w:p>
    <w:p>
      <w:pPr>
        <w:pStyle w:val="15"/>
        <w:snapToGrid w:val="0"/>
        <w:spacing w:before="120" w:after="120" w:line="360" w:lineRule="auto"/>
        <w:rPr>
          <w:rFonts w:hAnsi="宋体"/>
          <w:sz w:val="24"/>
        </w:rPr>
      </w:pPr>
      <w:r>
        <w:rPr>
          <w:rFonts w:hAnsi="宋体"/>
          <w:sz w:val="24"/>
        </w:rPr>
        <w:t>2</w:t>
      </w:r>
      <w:r>
        <w:rPr>
          <w:rFonts w:hint="eastAsia" w:hAnsi="宋体"/>
          <w:sz w:val="24"/>
        </w:rPr>
        <w:t>.</w:t>
      </w:r>
      <w:r>
        <w:rPr>
          <w:rFonts w:hAnsi="宋体"/>
          <w:sz w:val="24"/>
        </w:rPr>
        <w:t xml:space="preserve"> 乙方交货前应对产品作出全面检查和对验收文件进行整理，并列出清单，作</w:t>
      </w:r>
    </w:p>
    <w:p>
      <w:pPr>
        <w:pStyle w:val="15"/>
        <w:snapToGrid w:val="0"/>
        <w:spacing w:before="120" w:after="120" w:line="360" w:lineRule="auto"/>
        <w:ind w:firstLine="360" w:firstLineChars="150"/>
        <w:rPr>
          <w:rFonts w:hAnsi="宋体"/>
          <w:sz w:val="24"/>
        </w:rPr>
      </w:pPr>
      <w:r>
        <w:rPr>
          <w:rFonts w:hAnsi="宋体"/>
          <w:sz w:val="24"/>
        </w:rPr>
        <w:t>为甲方收货验收和使用的技术条件依据，检验的结果应随货物交甲方。</w:t>
      </w:r>
    </w:p>
    <w:p>
      <w:pPr>
        <w:pStyle w:val="15"/>
        <w:snapToGrid w:val="0"/>
        <w:spacing w:before="120" w:after="120" w:line="360" w:lineRule="auto"/>
        <w:rPr>
          <w:rFonts w:hAnsi="宋体"/>
          <w:sz w:val="24"/>
        </w:rPr>
      </w:pPr>
      <w:r>
        <w:rPr>
          <w:rFonts w:hAnsi="宋体"/>
          <w:sz w:val="24"/>
        </w:rPr>
        <w:t>3</w:t>
      </w:r>
      <w:r>
        <w:rPr>
          <w:rFonts w:hint="eastAsia" w:hAnsi="宋体"/>
          <w:sz w:val="24"/>
        </w:rPr>
        <w:t>.</w:t>
      </w:r>
      <w:r>
        <w:rPr>
          <w:rFonts w:hAnsi="宋体"/>
          <w:sz w:val="24"/>
        </w:rPr>
        <w:t xml:space="preserve"> 甲方对乙方提供的货物在使用前进行调试时，乙方需负责安装并培训甲方的</w:t>
      </w:r>
    </w:p>
    <w:p>
      <w:pPr>
        <w:pStyle w:val="15"/>
        <w:snapToGrid w:val="0"/>
        <w:spacing w:before="120" w:after="120" w:line="360" w:lineRule="auto"/>
        <w:ind w:firstLine="360" w:firstLineChars="150"/>
        <w:rPr>
          <w:rFonts w:hAnsi="宋体"/>
          <w:sz w:val="24"/>
        </w:rPr>
      </w:pPr>
      <w:r>
        <w:rPr>
          <w:rFonts w:hAnsi="宋体"/>
          <w:sz w:val="24"/>
        </w:rPr>
        <w:t>使用操作人员，并协助甲方一起调试，直到符合技术要求，甲方才做最终验</w:t>
      </w:r>
    </w:p>
    <w:p>
      <w:pPr>
        <w:pStyle w:val="15"/>
        <w:snapToGrid w:val="0"/>
        <w:spacing w:before="120" w:after="120" w:line="360" w:lineRule="auto"/>
        <w:ind w:firstLine="360" w:firstLineChars="150"/>
        <w:rPr>
          <w:rFonts w:hAnsi="宋体"/>
          <w:sz w:val="24"/>
          <w:u w:val="single"/>
        </w:rPr>
      </w:pPr>
      <w:r>
        <w:rPr>
          <w:rFonts w:hAnsi="宋体"/>
          <w:sz w:val="24"/>
        </w:rPr>
        <w:t>收。</w:t>
      </w:r>
    </w:p>
    <w:p>
      <w:pPr>
        <w:pStyle w:val="15"/>
        <w:snapToGrid w:val="0"/>
        <w:spacing w:before="120" w:after="120" w:line="360" w:lineRule="auto"/>
        <w:rPr>
          <w:rFonts w:hAnsi="宋体"/>
          <w:sz w:val="24"/>
        </w:rPr>
      </w:pPr>
      <w:r>
        <w:rPr>
          <w:rFonts w:hAnsi="宋体"/>
          <w:color w:val="000000"/>
          <w:sz w:val="24"/>
        </w:rPr>
        <w:t>4</w:t>
      </w:r>
      <w:r>
        <w:rPr>
          <w:rFonts w:hint="eastAsia" w:hAnsi="宋体"/>
          <w:color w:val="000000"/>
          <w:sz w:val="24"/>
        </w:rPr>
        <w:t>.</w:t>
      </w:r>
      <w:r>
        <w:rPr>
          <w:rFonts w:hAnsi="宋体"/>
          <w:sz w:val="24"/>
        </w:rPr>
        <w:t>对技术复杂的货物，甲方应请国家认可的专业检测机构参与初步验收及最终</w:t>
      </w:r>
    </w:p>
    <w:p>
      <w:pPr>
        <w:pStyle w:val="15"/>
        <w:snapToGrid w:val="0"/>
        <w:spacing w:before="120" w:after="120" w:line="360" w:lineRule="auto"/>
        <w:ind w:firstLine="360" w:firstLineChars="150"/>
        <w:rPr>
          <w:rFonts w:hAnsi="宋体"/>
          <w:sz w:val="24"/>
        </w:rPr>
      </w:pPr>
      <w:r>
        <w:rPr>
          <w:rFonts w:hAnsi="宋体"/>
          <w:sz w:val="24"/>
        </w:rPr>
        <w:t>验收，并由其出具质量检测报告。</w:t>
      </w:r>
    </w:p>
    <w:p>
      <w:pPr>
        <w:pStyle w:val="15"/>
        <w:snapToGrid w:val="0"/>
        <w:spacing w:before="120" w:after="120" w:line="360" w:lineRule="auto"/>
        <w:rPr>
          <w:rFonts w:hAnsi="宋体"/>
          <w:sz w:val="24"/>
        </w:rPr>
      </w:pPr>
      <w:r>
        <w:rPr>
          <w:rFonts w:hAnsi="宋体"/>
          <w:color w:val="000000"/>
          <w:sz w:val="24"/>
        </w:rPr>
        <w:t>5</w:t>
      </w:r>
      <w:r>
        <w:rPr>
          <w:rFonts w:hint="eastAsia" w:hAnsi="宋体"/>
          <w:color w:val="000000"/>
          <w:sz w:val="24"/>
        </w:rPr>
        <w:t>.</w:t>
      </w:r>
      <w:r>
        <w:rPr>
          <w:rFonts w:hAnsi="宋体"/>
          <w:sz w:val="24"/>
        </w:rPr>
        <w:t>验收时乙方必须在现场，验收完毕后作出验收结果报告；验收费用由</w:t>
      </w:r>
      <w:r>
        <w:rPr>
          <w:rFonts w:hint="eastAsia" w:hAnsi="宋体"/>
          <w:sz w:val="24"/>
        </w:rPr>
        <w:t>甲</w:t>
      </w:r>
      <w:r>
        <w:rPr>
          <w:rFonts w:hAnsi="宋体"/>
          <w:sz w:val="24"/>
        </w:rPr>
        <w:t>方负</w:t>
      </w:r>
    </w:p>
    <w:p>
      <w:pPr>
        <w:pStyle w:val="15"/>
        <w:snapToGrid w:val="0"/>
        <w:spacing w:before="120" w:after="120" w:line="360" w:lineRule="auto"/>
        <w:ind w:firstLine="360" w:firstLineChars="150"/>
        <w:rPr>
          <w:rFonts w:hAnsi="宋体"/>
          <w:sz w:val="24"/>
        </w:rPr>
      </w:pPr>
      <w:r>
        <w:rPr>
          <w:rFonts w:hAnsi="宋体"/>
          <w:sz w:val="24"/>
        </w:rPr>
        <w:t>责。</w:t>
      </w:r>
    </w:p>
    <w:p>
      <w:pPr>
        <w:pStyle w:val="15"/>
        <w:snapToGrid w:val="0"/>
        <w:spacing w:before="120" w:after="120" w:line="360" w:lineRule="auto"/>
        <w:rPr>
          <w:rFonts w:hAnsi="宋体"/>
          <w:b/>
          <w:sz w:val="24"/>
        </w:rPr>
      </w:pPr>
      <w:r>
        <w:rPr>
          <w:rFonts w:hAnsi="宋体"/>
          <w:b/>
          <w:sz w:val="24"/>
        </w:rPr>
        <w:t>十</w:t>
      </w:r>
      <w:r>
        <w:rPr>
          <w:rFonts w:hint="eastAsia" w:hAnsi="宋体"/>
          <w:b/>
          <w:sz w:val="24"/>
        </w:rPr>
        <w:t>五</w:t>
      </w:r>
      <w:r>
        <w:rPr>
          <w:rFonts w:hAnsi="宋体"/>
          <w:b/>
          <w:sz w:val="24"/>
        </w:rPr>
        <w:t>、货物包装、发运及运输</w:t>
      </w:r>
    </w:p>
    <w:p>
      <w:pPr>
        <w:pStyle w:val="15"/>
        <w:snapToGrid w:val="0"/>
        <w:spacing w:before="120" w:after="120" w:line="360" w:lineRule="auto"/>
        <w:ind w:left="480" w:hanging="480" w:hangingChars="200"/>
        <w:rPr>
          <w:rFonts w:hAnsi="宋体"/>
          <w:sz w:val="24"/>
        </w:rPr>
      </w:pPr>
      <w:r>
        <w:rPr>
          <w:rFonts w:hAnsi="宋体"/>
          <w:sz w:val="24"/>
        </w:rPr>
        <w:t>1</w:t>
      </w:r>
      <w:r>
        <w:rPr>
          <w:rFonts w:hint="eastAsia" w:hAnsi="宋体"/>
          <w:sz w:val="24"/>
        </w:rPr>
        <w:t>.</w:t>
      </w:r>
      <w:r>
        <w:rPr>
          <w:rFonts w:hAnsi="宋体"/>
          <w:sz w:val="24"/>
        </w:rPr>
        <w:t xml:space="preserve"> 乙方应在货物发运前对其进行满足运输距离、防潮、防震、防锈和防破损装卸等要求包装，以保证货物安全运达甲方指定地点。</w:t>
      </w:r>
    </w:p>
    <w:p>
      <w:pPr>
        <w:pStyle w:val="15"/>
        <w:snapToGrid w:val="0"/>
        <w:spacing w:before="120" w:after="120" w:line="360" w:lineRule="auto"/>
        <w:ind w:left="480" w:hanging="480" w:hangingChars="200"/>
        <w:rPr>
          <w:rFonts w:hAnsi="宋体"/>
          <w:sz w:val="24"/>
        </w:rPr>
      </w:pPr>
      <w:r>
        <w:rPr>
          <w:rFonts w:hAnsi="宋体"/>
          <w:sz w:val="24"/>
        </w:rPr>
        <w:t>2</w:t>
      </w:r>
      <w:r>
        <w:rPr>
          <w:rFonts w:hint="eastAsia" w:hAnsi="宋体"/>
          <w:sz w:val="24"/>
        </w:rPr>
        <w:t>.</w:t>
      </w:r>
      <w:r>
        <w:rPr>
          <w:rFonts w:hAnsi="宋体"/>
          <w:sz w:val="24"/>
        </w:rPr>
        <w:t xml:space="preserve"> 使用说明书、质量检验证明书、随配附件和工具以及清单一并附于货物内。</w:t>
      </w:r>
    </w:p>
    <w:p>
      <w:pPr>
        <w:pStyle w:val="15"/>
        <w:snapToGrid w:val="0"/>
        <w:spacing w:before="120" w:after="120" w:line="360" w:lineRule="auto"/>
        <w:ind w:left="480" w:hanging="480" w:hangingChars="200"/>
        <w:rPr>
          <w:rFonts w:hAnsi="宋体"/>
          <w:sz w:val="24"/>
        </w:rPr>
      </w:pPr>
      <w:r>
        <w:rPr>
          <w:rFonts w:hAnsi="宋体"/>
          <w:sz w:val="24"/>
        </w:rPr>
        <w:t>3</w:t>
      </w:r>
      <w:r>
        <w:rPr>
          <w:rFonts w:hint="eastAsia" w:hAnsi="宋体"/>
          <w:sz w:val="24"/>
        </w:rPr>
        <w:t>.</w:t>
      </w:r>
      <w:r>
        <w:rPr>
          <w:rFonts w:hAnsi="宋体"/>
          <w:sz w:val="24"/>
        </w:rPr>
        <w:t xml:space="preserve"> 乙方在货物发运手续办理完毕后24小时内或货到甲方48小时前通知甲方，以准备接货。</w:t>
      </w:r>
    </w:p>
    <w:p>
      <w:pPr>
        <w:pStyle w:val="15"/>
        <w:snapToGrid w:val="0"/>
        <w:spacing w:before="120" w:after="120" w:line="360" w:lineRule="auto"/>
        <w:ind w:left="480" w:hanging="480" w:hangingChars="200"/>
        <w:rPr>
          <w:rFonts w:hAnsi="宋体"/>
          <w:sz w:val="24"/>
        </w:rPr>
      </w:pPr>
      <w:r>
        <w:rPr>
          <w:rFonts w:hAnsi="宋体"/>
          <w:sz w:val="24"/>
        </w:rPr>
        <w:t>4</w:t>
      </w:r>
      <w:r>
        <w:rPr>
          <w:rFonts w:hint="eastAsia" w:hAnsi="宋体"/>
          <w:sz w:val="24"/>
        </w:rPr>
        <w:t>.</w:t>
      </w:r>
      <w:r>
        <w:rPr>
          <w:rFonts w:hAnsi="宋体"/>
          <w:sz w:val="24"/>
        </w:rPr>
        <w:t xml:space="preserve"> 货物在交付甲方前发生的风险均由乙方负责。</w:t>
      </w:r>
    </w:p>
    <w:p>
      <w:pPr>
        <w:pStyle w:val="15"/>
        <w:snapToGrid w:val="0"/>
        <w:spacing w:line="360" w:lineRule="auto"/>
        <w:ind w:left="480" w:right="26" w:hanging="480" w:hangingChars="200"/>
        <w:rPr>
          <w:rFonts w:hAnsi="宋体"/>
          <w:sz w:val="24"/>
        </w:rPr>
      </w:pPr>
      <w:r>
        <w:rPr>
          <w:rFonts w:hAnsi="宋体"/>
          <w:sz w:val="24"/>
        </w:rPr>
        <w:t>5</w:t>
      </w:r>
      <w:r>
        <w:rPr>
          <w:rFonts w:hint="eastAsia" w:hAnsi="宋体"/>
          <w:sz w:val="24"/>
        </w:rPr>
        <w:t>.</w:t>
      </w:r>
      <w:r>
        <w:rPr>
          <w:rFonts w:hAnsi="宋体"/>
          <w:sz w:val="24"/>
        </w:rPr>
        <w:t xml:space="preserve"> 货物在规定的交付期限内由乙方送达甲方指定的地点视为交付，乙方同时需</w:t>
      </w:r>
    </w:p>
    <w:p>
      <w:pPr>
        <w:pStyle w:val="15"/>
        <w:snapToGrid w:val="0"/>
        <w:spacing w:line="360" w:lineRule="auto"/>
        <w:ind w:left="479" w:leftChars="171" w:right="26" w:hanging="120" w:hangingChars="50"/>
        <w:rPr>
          <w:rFonts w:hAnsi="宋体"/>
          <w:sz w:val="24"/>
        </w:rPr>
      </w:pPr>
      <w:r>
        <w:rPr>
          <w:rFonts w:hAnsi="宋体"/>
          <w:sz w:val="24"/>
        </w:rPr>
        <w:t>通知甲方货物已送达。</w:t>
      </w:r>
    </w:p>
    <w:p>
      <w:pPr>
        <w:pStyle w:val="15"/>
        <w:snapToGrid w:val="0"/>
        <w:spacing w:before="120" w:after="120" w:line="360" w:lineRule="auto"/>
        <w:rPr>
          <w:rFonts w:hAnsi="宋体"/>
          <w:b/>
          <w:sz w:val="24"/>
        </w:rPr>
      </w:pPr>
      <w:r>
        <w:rPr>
          <w:rFonts w:hAnsi="宋体"/>
          <w:b/>
          <w:sz w:val="24"/>
        </w:rPr>
        <w:t>十</w:t>
      </w:r>
      <w:r>
        <w:rPr>
          <w:rFonts w:hint="eastAsia" w:hAnsi="宋体"/>
          <w:b/>
          <w:sz w:val="24"/>
        </w:rPr>
        <w:t>六</w:t>
      </w:r>
      <w:r>
        <w:rPr>
          <w:rFonts w:hAnsi="宋体"/>
          <w:b/>
          <w:sz w:val="24"/>
        </w:rPr>
        <w:t>、违约责任</w:t>
      </w:r>
    </w:p>
    <w:p>
      <w:pPr>
        <w:pStyle w:val="15"/>
        <w:snapToGrid w:val="0"/>
        <w:spacing w:before="120" w:after="120" w:line="360" w:lineRule="auto"/>
        <w:ind w:left="410" w:hanging="410" w:hangingChars="171"/>
        <w:rPr>
          <w:rFonts w:hAnsi="宋体"/>
          <w:sz w:val="24"/>
        </w:rPr>
      </w:pPr>
      <w:r>
        <w:rPr>
          <w:rFonts w:hAnsi="宋体"/>
          <w:sz w:val="24"/>
        </w:rPr>
        <w:t>1</w:t>
      </w:r>
      <w:r>
        <w:rPr>
          <w:rFonts w:hint="eastAsia" w:hAnsi="宋体"/>
          <w:sz w:val="24"/>
        </w:rPr>
        <w:t>.</w:t>
      </w:r>
      <w:r>
        <w:rPr>
          <w:rFonts w:hAnsi="宋体"/>
          <w:sz w:val="24"/>
        </w:rPr>
        <w:t xml:space="preserve"> 甲方无正当理由拒收货物的，甲方向乙方偿付拒收货款总值的</w:t>
      </w:r>
      <w:r>
        <w:rPr>
          <w:rFonts w:hAnsi="宋体"/>
          <w:color w:val="FF66CC"/>
          <w:sz w:val="24"/>
          <w:u w:val="single"/>
        </w:rPr>
        <w:t>百分之五</w:t>
      </w:r>
      <w:r>
        <w:rPr>
          <w:rFonts w:hAnsi="宋体"/>
          <w:sz w:val="24"/>
        </w:rPr>
        <w:t>违约金。</w:t>
      </w:r>
    </w:p>
    <w:p>
      <w:pPr>
        <w:pStyle w:val="15"/>
        <w:snapToGrid w:val="0"/>
        <w:spacing w:before="120" w:after="120" w:line="360" w:lineRule="auto"/>
        <w:ind w:left="410" w:hanging="410" w:hangingChars="171"/>
        <w:rPr>
          <w:rFonts w:hAnsi="宋体"/>
          <w:sz w:val="24"/>
        </w:rPr>
      </w:pPr>
      <w:r>
        <w:rPr>
          <w:rFonts w:hAnsi="宋体"/>
          <w:sz w:val="24"/>
        </w:rPr>
        <w:t>2</w:t>
      </w:r>
      <w:r>
        <w:rPr>
          <w:rFonts w:hint="eastAsia" w:hAnsi="宋体"/>
          <w:sz w:val="24"/>
        </w:rPr>
        <w:t>.</w:t>
      </w:r>
      <w:r>
        <w:rPr>
          <w:rFonts w:hAnsi="宋体"/>
          <w:sz w:val="24"/>
        </w:rPr>
        <w:t xml:space="preserve"> 甲方无故逾期验收和办理货款支付手续的,甲方应按逾期付款总额每日</w:t>
      </w:r>
      <w:r>
        <w:rPr>
          <w:rFonts w:hAnsi="宋体"/>
          <w:color w:val="FF66CC"/>
          <w:sz w:val="24"/>
          <w:u w:val="single"/>
        </w:rPr>
        <w:t>万分之五</w:t>
      </w:r>
      <w:r>
        <w:rPr>
          <w:rFonts w:hAnsi="宋体"/>
          <w:sz w:val="24"/>
        </w:rPr>
        <w:t>向乙方支付违约金。</w:t>
      </w:r>
    </w:p>
    <w:p>
      <w:pPr>
        <w:pStyle w:val="15"/>
        <w:snapToGrid w:val="0"/>
        <w:spacing w:before="120" w:after="120" w:line="360" w:lineRule="auto"/>
        <w:ind w:left="410" w:hanging="410" w:hangingChars="171"/>
        <w:rPr>
          <w:rFonts w:hAnsi="宋体"/>
          <w:sz w:val="24"/>
        </w:rPr>
      </w:pPr>
      <w:r>
        <w:rPr>
          <w:rFonts w:hAnsi="宋体"/>
          <w:sz w:val="24"/>
        </w:rPr>
        <w:t>3</w:t>
      </w:r>
      <w:r>
        <w:rPr>
          <w:rFonts w:hint="eastAsia" w:hAnsi="宋体"/>
          <w:sz w:val="24"/>
        </w:rPr>
        <w:t>.</w:t>
      </w:r>
      <w:r>
        <w:rPr>
          <w:rFonts w:hAnsi="宋体"/>
          <w:sz w:val="24"/>
        </w:rPr>
        <w:t xml:space="preserve"> 乙方逾期交付货物的，乙方应按逾期交货总额每日</w:t>
      </w:r>
      <w:r>
        <w:rPr>
          <w:rFonts w:hAnsi="宋体"/>
          <w:color w:val="FF66CC"/>
          <w:sz w:val="24"/>
          <w:u w:val="single"/>
        </w:rPr>
        <w:t>千分之六</w:t>
      </w:r>
      <w:r>
        <w:rPr>
          <w:rFonts w:hAnsi="宋体"/>
          <w:sz w:val="24"/>
        </w:rPr>
        <w:t>向甲方支付违约金，由甲方从待付货款中扣除。逾期超过约定日期</w:t>
      </w:r>
      <w:r>
        <w:rPr>
          <w:rFonts w:hAnsi="宋体"/>
          <w:color w:val="FF66CC"/>
          <w:sz w:val="24"/>
          <w:u w:val="single"/>
        </w:rPr>
        <w:t>10</w:t>
      </w:r>
      <w:r>
        <w:rPr>
          <w:rFonts w:hAnsi="宋体"/>
          <w:sz w:val="24"/>
        </w:rPr>
        <w:t>个工作日不能交货的，甲方可解除本合同。乙方因逾期交货或因其他违约行为导致甲方解除合同的，乙方应向甲方支付合同总值</w:t>
      </w:r>
      <w:r>
        <w:rPr>
          <w:rFonts w:hAnsi="宋体"/>
          <w:color w:val="FF66CC"/>
          <w:sz w:val="24"/>
          <w:u w:val="single"/>
        </w:rPr>
        <w:t>5%</w:t>
      </w:r>
      <w:r>
        <w:rPr>
          <w:rFonts w:hAnsi="宋体"/>
          <w:sz w:val="24"/>
        </w:rPr>
        <w:t xml:space="preserve">的违约金，如造成甲方损失超过违约金的，超出部分由乙方继续承担赔偿责任。 </w:t>
      </w:r>
    </w:p>
    <w:p>
      <w:pPr>
        <w:pStyle w:val="15"/>
        <w:snapToGrid w:val="0"/>
        <w:spacing w:before="120" w:after="120" w:line="360" w:lineRule="auto"/>
        <w:ind w:left="410" w:hanging="410" w:hangingChars="171"/>
        <w:rPr>
          <w:rFonts w:hAnsi="宋体"/>
          <w:sz w:val="24"/>
        </w:rPr>
      </w:pPr>
      <w:r>
        <w:rPr>
          <w:rFonts w:hAnsi="宋体"/>
          <w:sz w:val="24"/>
        </w:rPr>
        <w:t>4</w:t>
      </w:r>
      <w:r>
        <w:rPr>
          <w:rFonts w:hint="eastAsia" w:hAnsi="宋体"/>
          <w:sz w:val="24"/>
        </w:rPr>
        <w:t>.</w:t>
      </w:r>
      <w:r>
        <w:rPr>
          <w:rFonts w:hAnsi="宋体"/>
          <w:sz w:val="24"/>
        </w:rPr>
        <w:t xml:space="preserve"> 乙方所交的货物品种、型号、规格、技术参数、质量不符合合同规定及</w:t>
      </w:r>
      <w:r>
        <w:rPr>
          <w:rFonts w:hint="eastAsia" w:hAnsi="宋体"/>
          <w:sz w:val="24"/>
        </w:rPr>
        <w:t>磋商采购</w:t>
      </w:r>
      <w:r>
        <w:rPr>
          <w:rFonts w:hAnsi="宋体"/>
          <w:sz w:val="24"/>
        </w:rPr>
        <w:t>文件规定标准的，甲方有权拒收该货物，乙方愿意更换货物但逾期交货的，按乙方逾期交货处理。乙方拒绝更换货物的，甲方可单方面解除合同。</w:t>
      </w:r>
    </w:p>
    <w:p>
      <w:pPr>
        <w:pStyle w:val="15"/>
        <w:snapToGrid w:val="0"/>
        <w:spacing w:before="120" w:after="120" w:line="360" w:lineRule="auto"/>
        <w:ind w:left="410" w:hanging="410" w:hangingChars="171"/>
        <w:rPr>
          <w:rFonts w:hint="eastAsia" w:hAnsi="宋体"/>
          <w:sz w:val="24"/>
        </w:rPr>
      </w:pPr>
      <w:r>
        <w:rPr>
          <w:rFonts w:hint="eastAsia" w:hAnsi="宋体"/>
          <w:sz w:val="24"/>
        </w:rPr>
        <w:t>5.若发生纠纷，由违约方赔偿守约方因纠纷所支付的费用（包括但不限于律师费、差旅费、诉讼费、保全费、鉴定费、评估费等）</w:t>
      </w:r>
    </w:p>
    <w:p>
      <w:pPr>
        <w:pStyle w:val="15"/>
        <w:snapToGrid w:val="0"/>
        <w:spacing w:before="120" w:after="120" w:line="360" w:lineRule="auto"/>
        <w:rPr>
          <w:rFonts w:hAnsi="宋体"/>
          <w:b/>
          <w:sz w:val="24"/>
        </w:rPr>
      </w:pPr>
      <w:r>
        <w:rPr>
          <w:rFonts w:hAnsi="宋体"/>
          <w:b/>
          <w:sz w:val="24"/>
        </w:rPr>
        <w:t>十</w:t>
      </w:r>
      <w:r>
        <w:rPr>
          <w:rFonts w:hint="eastAsia" w:hAnsi="宋体"/>
          <w:b/>
          <w:sz w:val="24"/>
        </w:rPr>
        <w:t>七</w:t>
      </w:r>
      <w:r>
        <w:rPr>
          <w:rFonts w:hAnsi="宋体"/>
          <w:b/>
          <w:sz w:val="24"/>
        </w:rPr>
        <w:t>、不可抗力事件处理</w:t>
      </w:r>
    </w:p>
    <w:p>
      <w:pPr>
        <w:pStyle w:val="15"/>
        <w:snapToGrid w:val="0"/>
        <w:spacing w:before="120" w:after="120" w:line="360" w:lineRule="auto"/>
        <w:rPr>
          <w:rFonts w:hAnsi="宋体"/>
          <w:sz w:val="24"/>
        </w:rPr>
      </w:pPr>
      <w:r>
        <w:rPr>
          <w:rFonts w:hAnsi="宋体"/>
          <w:sz w:val="24"/>
        </w:rPr>
        <w:t>1</w:t>
      </w:r>
      <w:r>
        <w:rPr>
          <w:rFonts w:hint="eastAsia" w:hAnsi="宋体"/>
          <w:sz w:val="24"/>
        </w:rPr>
        <w:t>.</w:t>
      </w:r>
      <w:r>
        <w:rPr>
          <w:rFonts w:hAnsi="宋体"/>
          <w:sz w:val="24"/>
        </w:rPr>
        <w:t xml:space="preserve"> 在合同有效期内，任何一方因不可抗力事件导致不能履行合同，则合同履行</w:t>
      </w:r>
    </w:p>
    <w:p>
      <w:pPr>
        <w:pStyle w:val="15"/>
        <w:snapToGrid w:val="0"/>
        <w:spacing w:before="120" w:after="120" w:line="360" w:lineRule="auto"/>
        <w:ind w:firstLine="360" w:firstLineChars="150"/>
        <w:rPr>
          <w:rFonts w:hAnsi="宋体"/>
          <w:sz w:val="24"/>
        </w:rPr>
      </w:pPr>
      <w:r>
        <w:rPr>
          <w:rFonts w:hAnsi="宋体"/>
          <w:sz w:val="24"/>
        </w:rPr>
        <w:t>期可延长，其延长期与不可抗力影响期相同。</w:t>
      </w:r>
    </w:p>
    <w:p>
      <w:pPr>
        <w:pStyle w:val="15"/>
        <w:snapToGrid w:val="0"/>
        <w:spacing w:before="120" w:after="120" w:line="360" w:lineRule="auto"/>
        <w:rPr>
          <w:rFonts w:hAnsi="宋体"/>
          <w:sz w:val="24"/>
        </w:rPr>
      </w:pPr>
      <w:r>
        <w:rPr>
          <w:rFonts w:hAnsi="宋体"/>
          <w:sz w:val="24"/>
        </w:rPr>
        <w:t>2</w:t>
      </w:r>
      <w:r>
        <w:rPr>
          <w:rFonts w:hint="eastAsia" w:hAnsi="宋体"/>
          <w:sz w:val="24"/>
        </w:rPr>
        <w:t>.</w:t>
      </w:r>
      <w:r>
        <w:rPr>
          <w:rFonts w:hAnsi="宋体"/>
          <w:sz w:val="24"/>
        </w:rPr>
        <w:t xml:space="preserve"> 不可抗力事件发生后，应立即通知对方，并寄送有关权威机构出具的证明。</w:t>
      </w:r>
    </w:p>
    <w:p>
      <w:pPr>
        <w:pStyle w:val="15"/>
        <w:snapToGrid w:val="0"/>
        <w:spacing w:before="120" w:after="120" w:line="360" w:lineRule="auto"/>
        <w:rPr>
          <w:rFonts w:hAnsi="宋体"/>
          <w:sz w:val="24"/>
        </w:rPr>
      </w:pPr>
      <w:r>
        <w:rPr>
          <w:rFonts w:hAnsi="宋体"/>
          <w:sz w:val="24"/>
        </w:rPr>
        <w:t>3</w:t>
      </w:r>
      <w:r>
        <w:rPr>
          <w:rFonts w:hint="eastAsia" w:hAnsi="宋体"/>
          <w:sz w:val="24"/>
        </w:rPr>
        <w:t>.</w:t>
      </w:r>
      <w:r>
        <w:rPr>
          <w:rFonts w:hAnsi="宋体"/>
          <w:sz w:val="24"/>
        </w:rPr>
        <w:t xml:space="preserve"> 不可抗力事件延续120天以上，双方应通过友好协商，确定是否继续履行合</w:t>
      </w:r>
    </w:p>
    <w:p>
      <w:pPr>
        <w:pStyle w:val="15"/>
        <w:snapToGrid w:val="0"/>
        <w:spacing w:before="120" w:after="120" w:line="360" w:lineRule="auto"/>
        <w:ind w:firstLine="360" w:firstLineChars="150"/>
        <w:rPr>
          <w:rFonts w:hAnsi="宋体"/>
          <w:sz w:val="24"/>
        </w:rPr>
      </w:pPr>
      <w:r>
        <w:rPr>
          <w:rFonts w:hAnsi="宋体"/>
          <w:sz w:val="24"/>
        </w:rPr>
        <w:t>同。</w:t>
      </w:r>
    </w:p>
    <w:p>
      <w:pPr>
        <w:pStyle w:val="15"/>
        <w:snapToGrid w:val="0"/>
        <w:spacing w:before="120" w:after="120" w:line="360" w:lineRule="auto"/>
        <w:rPr>
          <w:rFonts w:hAnsi="宋体"/>
          <w:b/>
          <w:sz w:val="24"/>
        </w:rPr>
      </w:pPr>
      <w:r>
        <w:rPr>
          <w:rFonts w:hAnsi="宋体"/>
          <w:b/>
          <w:sz w:val="24"/>
        </w:rPr>
        <w:t>十</w:t>
      </w:r>
      <w:r>
        <w:rPr>
          <w:rFonts w:hint="eastAsia" w:hAnsi="宋体"/>
          <w:b/>
          <w:sz w:val="24"/>
        </w:rPr>
        <w:t>八</w:t>
      </w:r>
      <w:r>
        <w:rPr>
          <w:rFonts w:hAnsi="宋体"/>
          <w:b/>
          <w:sz w:val="24"/>
        </w:rPr>
        <w:t>、</w:t>
      </w:r>
      <w:r>
        <w:rPr>
          <w:rFonts w:hint="eastAsia" w:hAnsi="宋体"/>
          <w:b/>
          <w:sz w:val="24"/>
        </w:rPr>
        <w:t>解决争议的方法</w:t>
      </w:r>
    </w:p>
    <w:p>
      <w:pPr>
        <w:pStyle w:val="15"/>
        <w:snapToGrid w:val="0"/>
        <w:spacing w:before="120" w:after="120" w:line="360" w:lineRule="auto"/>
        <w:rPr>
          <w:rFonts w:hAnsi="宋体" w:cs="宋体"/>
          <w:kern w:val="0"/>
          <w:sz w:val="24"/>
          <w:lang w:bidi="ar"/>
        </w:rPr>
      </w:pPr>
      <w:r>
        <w:rPr>
          <w:rFonts w:hint="eastAsia" w:hAnsi="宋体" w:cs="宋体"/>
          <w:kern w:val="0"/>
          <w:sz w:val="24"/>
          <w:lang w:bidi="ar"/>
        </w:rPr>
        <w:t xml:space="preserve">1. </w:t>
      </w:r>
      <w:r>
        <w:rPr>
          <w:rFonts w:hAnsi="宋体" w:cs="宋体"/>
          <w:kern w:val="0"/>
          <w:sz w:val="24"/>
          <w:lang w:bidi="ar"/>
        </w:rPr>
        <w:t>如双方在履行合同时发生纠纷，应协商解决；协商不成时，可提请政府采购管理部门调解；调解不成的通过以下方式解决</w:t>
      </w:r>
    </w:p>
    <w:p>
      <w:pPr>
        <w:pStyle w:val="15"/>
        <w:snapToGrid w:val="0"/>
        <w:spacing w:before="120" w:after="120" w:line="360" w:lineRule="auto"/>
        <w:rPr>
          <w:rFonts w:hAnsi="宋体" w:cs="宋体"/>
          <w:kern w:val="0"/>
          <w:sz w:val="24"/>
          <w:lang w:bidi="ar"/>
        </w:rPr>
      </w:pPr>
      <w:r>
        <w:rPr>
          <w:rFonts w:hAnsi="宋体" w:cs="宋体"/>
          <w:kern w:val="0"/>
          <w:sz w:val="24"/>
          <w:lang w:bidi="ar"/>
        </w:rPr>
        <w:t>依法向</w:t>
      </w:r>
      <w:r>
        <w:rPr>
          <w:rFonts w:hint="eastAsia" w:hAnsi="宋体" w:cs="宋体"/>
          <w:kern w:val="0"/>
          <w:sz w:val="24"/>
          <w:lang w:eastAsia="zh-CN" w:bidi="ar"/>
        </w:rPr>
        <w:t>玉环市</w:t>
      </w:r>
      <w:r>
        <w:rPr>
          <w:rFonts w:hAnsi="宋体" w:cs="宋体"/>
          <w:kern w:val="0"/>
          <w:sz w:val="24"/>
          <w:lang w:bidi="ar"/>
        </w:rPr>
        <w:t>人民法院提起诉讼。</w:t>
      </w:r>
    </w:p>
    <w:p>
      <w:pPr>
        <w:pStyle w:val="15"/>
        <w:tabs>
          <w:tab w:val="left" w:pos="5790"/>
        </w:tabs>
        <w:snapToGrid w:val="0"/>
        <w:spacing w:before="120" w:after="120" w:line="360" w:lineRule="auto"/>
        <w:rPr>
          <w:rFonts w:hAnsi="宋体"/>
          <w:b/>
          <w:sz w:val="24"/>
        </w:rPr>
      </w:pPr>
      <w:r>
        <w:rPr>
          <w:rFonts w:hAnsi="宋体"/>
          <w:b/>
          <w:sz w:val="24"/>
        </w:rPr>
        <w:t>十</w:t>
      </w:r>
      <w:r>
        <w:rPr>
          <w:rFonts w:hint="eastAsia" w:hAnsi="宋体"/>
          <w:b/>
          <w:sz w:val="24"/>
        </w:rPr>
        <w:t>九</w:t>
      </w:r>
      <w:r>
        <w:rPr>
          <w:rFonts w:hAnsi="宋体"/>
          <w:b/>
          <w:sz w:val="24"/>
        </w:rPr>
        <w:t>、合同生效及其它</w:t>
      </w:r>
      <w:r>
        <w:rPr>
          <w:rFonts w:hAnsi="宋体"/>
          <w:b/>
          <w:sz w:val="24"/>
        </w:rPr>
        <w:tab/>
      </w:r>
    </w:p>
    <w:p>
      <w:pPr>
        <w:pStyle w:val="11"/>
        <w:widowControl/>
        <w:spacing w:line="360" w:lineRule="auto"/>
        <w:ind w:right="-88"/>
        <w:rPr>
          <w:rFonts w:ascii="宋体" w:hAnsi="宋体"/>
          <w:sz w:val="24"/>
        </w:rPr>
      </w:pPr>
      <w:r>
        <w:rPr>
          <w:rFonts w:ascii="宋体" w:hAnsi="宋体"/>
          <w:sz w:val="24"/>
        </w:rPr>
        <w:t>1</w:t>
      </w:r>
      <w:r>
        <w:rPr>
          <w:rFonts w:hint="eastAsia" w:ascii="宋体" w:hAnsi="宋体"/>
          <w:sz w:val="24"/>
        </w:rPr>
        <w:t>.</w:t>
      </w:r>
      <w:r>
        <w:rPr>
          <w:rFonts w:ascii="宋体" w:hAnsi="宋体"/>
          <w:sz w:val="24"/>
        </w:rPr>
        <w:t xml:space="preserve"> 合同经双方法定代表人或授权代表</w:t>
      </w:r>
      <w:r>
        <w:rPr>
          <w:rFonts w:hint="eastAsia" w:ascii="宋体" w:hAnsi="宋体"/>
          <w:sz w:val="24"/>
        </w:rPr>
        <w:t>签字</w:t>
      </w:r>
      <w:r>
        <w:rPr>
          <w:rFonts w:ascii="宋体" w:hAnsi="宋体"/>
          <w:sz w:val="24"/>
        </w:rPr>
        <w:t>并加盖单位公章后生效。</w:t>
      </w:r>
    </w:p>
    <w:p>
      <w:pPr>
        <w:pStyle w:val="11"/>
        <w:widowControl/>
        <w:spacing w:line="360" w:lineRule="auto"/>
        <w:ind w:right="-88"/>
        <w:rPr>
          <w:rFonts w:ascii="宋体" w:hAnsi="宋体"/>
          <w:sz w:val="24"/>
        </w:rPr>
      </w:pPr>
      <w:r>
        <w:rPr>
          <w:rFonts w:hint="eastAsia" w:ascii="宋体" w:hAnsi="宋体"/>
          <w:sz w:val="24"/>
        </w:rPr>
        <w:t xml:space="preserve">2. </w:t>
      </w:r>
      <w:r>
        <w:rPr>
          <w:rFonts w:ascii="宋体" w:hAnsi="宋体"/>
          <w:sz w:val="24"/>
        </w:rPr>
        <w:t>本合同未尽事宜，遵照《</w:t>
      </w:r>
      <w:r>
        <w:rPr>
          <w:rFonts w:hint="eastAsia" w:ascii="宋体" w:hAnsi="宋体"/>
          <w:sz w:val="24"/>
          <w:lang w:eastAsia="zh-CN"/>
        </w:rPr>
        <w:t>民法典</w:t>
      </w:r>
      <w:r>
        <w:rPr>
          <w:rFonts w:ascii="宋体" w:hAnsi="宋体"/>
          <w:sz w:val="24"/>
        </w:rPr>
        <w:t>》有关条文执行。</w:t>
      </w:r>
    </w:p>
    <w:p>
      <w:pPr>
        <w:pStyle w:val="11"/>
        <w:widowControl/>
        <w:spacing w:line="360" w:lineRule="auto"/>
        <w:ind w:right="-88"/>
        <w:rPr>
          <w:rFonts w:ascii="宋体" w:hAnsi="宋体"/>
          <w:bCs/>
          <w:sz w:val="24"/>
        </w:rPr>
      </w:pPr>
      <w:r>
        <w:rPr>
          <w:rFonts w:hint="eastAsia" w:ascii="宋体" w:hAnsi="宋体"/>
          <w:b/>
          <w:sz w:val="24"/>
        </w:rPr>
        <w:t xml:space="preserve">3. </w:t>
      </w:r>
      <w:r>
        <w:rPr>
          <w:rFonts w:hint="eastAsia" w:ascii="宋体" w:hAnsi="宋体"/>
          <w:bCs/>
          <w:sz w:val="24"/>
        </w:rPr>
        <w:t>本合同一式四份。甲、乙双方各执一份，采购组织机构及同级人民政府财政部门各执一份。本项目未尽事宜以磋商采购文件、磋商响应文件及澄清文件等为准。</w:t>
      </w:r>
    </w:p>
    <w:p>
      <w:pPr>
        <w:widowControl/>
        <w:spacing w:line="360" w:lineRule="auto"/>
        <w:rPr>
          <w:rFonts w:ascii="宋体" w:hAnsi="宋体"/>
          <w:b/>
          <w:sz w:val="24"/>
        </w:rPr>
      </w:pPr>
    </w:p>
    <w:p>
      <w:pPr>
        <w:widowControl/>
        <w:spacing w:line="360" w:lineRule="auto"/>
        <w:rPr>
          <w:rFonts w:ascii="宋体" w:hAnsi="宋体"/>
          <w:b/>
          <w:sz w:val="24"/>
        </w:rPr>
      </w:pPr>
    </w:p>
    <w:p>
      <w:pPr>
        <w:spacing w:line="360" w:lineRule="auto"/>
        <w:rPr>
          <w:rFonts w:ascii="宋体" w:hAnsi="宋体"/>
          <w:sz w:val="24"/>
        </w:rPr>
      </w:pPr>
      <w:r>
        <w:rPr>
          <w:rFonts w:hint="eastAsia" w:ascii="宋体" w:hAnsi="宋体"/>
          <w:sz w:val="24"/>
        </w:rPr>
        <w:t>甲方（公章）                                     乙方（公章）</w:t>
      </w:r>
    </w:p>
    <w:p>
      <w:pPr>
        <w:spacing w:line="360" w:lineRule="auto"/>
        <w:rPr>
          <w:rFonts w:ascii="宋体" w:hAnsi="宋体"/>
          <w:sz w:val="24"/>
        </w:rPr>
      </w:pPr>
      <w:r>
        <w:rPr>
          <w:rFonts w:hint="eastAsia" w:ascii="宋体" w:hAnsi="宋体"/>
          <w:sz w:val="24"/>
        </w:rPr>
        <w:t>法定代表人：                                     法定代表人：</w:t>
      </w:r>
    </w:p>
    <w:p>
      <w:pPr>
        <w:spacing w:line="360" w:lineRule="auto"/>
        <w:rPr>
          <w:rFonts w:ascii="宋体" w:hAnsi="宋体"/>
          <w:sz w:val="24"/>
        </w:rPr>
      </w:pPr>
      <w:r>
        <w:rPr>
          <w:rFonts w:hint="eastAsia" w:ascii="宋体" w:hAnsi="宋体"/>
          <w:sz w:val="24"/>
        </w:rPr>
        <w:t>委托代理人：                                     委托代理人：</w:t>
      </w:r>
    </w:p>
    <w:p>
      <w:pPr>
        <w:spacing w:line="360" w:lineRule="auto"/>
        <w:rPr>
          <w:rFonts w:ascii="宋体" w:hAnsi="宋体"/>
          <w:sz w:val="24"/>
        </w:rPr>
      </w:pPr>
      <w:r>
        <w:rPr>
          <w:rFonts w:hint="eastAsia" w:ascii="宋体" w:hAnsi="宋体"/>
          <w:sz w:val="24"/>
        </w:rPr>
        <w:t>联系电话：                                       联系电话：</w:t>
      </w:r>
    </w:p>
    <w:p>
      <w:pPr>
        <w:spacing w:line="360" w:lineRule="auto"/>
        <w:rPr>
          <w:rFonts w:ascii="宋体" w:hAnsi="宋体"/>
          <w:sz w:val="24"/>
        </w:rPr>
      </w:pPr>
      <w:r>
        <w:rPr>
          <w:rFonts w:hint="eastAsia" w:ascii="宋体" w:hAnsi="宋体"/>
          <w:sz w:val="24"/>
        </w:rPr>
        <w:t>开户银行：                                       开户银行：</w:t>
      </w:r>
    </w:p>
    <w:p>
      <w:pPr>
        <w:spacing w:line="360" w:lineRule="auto"/>
        <w:rPr>
          <w:rFonts w:ascii="宋体" w:hAnsi="宋体"/>
          <w:sz w:val="24"/>
        </w:rPr>
      </w:pPr>
      <w:r>
        <w:rPr>
          <w:rFonts w:hint="eastAsia" w:ascii="宋体" w:hAnsi="宋体"/>
          <w:sz w:val="24"/>
        </w:rPr>
        <w:t>帐号：                                           帐号：</w:t>
      </w:r>
    </w:p>
    <w:p>
      <w:pPr>
        <w:spacing w:line="360" w:lineRule="auto"/>
        <w:rPr>
          <w:rFonts w:hint="eastAsia" w:ascii="宋体" w:hAnsi="宋体"/>
          <w:sz w:val="24"/>
        </w:rPr>
      </w:pPr>
      <w:r>
        <w:rPr>
          <w:rFonts w:hint="eastAsia" w:ascii="宋体" w:hAnsi="宋体"/>
          <w:sz w:val="24"/>
        </w:rPr>
        <w:t>地址及邮编：                                     地址及邮编：</w:t>
      </w:r>
    </w:p>
    <w:p>
      <w:pPr>
        <w:spacing w:line="360" w:lineRule="auto"/>
        <w:rPr>
          <w:rFonts w:hint="eastAsia" w:ascii="宋体" w:hAnsi="宋体"/>
          <w:sz w:val="24"/>
        </w:rPr>
      </w:pPr>
    </w:p>
    <w:p>
      <w:pPr>
        <w:spacing w:line="360" w:lineRule="auto"/>
        <w:rPr>
          <w:rFonts w:hint="eastAsia" w:ascii="宋体" w:hAnsi="宋体"/>
          <w:sz w:val="24"/>
        </w:rPr>
      </w:pPr>
      <w:r>
        <w:rPr>
          <w:rFonts w:hint="eastAsia" w:ascii="宋体" w:hAnsi="宋体"/>
          <w:sz w:val="24"/>
        </w:rPr>
        <w:t>合同鉴证方（盖章）:</w:t>
      </w:r>
    </w:p>
    <w:p>
      <w:pPr>
        <w:spacing w:line="360" w:lineRule="auto"/>
        <w:rPr>
          <w:rFonts w:hint="eastAsia" w:ascii="宋体" w:hAnsi="宋体"/>
          <w:sz w:val="24"/>
        </w:rPr>
      </w:pPr>
      <w:r>
        <w:rPr>
          <w:rFonts w:hint="eastAsia" w:ascii="宋体" w:hAnsi="宋体"/>
          <w:sz w:val="24"/>
        </w:rPr>
        <w:t>项目负责人:</w:t>
      </w:r>
    </w:p>
    <w:p>
      <w:pPr>
        <w:spacing w:line="360" w:lineRule="auto"/>
        <w:rPr>
          <w:rFonts w:hint="eastAsia" w:ascii="宋体" w:hAnsi="宋体"/>
          <w:sz w:val="24"/>
        </w:rPr>
      </w:pPr>
      <w:r>
        <w:rPr>
          <w:rFonts w:hint="eastAsia" w:ascii="宋体" w:hAnsi="宋体"/>
          <w:sz w:val="24"/>
        </w:rPr>
        <w:t>鉴证日期:  年  月  日</w:t>
      </w:r>
    </w:p>
    <w:p>
      <w:pPr>
        <w:spacing w:line="360" w:lineRule="auto"/>
        <w:rPr>
          <w:rFonts w:ascii="宋体" w:hAnsi="宋体"/>
          <w:sz w:val="24"/>
        </w:rPr>
      </w:pPr>
    </w:p>
    <w:p>
      <w:pPr>
        <w:spacing w:line="360" w:lineRule="auto"/>
        <w:rPr>
          <w:rFonts w:ascii="宋体" w:hAnsi="宋体"/>
          <w:sz w:val="24"/>
        </w:rPr>
      </w:pPr>
    </w:p>
    <w:p>
      <w:pPr>
        <w:spacing w:line="360" w:lineRule="auto"/>
        <w:ind w:firstLine="4920" w:firstLineChars="2050"/>
        <w:rPr>
          <w:rFonts w:hint="eastAsia" w:ascii="宋体" w:hAnsi="宋体"/>
          <w:sz w:val="24"/>
        </w:rPr>
      </w:pPr>
      <w:r>
        <w:rPr>
          <w:rFonts w:hint="eastAsia" w:ascii="宋体" w:hAnsi="宋体"/>
          <w:sz w:val="24"/>
        </w:rPr>
        <w:t>签订时间：    年   月    日</w:t>
      </w:r>
    </w:p>
    <w:p>
      <w:pPr>
        <w:jc w:val="center"/>
        <w:rPr>
          <w:rFonts w:hint="eastAsia" w:ascii="宋体" w:hAnsi="宋体"/>
          <w:b/>
          <w:sz w:val="36"/>
          <w:szCs w:val="36"/>
        </w:rPr>
      </w:pPr>
      <w:r>
        <w:rPr>
          <w:rFonts w:ascii="宋体" w:hAnsi="宋体"/>
          <w:b/>
          <w:sz w:val="36"/>
          <w:szCs w:val="36"/>
        </w:rPr>
        <w:br w:type="page"/>
      </w:r>
      <w:r>
        <w:rPr>
          <w:rFonts w:hint="eastAsia" w:ascii="宋体" w:hAnsi="宋体"/>
          <w:b/>
          <w:sz w:val="36"/>
          <w:szCs w:val="36"/>
        </w:rPr>
        <w:t>第六章：响应文件格式附件</w:t>
      </w:r>
    </w:p>
    <w:p>
      <w:pPr>
        <w:pStyle w:val="29"/>
        <w:rPr>
          <w:rFonts w:hint="eastAsia"/>
        </w:rPr>
      </w:pPr>
      <w:r>
        <w:rPr>
          <w:rFonts w:hint="eastAsia" w:ascii="宋体" w:hAnsi="宋体"/>
          <w:b/>
          <w:sz w:val="36"/>
          <w:szCs w:val="36"/>
          <w:lang w:eastAsia="zh-CN"/>
        </w:rPr>
        <w:t>（注：以下附件均仅供参考，投标供应商应根据标书正文内容及实际投标要求制作相应附件）</w:t>
      </w:r>
    </w:p>
    <w:p>
      <w:pPr>
        <w:tabs>
          <w:tab w:val="left" w:pos="8280"/>
        </w:tabs>
        <w:autoSpaceDE w:val="0"/>
        <w:autoSpaceDN w:val="0"/>
        <w:adjustRightInd w:val="0"/>
        <w:spacing w:line="240" w:lineRule="atLeast"/>
        <w:ind w:right="25"/>
        <w:rPr>
          <w:rFonts w:hint="eastAsia" w:ascii="宋体" w:hAnsi="宋体"/>
          <w:color w:val="000000"/>
          <w:kern w:val="0"/>
          <w:sz w:val="24"/>
        </w:rPr>
      </w:pPr>
    </w:p>
    <w:p>
      <w:pPr>
        <w:rPr>
          <w:rFonts w:hint="eastAsia" w:ascii="宋体" w:hAnsi="宋体"/>
          <w:b/>
          <w:kern w:val="0"/>
          <w:sz w:val="28"/>
          <w:szCs w:val="28"/>
        </w:rPr>
      </w:pPr>
      <w:r>
        <w:rPr>
          <w:rFonts w:hint="eastAsia" w:ascii="宋体" w:hAnsi="宋体"/>
          <w:b/>
          <w:kern w:val="0"/>
          <w:sz w:val="28"/>
          <w:szCs w:val="28"/>
        </w:rPr>
        <w:t>附件1</w:t>
      </w:r>
      <w:r>
        <w:rPr>
          <w:rFonts w:hint="eastAsia" w:ascii="宋体" w:hAnsi="宋体"/>
          <w:b/>
          <w:sz w:val="30"/>
          <w:szCs w:val="30"/>
        </w:rPr>
        <w:t xml:space="preserve">                             </w:t>
      </w:r>
      <w:r>
        <w:rPr>
          <w:rFonts w:hint="eastAsia" w:ascii="宋体" w:hAnsi="宋体"/>
          <w:sz w:val="30"/>
          <w:szCs w:val="30"/>
        </w:rPr>
        <w:t xml:space="preserve"> 　　　</w:t>
      </w:r>
      <w:r>
        <w:rPr>
          <w:rFonts w:hint="eastAsia" w:ascii="宋体" w:hAnsi="宋体"/>
          <w:b/>
          <w:color w:val="000000"/>
          <w:sz w:val="28"/>
        </w:rPr>
        <w:t xml:space="preserve">        </w:t>
      </w:r>
      <w:r>
        <w:rPr>
          <w:rFonts w:hint="eastAsia" w:ascii="宋体" w:hAnsi="宋体"/>
          <w:b/>
          <w:color w:val="000000"/>
          <w:sz w:val="28"/>
          <w:u w:val="single"/>
        </w:rPr>
        <w:t xml:space="preserve">     </w:t>
      </w:r>
      <w:r>
        <w:rPr>
          <w:rFonts w:hint="eastAsia" w:ascii="宋体" w:hAnsi="宋体"/>
          <w:bCs/>
          <w:color w:val="000000"/>
          <w:sz w:val="24"/>
        </w:rPr>
        <w:t>本</w:t>
      </w:r>
    </w:p>
    <w:p>
      <w:pPr>
        <w:ind w:right="-110"/>
        <w:jc w:val="center"/>
        <w:rPr>
          <w:rFonts w:hint="eastAsia" w:ascii="宋体" w:hAnsi="宋体"/>
          <w:spacing w:val="40"/>
          <w:sz w:val="52"/>
          <w:szCs w:val="52"/>
        </w:rPr>
      </w:pPr>
    </w:p>
    <w:p>
      <w:pPr>
        <w:spacing w:line="360" w:lineRule="auto"/>
        <w:ind w:right="-110"/>
        <w:jc w:val="center"/>
        <w:rPr>
          <w:rFonts w:ascii="宋体" w:hAnsi="宋体"/>
          <w:color w:val="000000"/>
          <w:spacing w:val="40"/>
          <w:sz w:val="52"/>
          <w:szCs w:val="52"/>
        </w:rPr>
      </w:pPr>
      <w:r>
        <w:rPr>
          <w:rFonts w:hint="eastAsia" w:ascii="宋体" w:hAnsi="宋体"/>
          <w:color w:val="000000"/>
          <w:spacing w:val="40"/>
          <w:sz w:val="52"/>
          <w:szCs w:val="52"/>
        </w:rPr>
        <w:t>项目名称</w:t>
      </w:r>
    </w:p>
    <w:p>
      <w:pPr>
        <w:spacing w:before="312" w:beforeLines="100" w:line="360" w:lineRule="auto"/>
        <w:ind w:right="-108"/>
        <w:jc w:val="center"/>
        <w:rPr>
          <w:rFonts w:ascii="宋体" w:hAnsi="宋体"/>
          <w:color w:val="000000"/>
          <w:sz w:val="36"/>
          <w:szCs w:val="36"/>
        </w:rPr>
      </w:pPr>
      <w:r>
        <w:rPr>
          <w:rFonts w:hint="eastAsia" w:ascii="宋体" w:hAnsi="宋体"/>
          <w:color w:val="000000"/>
          <w:sz w:val="36"/>
          <w:szCs w:val="36"/>
        </w:rPr>
        <w:t>项目编号：</w:t>
      </w:r>
      <w:r>
        <w:rPr>
          <w:rFonts w:hint="eastAsia" w:ascii="宋体" w:hAnsi="宋体"/>
          <w:color w:val="000000"/>
          <w:sz w:val="36"/>
          <w:szCs w:val="36"/>
          <w:u w:val="single"/>
        </w:rPr>
        <w:t xml:space="preserve">            </w:t>
      </w:r>
      <w:r>
        <w:rPr>
          <w:rFonts w:hint="eastAsia" w:ascii="宋体" w:hAnsi="宋体"/>
          <w:color w:val="000000"/>
          <w:sz w:val="36"/>
          <w:szCs w:val="36"/>
        </w:rPr>
        <w:t>（标项）</w:t>
      </w:r>
    </w:p>
    <w:p>
      <w:pPr>
        <w:spacing w:before="312" w:beforeLines="100" w:line="240" w:lineRule="atLeast"/>
        <w:ind w:right="-108"/>
        <w:jc w:val="center"/>
        <w:rPr>
          <w:rFonts w:hint="eastAsia" w:ascii="宋体" w:hAnsi="宋体"/>
          <w:sz w:val="32"/>
          <w:szCs w:val="32"/>
        </w:rPr>
      </w:pPr>
    </w:p>
    <w:p>
      <w:pPr>
        <w:spacing w:after="100" w:afterAutospacing="1" w:line="800" w:lineRule="exact"/>
        <w:ind w:right="-108"/>
        <w:jc w:val="center"/>
        <w:rPr>
          <w:rFonts w:hint="eastAsia" w:ascii="宋体" w:hAnsi="宋体"/>
          <w:b/>
          <w:color w:val="000000"/>
          <w:spacing w:val="40"/>
          <w:sz w:val="72"/>
          <w:szCs w:val="72"/>
        </w:rPr>
      </w:pPr>
      <w:r>
        <w:rPr>
          <w:rFonts w:hint="eastAsia" w:ascii="宋体" w:hAnsi="宋体"/>
          <w:b/>
          <w:color w:val="000000"/>
          <w:spacing w:val="40"/>
          <w:sz w:val="72"/>
          <w:szCs w:val="72"/>
        </w:rPr>
        <w:t>磋</w:t>
      </w:r>
    </w:p>
    <w:p>
      <w:pPr>
        <w:spacing w:after="100" w:afterAutospacing="1" w:line="800" w:lineRule="exact"/>
        <w:ind w:right="-108"/>
        <w:jc w:val="center"/>
        <w:rPr>
          <w:rFonts w:hint="eastAsia" w:ascii="宋体" w:hAnsi="宋体"/>
          <w:b/>
          <w:color w:val="000000"/>
          <w:spacing w:val="40"/>
          <w:sz w:val="72"/>
          <w:szCs w:val="72"/>
        </w:rPr>
      </w:pPr>
      <w:r>
        <w:rPr>
          <w:rFonts w:hint="eastAsia" w:ascii="宋体" w:hAnsi="宋体"/>
          <w:b/>
          <w:color w:val="000000"/>
          <w:spacing w:val="40"/>
          <w:sz w:val="72"/>
          <w:szCs w:val="72"/>
        </w:rPr>
        <w:t>商</w:t>
      </w:r>
    </w:p>
    <w:p>
      <w:pPr>
        <w:spacing w:after="100" w:afterAutospacing="1" w:line="800" w:lineRule="exact"/>
        <w:ind w:right="-108"/>
        <w:jc w:val="center"/>
        <w:rPr>
          <w:rFonts w:hint="eastAsia" w:ascii="宋体" w:hAnsi="宋体"/>
          <w:b/>
          <w:color w:val="000000"/>
          <w:spacing w:val="40"/>
          <w:sz w:val="72"/>
          <w:szCs w:val="72"/>
        </w:rPr>
      </w:pPr>
      <w:r>
        <w:rPr>
          <w:rFonts w:hint="eastAsia" w:ascii="宋体" w:hAnsi="宋体"/>
          <w:b/>
          <w:color w:val="000000"/>
          <w:spacing w:val="40"/>
          <w:sz w:val="72"/>
          <w:szCs w:val="72"/>
        </w:rPr>
        <w:t>响</w:t>
      </w:r>
    </w:p>
    <w:p>
      <w:pPr>
        <w:spacing w:after="100" w:afterAutospacing="1" w:line="800" w:lineRule="exact"/>
        <w:ind w:right="-108"/>
        <w:jc w:val="center"/>
        <w:rPr>
          <w:rFonts w:hint="eastAsia" w:ascii="宋体" w:hAnsi="宋体"/>
          <w:b/>
          <w:color w:val="000000"/>
          <w:spacing w:val="40"/>
          <w:sz w:val="72"/>
          <w:szCs w:val="72"/>
        </w:rPr>
      </w:pPr>
      <w:r>
        <w:rPr>
          <w:rFonts w:hint="eastAsia" w:ascii="宋体" w:hAnsi="宋体"/>
          <w:b/>
          <w:color w:val="000000"/>
          <w:spacing w:val="40"/>
          <w:sz w:val="72"/>
          <w:szCs w:val="72"/>
        </w:rPr>
        <w:t>应</w:t>
      </w:r>
    </w:p>
    <w:p>
      <w:pPr>
        <w:spacing w:after="100" w:afterAutospacing="1" w:line="800" w:lineRule="exact"/>
        <w:ind w:right="-108"/>
        <w:jc w:val="center"/>
        <w:rPr>
          <w:rFonts w:hint="eastAsia" w:ascii="宋体" w:hAnsi="宋体"/>
          <w:b/>
          <w:color w:val="000000"/>
          <w:spacing w:val="40"/>
          <w:sz w:val="72"/>
          <w:szCs w:val="72"/>
        </w:rPr>
      </w:pPr>
      <w:r>
        <w:rPr>
          <w:rFonts w:hint="eastAsia" w:ascii="宋体" w:hAnsi="宋体"/>
          <w:b/>
          <w:color w:val="000000"/>
          <w:spacing w:val="40"/>
          <w:sz w:val="72"/>
          <w:szCs w:val="72"/>
        </w:rPr>
        <w:t>文</w:t>
      </w:r>
    </w:p>
    <w:p>
      <w:pPr>
        <w:spacing w:after="100" w:afterAutospacing="1" w:line="800" w:lineRule="exact"/>
        <w:ind w:right="-108"/>
        <w:jc w:val="center"/>
        <w:rPr>
          <w:rFonts w:hint="eastAsia" w:ascii="宋体" w:hAnsi="宋体"/>
          <w:b/>
          <w:color w:val="000000"/>
          <w:spacing w:val="40"/>
          <w:sz w:val="72"/>
          <w:szCs w:val="72"/>
        </w:rPr>
      </w:pPr>
      <w:r>
        <w:rPr>
          <w:rFonts w:hint="eastAsia" w:ascii="宋体" w:hAnsi="宋体"/>
          <w:b/>
          <w:color w:val="000000"/>
          <w:spacing w:val="40"/>
          <w:sz w:val="72"/>
          <w:szCs w:val="72"/>
        </w:rPr>
        <w:t>件</w:t>
      </w:r>
    </w:p>
    <w:p>
      <w:pPr>
        <w:spacing w:line="500" w:lineRule="exact"/>
        <w:ind w:right="532"/>
        <w:jc w:val="center"/>
        <w:rPr>
          <w:rFonts w:hint="eastAsia" w:ascii="宋体" w:hAnsi="宋体"/>
          <w:sz w:val="36"/>
          <w:szCs w:val="36"/>
        </w:rPr>
      </w:pPr>
    </w:p>
    <w:p>
      <w:pPr>
        <w:spacing w:line="500" w:lineRule="exact"/>
        <w:ind w:right="532" w:firstLine="720" w:firstLineChars="200"/>
        <w:rPr>
          <w:rFonts w:hint="eastAsia" w:ascii="宋体" w:hAnsi="宋体"/>
          <w:sz w:val="36"/>
          <w:szCs w:val="36"/>
        </w:rPr>
      </w:pPr>
      <w:r>
        <w:rPr>
          <w:rFonts w:hint="eastAsia" w:ascii="宋体" w:hAnsi="宋体"/>
          <w:sz w:val="36"/>
          <w:szCs w:val="36"/>
        </w:rPr>
        <w:t>供应商全称（公章）：</w:t>
      </w:r>
    </w:p>
    <w:p>
      <w:pPr>
        <w:wordWrap w:val="0"/>
        <w:spacing w:line="500" w:lineRule="exact"/>
        <w:ind w:right="-108" w:firstLine="720" w:firstLineChars="200"/>
        <w:rPr>
          <w:rFonts w:hint="eastAsia" w:ascii="宋体" w:hAnsi="宋体"/>
          <w:sz w:val="36"/>
          <w:szCs w:val="36"/>
        </w:rPr>
      </w:pPr>
      <w:r>
        <w:rPr>
          <w:rFonts w:hint="eastAsia" w:ascii="宋体" w:hAnsi="宋体"/>
          <w:sz w:val="36"/>
          <w:szCs w:val="36"/>
        </w:rPr>
        <w:t>地    址：</w:t>
      </w:r>
    </w:p>
    <w:p>
      <w:pPr>
        <w:wordWrap w:val="0"/>
        <w:spacing w:line="500" w:lineRule="exact"/>
        <w:ind w:right="-108" w:firstLine="720" w:firstLineChars="200"/>
        <w:rPr>
          <w:rFonts w:hint="eastAsia" w:ascii="宋体" w:hAnsi="宋体"/>
          <w:b/>
          <w:bCs/>
          <w:color w:val="000000"/>
          <w:sz w:val="32"/>
          <w:szCs w:val="32"/>
        </w:rPr>
      </w:pPr>
      <w:r>
        <w:rPr>
          <w:rFonts w:hint="eastAsia" w:ascii="宋体" w:hAnsi="宋体"/>
          <w:sz w:val="36"/>
          <w:szCs w:val="36"/>
        </w:rPr>
        <w:t>时    间：</w:t>
      </w:r>
    </w:p>
    <w:p>
      <w:pPr>
        <w:snapToGrid w:val="0"/>
        <w:spacing w:before="50" w:after="50" w:line="360" w:lineRule="auto"/>
        <w:jc w:val="center"/>
        <w:rPr>
          <w:rFonts w:hint="eastAsia" w:ascii="宋体" w:hAnsi="宋体"/>
          <w:b/>
          <w:bCs/>
          <w:color w:val="000000"/>
          <w:sz w:val="36"/>
          <w:szCs w:val="36"/>
        </w:rPr>
      </w:pPr>
      <w:r>
        <w:rPr>
          <w:rFonts w:hint="eastAsia" w:ascii="宋体" w:hAnsi="宋体"/>
          <w:b/>
          <w:bCs/>
          <w:color w:val="000000"/>
          <w:sz w:val="36"/>
          <w:szCs w:val="36"/>
        </w:rPr>
        <w:t>磋商响应文件目录</w:t>
      </w:r>
    </w:p>
    <w:p>
      <w:pPr>
        <w:snapToGrid w:val="0"/>
        <w:spacing w:before="50" w:after="50" w:line="360" w:lineRule="auto"/>
        <w:jc w:val="center"/>
        <w:rPr>
          <w:rFonts w:hint="eastAsia" w:ascii="宋体" w:hAnsi="宋体"/>
          <w:b/>
          <w:bCs/>
          <w:color w:val="000000"/>
          <w:sz w:val="32"/>
          <w:szCs w:val="32"/>
        </w:rPr>
      </w:pPr>
    </w:p>
    <w:p>
      <w:pPr>
        <w:snapToGrid w:val="0"/>
        <w:spacing w:before="50" w:after="50" w:line="360" w:lineRule="auto"/>
        <w:ind w:firstLine="422" w:firstLineChars="150"/>
        <w:rPr>
          <w:rFonts w:hint="eastAsia" w:ascii="宋体" w:hAnsi="宋体" w:cs="宋体"/>
          <w:b/>
          <w:bCs/>
          <w:sz w:val="28"/>
          <w:szCs w:val="28"/>
        </w:rPr>
      </w:pPr>
      <w:r>
        <w:rPr>
          <w:rFonts w:hint="eastAsia" w:ascii="宋体" w:hAnsi="宋体" w:cs="宋体"/>
          <w:b/>
          <w:bCs/>
          <w:sz w:val="28"/>
          <w:szCs w:val="28"/>
        </w:rPr>
        <w:t>第一部分：资格证明部分</w:t>
      </w:r>
    </w:p>
    <w:p>
      <w:pPr>
        <w:numPr>
          <w:ilvl w:val="0"/>
          <w:numId w:val="7"/>
        </w:numPr>
        <w:snapToGrid w:val="0"/>
        <w:spacing w:line="360" w:lineRule="auto"/>
        <w:ind w:firstLine="470" w:firstLineChars="196"/>
        <w:rPr>
          <w:rFonts w:hint="eastAsia" w:ascii="宋体" w:hAnsi="宋体" w:cs="宋体"/>
          <w:sz w:val="24"/>
        </w:rPr>
      </w:pPr>
      <w:r>
        <w:rPr>
          <w:rFonts w:hint="eastAsia" w:ascii="宋体" w:hAnsi="宋体" w:cs="宋体"/>
          <w:sz w:val="24"/>
        </w:rPr>
        <w:t>磋商声明书（附件2）</w:t>
      </w:r>
    </w:p>
    <w:p>
      <w:pPr>
        <w:numPr>
          <w:ilvl w:val="0"/>
          <w:numId w:val="7"/>
        </w:numPr>
        <w:snapToGrid w:val="0"/>
        <w:spacing w:line="360" w:lineRule="auto"/>
        <w:ind w:firstLine="470" w:firstLineChars="196"/>
        <w:rPr>
          <w:rFonts w:hint="eastAsia" w:ascii="宋体" w:hAnsi="宋体" w:cs="宋体"/>
          <w:bCs/>
          <w:sz w:val="24"/>
        </w:rPr>
      </w:pPr>
      <w:r>
        <w:rPr>
          <w:rFonts w:hint="eastAsia" w:ascii="宋体" w:hAnsi="宋体" w:cs="宋体"/>
          <w:bCs/>
          <w:color w:val="000000"/>
          <w:sz w:val="24"/>
        </w:rPr>
        <w:t>授权委托书</w:t>
      </w:r>
      <w:r>
        <w:rPr>
          <w:rFonts w:hint="eastAsia" w:ascii="宋体" w:hAnsi="宋体" w:cs="宋体"/>
          <w:bCs/>
          <w:sz w:val="24"/>
        </w:rPr>
        <w:t>（附件3）</w:t>
      </w:r>
    </w:p>
    <w:p>
      <w:pPr>
        <w:snapToGrid w:val="0"/>
        <w:spacing w:line="360" w:lineRule="auto"/>
        <w:ind w:firstLine="470" w:firstLineChars="196"/>
        <w:rPr>
          <w:rFonts w:ascii="宋体" w:hAnsi="宋体"/>
          <w:kern w:val="0"/>
          <w:sz w:val="24"/>
        </w:rPr>
      </w:pPr>
      <w:r>
        <w:rPr>
          <w:rFonts w:hint="eastAsia" w:ascii="宋体" w:hAnsi="宋体"/>
          <w:sz w:val="24"/>
        </w:rPr>
        <w:t>3、</w:t>
      </w:r>
      <w:r>
        <w:rPr>
          <w:sz w:val="24"/>
        </w:rPr>
        <w:t>法人或者其他组织的营业执照等证明文件，自然人的身份证明</w:t>
      </w:r>
    </w:p>
    <w:p>
      <w:pPr>
        <w:snapToGrid w:val="0"/>
        <w:spacing w:line="360" w:lineRule="auto"/>
        <w:ind w:firstLine="480" w:firstLineChars="200"/>
        <w:rPr>
          <w:rFonts w:ascii="宋体" w:hAnsi="宋体"/>
          <w:kern w:val="0"/>
          <w:sz w:val="24"/>
        </w:rPr>
      </w:pPr>
      <w:r>
        <w:rPr>
          <w:rFonts w:hint="eastAsia" w:ascii="宋体" w:hAnsi="宋体"/>
          <w:kern w:val="0"/>
          <w:sz w:val="24"/>
        </w:rPr>
        <w:t>4、</w:t>
      </w:r>
      <w:r>
        <w:rPr>
          <w:sz w:val="24"/>
        </w:rPr>
        <w:t>财务状况报告，依法缴纳税收和社会保障资金的相关材料</w:t>
      </w:r>
    </w:p>
    <w:p>
      <w:pPr>
        <w:snapToGrid w:val="0"/>
        <w:spacing w:line="360" w:lineRule="auto"/>
        <w:ind w:firstLine="480" w:firstLineChars="200"/>
        <w:rPr>
          <w:rFonts w:ascii="宋体" w:hAnsi="宋体" w:cs="宋体"/>
          <w:sz w:val="24"/>
        </w:rPr>
      </w:pPr>
      <w:r>
        <w:rPr>
          <w:rFonts w:hint="eastAsia" w:ascii="宋体" w:hAnsi="宋体" w:cs="宋体"/>
          <w:sz w:val="24"/>
        </w:rPr>
        <w:t>5、</w:t>
      </w:r>
      <w:r>
        <w:rPr>
          <w:sz w:val="24"/>
        </w:rPr>
        <w:t>具备履行合同所必需的设备和专业技术能力的证明材料</w:t>
      </w:r>
    </w:p>
    <w:p>
      <w:pPr>
        <w:snapToGrid w:val="0"/>
        <w:spacing w:line="360" w:lineRule="auto"/>
        <w:ind w:firstLine="360" w:firstLineChars="150"/>
        <w:rPr>
          <w:rFonts w:hint="eastAsia" w:ascii="宋体" w:hAnsi="宋体" w:cs="宋体"/>
          <w:b/>
          <w:bCs/>
          <w:color w:val="000000"/>
          <w:sz w:val="32"/>
          <w:szCs w:val="32"/>
        </w:rPr>
      </w:pPr>
      <w:r>
        <w:rPr>
          <w:rFonts w:hint="eastAsia" w:ascii="宋体" w:hAnsi="宋体"/>
          <w:sz w:val="24"/>
        </w:rPr>
        <w:t>6、</w:t>
      </w:r>
      <w:r>
        <w:rPr>
          <w:rFonts w:hint="eastAsia" w:ascii="宋体" w:hAnsi="宋体"/>
          <w:kern w:val="0"/>
          <w:sz w:val="24"/>
        </w:rPr>
        <w:t>本项目要求的特定资质证书</w:t>
      </w:r>
      <w:r>
        <w:rPr>
          <w:rFonts w:hint="eastAsia" w:ascii="宋体" w:hAnsi="宋体" w:cs="宋体"/>
          <w:b/>
          <w:bCs/>
          <w:color w:val="000000"/>
          <w:sz w:val="28"/>
          <w:szCs w:val="28"/>
          <w:lang w:val="zh-CN"/>
        </w:rPr>
        <w:t>第二部分：商务与技术</w:t>
      </w:r>
      <w:r>
        <w:rPr>
          <w:rFonts w:hint="eastAsia" w:ascii="宋体" w:hAnsi="宋体" w:cs="宋体"/>
          <w:b/>
          <w:bCs/>
          <w:sz w:val="28"/>
          <w:szCs w:val="28"/>
        </w:rPr>
        <w:t>部分</w:t>
      </w:r>
    </w:p>
    <w:p>
      <w:pPr>
        <w:snapToGrid w:val="0"/>
        <w:spacing w:line="360" w:lineRule="auto"/>
        <w:ind w:firstLine="480" w:firstLineChars="200"/>
        <w:rPr>
          <w:rFonts w:hint="eastAsia" w:ascii="宋体" w:hAnsi="宋体" w:cs="宋体"/>
          <w:kern w:val="0"/>
          <w:sz w:val="24"/>
        </w:rPr>
      </w:pPr>
      <w:r>
        <w:rPr>
          <w:rFonts w:hint="eastAsia" w:ascii="宋体" w:hAnsi="宋体" w:cs="宋体"/>
          <w:sz w:val="24"/>
        </w:rPr>
        <w:t>1、</w:t>
      </w:r>
      <w:r>
        <w:rPr>
          <w:rFonts w:hint="eastAsia" w:ascii="宋体" w:hAnsi="宋体" w:cs="宋体"/>
          <w:kern w:val="0"/>
          <w:sz w:val="24"/>
        </w:rPr>
        <w:t>供应商情况介绍（附件4）</w:t>
      </w:r>
    </w:p>
    <w:p>
      <w:pPr>
        <w:snapToGrid w:val="0"/>
        <w:spacing w:line="360" w:lineRule="auto"/>
        <w:ind w:firstLine="480" w:firstLineChars="200"/>
        <w:rPr>
          <w:rFonts w:hint="eastAsia" w:ascii="宋体" w:hAnsi="宋体" w:cs="宋体"/>
          <w:sz w:val="24"/>
        </w:rPr>
      </w:pPr>
      <w:r>
        <w:rPr>
          <w:rFonts w:hint="eastAsia" w:ascii="宋体" w:hAnsi="宋体" w:cs="宋体"/>
          <w:sz w:val="24"/>
        </w:rPr>
        <w:t>2、</w:t>
      </w:r>
      <w:r>
        <w:rPr>
          <w:rFonts w:hint="eastAsia" w:ascii="宋体" w:hAnsi="宋体" w:cs="宋体"/>
          <w:color w:val="000000"/>
          <w:sz w:val="24"/>
        </w:rPr>
        <w:t>项目组织实施方案(可视情选用附件5、附件6)</w:t>
      </w:r>
      <w:r>
        <w:rPr>
          <w:rFonts w:hint="eastAsia" w:ascii="宋体" w:hAnsi="宋体" w:cs="宋体"/>
          <w:sz w:val="24"/>
        </w:rPr>
        <w:t xml:space="preserve">； </w:t>
      </w:r>
    </w:p>
    <w:p>
      <w:pPr>
        <w:snapToGrid w:val="0"/>
        <w:spacing w:line="360" w:lineRule="auto"/>
        <w:ind w:firstLine="470" w:firstLineChars="196"/>
        <w:rPr>
          <w:rFonts w:hint="eastAsia" w:ascii="宋体" w:hAnsi="宋体" w:cs="宋体"/>
          <w:kern w:val="0"/>
          <w:sz w:val="24"/>
        </w:rPr>
      </w:pPr>
      <w:r>
        <w:rPr>
          <w:rFonts w:hint="eastAsia" w:ascii="宋体" w:hAnsi="宋体" w:cs="宋体"/>
          <w:sz w:val="24"/>
        </w:rPr>
        <w:t>3、</w:t>
      </w:r>
      <w:r>
        <w:rPr>
          <w:rFonts w:hint="eastAsia" w:ascii="宋体" w:hAnsi="宋体" w:cs="宋体"/>
          <w:color w:val="000000"/>
          <w:sz w:val="24"/>
        </w:rPr>
        <w:t>响应产品技术规格资料</w:t>
      </w:r>
      <w:r>
        <w:rPr>
          <w:rFonts w:hint="eastAsia" w:ascii="宋体" w:hAnsi="宋体" w:cs="宋体"/>
          <w:kern w:val="0"/>
          <w:sz w:val="24"/>
        </w:rPr>
        <w:t>（</w:t>
      </w:r>
      <w:r>
        <w:rPr>
          <w:rFonts w:hint="eastAsia" w:ascii="宋体" w:hAnsi="宋体" w:cs="宋体"/>
          <w:color w:val="000000"/>
          <w:sz w:val="24"/>
        </w:rPr>
        <w:t>可视情选用附件7</w:t>
      </w:r>
      <w:r>
        <w:rPr>
          <w:rFonts w:hint="eastAsia" w:ascii="宋体" w:hAnsi="宋体" w:cs="宋体"/>
          <w:kern w:val="0"/>
          <w:sz w:val="24"/>
        </w:rPr>
        <w:t>）；</w:t>
      </w:r>
    </w:p>
    <w:p>
      <w:pPr>
        <w:snapToGrid w:val="0"/>
        <w:spacing w:line="360" w:lineRule="auto"/>
        <w:ind w:firstLine="470" w:firstLineChars="196"/>
        <w:rPr>
          <w:rFonts w:hint="eastAsia" w:ascii="宋体" w:hAnsi="宋体" w:cs="宋体"/>
          <w:kern w:val="0"/>
          <w:sz w:val="24"/>
        </w:rPr>
      </w:pPr>
      <w:r>
        <w:rPr>
          <w:rFonts w:hint="eastAsia" w:ascii="宋体" w:hAnsi="宋体" w:cs="宋体"/>
          <w:kern w:val="0"/>
          <w:sz w:val="24"/>
        </w:rPr>
        <w:t>4、商务及技术响应表</w:t>
      </w:r>
      <w:r>
        <w:rPr>
          <w:rFonts w:hint="eastAsia" w:ascii="宋体" w:hAnsi="宋体" w:cs="宋体"/>
          <w:color w:val="000000"/>
          <w:sz w:val="24"/>
        </w:rPr>
        <w:t>（可视情选用附件8</w:t>
      </w:r>
      <w:r>
        <w:rPr>
          <w:rFonts w:hint="eastAsia" w:ascii="宋体" w:hAnsi="宋体" w:cs="宋体"/>
          <w:sz w:val="24"/>
        </w:rPr>
        <w:t>）</w:t>
      </w:r>
    </w:p>
    <w:p>
      <w:pPr>
        <w:snapToGrid w:val="0"/>
        <w:spacing w:line="360" w:lineRule="auto"/>
        <w:ind w:firstLine="470" w:firstLineChars="196"/>
        <w:rPr>
          <w:rFonts w:hint="eastAsia" w:ascii="宋体" w:hAnsi="宋体" w:cs="宋体"/>
          <w:kern w:val="0"/>
          <w:sz w:val="24"/>
        </w:rPr>
      </w:pPr>
      <w:r>
        <w:rPr>
          <w:rFonts w:hint="eastAsia" w:ascii="宋体" w:hAnsi="宋体" w:cs="宋体"/>
          <w:kern w:val="0"/>
          <w:sz w:val="24"/>
        </w:rPr>
        <w:t>5、证书一览表（附件9）；</w:t>
      </w:r>
    </w:p>
    <w:p>
      <w:pPr>
        <w:snapToGrid w:val="0"/>
        <w:spacing w:line="360" w:lineRule="auto"/>
        <w:ind w:firstLine="470" w:firstLineChars="196"/>
        <w:rPr>
          <w:rFonts w:hint="eastAsia" w:ascii="宋体" w:hAnsi="宋体" w:cs="宋体"/>
          <w:kern w:val="0"/>
          <w:sz w:val="24"/>
        </w:rPr>
      </w:pPr>
      <w:r>
        <w:rPr>
          <w:rFonts w:hint="eastAsia" w:ascii="宋体" w:hAnsi="宋体" w:cs="宋体"/>
          <w:kern w:val="0"/>
          <w:sz w:val="24"/>
        </w:rPr>
        <w:t>6、</w:t>
      </w:r>
      <w:r>
        <w:rPr>
          <w:rFonts w:hint="eastAsia" w:ascii="宋体" w:hAnsi="宋体" w:cs="宋体"/>
          <w:color w:val="000000"/>
          <w:sz w:val="24"/>
        </w:rPr>
        <w:t>类似项目业绩一览表</w:t>
      </w:r>
      <w:r>
        <w:rPr>
          <w:rFonts w:hint="eastAsia" w:ascii="宋体" w:hAnsi="宋体" w:cs="宋体"/>
          <w:kern w:val="0"/>
          <w:sz w:val="24"/>
        </w:rPr>
        <w:t>（附件10）</w:t>
      </w:r>
    </w:p>
    <w:p>
      <w:pPr>
        <w:snapToGrid w:val="0"/>
        <w:spacing w:line="360" w:lineRule="auto"/>
        <w:ind w:firstLine="470" w:firstLineChars="196"/>
        <w:rPr>
          <w:rFonts w:hint="eastAsia" w:ascii="宋体" w:hAnsi="宋体" w:cs="宋体"/>
          <w:kern w:val="0"/>
          <w:sz w:val="24"/>
        </w:rPr>
      </w:pPr>
      <w:r>
        <w:rPr>
          <w:rFonts w:hint="eastAsia" w:ascii="宋体" w:hAnsi="宋体" w:cs="宋体"/>
          <w:kern w:val="0"/>
          <w:sz w:val="24"/>
        </w:rPr>
        <w:t>7、</w:t>
      </w:r>
      <w:r>
        <w:rPr>
          <w:rFonts w:hint="eastAsia" w:ascii="宋体" w:hAnsi="宋体" w:cs="宋体"/>
          <w:color w:val="000000"/>
          <w:sz w:val="24"/>
        </w:rPr>
        <w:t>售后服务措施及承诺</w:t>
      </w:r>
      <w:r>
        <w:rPr>
          <w:rFonts w:hint="eastAsia" w:ascii="宋体" w:hAnsi="宋体" w:cs="宋体"/>
          <w:kern w:val="0"/>
          <w:sz w:val="24"/>
        </w:rPr>
        <w:t>（可视情选用附件11）；</w:t>
      </w:r>
    </w:p>
    <w:p>
      <w:pPr>
        <w:spacing w:line="360" w:lineRule="auto"/>
        <w:ind w:right="-108" w:firstLine="422" w:firstLineChars="150"/>
        <w:rPr>
          <w:rFonts w:hint="eastAsia" w:ascii="宋体" w:hAnsi="宋体" w:cs="宋体"/>
          <w:sz w:val="24"/>
        </w:rPr>
      </w:pPr>
      <w:r>
        <w:rPr>
          <w:rFonts w:hint="eastAsia" w:ascii="宋体" w:hAnsi="宋体" w:cs="宋体"/>
          <w:b/>
          <w:bCs/>
          <w:kern w:val="0"/>
          <w:sz w:val="28"/>
          <w:szCs w:val="28"/>
        </w:rPr>
        <w:t>第三部分 ：</w:t>
      </w:r>
      <w:r>
        <w:rPr>
          <w:rFonts w:hint="eastAsia" w:ascii="宋体" w:hAnsi="宋体" w:cs="宋体"/>
          <w:b/>
          <w:sz w:val="28"/>
          <w:szCs w:val="28"/>
        </w:rPr>
        <w:t>报价</w:t>
      </w:r>
      <w:r>
        <w:rPr>
          <w:rFonts w:hint="eastAsia" w:ascii="宋体" w:hAnsi="宋体" w:cs="宋体"/>
          <w:b/>
          <w:bCs/>
          <w:sz w:val="28"/>
          <w:szCs w:val="28"/>
        </w:rPr>
        <w:t>部分</w:t>
      </w:r>
    </w:p>
    <w:p>
      <w:pPr>
        <w:snapToGrid w:val="0"/>
        <w:spacing w:line="360" w:lineRule="auto"/>
        <w:ind w:firstLine="480" w:firstLineChars="200"/>
        <w:jc w:val="left"/>
        <w:rPr>
          <w:rFonts w:hint="eastAsia" w:ascii="宋体" w:hAnsi="宋体" w:cs="宋体"/>
          <w:sz w:val="24"/>
        </w:rPr>
      </w:pPr>
      <w:r>
        <w:rPr>
          <w:rFonts w:hint="eastAsia" w:ascii="宋体" w:hAnsi="宋体" w:cs="宋体"/>
          <w:sz w:val="24"/>
        </w:rPr>
        <w:t>1、</w:t>
      </w:r>
      <w:r>
        <w:rPr>
          <w:rFonts w:hint="eastAsia" w:ascii="宋体" w:hAnsi="宋体" w:cs="宋体"/>
          <w:color w:val="000000"/>
          <w:sz w:val="24"/>
        </w:rPr>
        <w:t>报价一览表（附件12）</w:t>
      </w:r>
      <w:r>
        <w:rPr>
          <w:rFonts w:hint="eastAsia" w:ascii="宋体" w:hAnsi="宋体" w:cs="宋体"/>
          <w:sz w:val="24"/>
        </w:rPr>
        <w:t>；</w:t>
      </w:r>
    </w:p>
    <w:p>
      <w:pPr>
        <w:pStyle w:val="16"/>
        <w:snapToGrid w:val="0"/>
        <w:spacing w:line="360" w:lineRule="auto"/>
        <w:ind w:leftChars="0" w:firstLine="480" w:firstLineChars="200"/>
        <w:rPr>
          <w:rFonts w:hint="eastAsia" w:ascii="宋体" w:hAnsi="宋体" w:eastAsia="宋体" w:cs="宋体"/>
          <w:color w:val="000000"/>
          <w:sz w:val="24"/>
          <w:szCs w:val="24"/>
        </w:rPr>
      </w:pPr>
      <w:r>
        <w:rPr>
          <w:rFonts w:hint="eastAsia" w:ascii="宋体" w:hAnsi="宋体" w:eastAsia="宋体" w:cs="宋体"/>
          <w:sz w:val="24"/>
          <w:szCs w:val="24"/>
        </w:rPr>
        <w:t>2</w:t>
      </w:r>
      <w:r>
        <w:rPr>
          <w:rFonts w:hint="eastAsia" w:ascii="宋体" w:hAnsi="宋体" w:eastAsia="宋体" w:cs="宋体"/>
          <w:color w:val="000000"/>
          <w:sz w:val="24"/>
          <w:szCs w:val="24"/>
        </w:rPr>
        <w:t>、报价明细表（附件13）；</w:t>
      </w:r>
    </w:p>
    <w:p>
      <w:pPr>
        <w:pStyle w:val="72"/>
        <w:spacing w:line="360" w:lineRule="auto"/>
        <w:ind w:firstLine="480" w:firstLineChars="200"/>
        <w:rPr>
          <w:rFonts w:hAnsi="宋体"/>
          <w:sz w:val="24"/>
        </w:rPr>
      </w:pPr>
      <w:r>
        <w:rPr>
          <w:rFonts w:hint="eastAsia" w:hAnsi="宋体"/>
          <w:sz w:val="24"/>
          <w:lang w:val="en-US" w:eastAsia="zh-CN"/>
        </w:rPr>
        <w:t>3</w:t>
      </w:r>
      <w:r>
        <w:rPr>
          <w:rFonts w:hint="eastAsia" w:hAnsi="宋体"/>
          <w:sz w:val="24"/>
        </w:rPr>
        <w:t>、</w:t>
      </w:r>
      <w:r>
        <w:rPr>
          <w:rFonts w:hAnsi="宋体"/>
          <w:sz w:val="24"/>
        </w:rPr>
        <w:t>小微企业</w:t>
      </w:r>
      <w:r>
        <w:rPr>
          <w:rFonts w:hint="eastAsia" w:hAnsi="宋体"/>
          <w:sz w:val="24"/>
        </w:rPr>
        <w:t>等</w:t>
      </w:r>
      <w:r>
        <w:rPr>
          <w:rFonts w:hAnsi="宋体"/>
          <w:sz w:val="24"/>
        </w:rPr>
        <w:t>声明函</w:t>
      </w:r>
      <w:r>
        <w:rPr>
          <w:rFonts w:hint="eastAsia" w:hAnsi="宋体"/>
          <w:sz w:val="24"/>
        </w:rPr>
        <w:t>（附件1</w:t>
      </w:r>
      <w:r>
        <w:rPr>
          <w:rFonts w:hint="eastAsia" w:hAnsi="宋体"/>
          <w:sz w:val="24"/>
          <w:lang w:val="en-US" w:eastAsia="zh-CN"/>
        </w:rPr>
        <w:t>4</w:t>
      </w:r>
      <w:r>
        <w:rPr>
          <w:rFonts w:hint="eastAsia" w:hAnsi="宋体"/>
          <w:sz w:val="24"/>
        </w:rPr>
        <w:t>）；</w:t>
      </w:r>
    </w:p>
    <w:p>
      <w:pPr>
        <w:ind w:firstLine="480" w:firstLineChars="200"/>
        <w:rPr>
          <w:rFonts w:hint="eastAsia"/>
        </w:rPr>
      </w:pPr>
      <w:r>
        <w:rPr>
          <w:rFonts w:hint="eastAsia" w:ascii="宋体" w:hAnsi="宋体"/>
          <w:kern w:val="0"/>
          <w:sz w:val="24"/>
          <w:lang w:val="en-US" w:eastAsia="zh-CN"/>
        </w:rPr>
        <w:t>4</w:t>
      </w:r>
      <w:r>
        <w:rPr>
          <w:rFonts w:hint="eastAsia" w:ascii="宋体" w:hAnsi="宋体"/>
          <w:kern w:val="0"/>
          <w:sz w:val="24"/>
        </w:rPr>
        <w:t>、产品适用政府采购政策情况表</w:t>
      </w:r>
      <w:r>
        <w:rPr>
          <w:rFonts w:hint="eastAsia" w:ascii="宋体" w:hAnsi="宋体"/>
          <w:sz w:val="24"/>
        </w:rPr>
        <w:t>（附件1</w:t>
      </w:r>
      <w:r>
        <w:rPr>
          <w:rFonts w:hint="eastAsia" w:ascii="宋体" w:hAnsi="宋体"/>
          <w:sz w:val="24"/>
          <w:lang w:val="en-US" w:eastAsia="zh-CN"/>
        </w:rPr>
        <w:t>5</w:t>
      </w:r>
      <w:r>
        <w:rPr>
          <w:rFonts w:hint="eastAsia" w:ascii="宋体" w:hAnsi="宋体"/>
          <w:sz w:val="24"/>
        </w:rPr>
        <w:t>）</w:t>
      </w:r>
      <w:r>
        <w:rPr>
          <w:rFonts w:hint="eastAsia" w:ascii="宋体" w:hAnsi="宋体"/>
          <w:kern w:val="0"/>
          <w:sz w:val="24"/>
        </w:rPr>
        <w:t>。</w:t>
      </w:r>
    </w:p>
    <w:p>
      <w:pPr>
        <w:spacing w:line="360" w:lineRule="auto"/>
        <w:ind w:left="216" w:leftChars="103" w:right="-108" w:firstLine="202" w:firstLineChars="72"/>
        <w:rPr>
          <w:rFonts w:hint="eastAsia" w:ascii="宋体" w:hAnsi="宋体" w:cs="宋体"/>
          <w:sz w:val="24"/>
        </w:rPr>
      </w:pPr>
      <w:r>
        <w:rPr>
          <w:rFonts w:hint="eastAsia" w:ascii="宋体" w:hAnsi="宋体" w:cs="宋体"/>
          <w:b/>
          <w:bCs/>
          <w:kern w:val="0"/>
          <w:sz w:val="28"/>
          <w:szCs w:val="28"/>
        </w:rPr>
        <w:t>第四部分 ：</w:t>
      </w:r>
      <w:r>
        <w:rPr>
          <w:rFonts w:hint="eastAsia" w:ascii="宋体" w:hAnsi="宋体" w:cs="宋体"/>
          <w:b/>
          <w:sz w:val="28"/>
          <w:szCs w:val="28"/>
        </w:rPr>
        <w:t>其他</w:t>
      </w:r>
      <w:r>
        <w:rPr>
          <w:rFonts w:hint="eastAsia" w:ascii="宋体" w:hAnsi="宋体" w:cs="宋体"/>
          <w:b/>
          <w:bCs/>
          <w:sz w:val="28"/>
          <w:szCs w:val="28"/>
        </w:rPr>
        <w:t>部分</w:t>
      </w:r>
    </w:p>
    <w:p>
      <w:pPr>
        <w:snapToGrid w:val="0"/>
        <w:spacing w:line="360" w:lineRule="auto"/>
        <w:ind w:firstLine="480" w:firstLineChars="200"/>
        <w:rPr>
          <w:rFonts w:hint="eastAsia" w:ascii="宋体" w:hAnsi="宋体" w:cs="宋体"/>
          <w:kern w:val="0"/>
          <w:sz w:val="24"/>
        </w:rPr>
      </w:pPr>
      <w:r>
        <w:rPr>
          <w:rFonts w:hint="eastAsia" w:ascii="宋体" w:hAnsi="宋体" w:cs="宋体"/>
          <w:sz w:val="24"/>
        </w:rPr>
        <w:t>1、针对磋商，响应供应商认为其他需要说明的；</w:t>
      </w:r>
    </w:p>
    <w:p>
      <w:pPr>
        <w:snapToGrid w:val="0"/>
        <w:spacing w:line="360" w:lineRule="auto"/>
        <w:ind w:left="837" w:leftChars="223" w:hanging="369" w:hangingChars="154"/>
        <w:rPr>
          <w:rFonts w:hint="eastAsia" w:ascii="宋体" w:hAnsi="宋体" w:cs="宋体"/>
          <w:kern w:val="0"/>
          <w:sz w:val="24"/>
        </w:rPr>
      </w:pPr>
      <w:r>
        <w:rPr>
          <w:rFonts w:hint="eastAsia" w:ascii="宋体" w:hAnsi="宋体" w:cs="宋体"/>
          <w:kern w:val="0"/>
          <w:sz w:val="24"/>
        </w:rPr>
        <w:t>（以上内容具体描述详见“第二章 供应商须知”中“二、磋商响应文件”的组成说明）</w:t>
      </w:r>
    </w:p>
    <w:p>
      <w:pPr>
        <w:spacing w:line="360" w:lineRule="auto"/>
        <w:ind w:left="420"/>
        <w:rPr>
          <w:rFonts w:hint="eastAsia" w:ascii="宋体" w:hAnsi="宋体"/>
          <w:color w:val="000000"/>
          <w:szCs w:val="21"/>
        </w:rPr>
      </w:pPr>
    </w:p>
    <w:p>
      <w:pPr>
        <w:spacing w:line="360" w:lineRule="auto"/>
        <w:ind w:left="420"/>
        <w:rPr>
          <w:rFonts w:hint="eastAsia" w:ascii="宋体" w:hAnsi="宋体"/>
          <w:b/>
          <w:color w:val="000000"/>
          <w:sz w:val="28"/>
        </w:rPr>
      </w:pPr>
    </w:p>
    <w:p>
      <w:pPr>
        <w:spacing w:line="360" w:lineRule="auto"/>
        <w:ind w:left="420"/>
        <w:rPr>
          <w:rFonts w:hint="eastAsia" w:ascii="宋体" w:hAnsi="宋体"/>
          <w:b/>
          <w:color w:val="000000"/>
          <w:sz w:val="28"/>
        </w:rPr>
      </w:pPr>
    </w:p>
    <w:p>
      <w:pPr>
        <w:spacing w:line="360" w:lineRule="auto"/>
        <w:ind w:left="420"/>
        <w:jc w:val="center"/>
        <w:rPr>
          <w:rFonts w:hint="eastAsia" w:ascii="宋体" w:hAnsi="宋体"/>
          <w:b/>
          <w:color w:val="FF0000"/>
          <w:sz w:val="28"/>
        </w:rPr>
      </w:pPr>
      <w:r>
        <w:rPr>
          <w:rFonts w:hint="eastAsia" w:ascii="宋体" w:hAnsi="宋体"/>
          <w:b/>
          <w:color w:val="FF0000"/>
          <w:sz w:val="28"/>
        </w:rPr>
        <w:t>评分标准索引</w:t>
      </w:r>
    </w:p>
    <w:p>
      <w:pPr>
        <w:pStyle w:val="11"/>
        <w:rPr>
          <w:rFonts w:hint="eastAsia" w:eastAsia="宋体"/>
          <w:lang w:eastAsia="zh-CN"/>
        </w:rPr>
      </w:pPr>
      <w:r>
        <w:rPr>
          <w:rFonts w:hint="eastAsia"/>
          <w:lang w:eastAsia="zh-CN"/>
        </w:rPr>
        <w:t>根据投标文件自行制作</w:t>
      </w:r>
    </w:p>
    <w:p>
      <w:pPr>
        <w:spacing w:line="360" w:lineRule="auto"/>
        <w:ind w:left="420"/>
        <w:rPr>
          <w:rFonts w:ascii="宋体" w:hAnsi="宋体"/>
          <w:b/>
          <w:sz w:val="28"/>
        </w:rPr>
      </w:pPr>
      <w:r>
        <w:rPr>
          <w:rFonts w:hint="eastAsia" w:ascii="宋体" w:hAnsi="宋体"/>
          <w:b/>
          <w:sz w:val="28"/>
        </w:rPr>
        <w:t>附件2</w:t>
      </w:r>
    </w:p>
    <w:p>
      <w:pPr>
        <w:snapToGrid w:val="0"/>
        <w:spacing w:before="156" w:beforeLines="50" w:after="50" w:line="360" w:lineRule="auto"/>
        <w:ind w:firstLine="643" w:firstLineChars="200"/>
        <w:jc w:val="center"/>
        <w:rPr>
          <w:rStyle w:val="34"/>
          <w:rFonts w:hint="eastAsia"/>
          <w:b/>
          <w:color w:val="000000"/>
          <w:sz w:val="32"/>
          <w:szCs w:val="32"/>
        </w:rPr>
      </w:pPr>
      <w:r>
        <w:rPr>
          <w:rStyle w:val="34"/>
          <w:rFonts w:hint="eastAsia"/>
          <w:b/>
          <w:color w:val="000000"/>
          <w:sz w:val="32"/>
          <w:szCs w:val="32"/>
        </w:rPr>
        <w:t>磋商声明书</w:t>
      </w:r>
    </w:p>
    <w:p>
      <w:pPr>
        <w:snapToGrid w:val="0"/>
        <w:spacing w:before="156" w:beforeLines="50" w:after="50" w:line="288" w:lineRule="auto"/>
        <w:ind w:firstLine="480" w:firstLineChars="200"/>
        <w:rPr>
          <w:rFonts w:ascii="宋体" w:hAnsi="宋体" w:cs="宋体"/>
          <w:kern w:val="0"/>
          <w:sz w:val="24"/>
        </w:rPr>
      </w:pPr>
      <w:r>
        <w:rPr>
          <w:rFonts w:hint="eastAsia" w:ascii="宋体" w:hAnsi="宋体" w:cs="宋体"/>
          <w:kern w:val="0"/>
          <w:sz w:val="24"/>
        </w:rPr>
        <w:t>×××（集采机构/采购代理机构名称）：</w:t>
      </w:r>
    </w:p>
    <w:p>
      <w:pPr>
        <w:snapToGrid w:val="0"/>
        <w:spacing w:before="156" w:beforeLines="50" w:after="50" w:line="288" w:lineRule="auto"/>
        <w:ind w:firstLine="480" w:firstLineChars="200"/>
        <w:rPr>
          <w:rFonts w:ascii="宋体" w:hAnsi="宋体" w:cs="宋体"/>
          <w:kern w:val="0"/>
          <w:sz w:val="24"/>
        </w:rPr>
      </w:pPr>
      <w:r>
        <w:rPr>
          <w:rFonts w:hint="eastAsia" w:ascii="宋体" w:hAnsi="宋体" w:cs="宋体"/>
          <w:kern w:val="0"/>
          <w:sz w:val="24"/>
        </w:rPr>
        <w:t>（供应商名称）系中华人民共和国合法企业，经营地址。</w:t>
      </w:r>
    </w:p>
    <w:p>
      <w:pPr>
        <w:snapToGrid w:val="0"/>
        <w:spacing w:before="156" w:beforeLines="50" w:after="50" w:line="288" w:lineRule="auto"/>
        <w:ind w:firstLine="480" w:firstLineChars="200"/>
        <w:rPr>
          <w:rFonts w:ascii="宋体" w:hAnsi="宋体" w:cs="宋体"/>
          <w:kern w:val="0"/>
          <w:sz w:val="24"/>
        </w:rPr>
      </w:pPr>
      <w:r>
        <w:rPr>
          <w:rFonts w:hint="eastAsia" w:ascii="宋体" w:hAnsi="宋体" w:cs="宋体"/>
          <w:kern w:val="0"/>
          <w:sz w:val="24"/>
        </w:rPr>
        <w:t>我（</w:t>
      </w:r>
      <w:r>
        <w:rPr>
          <w:rFonts w:hint="eastAsia" w:ascii="宋体" w:hAnsi="宋体" w:cs="宋体"/>
          <w:kern w:val="0"/>
          <w:sz w:val="24"/>
          <w:u w:val="single"/>
        </w:rPr>
        <w:t xml:space="preserve"> 姓名 </w:t>
      </w:r>
      <w:r>
        <w:rPr>
          <w:rFonts w:hint="eastAsia" w:ascii="宋体" w:hAnsi="宋体" w:cs="宋体"/>
          <w:kern w:val="0"/>
          <w:sz w:val="24"/>
        </w:rPr>
        <w:t>）系（</w:t>
      </w:r>
      <w:r>
        <w:rPr>
          <w:rFonts w:hint="eastAsia" w:ascii="宋体" w:hAnsi="宋体" w:cs="宋体"/>
          <w:kern w:val="0"/>
          <w:sz w:val="24"/>
          <w:u w:val="single"/>
        </w:rPr>
        <w:t xml:space="preserve"> 供应商名称 </w:t>
      </w:r>
      <w:r>
        <w:rPr>
          <w:rFonts w:hint="eastAsia" w:ascii="宋体" w:hAnsi="宋体" w:cs="宋体"/>
          <w:kern w:val="0"/>
          <w:sz w:val="24"/>
        </w:rPr>
        <w:t>）的法定代表人，我公司自愿参加贵方组织的××（磋商</w:t>
      </w:r>
      <w:r>
        <w:rPr>
          <w:rFonts w:hint="eastAsia" w:ascii="宋体" w:hAnsi="宋体" w:cs="宋体"/>
          <w:kern w:val="0"/>
          <w:sz w:val="24"/>
          <w:u w:val="single"/>
        </w:rPr>
        <w:t>项目名称</w:t>
      </w:r>
      <w:r>
        <w:rPr>
          <w:rFonts w:hint="eastAsia" w:ascii="宋体" w:hAnsi="宋体" w:cs="宋体"/>
          <w:kern w:val="0"/>
          <w:sz w:val="24"/>
        </w:rPr>
        <w:t>）（编号为××）的磋商，为此，我公司就本次磋商有关事项郑重声明如下：</w:t>
      </w:r>
    </w:p>
    <w:p>
      <w:pPr>
        <w:numPr>
          <w:ilvl w:val="0"/>
          <w:numId w:val="8"/>
        </w:numPr>
        <w:snapToGrid w:val="0"/>
        <w:spacing w:before="156" w:beforeLines="50" w:after="50" w:line="288" w:lineRule="auto"/>
        <w:ind w:firstLine="480" w:firstLineChars="200"/>
        <w:rPr>
          <w:rFonts w:ascii="宋体" w:hAnsi="宋体" w:cs="宋体"/>
          <w:b/>
          <w:kern w:val="0"/>
          <w:sz w:val="24"/>
        </w:rPr>
      </w:pPr>
      <w:r>
        <w:rPr>
          <w:rFonts w:hint="eastAsia" w:ascii="Arial" w:hAnsi="Arial" w:cs="Arial"/>
          <w:sz w:val="24"/>
        </w:rPr>
        <w:t>我公司声明截止磋商时间近三年以来：无重大违法记录（重大违法记录是指供应商因违法经营受到刑事处罚或者责令停产停业、吊销许可证或者执照、较大数额罚款等行政处罚）。</w:t>
      </w:r>
    </w:p>
    <w:p>
      <w:pPr>
        <w:numPr>
          <w:ilvl w:val="0"/>
          <w:numId w:val="8"/>
        </w:numPr>
        <w:snapToGrid w:val="0"/>
        <w:spacing w:before="156" w:beforeLines="50" w:after="50" w:line="288" w:lineRule="auto"/>
        <w:ind w:firstLine="480" w:firstLineChars="200"/>
        <w:rPr>
          <w:rFonts w:ascii="宋体" w:hAnsi="宋体" w:cs="宋体"/>
          <w:kern w:val="0"/>
          <w:sz w:val="24"/>
        </w:rPr>
      </w:pPr>
      <w:r>
        <w:rPr>
          <w:rFonts w:hint="eastAsia" w:ascii="宋体" w:hAnsi="宋体" w:cs="宋体"/>
          <w:kern w:val="0"/>
          <w:sz w:val="24"/>
        </w:rPr>
        <w:t>我公司</w:t>
      </w:r>
      <w:r>
        <w:rPr>
          <w:rFonts w:ascii="宋体" w:hAnsi="宋体" w:cs="宋体"/>
          <w:kern w:val="0"/>
          <w:sz w:val="24"/>
        </w:rPr>
        <w:t>在参与</w:t>
      </w:r>
      <w:r>
        <w:rPr>
          <w:rFonts w:hint="eastAsia" w:ascii="宋体" w:hAnsi="宋体" w:cs="宋体"/>
          <w:kern w:val="0"/>
          <w:sz w:val="24"/>
        </w:rPr>
        <w:t>磋商</w:t>
      </w:r>
      <w:r>
        <w:rPr>
          <w:rFonts w:ascii="宋体" w:hAnsi="宋体" w:cs="宋体"/>
          <w:kern w:val="0"/>
          <w:sz w:val="24"/>
        </w:rPr>
        <w:t>前已</w:t>
      </w:r>
      <w:r>
        <w:rPr>
          <w:rFonts w:hint="eastAsia" w:ascii="宋体" w:hAnsi="宋体" w:cs="宋体"/>
          <w:kern w:val="0"/>
          <w:sz w:val="24"/>
        </w:rPr>
        <w:t>详细审查</w:t>
      </w:r>
      <w:r>
        <w:rPr>
          <w:rFonts w:ascii="宋体" w:hAnsi="宋体" w:cs="宋体"/>
          <w:kern w:val="0"/>
          <w:sz w:val="24"/>
        </w:rPr>
        <w:t>了</w:t>
      </w:r>
      <w:r>
        <w:rPr>
          <w:rFonts w:hint="eastAsia" w:ascii="宋体" w:hAnsi="宋体" w:cs="宋体"/>
          <w:kern w:val="0"/>
          <w:sz w:val="24"/>
        </w:rPr>
        <w:t>磋商采购</w:t>
      </w:r>
      <w:r>
        <w:rPr>
          <w:rFonts w:ascii="宋体" w:hAnsi="宋体" w:cs="宋体"/>
          <w:kern w:val="0"/>
          <w:sz w:val="24"/>
        </w:rPr>
        <w:t>文件和所有相关资料，我方完全明白并认为此</w:t>
      </w:r>
      <w:r>
        <w:rPr>
          <w:rFonts w:hint="eastAsia" w:ascii="宋体" w:hAnsi="宋体" w:cs="宋体"/>
          <w:kern w:val="0"/>
          <w:sz w:val="24"/>
        </w:rPr>
        <w:t>磋商采购</w:t>
      </w:r>
      <w:r>
        <w:rPr>
          <w:rFonts w:ascii="宋体" w:hAnsi="宋体" w:cs="宋体"/>
          <w:kern w:val="0"/>
          <w:sz w:val="24"/>
        </w:rPr>
        <w:t>文件没有倾向性，也没有存在排斥潜在</w:t>
      </w:r>
      <w:r>
        <w:rPr>
          <w:rFonts w:hint="eastAsia" w:ascii="宋体" w:hAnsi="宋体" w:cs="宋体"/>
          <w:kern w:val="0"/>
          <w:sz w:val="24"/>
        </w:rPr>
        <w:t>供应商</w:t>
      </w:r>
      <w:r>
        <w:rPr>
          <w:rFonts w:ascii="宋体" w:hAnsi="宋体" w:cs="宋体"/>
          <w:kern w:val="0"/>
          <w:sz w:val="24"/>
        </w:rPr>
        <w:t>的内容，我方同意</w:t>
      </w:r>
      <w:r>
        <w:rPr>
          <w:rFonts w:hint="eastAsia" w:ascii="宋体" w:hAnsi="宋体" w:cs="宋体"/>
          <w:kern w:val="0"/>
          <w:sz w:val="24"/>
        </w:rPr>
        <w:t>磋商采购</w:t>
      </w:r>
      <w:r>
        <w:rPr>
          <w:rFonts w:ascii="宋体" w:hAnsi="宋体" w:cs="宋体"/>
          <w:kern w:val="0"/>
          <w:sz w:val="24"/>
        </w:rPr>
        <w:t>文件的相关条款，放弃对</w:t>
      </w:r>
      <w:r>
        <w:rPr>
          <w:rFonts w:hint="eastAsia" w:ascii="宋体" w:hAnsi="宋体" w:cs="宋体"/>
          <w:kern w:val="0"/>
          <w:sz w:val="24"/>
        </w:rPr>
        <w:t>磋商采购</w:t>
      </w:r>
      <w:r>
        <w:rPr>
          <w:rFonts w:ascii="宋体" w:hAnsi="宋体" w:cs="宋体"/>
          <w:kern w:val="0"/>
          <w:sz w:val="24"/>
        </w:rPr>
        <w:t>文件提出误解和质疑的一切权</w:t>
      </w:r>
      <w:r>
        <w:rPr>
          <w:rFonts w:hint="eastAsia" w:ascii="宋体" w:hAnsi="宋体" w:cs="宋体"/>
          <w:kern w:val="0"/>
          <w:sz w:val="24"/>
        </w:rPr>
        <w:t>利。</w:t>
      </w:r>
    </w:p>
    <w:p>
      <w:pPr>
        <w:snapToGrid w:val="0"/>
        <w:spacing w:before="156" w:beforeLines="50" w:after="50" w:line="288" w:lineRule="auto"/>
        <w:ind w:firstLine="480" w:firstLineChars="200"/>
        <w:rPr>
          <w:rFonts w:ascii="宋体" w:hAnsi="宋体"/>
          <w:sz w:val="24"/>
        </w:rPr>
      </w:pPr>
      <w:r>
        <w:rPr>
          <w:rFonts w:hint="eastAsia" w:ascii="宋体" w:hAnsi="宋体"/>
          <w:sz w:val="24"/>
        </w:rPr>
        <w:t>3、我</w:t>
      </w:r>
      <w:r>
        <w:rPr>
          <w:rFonts w:hint="eastAsia" w:ascii="宋体" w:hAnsi="宋体" w:cs="仿宋_GB2312"/>
          <w:kern w:val="0"/>
          <w:sz w:val="24"/>
          <w:lang w:val="zh-CN"/>
        </w:rPr>
        <w:t>公司</w:t>
      </w:r>
      <w:r>
        <w:rPr>
          <w:rFonts w:hint="eastAsia" w:ascii="宋体" w:hAnsi="宋体"/>
          <w:sz w:val="24"/>
        </w:rPr>
        <w:t>不是采购人的附属机构；在获知本项目采购信息后，与采购人聘请的为此项目提供咨询服务的公司及其附属机构没有任何联系。</w:t>
      </w:r>
    </w:p>
    <w:p>
      <w:pPr>
        <w:snapToGrid w:val="0"/>
        <w:spacing w:before="156" w:beforeLines="50" w:after="50" w:line="288" w:lineRule="auto"/>
        <w:ind w:firstLine="480" w:firstLineChars="200"/>
        <w:rPr>
          <w:rFonts w:ascii="宋体" w:hAnsi="宋体"/>
          <w:kern w:val="0"/>
          <w:sz w:val="24"/>
          <w:lang w:val="af-ZA"/>
        </w:rPr>
      </w:pPr>
      <w:r>
        <w:rPr>
          <w:rFonts w:hint="eastAsia" w:ascii="宋体" w:hAnsi="宋体"/>
          <w:sz w:val="24"/>
        </w:rPr>
        <w:t>4、</w:t>
      </w:r>
      <w:r>
        <w:rPr>
          <w:rFonts w:hint="eastAsia" w:ascii="宋体" w:hAnsi="宋体" w:cs="宋体"/>
          <w:kern w:val="0"/>
          <w:sz w:val="24"/>
        </w:rPr>
        <w:t>我</w:t>
      </w:r>
      <w:r>
        <w:rPr>
          <w:rFonts w:hint="eastAsia" w:ascii="宋体" w:hAnsi="宋体" w:cs="仿宋_GB2312"/>
          <w:kern w:val="0"/>
          <w:sz w:val="24"/>
          <w:lang w:val="zh-CN"/>
        </w:rPr>
        <w:t>公司</w:t>
      </w:r>
      <w:r>
        <w:rPr>
          <w:rFonts w:hint="eastAsia" w:ascii="宋体" w:hAnsi="宋体" w:cs="宋体"/>
          <w:kern w:val="0"/>
          <w:sz w:val="24"/>
        </w:rPr>
        <w:t>保证，</w:t>
      </w:r>
      <w:r>
        <w:rPr>
          <w:rFonts w:hint="eastAsia" w:ascii="宋体" w:hAnsi="宋体"/>
          <w:kern w:val="0"/>
          <w:sz w:val="24"/>
          <w:lang w:val="af-ZA"/>
        </w:rPr>
        <w:t>采购人在中华人民共和国境内使用</w:t>
      </w:r>
      <w:r>
        <w:rPr>
          <w:rFonts w:hint="eastAsia" w:ascii="宋体" w:hAnsi="宋体" w:cs="宋体"/>
          <w:kern w:val="0"/>
          <w:sz w:val="24"/>
        </w:rPr>
        <w:t>我</w:t>
      </w:r>
      <w:r>
        <w:rPr>
          <w:rFonts w:hint="eastAsia" w:ascii="宋体" w:hAnsi="宋体" w:cs="仿宋_GB2312"/>
          <w:kern w:val="0"/>
          <w:sz w:val="24"/>
          <w:lang w:val="zh-CN"/>
        </w:rPr>
        <w:t>公司</w:t>
      </w:r>
      <w:r>
        <w:rPr>
          <w:rFonts w:hint="eastAsia" w:ascii="宋体" w:hAnsi="宋体"/>
          <w:kern w:val="0"/>
          <w:sz w:val="24"/>
          <w:lang w:val="af-ZA"/>
        </w:rPr>
        <w:t>磋商响应的货物、资料、技术、服务或其任何一部分时，享有不受限制的无偿使用权，如有第三方向采购人提出侵犯其专利权、商标权或其它知识产权的主张，该责任由</w:t>
      </w:r>
      <w:r>
        <w:rPr>
          <w:rFonts w:hint="eastAsia" w:ascii="宋体" w:hAnsi="宋体" w:cs="宋体"/>
          <w:kern w:val="0"/>
          <w:sz w:val="24"/>
          <w:lang w:val="af-ZA"/>
        </w:rPr>
        <w:t>我方</w:t>
      </w:r>
      <w:r>
        <w:rPr>
          <w:rFonts w:hint="eastAsia" w:ascii="宋体" w:hAnsi="宋体"/>
          <w:kern w:val="0"/>
          <w:sz w:val="24"/>
          <w:lang w:val="af-ZA"/>
        </w:rPr>
        <w:t>承担。</w:t>
      </w:r>
      <w:r>
        <w:rPr>
          <w:rFonts w:hint="eastAsia" w:ascii="宋体" w:hAnsi="宋体" w:cs="宋体"/>
          <w:kern w:val="0"/>
          <w:sz w:val="24"/>
          <w:lang w:val="af-ZA"/>
        </w:rPr>
        <w:t>我方的</w:t>
      </w:r>
      <w:r>
        <w:rPr>
          <w:rFonts w:hint="eastAsia" w:ascii="宋体" w:hAnsi="宋体"/>
          <w:kern w:val="0"/>
          <w:sz w:val="24"/>
          <w:lang w:val="af-ZA"/>
        </w:rPr>
        <w:t>总报价</w:t>
      </w:r>
      <w:r>
        <w:rPr>
          <w:rFonts w:hint="eastAsia" w:ascii="宋体" w:hAnsi="宋体" w:cs="宋体"/>
          <w:kern w:val="0"/>
          <w:sz w:val="24"/>
          <w:lang w:val="af-ZA"/>
        </w:rPr>
        <w:t>已</w:t>
      </w:r>
      <w:r>
        <w:rPr>
          <w:rFonts w:hint="eastAsia" w:ascii="宋体" w:hAnsi="宋体"/>
          <w:kern w:val="0"/>
          <w:sz w:val="24"/>
          <w:lang w:val="af-ZA"/>
        </w:rPr>
        <w:t>包含所有应向所有权人支付的专利权、商标权或其它知识产权的一切相关费用。</w:t>
      </w:r>
    </w:p>
    <w:p>
      <w:pPr>
        <w:snapToGrid w:val="0"/>
        <w:spacing w:before="156" w:beforeLines="50" w:after="50" w:line="288" w:lineRule="auto"/>
        <w:ind w:firstLine="480" w:firstLineChars="200"/>
        <w:rPr>
          <w:rFonts w:ascii="仿宋_GB2312" w:hAnsi="仿宋_GB2312" w:eastAsia="仿宋_GB2312" w:cs="仿宋_GB2312"/>
          <w:sz w:val="24"/>
        </w:rPr>
      </w:pPr>
      <w:r>
        <w:rPr>
          <w:rFonts w:hint="eastAsia" w:ascii="宋体" w:hAnsi="宋体" w:cs="宋体"/>
          <w:kern w:val="0"/>
          <w:sz w:val="24"/>
          <w:lang w:val="af-ZA"/>
        </w:rPr>
        <w:t>5、我</w:t>
      </w:r>
      <w:r>
        <w:rPr>
          <w:rFonts w:hint="eastAsia" w:ascii="宋体" w:hAnsi="宋体" w:cs="宋体"/>
          <w:kern w:val="0"/>
          <w:sz w:val="24"/>
          <w:lang w:val="zh-CN"/>
        </w:rPr>
        <w:t>公司</w:t>
      </w:r>
      <w:r>
        <w:rPr>
          <w:rFonts w:hint="eastAsia" w:ascii="宋体" w:hAnsi="宋体" w:cs="宋体"/>
          <w:kern w:val="0"/>
          <w:sz w:val="24"/>
          <w:lang w:val="af-ZA"/>
        </w:rPr>
        <w:t>严格履行政府采购合同，不降低合同约定的产品质量和服务，不擅自变更、中止、终止合同，或拒绝履行合同义务；</w:t>
      </w:r>
    </w:p>
    <w:p>
      <w:pPr>
        <w:snapToGrid w:val="0"/>
        <w:spacing w:before="156" w:beforeLines="50" w:after="50" w:line="288" w:lineRule="auto"/>
        <w:ind w:firstLine="480" w:firstLineChars="200"/>
        <w:rPr>
          <w:rFonts w:ascii="宋体" w:hAnsi="宋体"/>
          <w:sz w:val="24"/>
        </w:rPr>
      </w:pPr>
      <w:r>
        <w:rPr>
          <w:rFonts w:hint="eastAsia" w:ascii="宋体" w:hAnsi="宋体"/>
          <w:sz w:val="24"/>
        </w:rPr>
        <w:t>6、以上事项如有虚假或隐瞒，我</w:t>
      </w:r>
      <w:r>
        <w:rPr>
          <w:rFonts w:hint="eastAsia" w:ascii="宋体" w:hAnsi="宋体" w:cs="仿宋_GB2312"/>
          <w:kern w:val="0"/>
          <w:sz w:val="24"/>
          <w:lang w:val="zh-CN"/>
        </w:rPr>
        <w:t>公司</w:t>
      </w:r>
      <w:r>
        <w:rPr>
          <w:rFonts w:hint="eastAsia" w:ascii="宋体" w:hAnsi="宋体"/>
          <w:sz w:val="24"/>
        </w:rPr>
        <w:t>愿意承担一切后果，并不再寻求任何旨在减轻或免除法律责任的辩解。</w:t>
      </w:r>
    </w:p>
    <w:p>
      <w:pPr>
        <w:adjustRightInd w:val="0"/>
        <w:snapToGrid w:val="0"/>
        <w:spacing w:line="360" w:lineRule="auto"/>
        <w:ind w:firstLine="480"/>
        <w:rPr>
          <w:rFonts w:ascii="宋体" w:hAnsi="宋体" w:cs="仿宋_GB2312"/>
          <w:kern w:val="0"/>
          <w:sz w:val="24"/>
        </w:rPr>
      </w:pPr>
    </w:p>
    <w:p>
      <w:pPr>
        <w:adjustRightInd w:val="0"/>
        <w:snapToGrid w:val="0"/>
        <w:spacing w:line="360" w:lineRule="auto"/>
        <w:ind w:firstLine="4680" w:firstLineChars="1950"/>
        <w:rPr>
          <w:rFonts w:ascii="宋体" w:hAnsi="宋体" w:cs="仿宋_GB2312"/>
          <w:kern w:val="0"/>
          <w:sz w:val="24"/>
          <w:lang w:val="zh-CN"/>
        </w:rPr>
      </w:pPr>
      <w:r>
        <w:rPr>
          <w:rFonts w:hint="eastAsia" w:ascii="宋体" w:hAnsi="宋体" w:cs="仿宋_GB2312"/>
          <w:kern w:val="0"/>
          <w:sz w:val="24"/>
          <w:lang w:val="zh-CN"/>
        </w:rPr>
        <w:t xml:space="preserve">    供应商名称(公章)：</w:t>
      </w:r>
    </w:p>
    <w:p>
      <w:pPr>
        <w:adjustRightInd w:val="0"/>
        <w:snapToGrid w:val="0"/>
        <w:spacing w:line="360" w:lineRule="auto"/>
        <w:rPr>
          <w:rFonts w:ascii="宋体" w:hAnsi="宋体" w:cs="仿宋_GB2312"/>
          <w:kern w:val="0"/>
          <w:sz w:val="24"/>
          <w:lang w:val="zh-CN"/>
        </w:rPr>
      </w:pPr>
      <w:r>
        <w:rPr>
          <w:rFonts w:hint="eastAsia" w:ascii="宋体" w:hAnsi="宋体" w:cs="仿宋_GB2312"/>
          <w:kern w:val="0"/>
          <w:sz w:val="24"/>
          <w:lang w:val="zh-CN"/>
        </w:rPr>
        <w:t xml:space="preserve">                                       法定代表人或授权委托人(签字)：</w:t>
      </w:r>
    </w:p>
    <w:p>
      <w:pPr>
        <w:adjustRightInd w:val="0"/>
        <w:snapToGrid w:val="0"/>
        <w:spacing w:line="360" w:lineRule="auto"/>
        <w:ind w:right="480"/>
        <w:jc w:val="center"/>
        <w:rPr>
          <w:rFonts w:hint="eastAsia" w:ascii="宋体" w:hAnsi="宋体" w:cs="仿宋_GB2312"/>
          <w:kern w:val="0"/>
          <w:sz w:val="24"/>
          <w:lang w:val="zh-CN"/>
        </w:rPr>
      </w:pPr>
      <w:r>
        <w:rPr>
          <w:rFonts w:hint="eastAsia" w:ascii="宋体" w:hAnsi="宋体" w:cs="仿宋_GB2312"/>
          <w:kern w:val="0"/>
          <w:sz w:val="24"/>
          <w:lang w:val="zh-CN"/>
        </w:rPr>
        <w:t xml:space="preserve">                                  日期：年  月   日</w:t>
      </w:r>
    </w:p>
    <w:p>
      <w:pPr>
        <w:adjustRightInd w:val="0"/>
        <w:snapToGrid w:val="0"/>
        <w:spacing w:line="360" w:lineRule="auto"/>
        <w:ind w:right="480"/>
        <w:jc w:val="center"/>
        <w:rPr>
          <w:rFonts w:hint="eastAsia" w:ascii="宋体" w:hAnsi="宋体" w:cs="仿宋_GB2312"/>
          <w:kern w:val="0"/>
          <w:sz w:val="24"/>
          <w:lang w:val="zh-CN"/>
        </w:rPr>
      </w:pPr>
    </w:p>
    <w:p>
      <w:pPr>
        <w:adjustRightInd w:val="0"/>
        <w:snapToGrid w:val="0"/>
        <w:spacing w:line="360" w:lineRule="auto"/>
        <w:ind w:right="480"/>
        <w:rPr>
          <w:rFonts w:hint="eastAsia" w:ascii="宋体"/>
          <w:b/>
          <w:sz w:val="30"/>
          <w:szCs w:val="30"/>
        </w:rPr>
      </w:pPr>
      <w:r>
        <w:rPr>
          <w:rFonts w:hint="eastAsia" w:ascii="宋体" w:hAnsi="宋体"/>
          <w:b/>
          <w:sz w:val="28"/>
        </w:rPr>
        <w:t>附件3</w:t>
      </w:r>
    </w:p>
    <w:p>
      <w:pPr>
        <w:spacing w:line="360" w:lineRule="auto"/>
        <w:ind w:firstLine="321" w:firstLineChars="100"/>
        <w:jc w:val="center"/>
        <w:rPr>
          <w:rFonts w:hAnsi="宋体"/>
          <w:b/>
          <w:sz w:val="32"/>
          <w:szCs w:val="32"/>
          <w:u w:val="single"/>
        </w:rPr>
      </w:pPr>
      <w:r>
        <w:rPr>
          <w:b/>
          <w:sz w:val="32"/>
          <w:szCs w:val="32"/>
        </w:rPr>
        <w:t>授权</w:t>
      </w:r>
      <w:r>
        <w:rPr>
          <w:rFonts w:hint="eastAsia"/>
          <w:b/>
          <w:sz w:val="32"/>
          <w:szCs w:val="32"/>
        </w:rPr>
        <w:t>委托</w:t>
      </w:r>
      <w:r>
        <w:rPr>
          <w:b/>
          <w:sz w:val="32"/>
          <w:szCs w:val="32"/>
        </w:rPr>
        <w:t>书</w:t>
      </w:r>
    </w:p>
    <w:p>
      <w:pPr>
        <w:pStyle w:val="15"/>
        <w:spacing w:line="500" w:lineRule="exact"/>
        <w:rPr>
          <w:rFonts w:hAnsi="宋体"/>
          <w:b/>
          <w:sz w:val="24"/>
        </w:rPr>
      </w:pPr>
      <w:r>
        <w:rPr>
          <w:rFonts w:hint="eastAsia" w:hAnsi="宋体"/>
          <w:b/>
          <w:sz w:val="24"/>
          <w:u w:val="single"/>
        </w:rPr>
        <w:t>×××</w:t>
      </w:r>
      <w:r>
        <w:rPr>
          <w:rFonts w:hint="eastAsia" w:hAnsi="宋体" w:cs="宋体"/>
          <w:kern w:val="0"/>
          <w:sz w:val="24"/>
          <w:u w:val="single"/>
        </w:rPr>
        <w:t>（玉环市公共资源交易中心名称）</w:t>
      </w:r>
      <w:r>
        <w:rPr>
          <w:rFonts w:hAnsi="宋体"/>
          <w:b/>
          <w:sz w:val="24"/>
        </w:rPr>
        <w:t>：</w:t>
      </w:r>
    </w:p>
    <w:p>
      <w:pPr>
        <w:pStyle w:val="15"/>
        <w:spacing w:line="500" w:lineRule="exact"/>
        <w:ind w:left="240" w:hanging="240" w:hangingChars="100"/>
        <w:rPr>
          <w:rFonts w:hAnsi="宋体"/>
          <w:sz w:val="24"/>
        </w:rPr>
      </w:pPr>
      <w:r>
        <w:rPr>
          <w:rFonts w:hAnsi="宋体"/>
          <w:sz w:val="24"/>
        </w:rPr>
        <w:t xml:space="preserve">    </w:t>
      </w:r>
      <w:r>
        <w:rPr>
          <w:rFonts w:hAnsi="宋体"/>
          <w:sz w:val="24"/>
          <w:u w:val="single"/>
        </w:rPr>
        <w:t xml:space="preserve">  （</w:t>
      </w:r>
      <w:r>
        <w:rPr>
          <w:rFonts w:hint="eastAsia" w:hAnsi="宋体"/>
          <w:sz w:val="24"/>
          <w:u w:val="single"/>
        </w:rPr>
        <w:t>供应商</w:t>
      </w:r>
      <w:r>
        <w:rPr>
          <w:rFonts w:hAnsi="宋体"/>
          <w:sz w:val="24"/>
          <w:u w:val="single"/>
        </w:rPr>
        <w:t xml:space="preserve">全称）  </w:t>
      </w:r>
      <w:r>
        <w:rPr>
          <w:rFonts w:hAnsi="宋体"/>
          <w:sz w:val="24"/>
        </w:rPr>
        <w:t>法定代表人</w:t>
      </w:r>
      <w:r>
        <w:rPr>
          <w:rFonts w:hint="eastAsia" w:ascii="Arial" w:hAnsi="Arial" w:cs="Arial"/>
          <w:sz w:val="24"/>
        </w:rPr>
        <w:t>（或营业执照中单位负责人）</w:t>
      </w:r>
      <w:r>
        <w:rPr>
          <w:rFonts w:hAnsi="宋体"/>
          <w:sz w:val="24"/>
          <w:u w:val="single"/>
        </w:rPr>
        <w:tab/>
      </w:r>
      <w:r>
        <w:rPr>
          <w:rFonts w:hAnsi="宋体"/>
          <w:sz w:val="24"/>
          <w:u w:val="single"/>
        </w:rPr>
        <w:t>（法定代表</w:t>
      </w:r>
      <w:r>
        <w:rPr>
          <w:rFonts w:hint="eastAsia" w:hAnsi="宋体"/>
          <w:sz w:val="24"/>
          <w:u w:val="single"/>
        </w:rPr>
        <w:t>人</w:t>
      </w:r>
      <w:r>
        <w:rPr>
          <w:rFonts w:hint="eastAsia" w:ascii="Arial" w:hAnsi="Arial" w:cs="Arial"/>
          <w:sz w:val="24"/>
          <w:u w:val="single"/>
        </w:rPr>
        <w:t>或营业执照中单位负责人</w:t>
      </w:r>
      <w:r>
        <w:rPr>
          <w:rFonts w:hAnsi="宋体"/>
          <w:sz w:val="24"/>
          <w:u w:val="single"/>
        </w:rPr>
        <w:t xml:space="preserve">姓名） </w:t>
      </w:r>
      <w:r>
        <w:rPr>
          <w:rFonts w:hAnsi="宋体"/>
          <w:sz w:val="24"/>
        </w:rPr>
        <w:t>授权</w:t>
      </w:r>
      <w:r>
        <w:rPr>
          <w:rFonts w:hint="eastAsia" w:hAnsi="宋体"/>
          <w:sz w:val="24"/>
          <w:u w:val="single"/>
        </w:rPr>
        <w:t xml:space="preserve">   （全权代表</w:t>
      </w:r>
      <w:r>
        <w:rPr>
          <w:rFonts w:hAnsi="宋体"/>
          <w:sz w:val="24"/>
          <w:u w:val="single"/>
        </w:rPr>
        <w:t>姓名</w:t>
      </w:r>
      <w:r>
        <w:rPr>
          <w:rFonts w:hint="eastAsia" w:hAnsi="宋体"/>
          <w:sz w:val="24"/>
          <w:u w:val="single"/>
        </w:rPr>
        <w:t xml:space="preserve">） </w:t>
      </w:r>
      <w:r>
        <w:rPr>
          <w:rFonts w:hAnsi="宋体"/>
          <w:sz w:val="24"/>
        </w:rPr>
        <w:t>为</w:t>
      </w:r>
      <w:r>
        <w:rPr>
          <w:rFonts w:hint="eastAsia" w:hAnsi="宋体"/>
          <w:sz w:val="24"/>
        </w:rPr>
        <w:t>全权代表</w:t>
      </w:r>
      <w:r>
        <w:rPr>
          <w:rFonts w:hAnsi="宋体"/>
          <w:sz w:val="24"/>
        </w:rPr>
        <w:t>，参加贵单位组织的</w:t>
      </w:r>
      <w:r>
        <w:rPr>
          <w:rFonts w:hAnsi="宋体"/>
          <w:sz w:val="24"/>
          <w:u w:val="single"/>
        </w:rPr>
        <w:tab/>
      </w:r>
      <w:r>
        <w:rPr>
          <w:rFonts w:hint="eastAsia" w:hAnsi="宋体"/>
          <w:sz w:val="24"/>
          <w:u w:val="single"/>
        </w:rPr>
        <w:t xml:space="preserve">    </w:t>
      </w:r>
      <w:r>
        <w:rPr>
          <w:rFonts w:hAnsi="宋体"/>
          <w:sz w:val="24"/>
        </w:rPr>
        <w:t>项目的采购活动，并代表我方全权办理针对上述项目的磋商、签约等具体事务和签署相关文件。</w:t>
      </w:r>
      <w:r>
        <w:rPr>
          <w:rFonts w:hint="eastAsia" w:hAnsi="宋体"/>
          <w:sz w:val="24"/>
        </w:rPr>
        <w:t>我方对全权代表的签字事项负全部责任。</w:t>
      </w:r>
    </w:p>
    <w:p>
      <w:pPr>
        <w:pStyle w:val="15"/>
        <w:spacing w:line="500" w:lineRule="exact"/>
        <w:ind w:left="139" w:leftChars="66" w:firstLine="480" w:firstLineChars="200"/>
        <w:rPr>
          <w:rFonts w:hAnsi="宋体"/>
          <w:sz w:val="24"/>
        </w:rPr>
      </w:pPr>
      <w:r>
        <w:rPr>
          <w:rFonts w:hint="eastAsia" w:hAnsi="宋体"/>
          <w:sz w:val="24"/>
        </w:rPr>
        <w:t>在撤销授权的书面通知以前，本授权书一直有效。全权代表在授权委托书有效期内签署的所有文件不因授权的撤销而失效。</w:t>
      </w:r>
    </w:p>
    <w:p>
      <w:pPr>
        <w:pStyle w:val="15"/>
        <w:spacing w:line="500" w:lineRule="exact"/>
        <w:ind w:left="139" w:leftChars="66" w:firstLine="480" w:firstLineChars="200"/>
        <w:rPr>
          <w:rFonts w:hAnsi="宋体"/>
          <w:sz w:val="24"/>
        </w:rPr>
      </w:pPr>
      <w:r>
        <w:rPr>
          <w:rFonts w:hint="eastAsia" w:hAnsi="宋体"/>
          <w:sz w:val="24"/>
        </w:rPr>
        <w:t>全权代表无转委托权，特此委托。</w:t>
      </w:r>
    </w:p>
    <w:p>
      <w:pPr>
        <w:spacing w:line="360" w:lineRule="auto"/>
        <w:rPr>
          <w:sz w:val="24"/>
        </w:rPr>
      </w:pPr>
    </w:p>
    <w:p>
      <w:pPr>
        <w:spacing w:line="360" w:lineRule="auto"/>
        <w:rPr>
          <w:sz w:val="24"/>
        </w:rPr>
      </w:pPr>
      <w:r>
        <w:rPr>
          <w:rFonts w:hint="eastAsia" w:ascii="宋体"/>
          <w:sz w:val="24"/>
        </w:rPr>
        <w:t>法定代表人签字或盖章：</w:t>
      </w:r>
    </w:p>
    <w:p>
      <w:pPr>
        <w:spacing w:line="360" w:lineRule="auto"/>
        <w:rPr>
          <w:sz w:val="24"/>
        </w:rPr>
      </w:pPr>
    </w:p>
    <w:p>
      <w:pPr>
        <w:spacing w:line="360" w:lineRule="auto"/>
        <w:rPr>
          <w:sz w:val="24"/>
        </w:rPr>
      </w:pPr>
      <w:r>
        <w:rPr>
          <w:rFonts w:hint="eastAsia" w:ascii="宋体"/>
          <w:sz w:val="24"/>
        </w:rPr>
        <w:t>供应商全称（公章）：                              日期：</w:t>
      </w:r>
    </w:p>
    <w:p>
      <w:pPr>
        <w:spacing w:line="360" w:lineRule="auto"/>
        <w:rPr>
          <w:sz w:val="24"/>
        </w:rPr>
      </w:pPr>
    </w:p>
    <w:p>
      <w:pPr>
        <w:spacing w:line="360" w:lineRule="auto"/>
        <w:rPr>
          <w:b/>
          <w:sz w:val="24"/>
        </w:rPr>
      </w:pPr>
      <w:r>
        <w:rPr>
          <w:rFonts w:hint="eastAsia" w:ascii="宋体"/>
          <w:b/>
          <w:sz w:val="24"/>
        </w:rPr>
        <w:t>附：</w:t>
      </w:r>
    </w:p>
    <w:tbl>
      <w:tblPr>
        <w:tblStyle w:val="30"/>
        <w:tblpPr w:leftFromText="180" w:rightFromText="180" w:vertAnchor="text" w:tblpX="4209" w:tblpY="3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0" w:hRule="atLeast"/>
        </w:trPr>
        <w:tc>
          <w:tcPr>
            <w:tcW w:w="4080" w:type="dxa"/>
            <w:noWrap w:val="0"/>
            <w:vAlign w:val="top"/>
          </w:tcPr>
          <w:p>
            <w:pPr>
              <w:spacing w:line="360" w:lineRule="auto"/>
              <w:rPr>
                <w:rFonts w:ascii="宋体"/>
                <w:b/>
                <w:sz w:val="24"/>
              </w:rPr>
            </w:pPr>
          </w:p>
          <w:p>
            <w:pPr>
              <w:spacing w:line="360" w:lineRule="auto"/>
              <w:ind w:firstLine="361" w:firstLineChars="150"/>
              <w:rPr>
                <w:rFonts w:ascii="宋体"/>
                <w:b/>
                <w:sz w:val="24"/>
              </w:rPr>
            </w:pPr>
            <w:r>
              <w:rPr>
                <w:rFonts w:hint="eastAsia" w:ascii="宋体"/>
                <w:b/>
                <w:sz w:val="24"/>
              </w:rPr>
              <w:t>法定代表身份证复印件粘帖处</w:t>
            </w:r>
          </w:p>
        </w:tc>
      </w:tr>
    </w:tbl>
    <w:p>
      <w:pPr>
        <w:spacing w:line="360" w:lineRule="auto"/>
        <w:rPr>
          <w:sz w:val="24"/>
        </w:rPr>
      </w:pPr>
      <w:r>
        <w:rPr>
          <w:rFonts w:hint="eastAsia" w:ascii="宋体"/>
          <w:sz w:val="24"/>
        </w:rPr>
        <w:t xml:space="preserve">法定代表人姓名：                                 </w:t>
      </w:r>
    </w:p>
    <w:p>
      <w:pPr>
        <w:spacing w:line="360" w:lineRule="auto"/>
        <w:rPr>
          <w:sz w:val="24"/>
        </w:rPr>
      </w:pPr>
      <w:r>
        <w:rPr>
          <w:rFonts w:hint="eastAsia" w:ascii="宋体"/>
          <w:sz w:val="24"/>
        </w:rPr>
        <w:t>传真：</w:t>
      </w:r>
    </w:p>
    <w:p>
      <w:pPr>
        <w:spacing w:line="360" w:lineRule="auto"/>
        <w:rPr>
          <w:rFonts w:ascii="宋体"/>
          <w:sz w:val="24"/>
        </w:rPr>
      </w:pPr>
      <w:r>
        <w:rPr>
          <w:rFonts w:hint="eastAsia" w:ascii="宋体"/>
          <w:sz w:val="24"/>
        </w:rPr>
        <w:t>电话：</w:t>
      </w:r>
    </w:p>
    <w:p>
      <w:pPr>
        <w:spacing w:line="360" w:lineRule="auto"/>
        <w:rPr>
          <w:sz w:val="24"/>
        </w:rPr>
      </w:pPr>
      <w:r>
        <w:rPr>
          <w:rFonts w:hint="eastAsia" w:ascii="宋体"/>
          <w:sz w:val="24"/>
        </w:rPr>
        <w:t>详细通讯地址：</w:t>
      </w:r>
    </w:p>
    <w:p>
      <w:pPr>
        <w:spacing w:line="360" w:lineRule="auto"/>
        <w:rPr>
          <w:rFonts w:ascii="宋体"/>
          <w:sz w:val="24"/>
        </w:rPr>
      </w:pPr>
      <w:r>
        <w:rPr>
          <w:rFonts w:hint="eastAsia" w:ascii="宋体"/>
          <w:sz w:val="24"/>
        </w:rPr>
        <w:t>邮政编码：</w:t>
      </w:r>
    </w:p>
    <w:p>
      <w:pPr>
        <w:spacing w:line="360" w:lineRule="auto"/>
        <w:rPr>
          <w:b/>
          <w:sz w:val="24"/>
        </w:rPr>
      </w:pPr>
    </w:p>
    <w:tbl>
      <w:tblPr>
        <w:tblStyle w:val="30"/>
        <w:tblpPr w:leftFromText="180" w:rightFromText="180" w:vertAnchor="text" w:tblpX="4209" w:tblpY="3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0" w:hRule="atLeast"/>
        </w:trPr>
        <w:tc>
          <w:tcPr>
            <w:tcW w:w="4080" w:type="dxa"/>
            <w:noWrap w:val="0"/>
            <w:vAlign w:val="top"/>
          </w:tcPr>
          <w:p>
            <w:pPr>
              <w:spacing w:line="360" w:lineRule="auto"/>
              <w:rPr>
                <w:rFonts w:ascii="宋体"/>
                <w:b/>
                <w:sz w:val="24"/>
              </w:rPr>
            </w:pPr>
          </w:p>
          <w:p>
            <w:pPr>
              <w:spacing w:line="360" w:lineRule="auto"/>
              <w:ind w:firstLine="361" w:firstLineChars="150"/>
              <w:rPr>
                <w:rFonts w:ascii="宋体"/>
                <w:b/>
                <w:sz w:val="24"/>
              </w:rPr>
            </w:pPr>
            <w:r>
              <w:rPr>
                <w:rFonts w:hint="eastAsia" w:ascii="宋体"/>
                <w:b/>
                <w:sz w:val="24"/>
              </w:rPr>
              <w:t>全权代表身份证复印件粘帖处</w:t>
            </w:r>
          </w:p>
        </w:tc>
      </w:tr>
    </w:tbl>
    <w:p>
      <w:pPr>
        <w:spacing w:line="360" w:lineRule="auto"/>
        <w:rPr>
          <w:rFonts w:ascii="宋体"/>
          <w:sz w:val="24"/>
        </w:rPr>
      </w:pPr>
      <w:r>
        <w:rPr>
          <w:rFonts w:hint="eastAsia" w:ascii="宋体"/>
          <w:sz w:val="24"/>
        </w:rPr>
        <w:t xml:space="preserve">全权代表姓名：       </w:t>
      </w:r>
    </w:p>
    <w:p>
      <w:pPr>
        <w:spacing w:line="360" w:lineRule="auto"/>
        <w:rPr>
          <w:sz w:val="24"/>
        </w:rPr>
      </w:pPr>
      <w:r>
        <w:rPr>
          <w:rFonts w:hint="eastAsia" w:ascii="宋体"/>
          <w:sz w:val="24"/>
        </w:rPr>
        <w:t xml:space="preserve">职务：                           </w:t>
      </w:r>
    </w:p>
    <w:p>
      <w:pPr>
        <w:spacing w:line="360" w:lineRule="auto"/>
        <w:rPr>
          <w:sz w:val="24"/>
        </w:rPr>
      </w:pPr>
      <w:r>
        <w:rPr>
          <w:rFonts w:hint="eastAsia" w:ascii="宋体"/>
          <w:sz w:val="24"/>
        </w:rPr>
        <w:t>传真：</w:t>
      </w:r>
    </w:p>
    <w:p>
      <w:pPr>
        <w:spacing w:line="360" w:lineRule="auto"/>
        <w:rPr>
          <w:rFonts w:ascii="宋体"/>
          <w:sz w:val="24"/>
        </w:rPr>
      </w:pPr>
      <w:r>
        <w:rPr>
          <w:rFonts w:hint="eastAsia" w:ascii="宋体"/>
          <w:sz w:val="24"/>
        </w:rPr>
        <w:t>电话：</w:t>
      </w:r>
    </w:p>
    <w:p>
      <w:pPr>
        <w:spacing w:line="360" w:lineRule="auto"/>
        <w:rPr>
          <w:sz w:val="24"/>
        </w:rPr>
      </w:pPr>
      <w:r>
        <w:rPr>
          <w:rFonts w:hint="eastAsia" w:ascii="宋体"/>
          <w:sz w:val="24"/>
        </w:rPr>
        <w:t>详细通讯地址：</w:t>
      </w:r>
    </w:p>
    <w:p>
      <w:pPr>
        <w:spacing w:line="360" w:lineRule="auto"/>
        <w:rPr>
          <w:rFonts w:ascii="宋体"/>
          <w:sz w:val="24"/>
        </w:rPr>
      </w:pPr>
      <w:r>
        <w:rPr>
          <w:rFonts w:hint="eastAsia" w:ascii="宋体"/>
          <w:sz w:val="24"/>
        </w:rPr>
        <w:t>邮政编码：</w:t>
      </w:r>
    </w:p>
    <w:p>
      <w:pPr>
        <w:pStyle w:val="54"/>
        <w:shd w:val="clear" w:color="auto" w:fill="FFFFFF"/>
        <w:spacing w:before="0" w:beforeAutospacing="0" w:after="0" w:afterAutospacing="0" w:line="360" w:lineRule="auto"/>
        <w:rPr>
          <w:b/>
          <w:color w:val="000000"/>
          <w:sz w:val="28"/>
        </w:rPr>
      </w:pPr>
      <w:r>
        <w:rPr>
          <w:rFonts w:hint="eastAsia"/>
          <w:b/>
          <w:color w:val="000000"/>
          <w:sz w:val="28"/>
        </w:rPr>
        <w:t xml:space="preserve">附件4：       </w:t>
      </w:r>
    </w:p>
    <w:p>
      <w:pPr>
        <w:pStyle w:val="54"/>
        <w:shd w:val="clear" w:color="auto" w:fill="FFFFFF"/>
        <w:spacing w:before="0" w:beforeAutospacing="0" w:after="0" w:afterAutospacing="0" w:line="360" w:lineRule="auto"/>
        <w:jc w:val="center"/>
        <w:rPr>
          <w:b/>
          <w:bCs/>
          <w:color w:val="000000"/>
          <w:spacing w:val="21"/>
          <w:sz w:val="32"/>
          <w:szCs w:val="32"/>
        </w:rPr>
      </w:pPr>
      <w:r>
        <w:rPr>
          <w:rFonts w:hint="eastAsia"/>
          <w:b/>
          <w:color w:val="000000"/>
          <w:sz w:val="32"/>
          <w:szCs w:val="32"/>
        </w:rPr>
        <w:t xml:space="preserve">  供应商</w:t>
      </w:r>
      <w:r>
        <w:rPr>
          <w:rFonts w:hint="eastAsia"/>
          <w:b/>
          <w:bCs/>
          <w:color w:val="000000"/>
          <w:spacing w:val="21"/>
          <w:sz w:val="32"/>
          <w:szCs w:val="32"/>
        </w:rPr>
        <w:t>基本情况表</w:t>
      </w:r>
    </w:p>
    <w:p>
      <w:pPr>
        <w:pStyle w:val="54"/>
        <w:shd w:val="clear" w:color="auto" w:fill="FFFFFF"/>
        <w:spacing w:before="0" w:beforeAutospacing="0" w:after="0" w:afterAutospacing="0" w:line="360" w:lineRule="auto"/>
        <w:jc w:val="center"/>
        <w:rPr>
          <w:rFonts w:eastAsia="微软雅黑"/>
          <w:color w:val="000000"/>
          <w:sz w:val="36"/>
          <w:szCs w:val="36"/>
        </w:rPr>
      </w:pP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701"/>
        <w:gridCol w:w="852"/>
        <w:gridCol w:w="58"/>
        <w:gridCol w:w="1163"/>
        <w:gridCol w:w="112"/>
        <w:gridCol w:w="1093"/>
        <w:gridCol w:w="325"/>
        <w:gridCol w:w="1276"/>
        <w:gridCol w:w="400"/>
        <w:gridCol w:w="1218"/>
        <w:gridCol w:w="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682" w:type="dxa"/>
            <w:noWrap w:val="0"/>
            <w:vAlign w:val="top"/>
          </w:tcPr>
          <w:p>
            <w:pPr>
              <w:pStyle w:val="54"/>
              <w:shd w:val="clear" w:color="auto" w:fill="FFFFFF"/>
              <w:spacing w:line="360" w:lineRule="auto"/>
              <w:rPr>
                <w:bCs/>
                <w:color w:val="000000"/>
              </w:rPr>
            </w:pPr>
            <w:r>
              <w:rPr>
                <w:rFonts w:hint="eastAsia"/>
                <w:bCs/>
                <w:color w:val="000000"/>
                <w:spacing w:val="27"/>
              </w:rPr>
              <w:t>企业名称</w:t>
            </w:r>
          </w:p>
        </w:tc>
        <w:tc>
          <w:tcPr>
            <w:tcW w:w="3979" w:type="dxa"/>
            <w:gridSpan w:val="6"/>
            <w:noWrap w:val="0"/>
            <w:vAlign w:val="top"/>
          </w:tcPr>
          <w:p>
            <w:pPr>
              <w:pStyle w:val="54"/>
              <w:shd w:val="clear" w:color="auto" w:fill="FFFFFF"/>
              <w:spacing w:line="360" w:lineRule="auto"/>
              <w:rPr>
                <w:bCs/>
                <w:color w:val="000000"/>
              </w:rPr>
            </w:pPr>
          </w:p>
        </w:tc>
        <w:tc>
          <w:tcPr>
            <w:tcW w:w="2001" w:type="dxa"/>
            <w:gridSpan w:val="3"/>
            <w:noWrap w:val="0"/>
            <w:vAlign w:val="top"/>
          </w:tcPr>
          <w:p>
            <w:pPr>
              <w:pStyle w:val="54"/>
              <w:shd w:val="clear" w:color="auto" w:fill="FFFFFF"/>
              <w:spacing w:line="360" w:lineRule="auto"/>
              <w:rPr>
                <w:bCs/>
                <w:color w:val="000000"/>
              </w:rPr>
            </w:pPr>
            <w:r>
              <w:rPr>
                <w:rFonts w:hint="eastAsia"/>
                <w:bCs/>
                <w:color w:val="000000"/>
                <w:spacing w:val="16"/>
              </w:rPr>
              <w:t>法人代表</w:t>
            </w:r>
          </w:p>
        </w:tc>
        <w:tc>
          <w:tcPr>
            <w:tcW w:w="2151" w:type="dxa"/>
            <w:gridSpan w:val="2"/>
            <w:noWrap w:val="0"/>
            <w:vAlign w:val="top"/>
          </w:tcPr>
          <w:p>
            <w:pPr>
              <w:pStyle w:val="54"/>
              <w:shd w:val="clear" w:color="auto" w:fill="FFFFFF"/>
              <w:spacing w:line="360" w:lineRule="auto"/>
              <w:rPr>
                <w:bCs/>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682" w:type="dxa"/>
            <w:noWrap w:val="0"/>
            <w:vAlign w:val="top"/>
          </w:tcPr>
          <w:p>
            <w:pPr>
              <w:pStyle w:val="54"/>
              <w:shd w:val="clear" w:color="auto" w:fill="FFFFFF"/>
              <w:spacing w:line="360" w:lineRule="auto"/>
              <w:rPr>
                <w:bCs/>
                <w:color w:val="000000"/>
                <w:spacing w:val="16"/>
              </w:rPr>
            </w:pPr>
            <w:r>
              <w:rPr>
                <w:rFonts w:hint="eastAsia"/>
                <w:bCs/>
                <w:color w:val="000000"/>
                <w:spacing w:val="27"/>
              </w:rPr>
              <w:t>地址</w:t>
            </w:r>
          </w:p>
        </w:tc>
        <w:tc>
          <w:tcPr>
            <w:tcW w:w="3979" w:type="dxa"/>
            <w:gridSpan w:val="6"/>
            <w:tcBorders>
              <w:bottom w:val="single" w:color="auto" w:sz="4" w:space="0"/>
            </w:tcBorders>
            <w:noWrap w:val="0"/>
            <w:vAlign w:val="top"/>
          </w:tcPr>
          <w:p>
            <w:pPr>
              <w:pStyle w:val="54"/>
              <w:shd w:val="clear" w:color="auto" w:fill="FFFFFF"/>
              <w:spacing w:line="360" w:lineRule="auto"/>
              <w:rPr>
                <w:bCs/>
                <w:color w:val="000000"/>
                <w:spacing w:val="16"/>
              </w:rPr>
            </w:pPr>
          </w:p>
        </w:tc>
        <w:tc>
          <w:tcPr>
            <w:tcW w:w="2001" w:type="dxa"/>
            <w:gridSpan w:val="3"/>
            <w:noWrap w:val="0"/>
            <w:vAlign w:val="top"/>
          </w:tcPr>
          <w:p>
            <w:pPr>
              <w:pStyle w:val="54"/>
              <w:shd w:val="clear" w:color="auto" w:fill="FFFFFF"/>
              <w:spacing w:line="360" w:lineRule="auto"/>
              <w:rPr>
                <w:bCs/>
                <w:color w:val="000000"/>
                <w:spacing w:val="16"/>
              </w:rPr>
            </w:pPr>
            <w:r>
              <w:rPr>
                <w:rFonts w:hint="eastAsia"/>
                <w:bCs/>
                <w:color w:val="000000"/>
                <w:spacing w:val="16"/>
              </w:rPr>
              <w:t>企业性质</w:t>
            </w:r>
          </w:p>
        </w:tc>
        <w:tc>
          <w:tcPr>
            <w:tcW w:w="2151" w:type="dxa"/>
            <w:gridSpan w:val="2"/>
            <w:noWrap w:val="0"/>
            <w:vAlign w:val="top"/>
          </w:tcPr>
          <w:p>
            <w:pPr>
              <w:pStyle w:val="54"/>
              <w:shd w:val="clear" w:color="auto" w:fill="FFFFFF"/>
              <w:spacing w:line="360" w:lineRule="auto"/>
              <w:rPr>
                <w:bCs/>
                <w:color w:val="000000"/>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682" w:type="dxa"/>
            <w:tcBorders>
              <w:bottom w:val="single" w:color="auto" w:sz="4" w:space="0"/>
            </w:tcBorders>
            <w:noWrap w:val="0"/>
            <w:vAlign w:val="top"/>
          </w:tcPr>
          <w:p>
            <w:pPr>
              <w:pStyle w:val="54"/>
              <w:shd w:val="clear" w:color="auto" w:fill="FFFFFF"/>
              <w:spacing w:line="360" w:lineRule="auto"/>
              <w:rPr>
                <w:bCs/>
                <w:color w:val="000000"/>
                <w:spacing w:val="16"/>
              </w:rPr>
            </w:pPr>
            <w:r>
              <w:rPr>
                <w:rFonts w:hint="eastAsia"/>
                <w:bCs/>
                <w:color w:val="000000"/>
                <w:spacing w:val="27"/>
              </w:rPr>
              <w:t>股东姓名</w:t>
            </w:r>
          </w:p>
        </w:tc>
        <w:tc>
          <w:tcPr>
            <w:tcW w:w="701" w:type="dxa"/>
            <w:tcBorders>
              <w:bottom w:val="single" w:color="auto" w:sz="4" w:space="0"/>
            </w:tcBorders>
            <w:noWrap w:val="0"/>
            <w:vAlign w:val="top"/>
          </w:tcPr>
          <w:p>
            <w:pPr>
              <w:pStyle w:val="54"/>
              <w:shd w:val="clear" w:color="auto" w:fill="FFFFFF"/>
              <w:spacing w:before="0" w:beforeAutospacing="0" w:after="0" w:afterAutospacing="0" w:line="360" w:lineRule="auto"/>
              <w:rPr>
                <w:bCs/>
                <w:color w:val="000000"/>
                <w:spacing w:val="16"/>
              </w:rPr>
            </w:pPr>
          </w:p>
        </w:tc>
        <w:tc>
          <w:tcPr>
            <w:tcW w:w="910" w:type="dxa"/>
            <w:gridSpan w:val="2"/>
            <w:tcBorders>
              <w:bottom w:val="single" w:color="auto" w:sz="4" w:space="0"/>
            </w:tcBorders>
            <w:noWrap w:val="0"/>
            <w:vAlign w:val="top"/>
          </w:tcPr>
          <w:p>
            <w:pPr>
              <w:pStyle w:val="54"/>
              <w:shd w:val="clear" w:color="auto" w:fill="FFFFFF"/>
              <w:spacing w:line="360" w:lineRule="auto"/>
              <w:rPr>
                <w:bCs/>
                <w:color w:val="000000"/>
                <w:spacing w:val="16"/>
              </w:rPr>
            </w:pPr>
            <w:r>
              <w:rPr>
                <w:rFonts w:hint="eastAsia"/>
                <w:bCs/>
                <w:color w:val="000000"/>
                <w:spacing w:val="16"/>
              </w:rPr>
              <w:t>股权结构（%）</w:t>
            </w:r>
          </w:p>
        </w:tc>
        <w:tc>
          <w:tcPr>
            <w:tcW w:w="2368" w:type="dxa"/>
            <w:gridSpan w:val="3"/>
            <w:tcBorders>
              <w:bottom w:val="single" w:color="auto" w:sz="4" w:space="0"/>
            </w:tcBorders>
            <w:noWrap w:val="0"/>
            <w:vAlign w:val="top"/>
          </w:tcPr>
          <w:p>
            <w:pPr>
              <w:widowControl/>
              <w:spacing w:line="360" w:lineRule="auto"/>
              <w:jc w:val="left"/>
              <w:rPr>
                <w:rFonts w:ascii="宋体" w:hAnsi="宋体" w:cs="宋体"/>
                <w:bCs/>
                <w:color w:val="000000"/>
                <w:spacing w:val="16"/>
                <w:kern w:val="0"/>
                <w:sz w:val="24"/>
              </w:rPr>
            </w:pPr>
          </w:p>
          <w:p>
            <w:pPr>
              <w:pStyle w:val="54"/>
              <w:shd w:val="clear" w:color="auto" w:fill="FFFFFF"/>
              <w:spacing w:line="360" w:lineRule="auto"/>
              <w:rPr>
                <w:bCs/>
                <w:color w:val="000000"/>
                <w:spacing w:val="16"/>
              </w:rPr>
            </w:pPr>
          </w:p>
        </w:tc>
        <w:tc>
          <w:tcPr>
            <w:tcW w:w="2001" w:type="dxa"/>
            <w:gridSpan w:val="3"/>
            <w:noWrap w:val="0"/>
            <w:vAlign w:val="top"/>
          </w:tcPr>
          <w:p>
            <w:pPr>
              <w:pStyle w:val="54"/>
              <w:shd w:val="clear" w:color="auto" w:fill="FFFFFF"/>
              <w:spacing w:line="360" w:lineRule="auto"/>
              <w:ind w:left="107"/>
              <w:rPr>
                <w:bCs/>
                <w:color w:val="000000"/>
                <w:spacing w:val="16"/>
              </w:rPr>
            </w:pPr>
            <w:r>
              <w:rPr>
                <w:rFonts w:hint="eastAsia"/>
                <w:bCs/>
                <w:color w:val="000000"/>
                <w:spacing w:val="16"/>
              </w:rPr>
              <w:t>股东关系</w:t>
            </w:r>
          </w:p>
        </w:tc>
        <w:tc>
          <w:tcPr>
            <w:tcW w:w="2151" w:type="dxa"/>
            <w:gridSpan w:val="2"/>
            <w:noWrap w:val="0"/>
            <w:vAlign w:val="top"/>
          </w:tcPr>
          <w:p>
            <w:pPr>
              <w:pStyle w:val="54"/>
              <w:shd w:val="clear" w:color="auto" w:fill="FFFFFF"/>
              <w:spacing w:line="360" w:lineRule="auto"/>
              <w:ind w:left="107"/>
              <w:rPr>
                <w:bCs/>
                <w:color w:val="000000"/>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82" w:type="dxa"/>
            <w:vMerge w:val="restart"/>
            <w:noWrap w:val="0"/>
            <w:vAlign w:val="top"/>
          </w:tcPr>
          <w:p>
            <w:pPr>
              <w:pStyle w:val="54"/>
              <w:shd w:val="clear" w:color="auto" w:fill="FFFFFF"/>
              <w:spacing w:line="360" w:lineRule="auto"/>
              <w:rPr>
                <w:bCs/>
                <w:color w:val="000000"/>
                <w:spacing w:val="16"/>
              </w:rPr>
            </w:pPr>
            <w:r>
              <w:rPr>
                <w:rFonts w:hint="eastAsia"/>
                <w:bCs/>
                <w:color w:val="000000"/>
                <w:spacing w:val="12"/>
              </w:rPr>
              <w:t>联系人</w:t>
            </w:r>
            <w:r>
              <w:rPr>
                <w:rFonts w:hint="eastAsia"/>
                <w:bCs/>
                <w:color w:val="000000"/>
                <w:spacing w:val="27"/>
              </w:rPr>
              <w:t>姓名</w:t>
            </w:r>
          </w:p>
        </w:tc>
        <w:tc>
          <w:tcPr>
            <w:tcW w:w="701" w:type="dxa"/>
            <w:vMerge w:val="restart"/>
            <w:tcBorders>
              <w:top w:val="nil"/>
            </w:tcBorders>
            <w:noWrap w:val="0"/>
            <w:vAlign w:val="top"/>
          </w:tcPr>
          <w:p>
            <w:pPr>
              <w:pStyle w:val="54"/>
              <w:shd w:val="clear" w:color="auto" w:fill="FFFFFF"/>
              <w:spacing w:line="360" w:lineRule="auto"/>
              <w:rPr>
                <w:bCs/>
                <w:color w:val="000000"/>
                <w:spacing w:val="16"/>
              </w:rPr>
            </w:pPr>
          </w:p>
        </w:tc>
        <w:tc>
          <w:tcPr>
            <w:tcW w:w="910" w:type="dxa"/>
            <w:gridSpan w:val="2"/>
            <w:tcBorders>
              <w:top w:val="nil"/>
              <w:bottom w:val="single" w:color="auto" w:sz="4" w:space="0"/>
            </w:tcBorders>
            <w:noWrap w:val="0"/>
            <w:vAlign w:val="top"/>
          </w:tcPr>
          <w:p>
            <w:pPr>
              <w:pStyle w:val="54"/>
              <w:shd w:val="clear" w:color="auto" w:fill="FFFFFF"/>
              <w:spacing w:line="360" w:lineRule="auto"/>
              <w:rPr>
                <w:bCs/>
                <w:color w:val="000000"/>
                <w:spacing w:val="16"/>
              </w:rPr>
            </w:pPr>
            <w:r>
              <w:rPr>
                <w:rFonts w:hint="eastAsia"/>
                <w:bCs/>
                <w:color w:val="000000"/>
                <w:spacing w:val="16"/>
              </w:rPr>
              <w:t>固定电话</w:t>
            </w:r>
          </w:p>
        </w:tc>
        <w:tc>
          <w:tcPr>
            <w:tcW w:w="2368" w:type="dxa"/>
            <w:gridSpan w:val="3"/>
            <w:tcBorders>
              <w:top w:val="nil"/>
              <w:bottom w:val="single" w:color="auto" w:sz="4" w:space="0"/>
            </w:tcBorders>
            <w:noWrap w:val="0"/>
            <w:vAlign w:val="top"/>
          </w:tcPr>
          <w:p>
            <w:pPr>
              <w:widowControl/>
              <w:spacing w:line="360" w:lineRule="auto"/>
              <w:jc w:val="left"/>
              <w:rPr>
                <w:rFonts w:ascii="宋体" w:hAnsi="宋体" w:cs="宋体"/>
                <w:bCs/>
                <w:color w:val="000000"/>
                <w:spacing w:val="16"/>
                <w:kern w:val="0"/>
                <w:sz w:val="24"/>
              </w:rPr>
            </w:pPr>
          </w:p>
          <w:p>
            <w:pPr>
              <w:pStyle w:val="54"/>
              <w:shd w:val="clear" w:color="auto" w:fill="FFFFFF"/>
              <w:spacing w:line="360" w:lineRule="auto"/>
              <w:rPr>
                <w:bCs/>
                <w:color w:val="000000"/>
                <w:spacing w:val="16"/>
              </w:rPr>
            </w:pPr>
          </w:p>
        </w:tc>
        <w:tc>
          <w:tcPr>
            <w:tcW w:w="2001" w:type="dxa"/>
            <w:gridSpan w:val="3"/>
            <w:vMerge w:val="restart"/>
            <w:noWrap w:val="0"/>
            <w:vAlign w:val="top"/>
          </w:tcPr>
          <w:p>
            <w:pPr>
              <w:pStyle w:val="54"/>
              <w:shd w:val="clear" w:color="auto" w:fill="FFFFFF"/>
              <w:spacing w:before="0" w:beforeAutospacing="0" w:after="0" w:afterAutospacing="0" w:line="360" w:lineRule="auto"/>
              <w:rPr>
                <w:bCs/>
                <w:color w:val="000000"/>
                <w:spacing w:val="16"/>
              </w:rPr>
            </w:pPr>
            <w:r>
              <w:rPr>
                <w:rFonts w:hint="eastAsia"/>
                <w:bCs/>
                <w:color w:val="000000"/>
                <w:spacing w:val="16"/>
              </w:rPr>
              <w:t>传真</w:t>
            </w:r>
          </w:p>
        </w:tc>
        <w:tc>
          <w:tcPr>
            <w:tcW w:w="2151" w:type="dxa"/>
            <w:gridSpan w:val="2"/>
            <w:vMerge w:val="restart"/>
            <w:noWrap w:val="0"/>
            <w:vAlign w:val="top"/>
          </w:tcPr>
          <w:p>
            <w:pPr>
              <w:pStyle w:val="54"/>
              <w:shd w:val="clear" w:color="auto" w:fill="FFFFFF"/>
              <w:spacing w:line="360" w:lineRule="auto"/>
              <w:rPr>
                <w:bCs/>
                <w:color w:val="000000"/>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682" w:type="dxa"/>
            <w:vMerge w:val="continue"/>
            <w:tcBorders>
              <w:bottom w:val="single" w:color="auto" w:sz="4" w:space="0"/>
            </w:tcBorders>
            <w:noWrap w:val="0"/>
            <w:vAlign w:val="top"/>
          </w:tcPr>
          <w:p>
            <w:pPr>
              <w:pStyle w:val="54"/>
              <w:shd w:val="clear" w:color="auto" w:fill="FFFFFF"/>
              <w:spacing w:line="360" w:lineRule="auto"/>
              <w:ind w:left="107"/>
              <w:rPr>
                <w:bCs/>
                <w:color w:val="000000"/>
              </w:rPr>
            </w:pPr>
          </w:p>
        </w:tc>
        <w:tc>
          <w:tcPr>
            <w:tcW w:w="701" w:type="dxa"/>
            <w:vMerge w:val="continue"/>
            <w:tcBorders>
              <w:bottom w:val="single" w:color="auto" w:sz="4" w:space="0"/>
            </w:tcBorders>
            <w:noWrap w:val="0"/>
            <w:vAlign w:val="top"/>
          </w:tcPr>
          <w:p>
            <w:pPr>
              <w:pStyle w:val="54"/>
              <w:shd w:val="clear" w:color="auto" w:fill="FFFFFF"/>
              <w:spacing w:line="360" w:lineRule="auto"/>
              <w:rPr>
                <w:bCs/>
                <w:color w:val="000000"/>
                <w:spacing w:val="16"/>
              </w:rPr>
            </w:pPr>
          </w:p>
        </w:tc>
        <w:tc>
          <w:tcPr>
            <w:tcW w:w="910" w:type="dxa"/>
            <w:gridSpan w:val="2"/>
            <w:tcBorders>
              <w:bottom w:val="single" w:color="auto" w:sz="4" w:space="0"/>
            </w:tcBorders>
            <w:noWrap w:val="0"/>
            <w:vAlign w:val="top"/>
          </w:tcPr>
          <w:p>
            <w:pPr>
              <w:pStyle w:val="54"/>
              <w:shd w:val="clear" w:color="auto" w:fill="FFFFFF"/>
              <w:spacing w:line="360" w:lineRule="auto"/>
              <w:rPr>
                <w:bCs/>
                <w:color w:val="000000"/>
                <w:spacing w:val="16"/>
              </w:rPr>
            </w:pPr>
            <w:r>
              <w:rPr>
                <w:rFonts w:hint="eastAsia"/>
                <w:bCs/>
                <w:color w:val="000000"/>
                <w:spacing w:val="27"/>
              </w:rPr>
              <w:t>手机</w:t>
            </w:r>
          </w:p>
        </w:tc>
        <w:tc>
          <w:tcPr>
            <w:tcW w:w="2368" w:type="dxa"/>
            <w:gridSpan w:val="3"/>
            <w:tcBorders>
              <w:bottom w:val="single" w:color="auto" w:sz="4" w:space="0"/>
            </w:tcBorders>
            <w:noWrap w:val="0"/>
            <w:vAlign w:val="top"/>
          </w:tcPr>
          <w:p>
            <w:pPr>
              <w:pStyle w:val="54"/>
              <w:shd w:val="clear" w:color="auto" w:fill="FFFFFF"/>
              <w:spacing w:line="360" w:lineRule="auto"/>
              <w:rPr>
                <w:bCs/>
                <w:color w:val="000000"/>
                <w:spacing w:val="16"/>
              </w:rPr>
            </w:pPr>
          </w:p>
        </w:tc>
        <w:tc>
          <w:tcPr>
            <w:tcW w:w="2001" w:type="dxa"/>
            <w:gridSpan w:val="3"/>
            <w:vMerge w:val="continue"/>
            <w:tcBorders>
              <w:bottom w:val="single" w:color="auto" w:sz="4" w:space="0"/>
            </w:tcBorders>
            <w:noWrap w:val="0"/>
            <w:vAlign w:val="top"/>
          </w:tcPr>
          <w:p>
            <w:pPr>
              <w:pStyle w:val="54"/>
              <w:shd w:val="clear" w:color="auto" w:fill="FFFFFF"/>
              <w:spacing w:line="360" w:lineRule="auto"/>
              <w:rPr>
                <w:bCs/>
                <w:color w:val="000000"/>
                <w:spacing w:val="16"/>
              </w:rPr>
            </w:pPr>
          </w:p>
        </w:tc>
        <w:tc>
          <w:tcPr>
            <w:tcW w:w="2151" w:type="dxa"/>
            <w:gridSpan w:val="2"/>
            <w:vMerge w:val="continue"/>
            <w:tcBorders>
              <w:bottom w:val="single" w:color="auto" w:sz="4" w:space="0"/>
            </w:tcBorders>
            <w:noWrap w:val="0"/>
            <w:vAlign w:val="top"/>
          </w:tcPr>
          <w:p>
            <w:pPr>
              <w:pStyle w:val="54"/>
              <w:shd w:val="clear" w:color="auto" w:fill="FFFFFF"/>
              <w:spacing w:line="360" w:lineRule="auto"/>
              <w:rPr>
                <w:bCs/>
                <w:color w:val="000000"/>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682" w:type="dxa"/>
            <w:vMerge w:val="restart"/>
            <w:tcBorders>
              <w:top w:val="single" w:color="auto" w:sz="4" w:space="0"/>
            </w:tcBorders>
            <w:noWrap w:val="0"/>
            <w:vAlign w:val="top"/>
          </w:tcPr>
          <w:p>
            <w:pPr>
              <w:pStyle w:val="54"/>
              <w:shd w:val="clear" w:color="auto" w:fill="FFFFFF"/>
              <w:spacing w:line="360" w:lineRule="auto"/>
              <w:ind w:left="107"/>
              <w:rPr>
                <w:bCs/>
                <w:color w:val="000000"/>
              </w:rPr>
            </w:pPr>
            <w:r>
              <w:rPr>
                <w:bCs/>
                <w:color w:val="000000"/>
              </w:rPr>
              <w:t>1</w:t>
            </w:r>
            <w:r>
              <w:rPr>
                <w:rFonts w:hint="eastAsia"/>
                <w:bCs/>
                <w:color w:val="000000"/>
              </w:rPr>
              <w:t>.</w:t>
            </w:r>
          </w:p>
          <w:p>
            <w:pPr>
              <w:pStyle w:val="54"/>
              <w:shd w:val="clear" w:color="auto" w:fill="FFFFFF"/>
              <w:spacing w:line="360" w:lineRule="auto"/>
              <w:ind w:left="107"/>
              <w:rPr>
                <w:bCs/>
                <w:color w:val="000000"/>
              </w:rPr>
            </w:pPr>
            <w:r>
              <w:rPr>
                <w:rFonts w:hint="eastAsia"/>
                <w:bCs/>
                <w:color w:val="000000"/>
              </w:rPr>
              <w:t>企</w:t>
            </w:r>
          </w:p>
          <w:p>
            <w:pPr>
              <w:pStyle w:val="54"/>
              <w:shd w:val="clear" w:color="auto" w:fill="FFFFFF"/>
              <w:spacing w:line="360" w:lineRule="auto"/>
              <w:ind w:left="107"/>
              <w:rPr>
                <w:bCs/>
                <w:color w:val="000000"/>
              </w:rPr>
            </w:pPr>
            <w:r>
              <w:rPr>
                <w:rFonts w:hint="eastAsia"/>
                <w:bCs/>
                <w:color w:val="000000"/>
              </w:rPr>
              <w:t>业</w:t>
            </w:r>
          </w:p>
          <w:p>
            <w:pPr>
              <w:pStyle w:val="54"/>
              <w:shd w:val="clear" w:color="auto" w:fill="FFFFFF"/>
              <w:spacing w:line="360" w:lineRule="auto"/>
              <w:ind w:left="107"/>
              <w:rPr>
                <w:bCs/>
                <w:color w:val="000000"/>
                <w:spacing w:val="27"/>
              </w:rPr>
            </w:pPr>
            <w:r>
              <w:rPr>
                <w:rFonts w:hint="eastAsia"/>
                <w:bCs/>
                <w:color w:val="000000"/>
                <w:spacing w:val="27"/>
              </w:rPr>
              <w:t>概</w:t>
            </w:r>
          </w:p>
          <w:p>
            <w:pPr>
              <w:pStyle w:val="54"/>
              <w:shd w:val="clear" w:color="auto" w:fill="FFFFFF"/>
              <w:spacing w:line="360" w:lineRule="auto"/>
              <w:ind w:left="107"/>
              <w:rPr>
                <w:bCs/>
                <w:color w:val="000000"/>
              </w:rPr>
            </w:pPr>
            <w:r>
              <w:rPr>
                <w:rFonts w:hint="eastAsia"/>
                <w:bCs/>
                <w:color w:val="000000"/>
                <w:spacing w:val="27"/>
              </w:rPr>
              <w:t>况</w:t>
            </w:r>
          </w:p>
        </w:tc>
        <w:tc>
          <w:tcPr>
            <w:tcW w:w="701" w:type="dxa"/>
            <w:tcBorders>
              <w:top w:val="single" w:color="auto" w:sz="4" w:space="0"/>
            </w:tcBorders>
            <w:noWrap w:val="0"/>
            <w:vAlign w:val="top"/>
          </w:tcPr>
          <w:p>
            <w:pPr>
              <w:pStyle w:val="54"/>
              <w:shd w:val="clear" w:color="auto" w:fill="FFFFFF"/>
              <w:spacing w:line="360" w:lineRule="auto"/>
              <w:rPr>
                <w:bCs/>
                <w:color w:val="000000"/>
                <w:spacing w:val="16"/>
              </w:rPr>
            </w:pPr>
            <w:r>
              <w:rPr>
                <w:rFonts w:hint="eastAsia"/>
                <w:bCs/>
                <w:color w:val="000000"/>
                <w:spacing w:val="16"/>
              </w:rPr>
              <w:t>职工人数</w:t>
            </w:r>
          </w:p>
        </w:tc>
        <w:tc>
          <w:tcPr>
            <w:tcW w:w="910" w:type="dxa"/>
            <w:gridSpan w:val="2"/>
            <w:tcBorders>
              <w:top w:val="single" w:color="auto" w:sz="4" w:space="0"/>
            </w:tcBorders>
            <w:noWrap w:val="0"/>
            <w:vAlign w:val="top"/>
          </w:tcPr>
          <w:p>
            <w:pPr>
              <w:pStyle w:val="54"/>
              <w:shd w:val="clear" w:color="auto" w:fill="FFFFFF"/>
              <w:spacing w:line="360" w:lineRule="auto"/>
              <w:rPr>
                <w:bCs/>
                <w:color w:val="000000"/>
                <w:spacing w:val="16"/>
              </w:rPr>
            </w:pPr>
          </w:p>
        </w:tc>
        <w:tc>
          <w:tcPr>
            <w:tcW w:w="1163" w:type="dxa"/>
            <w:tcBorders>
              <w:top w:val="single" w:color="auto" w:sz="4" w:space="0"/>
            </w:tcBorders>
            <w:noWrap w:val="0"/>
            <w:vAlign w:val="top"/>
          </w:tcPr>
          <w:p>
            <w:pPr>
              <w:pStyle w:val="54"/>
              <w:shd w:val="clear" w:color="auto" w:fill="FFFFFF"/>
              <w:spacing w:before="0" w:beforeAutospacing="0" w:after="0" w:afterAutospacing="0" w:line="360" w:lineRule="auto"/>
              <w:rPr>
                <w:bCs/>
                <w:color w:val="000000"/>
              </w:rPr>
            </w:pPr>
            <w:r>
              <w:rPr>
                <w:rFonts w:hint="eastAsia"/>
                <w:bCs/>
                <w:color w:val="000000"/>
                <w:spacing w:val="18"/>
              </w:rPr>
              <w:t>具备大专以</w:t>
            </w:r>
            <w:r>
              <w:rPr>
                <w:rFonts w:hint="eastAsia"/>
                <w:bCs/>
                <w:color w:val="000000"/>
                <w:spacing w:val="12"/>
              </w:rPr>
              <w:t>上学历人数</w:t>
            </w:r>
          </w:p>
        </w:tc>
        <w:tc>
          <w:tcPr>
            <w:tcW w:w="1205" w:type="dxa"/>
            <w:gridSpan w:val="2"/>
            <w:tcBorders>
              <w:top w:val="single" w:color="auto" w:sz="4" w:space="0"/>
            </w:tcBorders>
            <w:noWrap w:val="0"/>
            <w:vAlign w:val="top"/>
          </w:tcPr>
          <w:p>
            <w:pPr>
              <w:widowControl/>
              <w:spacing w:line="360" w:lineRule="auto"/>
              <w:jc w:val="left"/>
              <w:rPr>
                <w:rFonts w:ascii="宋体" w:hAnsi="宋体" w:cs="宋体"/>
                <w:bCs/>
                <w:color w:val="000000"/>
                <w:spacing w:val="16"/>
                <w:kern w:val="0"/>
                <w:sz w:val="24"/>
              </w:rPr>
            </w:pPr>
          </w:p>
          <w:p>
            <w:pPr>
              <w:widowControl/>
              <w:spacing w:line="360" w:lineRule="auto"/>
              <w:jc w:val="left"/>
              <w:rPr>
                <w:rFonts w:ascii="宋体" w:hAnsi="宋体" w:cs="宋体"/>
                <w:bCs/>
                <w:color w:val="000000"/>
                <w:spacing w:val="16"/>
                <w:kern w:val="0"/>
                <w:sz w:val="24"/>
              </w:rPr>
            </w:pPr>
          </w:p>
          <w:p>
            <w:pPr>
              <w:pStyle w:val="54"/>
              <w:shd w:val="clear" w:color="auto" w:fill="FFFFFF"/>
              <w:spacing w:line="360" w:lineRule="auto"/>
              <w:rPr>
                <w:bCs/>
                <w:color w:val="000000"/>
                <w:spacing w:val="16"/>
              </w:rPr>
            </w:pPr>
          </w:p>
        </w:tc>
        <w:tc>
          <w:tcPr>
            <w:tcW w:w="2001" w:type="dxa"/>
            <w:gridSpan w:val="3"/>
            <w:tcBorders>
              <w:top w:val="single" w:color="auto" w:sz="4" w:space="0"/>
            </w:tcBorders>
            <w:noWrap w:val="0"/>
            <w:vAlign w:val="top"/>
          </w:tcPr>
          <w:p>
            <w:pPr>
              <w:pStyle w:val="54"/>
              <w:shd w:val="clear" w:color="auto" w:fill="FFFFFF"/>
              <w:spacing w:line="360" w:lineRule="auto"/>
              <w:rPr>
                <w:bCs/>
                <w:color w:val="000000"/>
                <w:spacing w:val="16"/>
              </w:rPr>
            </w:pPr>
            <w:r>
              <w:rPr>
                <w:rFonts w:hint="eastAsia"/>
                <w:bCs/>
                <w:color w:val="000000"/>
                <w:spacing w:val="65"/>
              </w:rPr>
              <w:t>国家授予技</w:t>
            </w:r>
            <w:r>
              <w:rPr>
                <w:rFonts w:hint="eastAsia"/>
                <w:bCs/>
                <w:color w:val="000000"/>
                <w:spacing w:val="12"/>
              </w:rPr>
              <w:t>术职称人数</w:t>
            </w:r>
          </w:p>
        </w:tc>
        <w:tc>
          <w:tcPr>
            <w:tcW w:w="2151" w:type="dxa"/>
            <w:gridSpan w:val="2"/>
            <w:tcBorders>
              <w:top w:val="single" w:color="auto" w:sz="4" w:space="0"/>
            </w:tcBorders>
            <w:noWrap w:val="0"/>
            <w:vAlign w:val="top"/>
          </w:tcPr>
          <w:p>
            <w:pPr>
              <w:widowControl/>
              <w:spacing w:line="360" w:lineRule="auto"/>
              <w:jc w:val="left"/>
              <w:rPr>
                <w:rFonts w:ascii="宋体" w:hAnsi="宋体" w:cs="宋体"/>
                <w:bCs/>
                <w:color w:val="000000"/>
                <w:spacing w:val="16"/>
                <w:kern w:val="0"/>
                <w:sz w:val="24"/>
              </w:rPr>
            </w:pPr>
          </w:p>
          <w:p>
            <w:pPr>
              <w:pStyle w:val="54"/>
              <w:shd w:val="clear" w:color="auto" w:fill="FFFFFF"/>
              <w:spacing w:line="360" w:lineRule="auto"/>
              <w:rPr>
                <w:bCs/>
                <w:color w:val="000000"/>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8" w:hRule="atLeast"/>
        </w:trPr>
        <w:tc>
          <w:tcPr>
            <w:tcW w:w="682" w:type="dxa"/>
            <w:vMerge w:val="continue"/>
            <w:noWrap w:val="0"/>
            <w:vAlign w:val="top"/>
          </w:tcPr>
          <w:p>
            <w:pPr>
              <w:pStyle w:val="54"/>
              <w:shd w:val="clear" w:color="auto" w:fill="FFFFFF"/>
              <w:spacing w:line="360" w:lineRule="auto"/>
              <w:ind w:left="107"/>
              <w:rPr>
                <w:bCs/>
                <w:color w:val="000000"/>
              </w:rPr>
            </w:pPr>
          </w:p>
        </w:tc>
        <w:tc>
          <w:tcPr>
            <w:tcW w:w="701" w:type="dxa"/>
            <w:noWrap w:val="0"/>
            <w:vAlign w:val="top"/>
          </w:tcPr>
          <w:p>
            <w:pPr>
              <w:pStyle w:val="54"/>
              <w:shd w:val="clear" w:color="auto" w:fill="FFFFFF"/>
              <w:spacing w:line="360" w:lineRule="auto"/>
              <w:rPr>
                <w:bCs/>
                <w:color w:val="000000"/>
              </w:rPr>
            </w:pPr>
            <w:r>
              <w:rPr>
                <w:rFonts w:hint="eastAsia"/>
                <w:bCs/>
                <w:color w:val="000000"/>
                <w:spacing w:val="16"/>
              </w:rPr>
              <w:t>占地面积</w:t>
            </w:r>
          </w:p>
        </w:tc>
        <w:tc>
          <w:tcPr>
            <w:tcW w:w="910" w:type="dxa"/>
            <w:gridSpan w:val="2"/>
            <w:noWrap w:val="0"/>
            <w:vAlign w:val="top"/>
          </w:tcPr>
          <w:p>
            <w:pPr>
              <w:pStyle w:val="54"/>
              <w:shd w:val="clear" w:color="auto" w:fill="FFFFFF"/>
              <w:spacing w:line="360" w:lineRule="auto"/>
              <w:rPr>
                <w:bCs/>
                <w:color w:val="000000"/>
              </w:rPr>
            </w:pPr>
          </w:p>
        </w:tc>
        <w:tc>
          <w:tcPr>
            <w:tcW w:w="1163" w:type="dxa"/>
            <w:noWrap w:val="0"/>
            <w:vAlign w:val="top"/>
          </w:tcPr>
          <w:p>
            <w:pPr>
              <w:pStyle w:val="54"/>
              <w:shd w:val="clear" w:color="auto" w:fill="FFFFFF"/>
              <w:spacing w:line="360" w:lineRule="auto"/>
              <w:rPr>
                <w:bCs/>
                <w:color w:val="000000"/>
              </w:rPr>
            </w:pPr>
            <w:r>
              <w:rPr>
                <w:rFonts w:hint="eastAsia"/>
                <w:bCs/>
                <w:color w:val="000000"/>
                <w:spacing w:val="16"/>
              </w:rPr>
              <w:t>建筑面积</w:t>
            </w:r>
          </w:p>
        </w:tc>
        <w:tc>
          <w:tcPr>
            <w:tcW w:w="1205" w:type="dxa"/>
            <w:gridSpan w:val="2"/>
            <w:noWrap w:val="0"/>
            <w:vAlign w:val="top"/>
          </w:tcPr>
          <w:p>
            <w:pPr>
              <w:pStyle w:val="54"/>
              <w:shd w:val="clear" w:color="auto" w:fill="FFFFFF"/>
              <w:spacing w:line="360" w:lineRule="auto"/>
              <w:ind w:firstLine="480" w:firstLineChars="200"/>
              <w:rPr>
                <w:bCs/>
                <w:color w:val="000000"/>
              </w:rPr>
            </w:pPr>
            <w:r>
              <w:rPr>
                <w:rFonts w:hint="eastAsia"/>
                <w:bCs/>
                <w:color w:val="000000"/>
              </w:rPr>
              <w:t xml:space="preserve">平方米 </w:t>
            </w:r>
          </w:p>
          <w:p>
            <w:pPr>
              <w:pStyle w:val="54"/>
              <w:shd w:val="clear" w:color="auto" w:fill="FFFFFF"/>
              <w:spacing w:line="360" w:lineRule="auto"/>
              <w:rPr>
                <w:bCs/>
                <w:color w:val="000000"/>
              </w:rPr>
            </w:pPr>
            <w:r>
              <w:rPr>
                <w:rFonts w:hint="eastAsia"/>
                <w:bCs/>
                <w:color w:val="000000"/>
                <w:spacing w:val="16"/>
              </w:rPr>
              <w:t>□自有□租賃</w:t>
            </w:r>
          </w:p>
        </w:tc>
        <w:tc>
          <w:tcPr>
            <w:tcW w:w="2001" w:type="dxa"/>
            <w:gridSpan w:val="3"/>
            <w:noWrap w:val="0"/>
            <w:vAlign w:val="top"/>
          </w:tcPr>
          <w:p>
            <w:pPr>
              <w:pStyle w:val="54"/>
              <w:shd w:val="clear" w:color="auto" w:fill="FFFFFF"/>
              <w:spacing w:line="360" w:lineRule="auto"/>
              <w:rPr>
                <w:bCs/>
                <w:color w:val="000000"/>
              </w:rPr>
            </w:pPr>
            <w:r>
              <w:rPr>
                <w:rFonts w:hint="eastAsia"/>
                <w:bCs/>
                <w:color w:val="000000"/>
                <w:spacing w:val="16"/>
              </w:rPr>
              <w:t>生产经营场所及场所的设施与设备</w:t>
            </w:r>
          </w:p>
        </w:tc>
        <w:tc>
          <w:tcPr>
            <w:tcW w:w="2151" w:type="dxa"/>
            <w:gridSpan w:val="2"/>
            <w:noWrap w:val="0"/>
            <w:vAlign w:val="top"/>
          </w:tcPr>
          <w:p>
            <w:pPr>
              <w:pStyle w:val="54"/>
              <w:shd w:val="clear" w:color="auto" w:fill="FFFFFF"/>
              <w:spacing w:before="0" w:beforeAutospacing="0" w:after="0" w:afterAutospacing="0" w:line="360" w:lineRule="auto"/>
              <w:rPr>
                <w:bCs/>
                <w:color w:val="000000"/>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682" w:type="dxa"/>
            <w:vMerge w:val="continue"/>
            <w:noWrap w:val="0"/>
            <w:vAlign w:val="top"/>
          </w:tcPr>
          <w:p>
            <w:pPr>
              <w:pStyle w:val="54"/>
              <w:shd w:val="clear" w:color="auto" w:fill="FFFFFF"/>
              <w:spacing w:line="360" w:lineRule="auto"/>
              <w:ind w:left="107"/>
              <w:rPr>
                <w:bCs/>
                <w:color w:val="000000"/>
              </w:rPr>
            </w:pPr>
          </w:p>
        </w:tc>
        <w:tc>
          <w:tcPr>
            <w:tcW w:w="701" w:type="dxa"/>
            <w:noWrap w:val="0"/>
            <w:vAlign w:val="top"/>
          </w:tcPr>
          <w:p>
            <w:pPr>
              <w:pStyle w:val="54"/>
              <w:shd w:val="clear" w:color="auto" w:fill="FFFFFF"/>
              <w:spacing w:line="360" w:lineRule="auto"/>
              <w:ind w:left="2"/>
              <w:rPr>
                <w:bCs/>
                <w:color w:val="000000"/>
                <w:spacing w:val="16"/>
              </w:rPr>
            </w:pPr>
            <w:r>
              <w:rPr>
                <w:rFonts w:hint="eastAsia"/>
                <w:bCs/>
                <w:color w:val="000000"/>
                <w:spacing w:val="16"/>
              </w:rPr>
              <w:t>注册资金</w:t>
            </w:r>
          </w:p>
        </w:tc>
        <w:tc>
          <w:tcPr>
            <w:tcW w:w="910" w:type="dxa"/>
            <w:gridSpan w:val="2"/>
            <w:noWrap w:val="0"/>
            <w:vAlign w:val="top"/>
          </w:tcPr>
          <w:p>
            <w:pPr>
              <w:pStyle w:val="54"/>
              <w:shd w:val="clear" w:color="auto" w:fill="FFFFFF"/>
              <w:spacing w:line="360" w:lineRule="auto"/>
              <w:ind w:left="2"/>
              <w:rPr>
                <w:bCs/>
                <w:color w:val="000000"/>
              </w:rPr>
            </w:pPr>
          </w:p>
        </w:tc>
        <w:tc>
          <w:tcPr>
            <w:tcW w:w="1163" w:type="dxa"/>
            <w:noWrap w:val="0"/>
            <w:vAlign w:val="top"/>
          </w:tcPr>
          <w:p>
            <w:pPr>
              <w:pStyle w:val="54"/>
              <w:shd w:val="clear" w:color="auto" w:fill="FFFFFF"/>
              <w:spacing w:line="360" w:lineRule="auto"/>
              <w:ind w:left="107"/>
              <w:rPr>
                <w:bCs/>
                <w:color w:val="000000"/>
              </w:rPr>
            </w:pPr>
            <w:r>
              <w:rPr>
                <w:rFonts w:hint="eastAsia"/>
                <w:bCs/>
                <w:color w:val="000000"/>
                <w:spacing w:val="16"/>
              </w:rPr>
              <w:t>注册发证</w:t>
            </w:r>
            <w:r>
              <w:rPr>
                <w:rFonts w:hint="eastAsia"/>
                <w:bCs/>
                <w:color w:val="000000"/>
                <w:spacing w:val="27"/>
              </w:rPr>
              <w:t>机关</w:t>
            </w:r>
          </w:p>
        </w:tc>
        <w:tc>
          <w:tcPr>
            <w:tcW w:w="3206" w:type="dxa"/>
            <w:gridSpan w:val="5"/>
            <w:noWrap w:val="0"/>
            <w:vAlign w:val="top"/>
          </w:tcPr>
          <w:p>
            <w:pPr>
              <w:widowControl/>
              <w:spacing w:line="360" w:lineRule="auto"/>
              <w:jc w:val="left"/>
              <w:rPr>
                <w:rFonts w:ascii="宋体" w:hAnsi="宋体" w:cs="宋体"/>
                <w:bCs/>
                <w:color w:val="000000"/>
                <w:kern w:val="0"/>
                <w:sz w:val="24"/>
              </w:rPr>
            </w:pPr>
          </w:p>
          <w:p>
            <w:pPr>
              <w:pStyle w:val="54"/>
              <w:shd w:val="clear" w:color="auto" w:fill="FFFFFF"/>
              <w:spacing w:line="360" w:lineRule="auto"/>
              <w:ind w:left="107"/>
              <w:rPr>
                <w:bCs/>
                <w:color w:val="000000"/>
              </w:rPr>
            </w:pPr>
          </w:p>
        </w:tc>
        <w:tc>
          <w:tcPr>
            <w:tcW w:w="1218" w:type="dxa"/>
            <w:noWrap w:val="0"/>
            <w:vAlign w:val="top"/>
          </w:tcPr>
          <w:p>
            <w:pPr>
              <w:pStyle w:val="54"/>
              <w:shd w:val="clear" w:color="auto" w:fill="FFFFFF"/>
              <w:spacing w:line="360" w:lineRule="auto"/>
              <w:ind w:left="107"/>
              <w:rPr>
                <w:bCs/>
                <w:color w:val="000000"/>
              </w:rPr>
            </w:pPr>
            <w:r>
              <w:rPr>
                <w:rFonts w:hint="eastAsia"/>
                <w:bCs/>
                <w:color w:val="000000"/>
              </w:rPr>
              <w:t>公司成</w:t>
            </w:r>
            <w:r>
              <w:rPr>
                <w:rFonts w:hint="eastAsia"/>
                <w:bCs/>
                <w:color w:val="000000"/>
                <w:spacing w:val="12"/>
              </w:rPr>
              <w:t>立时间</w:t>
            </w:r>
          </w:p>
        </w:tc>
        <w:tc>
          <w:tcPr>
            <w:tcW w:w="933" w:type="dxa"/>
            <w:noWrap w:val="0"/>
            <w:vAlign w:val="top"/>
          </w:tcPr>
          <w:p>
            <w:pPr>
              <w:pStyle w:val="54"/>
              <w:shd w:val="clear" w:color="auto" w:fill="FFFFFF"/>
              <w:spacing w:line="360" w:lineRule="auto"/>
              <w:ind w:left="107"/>
              <w:rPr>
                <w:bCs/>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682" w:type="dxa"/>
            <w:vMerge w:val="continue"/>
            <w:noWrap w:val="0"/>
            <w:vAlign w:val="top"/>
          </w:tcPr>
          <w:p>
            <w:pPr>
              <w:pStyle w:val="54"/>
              <w:shd w:val="clear" w:color="auto" w:fill="FFFFFF"/>
              <w:spacing w:line="360" w:lineRule="auto"/>
              <w:ind w:left="107"/>
              <w:rPr>
                <w:bCs/>
                <w:color w:val="000000"/>
              </w:rPr>
            </w:pPr>
          </w:p>
        </w:tc>
        <w:tc>
          <w:tcPr>
            <w:tcW w:w="701" w:type="dxa"/>
            <w:noWrap w:val="0"/>
            <w:vAlign w:val="top"/>
          </w:tcPr>
          <w:p>
            <w:pPr>
              <w:pStyle w:val="54"/>
              <w:shd w:val="clear" w:color="auto" w:fill="FFFFFF"/>
              <w:spacing w:line="360" w:lineRule="auto"/>
              <w:ind w:left="2"/>
              <w:rPr>
                <w:bCs/>
                <w:color w:val="000000"/>
              </w:rPr>
            </w:pPr>
            <w:r>
              <w:rPr>
                <w:rFonts w:hint="eastAsia"/>
                <w:bCs/>
                <w:color w:val="000000"/>
              </w:rPr>
              <w:t>核准经营范围</w:t>
            </w:r>
          </w:p>
        </w:tc>
        <w:tc>
          <w:tcPr>
            <w:tcW w:w="7430" w:type="dxa"/>
            <w:gridSpan w:val="10"/>
            <w:noWrap w:val="0"/>
            <w:vAlign w:val="top"/>
          </w:tcPr>
          <w:p>
            <w:pPr>
              <w:pStyle w:val="54"/>
              <w:shd w:val="clear" w:color="auto" w:fill="FFFFFF"/>
              <w:spacing w:line="360" w:lineRule="auto"/>
              <w:ind w:left="107"/>
              <w:rPr>
                <w:bCs/>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682" w:type="dxa"/>
            <w:vMerge w:val="continue"/>
            <w:noWrap w:val="0"/>
            <w:vAlign w:val="top"/>
          </w:tcPr>
          <w:p>
            <w:pPr>
              <w:pStyle w:val="54"/>
              <w:shd w:val="clear" w:color="auto" w:fill="FFFFFF"/>
              <w:spacing w:line="360" w:lineRule="auto"/>
              <w:ind w:left="107"/>
              <w:rPr>
                <w:bCs/>
                <w:color w:val="000000"/>
              </w:rPr>
            </w:pPr>
          </w:p>
        </w:tc>
        <w:tc>
          <w:tcPr>
            <w:tcW w:w="8131" w:type="dxa"/>
            <w:gridSpan w:val="11"/>
            <w:noWrap w:val="0"/>
            <w:vAlign w:val="top"/>
          </w:tcPr>
          <w:p>
            <w:pPr>
              <w:pStyle w:val="54"/>
              <w:shd w:val="clear" w:color="auto" w:fill="FFFFFF"/>
              <w:spacing w:line="360" w:lineRule="auto"/>
              <w:rPr>
                <w:bCs/>
                <w:color w:val="000000"/>
                <w:spacing w:val="13"/>
              </w:rPr>
            </w:pPr>
            <w:r>
              <w:rPr>
                <w:rFonts w:hint="eastAsia"/>
                <w:bCs/>
                <w:color w:val="000000"/>
                <w:spacing w:val="13"/>
              </w:rPr>
              <w:t>发展历程及主要荣誉：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682" w:type="dxa"/>
            <w:vMerge w:val="restart"/>
            <w:noWrap w:val="0"/>
            <w:vAlign w:val="top"/>
          </w:tcPr>
          <w:p>
            <w:pPr>
              <w:pStyle w:val="54"/>
              <w:shd w:val="clear" w:color="auto" w:fill="FFFFFF"/>
              <w:spacing w:line="360" w:lineRule="auto"/>
              <w:ind w:left="107"/>
              <w:rPr>
                <w:bCs/>
                <w:color w:val="000000"/>
              </w:rPr>
            </w:pPr>
            <w:r>
              <w:rPr>
                <w:bCs/>
                <w:color w:val="000000"/>
              </w:rPr>
              <w:t>2</w:t>
            </w:r>
            <w:r>
              <w:rPr>
                <w:rFonts w:hint="eastAsia"/>
                <w:bCs/>
                <w:color w:val="000000"/>
              </w:rPr>
              <w:t>．</w:t>
            </w:r>
          </w:p>
          <w:p>
            <w:pPr>
              <w:pStyle w:val="54"/>
              <w:shd w:val="clear" w:color="auto" w:fill="FFFFFF"/>
              <w:spacing w:line="360" w:lineRule="auto"/>
              <w:ind w:left="107"/>
              <w:rPr>
                <w:bCs/>
                <w:color w:val="000000"/>
                <w:spacing w:val="16"/>
              </w:rPr>
            </w:pPr>
            <w:r>
              <w:rPr>
                <w:rFonts w:hint="eastAsia"/>
                <w:bCs/>
                <w:color w:val="000000"/>
              </w:rPr>
              <w:t>企</w:t>
            </w:r>
            <w:r>
              <w:rPr>
                <w:rFonts w:hint="eastAsia"/>
                <w:bCs/>
                <w:color w:val="000000"/>
                <w:spacing w:val="12"/>
              </w:rPr>
              <w:t>业有关资质获证情况</w:t>
            </w:r>
          </w:p>
        </w:tc>
        <w:tc>
          <w:tcPr>
            <w:tcW w:w="1553" w:type="dxa"/>
            <w:gridSpan w:val="2"/>
            <w:vMerge w:val="restart"/>
            <w:noWrap w:val="0"/>
            <w:vAlign w:val="top"/>
          </w:tcPr>
          <w:p>
            <w:pPr>
              <w:pStyle w:val="54"/>
              <w:shd w:val="clear" w:color="auto" w:fill="FFFFFF"/>
              <w:spacing w:before="0" w:beforeAutospacing="0" w:after="0" w:afterAutospacing="0" w:line="360" w:lineRule="auto"/>
              <w:rPr>
                <w:bCs/>
                <w:color w:val="000000"/>
                <w:spacing w:val="16"/>
              </w:rPr>
            </w:pPr>
            <w:r>
              <w:rPr>
                <w:rFonts w:hint="eastAsia"/>
                <w:bCs/>
                <w:color w:val="000000"/>
                <w:spacing w:val="12"/>
              </w:rPr>
              <w:t>产品生产许可证情况</w:t>
            </w:r>
            <w:r>
              <w:rPr>
                <w:rFonts w:hint="eastAsia"/>
                <w:bCs/>
                <w:color w:val="000000"/>
                <w:spacing w:val="41"/>
              </w:rPr>
              <w:t>（对需获得生产许可证的</w:t>
            </w:r>
            <w:r>
              <w:rPr>
                <w:rFonts w:hint="eastAsia"/>
                <w:bCs/>
                <w:color w:val="000000"/>
                <w:spacing w:val="11"/>
              </w:rPr>
              <w:t>产品要填写此栏）</w:t>
            </w:r>
          </w:p>
        </w:tc>
        <w:tc>
          <w:tcPr>
            <w:tcW w:w="1333" w:type="dxa"/>
            <w:gridSpan w:val="3"/>
            <w:noWrap w:val="0"/>
            <w:vAlign w:val="top"/>
          </w:tcPr>
          <w:p>
            <w:pPr>
              <w:pStyle w:val="54"/>
              <w:shd w:val="clear" w:color="auto" w:fill="FFFFFF"/>
              <w:spacing w:line="360" w:lineRule="auto"/>
              <w:ind w:right="-78" w:rightChars="-37"/>
              <w:rPr>
                <w:bCs/>
                <w:color w:val="000000"/>
                <w:spacing w:val="16"/>
              </w:rPr>
            </w:pPr>
            <w:r>
              <w:rPr>
                <w:rFonts w:hint="eastAsia"/>
                <w:bCs/>
                <w:color w:val="000000"/>
                <w:spacing w:val="16"/>
              </w:rPr>
              <w:t>产品名称</w:t>
            </w:r>
          </w:p>
        </w:tc>
        <w:tc>
          <w:tcPr>
            <w:tcW w:w="1418" w:type="dxa"/>
            <w:gridSpan w:val="2"/>
            <w:noWrap w:val="0"/>
            <w:vAlign w:val="top"/>
          </w:tcPr>
          <w:p>
            <w:pPr>
              <w:pStyle w:val="54"/>
              <w:shd w:val="clear" w:color="auto" w:fill="FFFFFF"/>
              <w:spacing w:before="0" w:beforeAutospacing="0" w:after="0" w:afterAutospacing="0" w:line="360" w:lineRule="auto"/>
              <w:rPr>
                <w:bCs/>
                <w:color w:val="000000"/>
              </w:rPr>
            </w:pPr>
            <w:r>
              <w:rPr>
                <w:rFonts w:hint="eastAsia"/>
                <w:bCs/>
                <w:color w:val="000000"/>
                <w:spacing w:val="16"/>
              </w:rPr>
              <w:t>发证机关</w:t>
            </w:r>
          </w:p>
        </w:tc>
        <w:tc>
          <w:tcPr>
            <w:tcW w:w="1276" w:type="dxa"/>
            <w:noWrap w:val="0"/>
            <w:vAlign w:val="top"/>
          </w:tcPr>
          <w:p>
            <w:pPr>
              <w:pStyle w:val="54"/>
              <w:shd w:val="clear" w:color="auto" w:fill="FFFFFF"/>
              <w:spacing w:line="360" w:lineRule="auto"/>
              <w:jc w:val="center"/>
              <w:rPr>
                <w:bCs/>
                <w:color w:val="000000"/>
              </w:rPr>
            </w:pPr>
            <w:r>
              <w:rPr>
                <w:rFonts w:hint="eastAsia"/>
                <w:bCs/>
                <w:color w:val="000000"/>
                <w:spacing w:val="27"/>
              </w:rPr>
              <w:t>编号</w:t>
            </w:r>
          </w:p>
        </w:tc>
        <w:tc>
          <w:tcPr>
            <w:tcW w:w="1618" w:type="dxa"/>
            <w:gridSpan w:val="2"/>
            <w:noWrap w:val="0"/>
            <w:vAlign w:val="top"/>
          </w:tcPr>
          <w:p>
            <w:pPr>
              <w:pStyle w:val="54"/>
              <w:shd w:val="clear" w:color="auto" w:fill="FFFFFF"/>
              <w:spacing w:line="360" w:lineRule="auto"/>
              <w:jc w:val="center"/>
              <w:rPr>
                <w:bCs/>
                <w:color w:val="000000"/>
              </w:rPr>
            </w:pPr>
            <w:r>
              <w:rPr>
                <w:rFonts w:hint="eastAsia"/>
                <w:bCs/>
                <w:color w:val="000000"/>
                <w:spacing w:val="16"/>
              </w:rPr>
              <w:t>发证时间</w:t>
            </w:r>
          </w:p>
        </w:tc>
        <w:tc>
          <w:tcPr>
            <w:tcW w:w="933" w:type="dxa"/>
            <w:noWrap w:val="0"/>
            <w:vAlign w:val="top"/>
          </w:tcPr>
          <w:p>
            <w:pPr>
              <w:pStyle w:val="54"/>
              <w:shd w:val="clear" w:color="auto" w:fill="FFFFFF"/>
              <w:spacing w:before="0" w:beforeAutospacing="0" w:after="0" w:afterAutospacing="0" w:line="360" w:lineRule="auto"/>
              <w:jc w:val="center"/>
              <w:rPr>
                <w:bCs/>
                <w:color w:val="000000"/>
              </w:rPr>
            </w:pPr>
            <w:r>
              <w:rPr>
                <w:rFonts w:hint="eastAsia"/>
                <w:bCs/>
                <w:color w:val="000000"/>
                <w:spacing w:val="27"/>
              </w:rPr>
              <w:t>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trPr>
        <w:tc>
          <w:tcPr>
            <w:tcW w:w="682" w:type="dxa"/>
            <w:vMerge w:val="continue"/>
            <w:noWrap w:val="0"/>
            <w:vAlign w:val="top"/>
          </w:tcPr>
          <w:p>
            <w:pPr>
              <w:pStyle w:val="54"/>
              <w:shd w:val="clear" w:color="auto" w:fill="FFFFFF"/>
              <w:spacing w:line="360" w:lineRule="auto"/>
              <w:ind w:left="107"/>
              <w:rPr>
                <w:bCs/>
                <w:color w:val="000000"/>
              </w:rPr>
            </w:pPr>
          </w:p>
        </w:tc>
        <w:tc>
          <w:tcPr>
            <w:tcW w:w="1553" w:type="dxa"/>
            <w:gridSpan w:val="2"/>
            <w:vMerge w:val="continue"/>
            <w:noWrap w:val="0"/>
            <w:vAlign w:val="top"/>
          </w:tcPr>
          <w:p>
            <w:pPr>
              <w:pStyle w:val="54"/>
              <w:shd w:val="clear" w:color="auto" w:fill="FFFFFF"/>
              <w:spacing w:line="360" w:lineRule="auto"/>
              <w:rPr>
                <w:bCs/>
                <w:color w:val="000000"/>
              </w:rPr>
            </w:pPr>
          </w:p>
        </w:tc>
        <w:tc>
          <w:tcPr>
            <w:tcW w:w="1333" w:type="dxa"/>
            <w:gridSpan w:val="3"/>
            <w:noWrap w:val="0"/>
            <w:vAlign w:val="top"/>
          </w:tcPr>
          <w:p>
            <w:pPr>
              <w:pStyle w:val="54"/>
              <w:shd w:val="clear" w:color="auto" w:fill="FFFFFF"/>
              <w:spacing w:line="360" w:lineRule="auto"/>
              <w:rPr>
                <w:bCs/>
                <w:color w:val="000000"/>
              </w:rPr>
            </w:pPr>
          </w:p>
        </w:tc>
        <w:tc>
          <w:tcPr>
            <w:tcW w:w="1418" w:type="dxa"/>
            <w:gridSpan w:val="2"/>
            <w:noWrap w:val="0"/>
            <w:vAlign w:val="top"/>
          </w:tcPr>
          <w:p>
            <w:pPr>
              <w:pStyle w:val="54"/>
              <w:shd w:val="clear" w:color="auto" w:fill="FFFFFF"/>
              <w:spacing w:line="360" w:lineRule="auto"/>
              <w:rPr>
                <w:bCs/>
                <w:color w:val="000000"/>
              </w:rPr>
            </w:pPr>
          </w:p>
        </w:tc>
        <w:tc>
          <w:tcPr>
            <w:tcW w:w="1276" w:type="dxa"/>
            <w:noWrap w:val="0"/>
            <w:vAlign w:val="top"/>
          </w:tcPr>
          <w:p>
            <w:pPr>
              <w:pStyle w:val="54"/>
              <w:shd w:val="clear" w:color="auto" w:fill="FFFFFF"/>
              <w:spacing w:line="360" w:lineRule="auto"/>
              <w:rPr>
                <w:bCs/>
                <w:color w:val="000000"/>
              </w:rPr>
            </w:pPr>
          </w:p>
        </w:tc>
        <w:tc>
          <w:tcPr>
            <w:tcW w:w="2551" w:type="dxa"/>
            <w:gridSpan w:val="3"/>
            <w:noWrap w:val="0"/>
            <w:vAlign w:val="top"/>
          </w:tcPr>
          <w:p>
            <w:pPr>
              <w:pStyle w:val="54"/>
              <w:shd w:val="clear" w:color="auto" w:fill="FFFFFF"/>
              <w:spacing w:line="360" w:lineRule="auto"/>
              <w:rPr>
                <w:bCs/>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atLeast"/>
        </w:trPr>
        <w:tc>
          <w:tcPr>
            <w:tcW w:w="682" w:type="dxa"/>
            <w:vMerge w:val="continue"/>
            <w:noWrap w:val="0"/>
            <w:vAlign w:val="top"/>
          </w:tcPr>
          <w:p>
            <w:pPr>
              <w:pStyle w:val="54"/>
              <w:shd w:val="clear" w:color="auto" w:fill="FFFFFF"/>
              <w:spacing w:line="360" w:lineRule="auto"/>
              <w:ind w:left="107"/>
              <w:rPr>
                <w:bCs/>
                <w:color w:val="000000"/>
                <w:spacing w:val="16"/>
              </w:rPr>
            </w:pPr>
          </w:p>
        </w:tc>
        <w:tc>
          <w:tcPr>
            <w:tcW w:w="1553" w:type="dxa"/>
            <w:gridSpan w:val="2"/>
            <w:noWrap w:val="0"/>
            <w:vAlign w:val="top"/>
          </w:tcPr>
          <w:p>
            <w:pPr>
              <w:pStyle w:val="54"/>
              <w:shd w:val="clear" w:color="auto" w:fill="FFFFFF"/>
              <w:spacing w:before="0" w:beforeAutospacing="0" w:after="0" w:afterAutospacing="0" w:line="360" w:lineRule="auto"/>
              <w:ind w:right="-107" w:rightChars="-51"/>
              <w:rPr>
                <w:bCs/>
                <w:color w:val="000000"/>
                <w:spacing w:val="41"/>
              </w:rPr>
            </w:pPr>
            <w:r>
              <w:rPr>
                <w:rFonts w:hint="eastAsia"/>
                <w:bCs/>
                <w:color w:val="000000"/>
                <w:spacing w:val="41"/>
              </w:rPr>
              <w:t>企业通过质量体系、环保</w:t>
            </w:r>
            <w:r>
              <w:rPr>
                <w:rFonts w:hint="eastAsia"/>
                <w:bCs/>
                <w:color w:val="000000"/>
                <w:spacing w:val="11"/>
              </w:rPr>
              <w:t>体系、计量等认证情况</w:t>
            </w:r>
          </w:p>
        </w:tc>
        <w:tc>
          <w:tcPr>
            <w:tcW w:w="6578" w:type="dxa"/>
            <w:gridSpan w:val="9"/>
            <w:noWrap w:val="0"/>
            <w:vAlign w:val="top"/>
          </w:tcPr>
          <w:p>
            <w:pPr>
              <w:pStyle w:val="54"/>
              <w:shd w:val="clear" w:color="auto" w:fill="FFFFFF"/>
              <w:spacing w:line="360" w:lineRule="auto"/>
              <w:rPr>
                <w:bCs/>
                <w:color w:val="000000"/>
                <w:spacing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atLeast"/>
        </w:trPr>
        <w:tc>
          <w:tcPr>
            <w:tcW w:w="682" w:type="dxa"/>
            <w:vMerge w:val="continue"/>
            <w:noWrap w:val="0"/>
            <w:vAlign w:val="top"/>
          </w:tcPr>
          <w:p>
            <w:pPr>
              <w:pStyle w:val="54"/>
              <w:shd w:val="clear" w:color="auto" w:fill="FFFFFF"/>
              <w:spacing w:line="360" w:lineRule="auto"/>
              <w:ind w:left="107"/>
              <w:rPr>
                <w:bCs/>
                <w:color w:val="000000"/>
                <w:spacing w:val="27"/>
              </w:rPr>
            </w:pPr>
          </w:p>
        </w:tc>
        <w:tc>
          <w:tcPr>
            <w:tcW w:w="1553" w:type="dxa"/>
            <w:gridSpan w:val="2"/>
            <w:noWrap w:val="0"/>
            <w:vAlign w:val="top"/>
          </w:tcPr>
          <w:p>
            <w:pPr>
              <w:pStyle w:val="54"/>
              <w:shd w:val="clear" w:color="auto" w:fill="FFFFFF"/>
              <w:spacing w:line="360" w:lineRule="auto"/>
              <w:rPr>
                <w:bCs/>
                <w:color w:val="000000"/>
                <w:spacing w:val="16"/>
              </w:rPr>
            </w:pPr>
            <w:r>
              <w:rPr>
                <w:rFonts w:hint="eastAsia"/>
                <w:bCs/>
                <w:color w:val="000000"/>
                <w:spacing w:val="10"/>
              </w:rPr>
              <w:t>企业获得专利情况</w:t>
            </w:r>
          </w:p>
        </w:tc>
        <w:tc>
          <w:tcPr>
            <w:tcW w:w="6578" w:type="dxa"/>
            <w:gridSpan w:val="9"/>
            <w:noWrap w:val="0"/>
            <w:vAlign w:val="top"/>
          </w:tcPr>
          <w:p>
            <w:pPr>
              <w:pStyle w:val="54"/>
              <w:shd w:val="clear" w:color="auto" w:fill="FFFFFF"/>
              <w:spacing w:line="360" w:lineRule="auto"/>
              <w:rPr>
                <w:bCs/>
                <w:color w:val="000000"/>
                <w:spacing w:val="16"/>
              </w:rPr>
            </w:pPr>
          </w:p>
        </w:tc>
      </w:tr>
    </w:tbl>
    <w:p>
      <w:pPr>
        <w:pStyle w:val="54"/>
        <w:shd w:val="clear" w:color="auto" w:fill="FFFFFF"/>
        <w:spacing w:before="0" w:beforeAutospacing="0" w:after="0" w:afterAutospacing="0" w:line="360" w:lineRule="auto"/>
        <w:rPr>
          <w:rFonts w:ascii="仿宋_GB2312" w:eastAsia="仿宋_GB2312"/>
          <w:color w:val="000000"/>
        </w:rPr>
      </w:pPr>
    </w:p>
    <w:p>
      <w:pPr>
        <w:pStyle w:val="54"/>
        <w:shd w:val="clear" w:color="auto" w:fill="FFFFFF"/>
        <w:spacing w:before="0" w:beforeAutospacing="0" w:after="0" w:afterAutospacing="0" w:line="360" w:lineRule="auto"/>
        <w:rPr>
          <w:b/>
          <w:color w:val="000000"/>
          <w:sz w:val="21"/>
          <w:szCs w:val="21"/>
        </w:rPr>
      </w:pPr>
      <w:r>
        <w:rPr>
          <w:rFonts w:hint="eastAsia"/>
          <w:b/>
          <w:color w:val="000000"/>
          <w:sz w:val="21"/>
          <w:szCs w:val="21"/>
        </w:rPr>
        <w:t>要求：</w:t>
      </w:r>
    </w:p>
    <w:p>
      <w:pPr>
        <w:pStyle w:val="54"/>
        <w:shd w:val="clear" w:color="auto" w:fill="FFFFFF"/>
        <w:spacing w:before="0" w:beforeAutospacing="0" w:after="0" w:afterAutospacing="0" w:line="360" w:lineRule="auto"/>
        <w:ind w:firstLine="424" w:firstLineChars="202"/>
        <w:rPr>
          <w:color w:val="000000"/>
        </w:rPr>
      </w:pPr>
      <w:r>
        <w:rPr>
          <w:rFonts w:hint="eastAsia" w:ascii="仿宋_GB2312" w:eastAsia="仿宋_GB2312"/>
          <w:color w:val="000000"/>
          <w:sz w:val="21"/>
          <w:szCs w:val="21"/>
        </w:rPr>
        <w:t>1.</w:t>
      </w:r>
      <w:r>
        <w:rPr>
          <w:rFonts w:hint="eastAsia"/>
          <w:color w:val="000000"/>
          <w:sz w:val="21"/>
          <w:szCs w:val="21"/>
        </w:rPr>
        <w:t>姓名栏必须将所有股东都统计在内，若非股份公司此行（第三行）无需填写；</w:t>
      </w:r>
    </w:p>
    <w:p>
      <w:pPr>
        <w:rPr>
          <w:rFonts w:ascii="宋体" w:hAnsi="宋体"/>
          <w:color w:val="000000"/>
          <w:sz w:val="24"/>
        </w:rPr>
      </w:pPr>
    </w:p>
    <w:p>
      <w:pPr>
        <w:ind w:firstLine="424" w:firstLineChars="177"/>
        <w:rPr>
          <w:rFonts w:ascii="宋体" w:hAnsi="宋体"/>
          <w:color w:val="000000"/>
          <w:sz w:val="24"/>
          <w:u w:val="single"/>
        </w:rPr>
      </w:pPr>
      <w:r>
        <w:rPr>
          <w:rFonts w:hint="eastAsia" w:ascii="宋体" w:hAnsi="宋体"/>
          <w:color w:val="000000"/>
          <w:sz w:val="24"/>
        </w:rPr>
        <w:t>磋商供应商名称（盖章）：</w:t>
      </w:r>
      <w:r>
        <w:rPr>
          <w:rFonts w:hint="eastAsia" w:ascii="宋体" w:hAnsi="宋体"/>
          <w:color w:val="000000"/>
          <w:sz w:val="24"/>
          <w:u w:val="single"/>
        </w:rPr>
        <w:t xml:space="preserve">                       </w:t>
      </w:r>
    </w:p>
    <w:p>
      <w:pPr>
        <w:ind w:left="420"/>
        <w:rPr>
          <w:rFonts w:ascii="宋体" w:hAnsi="宋体"/>
          <w:color w:val="000000"/>
          <w:sz w:val="24"/>
        </w:rPr>
      </w:pPr>
    </w:p>
    <w:p>
      <w:pPr>
        <w:ind w:firstLine="424" w:firstLineChars="177"/>
        <w:rPr>
          <w:rFonts w:ascii="宋体" w:hAnsi="宋体"/>
          <w:color w:val="000000"/>
          <w:sz w:val="24"/>
        </w:rPr>
      </w:pPr>
      <w:r>
        <w:rPr>
          <w:rFonts w:hint="eastAsia" w:ascii="宋体" w:hAnsi="宋体"/>
          <w:color w:val="000000"/>
          <w:sz w:val="24"/>
        </w:rPr>
        <w:t>磋商供应商代表签字：</w:t>
      </w:r>
      <w:r>
        <w:rPr>
          <w:rFonts w:hint="eastAsia" w:ascii="宋体" w:hAnsi="宋体"/>
          <w:color w:val="000000"/>
          <w:sz w:val="24"/>
          <w:u w:val="single"/>
        </w:rPr>
        <w:t xml:space="preserve">                          </w:t>
      </w:r>
    </w:p>
    <w:p>
      <w:pPr>
        <w:ind w:firstLine="435"/>
        <w:rPr>
          <w:rFonts w:ascii="宋体" w:hAnsi="宋体"/>
          <w:color w:val="000000"/>
          <w:sz w:val="24"/>
        </w:rPr>
      </w:pPr>
    </w:p>
    <w:p>
      <w:pPr>
        <w:ind w:firstLine="424" w:firstLineChars="177"/>
        <w:rPr>
          <w:rFonts w:ascii="宋体" w:hAnsi="宋体"/>
          <w:color w:val="000000"/>
          <w:sz w:val="24"/>
          <w:u w:val="single"/>
        </w:rPr>
      </w:pPr>
      <w:r>
        <w:rPr>
          <w:rFonts w:hint="eastAsia" w:ascii="宋体" w:hAnsi="宋体"/>
          <w:color w:val="000000"/>
          <w:sz w:val="24"/>
        </w:rPr>
        <w:t>职        务：</w:t>
      </w:r>
      <w:r>
        <w:rPr>
          <w:rFonts w:hint="eastAsia" w:ascii="宋体" w:hAnsi="宋体"/>
          <w:color w:val="000000"/>
          <w:sz w:val="24"/>
          <w:u w:val="single"/>
        </w:rPr>
        <w:t xml:space="preserve">                             </w:t>
      </w:r>
    </w:p>
    <w:p>
      <w:pPr>
        <w:rPr>
          <w:rFonts w:ascii="宋体" w:hAnsi="宋体"/>
          <w:color w:val="000000"/>
          <w:sz w:val="24"/>
        </w:rPr>
      </w:pPr>
    </w:p>
    <w:p>
      <w:pPr>
        <w:pStyle w:val="54"/>
        <w:shd w:val="clear" w:color="auto" w:fill="FFFFFF"/>
        <w:spacing w:before="0" w:beforeAutospacing="0" w:after="0" w:afterAutospacing="0"/>
        <w:ind w:firstLine="424" w:firstLineChars="177"/>
        <w:rPr>
          <w:rFonts w:hint="eastAsia"/>
          <w:b/>
          <w:color w:val="000000"/>
          <w:sz w:val="28"/>
        </w:rPr>
      </w:pPr>
      <w:r>
        <w:rPr>
          <w:rFonts w:hint="eastAsia"/>
          <w:color w:val="000000"/>
        </w:rPr>
        <w:t>日        期：</w:t>
      </w:r>
      <w:r>
        <w:rPr>
          <w:rFonts w:hint="eastAsia"/>
          <w:color w:val="000000"/>
          <w:u w:val="single"/>
        </w:rPr>
        <w:t xml:space="preserve">                            </w:t>
      </w:r>
    </w:p>
    <w:p>
      <w:pPr>
        <w:snapToGrid w:val="0"/>
        <w:spacing w:before="50" w:after="50" w:line="360" w:lineRule="auto"/>
        <w:rPr>
          <w:rFonts w:hint="eastAsia" w:ascii="宋体" w:hAnsi="宋体"/>
          <w:b/>
          <w:color w:val="000000"/>
          <w:sz w:val="32"/>
          <w:szCs w:val="32"/>
        </w:rPr>
      </w:pPr>
      <w:r>
        <w:rPr>
          <w:rFonts w:hint="eastAsia" w:ascii="宋体" w:hAnsi="宋体"/>
          <w:b/>
          <w:color w:val="000000"/>
          <w:sz w:val="28"/>
        </w:rPr>
        <w:t>附件5：</w:t>
      </w:r>
    </w:p>
    <w:p>
      <w:pPr>
        <w:snapToGrid w:val="0"/>
        <w:spacing w:before="156" w:beforeLines="50" w:after="50" w:line="360" w:lineRule="auto"/>
        <w:jc w:val="center"/>
        <w:rPr>
          <w:rFonts w:ascii="宋体" w:hAnsi="宋体"/>
          <w:b/>
          <w:color w:val="000000"/>
          <w:sz w:val="36"/>
          <w:szCs w:val="36"/>
        </w:rPr>
      </w:pPr>
      <w:r>
        <w:rPr>
          <w:rFonts w:hint="eastAsia" w:ascii="宋体" w:hAnsi="宋体"/>
          <w:b/>
          <w:color w:val="000000"/>
          <w:sz w:val="32"/>
          <w:szCs w:val="32"/>
        </w:rPr>
        <w:t>项目实施人员一览表（第 标）</w:t>
      </w:r>
    </w:p>
    <w:p>
      <w:pPr>
        <w:snapToGrid w:val="0"/>
        <w:spacing w:before="156" w:beforeLines="50" w:after="50" w:line="360" w:lineRule="auto"/>
        <w:ind w:firstLine="2400" w:firstLineChars="1000"/>
        <w:rPr>
          <w:rFonts w:ascii="宋体" w:hAnsi="宋体"/>
          <w:color w:val="000000"/>
          <w:sz w:val="24"/>
        </w:rPr>
      </w:pPr>
      <w:r>
        <w:rPr>
          <w:rFonts w:hint="eastAsia" w:ascii="宋体" w:hAnsi="宋体"/>
          <w:color w:val="000000"/>
          <w:sz w:val="24"/>
        </w:rPr>
        <w:t>（主要从业人员及其技术资格）</w:t>
      </w:r>
    </w:p>
    <w:tbl>
      <w:tblPr>
        <w:tblStyle w:val="30"/>
        <w:tblW w:w="0" w:type="auto"/>
        <w:tblInd w:w="-143"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461"/>
        <w:gridCol w:w="543"/>
        <w:gridCol w:w="1004"/>
        <w:gridCol w:w="795"/>
        <w:gridCol w:w="1276"/>
        <w:gridCol w:w="1275"/>
        <w:gridCol w:w="1418"/>
        <w:gridCol w:w="2126"/>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61" w:type="dxa"/>
            <w:tcBorders>
              <w:top w:val="single" w:color="auto" w:sz="4" w:space="0"/>
              <w:left w:val="single" w:color="auto" w:sz="4" w:space="0"/>
              <w:bottom w:val="single" w:color="auto" w:sz="4" w:space="0"/>
              <w:right w:val="single" w:color="auto" w:sz="4" w:space="0"/>
            </w:tcBorders>
            <w:noWrap w:val="0"/>
            <w:vAlign w:val="center"/>
          </w:tcPr>
          <w:p>
            <w:pPr>
              <w:snapToGrid w:val="0"/>
              <w:spacing w:before="156" w:beforeLines="50" w:after="50" w:line="360" w:lineRule="auto"/>
              <w:jc w:val="center"/>
              <w:rPr>
                <w:rFonts w:ascii="宋体" w:hAnsi="宋体"/>
                <w:b/>
                <w:color w:val="000000"/>
                <w:sz w:val="24"/>
                <w:szCs w:val="20"/>
              </w:rPr>
            </w:pPr>
            <w:r>
              <w:rPr>
                <w:rFonts w:hint="eastAsia" w:ascii="宋体" w:hAnsi="宋体"/>
                <w:b/>
                <w:color w:val="000000"/>
                <w:sz w:val="24"/>
                <w:szCs w:val="20"/>
              </w:rPr>
              <w:t>序号</w:t>
            </w:r>
          </w:p>
        </w:tc>
        <w:tc>
          <w:tcPr>
            <w:tcW w:w="543" w:type="dxa"/>
            <w:tcBorders>
              <w:top w:val="single" w:color="auto" w:sz="4" w:space="0"/>
              <w:left w:val="single" w:color="auto" w:sz="4" w:space="0"/>
              <w:bottom w:val="single" w:color="auto" w:sz="4" w:space="0"/>
              <w:right w:val="single" w:color="auto" w:sz="4" w:space="0"/>
            </w:tcBorders>
            <w:noWrap w:val="0"/>
            <w:vAlign w:val="center"/>
          </w:tcPr>
          <w:p>
            <w:pPr>
              <w:snapToGrid w:val="0"/>
              <w:spacing w:before="156" w:beforeLines="50" w:after="50" w:line="360" w:lineRule="auto"/>
              <w:jc w:val="center"/>
              <w:rPr>
                <w:rFonts w:ascii="宋体" w:hAnsi="宋体"/>
                <w:b/>
                <w:color w:val="000000"/>
                <w:sz w:val="24"/>
                <w:szCs w:val="20"/>
              </w:rPr>
            </w:pPr>
            <w:r>
              <w:rPr>
                <w:rFonts w:hint="eastAsia" w:ascii="宋体" w:hAnsi="宋体"/>
                <w:b/>
                <w:color w:val="000000"/>
                <w:sz w:val="24"/>
              </w:rPr>
              <w:t>姓名</w:t>
            </w:r>
          </w:p>
        </w:tc>
        <w:tc>
          <w:tcPr>
            <w:tcW w:w="1004" w:type="dxa"/>
            <w:tcBorders>
              <w:top w:val="single" w:color="auto" w:sz="4" w:space="0"/>
              <w:left w:val="single" w:color="auto" w:sz="4" w:space="0"/>
              <w:bottom w:val="single" w:color="auto" w:sz="4" w:space="0"/>
              <w:right w:val="single" w:color="auto" w:sz="4" w:space="0"/>
            </w:tcBorders>
            <w:noWrap w:val="0"/>
            <w:vAlign w:val="center"/>
          </w:tcPr>
          <w:p>
            <w:pPr>
              <w:snapToGrid w:val="0"/>
              <w:spacing w:before="156" w:beforeLines="50" w:after="50" w:line="360" w:lineRule="auto"/>
              <w:jc w:val="center"/>
              <w:rPr>
                <w:rFonts w:ascii="宋体" w:hAnsi="宋体"/>
                <w:b/>
                <w:color w:val="000000"/>
                <w:sz w:val="24"/>
                <w:szCs w:val="20"/>
              </w:rPr>
            </w:pPr>
            <w:r>
              <w:rPr>
                <w:rFonts w:hint="eastAsia" w:ascii="宋体" w:hAnsi="宋体"/>
                <w:b/>
                <w:color w:val="000000"/>
                <w:sz w:val="24"/>
              </w:rPr>
              <w:t>职务</w:t>
            </w:r>
          </w:p>
        </w:tc>
        <w:tc>
          <w:tcPr>
            <w:tcW w:w="79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156" w:beforeLines="50" w:after="50" w:line="360" w:lineRule="auto"/>
              <w:jc w:val="center"/>
              <w:rPr>
                <w:rFonts w:ascii="宋体" w:hAnsi="宋体"/>
                <w:b/>
                <w:color w:val="000000"/>
                <w:sz w:val="24"/>
                <w:szCs w:val="20"/>
              </w:rPr>
            </w:pPr>
            <w:r>
              <w:rPr>
                <w:rFonts w:hint="eastAsia" w:ascii="宋体" w:hAnsi="宋体"/>
                <w:b/>
                <w:color w:val="000000"/>
                <w:sz w:val="24"/>
                <w:szCs w:val="20"/>
              </w:rPr>
              <w:t>职责</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snapToGrid w:val="0"/>
              <w:spacing w:before="156" w:beforeLines="50" w:after="50" w:line="360" w:lineRule="auto"/>
              <w:jc w:val="center"/>
              <w:rPr>
                <w:rFonts w:ascii="宋体" w:hAnsi="宋体"/>
                <w:b/>
                <w:color w:val="000000"/>
                <w:sz w:val="24"/>
                <w:szCs w:val="20"/>
              </w:rPr>
            </w:pPr>
            <w:r>
              <w:rPr>
                <w:rFonts w:hint="eastAsia" w:ascii="宋体" w:hAnsi="宋体"/>
                <w:b/>
                <w:color w:val="000000"/>
                <w:sz w:val="24"/>
              </w:rPr>
              <w:t>专业技术资格</w:t>
            </w:r>
          </w:p>
        </w:tc>
        <w:tc>
          <w:tcPr>
            <w:tcW w:w="1275" w:type="dxa"/>
            <w:tcBorders>
              <w:top w:val="single" w:color="auto" w:sz="4" w:space="0"/>
              <w:left w:val="single" w:color="auto" w:sz="4" w:space="0"/>
              <w:bottom w:val="single" w:color="auto" w:sz="4" w:space="0"/>
              <w:right w:val="single" w:color="auto" w:sz="4" w:space="0"/>
            </w:tcBorders>
            <w:noWrap w:val="0"/>
            <w:vAlign w:val="center"/>
          </w:tcPr>
          <w:p>
            <w:pPr>
              <w:snapToGrid w:val="0"/>
              <w:spacing w:before="156" w:beforeLines="50" w:after="50" w:line="360" w:lineRule="auto"/>
              <w:jc w:val="center"/>
              <w:rPr>
                <w:rFonts w:ascii="宋体" w:hAnsi="宋体"/>
                <w:b/>
                <w:color w:val="000000"/>
                <w:sz w:val="24"/>
                <w:szCs w:val="20"/>
              </w:rPr>
            </w:pPr>
            <w:r>
              <w:rPr>
                <w:rFonts w:hint="eastAsia" w:ascii="宋体" w:hAnsi="宋体"/>
                <w:b/>
                <w:color w:val="000000"/>
                <w:sz w:val="24"/>
              </w:rPr>
              <w:t>证书编号</w:t>
            </w:r>
          </w:p>
        </w:tc>
        <w:tc>
          <w:tcPr>
            <w:tcW w:w="1418" w:type="dxa"/>
            <w:tcBorders>
              <w:top w:val="single" w:color="auto" w:sz="4" w:space="0"/>
              <w:left w:val="single" w:color="auto" w:sz="4" w:space="0"/>
              <w:bottom w:val="single" w:color="auto" w:sz="4" w:space="0"/>
              <w:right w:val="single" w:color="auto" w:sz="4" w:space="0"/>
            </w:tcBorders>
            <w:noWrap w:val="0"/>
            <w:vAlign w:val="center"/>
          </w:tcPr>
          <w:p>
            <w:pPr>
              <w:snapToGrid w:val="0"/>
              <w:spacing w:before="156" w:beforeLines="50" w:after="50" w:line="360" w:lineRule="auto"/>
              <w:jc w:val="center"/>
              <w:rPr>
                <w:rFonts w:ascii="宋体" w:hAnsi="宋体"/>
                <w:b/>
                <w:bCs/>
                <w:color w:val="000000"/>
                <w:sz w:val="24"/>
                <w:szCs w:val="20"/>
              </w:rPr>
            </w:pPr>
            <w:r>
              <w:rPr>
                <w:rFonts w:hint="eastAsia" w:ascii="宋体" w:hAnsi="宋体"/>
                <w:b/>
                <w:bCs/>
                <w:color w:val="000000"/>
                <w:sz w:val="24"/>
              </w:rPr>
              <w:t>参加本单位工作时间</w:t>
            </w:r>
          </w:p>
        </w:tc>
        <w:tc>
          <w:tcPr>
            <w:tcW w:w="2126" w:type="dxa"/>
            <w:tcBorders>
              <w:top w:val="single" w:color="auto" w:sz="4" w:space="0"/>
              <w:left w:val="single" w:color="auto" w:sz="4" w:space="0"/>
              <w:bottom w:val="single" w:color="auto" w:sz="4" w:space="0"/>
              <w:right w:val="single" w:color="auto" w:sz="4" w:space="0"/>
            </w:tcBorders>
            <w:noWrap w:val="0"/>
            <w:vAlign w:val="center"/>
          </w:tcPr>
          <w:p>
            <w:pPr>
              <w:snapToGrid w:val="0"/>
              <w:spacing w:before="156" w:beforeLines="50" w:after="50" w:line="360" w:lineRule="auto"/>
              <w:jc w:val="center"/>
              <w:rPr>
                <w:rFonts w:ascii="宋体" w:hAnsi="宋体"/>
                <w:b/>
                <w:bCs/>
                <w:color w:val="000000"/>
                <w:sz w:val="24"/>
                <w:szCs w:val="20"/>
              </w:rPr>
            </w:pPr>
            <w:r>
              <w:rPr>
                <w:rFonts w:hint="eastAsia" w:ascii="宋体" w:hAnsi="宋体"/>
                <w:b/>
                <w:color w:val="000000"/>
                <w:sz w:val="24"/>
              </w:rPr>
              <w:t>劳动合同编号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61"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color w:val="000000"/>
                <w:sz w:val="24"/>
                <w:szCs w:val="20"/>
              </w:rPr>
            </w:pPr>
          </w:p>
        </w:tc>
        <w:tc>
          <w:tcPr>
            <w:tcW w:w="543"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004"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795"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275"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418"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2126"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61"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color w:val="000000"/>
                <w:sz w:val="24"/>
                <w:szCs w:val="20"/>
              </w:rPr>
            </w:pPr>
          </w:p>
        </w:tc>
        <w:tc>
          <w:tcPr>
            <w:tcW w:w="543"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004"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795"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275"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418"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2126"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461"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color w:val="000000"/>
                <w:sz w:val="24"/>
                <w:szCs w:val="20"/>
              </w:rPr>
            </w:pPr>
          </w:p>
        </w:tc>
        <w:tc>
          <w:tcPr>
            <w:tcW w:w="543"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004"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795" w:type="dxa"/>
            <w:tcBorders>
              <w:top w:val="single" w:color="auto" w:sz="4" w:space="0"/>
              <w:left w:val="single" w:color="auto" w:sz="4" w:space="0"/>
              <w:bottom w:val="single" w:color="auto" w:sz="4" w:space="0"/>
              <w:right w:val="single" w:color="auto" w:sz="4" w:space="0"/>
            </w:tcBorders>
            <w:noWrap w:val="0"/>
            <w:vAlign w:val="top"/>
          </w:tcPr>
          <w:p>
            <w:pPr>
              <w:pStyle w:val="16"/>
              <w:snapToGrid w:val="0"/>
              <w:spacing w:before="156" w:beforeLines="50" w:after="50" w:line="360" w:lineRule="auto"/>
              <w:ind w:left="5250"/>
              <w:rPr>
                <w:rFonts w:ascii="宋体" w:hAnsi="宋体"/>
                <w:b/>
                <w:color w:val="000000"/>
                <w:kern w:val="44"/>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pStyle w:val="16"/>
              <w:snapToGrid w:val="0"/>
              <w:spacing w:before="156" w:beforeLines="50" w:after="50" w:line="360" w:lineRule="auto"/>
              <w:ind w:left="5250"/>
              <w:rPr>
                <w:rFonts w:ascii="宋体" w:hAnsi="宋体"/>
                <w:b/>
                <w:color w:val="000000"/>
                <w:kern w:val="44"/>
              </w:rPr>
            </w:pPr>
          </w:p>
        </w:tc>
        <w:tc>
          <w:tcPr>
            <w:tcW w:w="1275" w:type="dxa"/>
            <w:tcBorders>
              <w:top w:val="single" w:color="auto" w:sz="4" w:space="0"/>
              <w:left w:val="single" w:color="auto" w:sz="4" w:space="0"/>
              <w:bottom w:val="single" w:color="auto" w:sz="4" w:space="0"/>
              <w:right w:val="single" w:color="auto" w:sz="4" w:space="0"/>
            </w:tcBorders>
            <w:noWrap w:val="0"/>
            <w:vAlign w:val="top"/>
          </w:tcPr>
          <w:p>
            <w:pPr>
              <w:pStyle w:val="16"/>
              <w:spacing w:line="360" w:lineRule="auto"/>
              <w:ind w:left="5250"/>
              <w:rPr>
                <w:rFonts w:ascii="宋体" w:hAnsi="宋体"/>
                <w:color w:val="000000"/>
              </w:rPr>
            </w:pPr>
          </w:p>
        </w:tc>
        <w:tc>
          <w:tcPr>
            <w:tcW w:w="1418"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color w:val="000000"/>
                <w:sz w:val="24"/>
                <w:szCs w:val="20"/>
              </w:rPr>
            </w:pPr>
          </w:p>
        </w:tc>
        <w:tc>
          <w:tcPr>
            <w:tcW w:w="2126"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61"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color w:val="000000"/>
                <w:sz w:val="24"/>
                <w:szCs w:val="20"/>
              </w:rPr>
            </w:pPr>
          </w:p>
        </w:tc>
        <w:tc>
          <w:tcPr>
            <w:tcW w:w="543"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004"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795"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275"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418"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2126"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61"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color w:val="000000"/>
                <w:sz w:val="24"/>
                <w:szCs w:val="20"/>
              </w:rPr>
            </w:pPr>
          </w:p>
        </w:tc>
        <w:tc>
          <w:tcPr>
            <w:tcW w:w="543"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004"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795"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276"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275"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1418"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c>
          <w:tcPr>
            <w:tcW w:w="2126" w:type="dxa"/>
            <w:tcBorders>
              <w:top w:val="single" w:color="auto" w:sz="4" w:space="0"/>
              <w:left w:val="single" w:color="auto" w:sz="4" w:space="0"/>
              <w:bottom w:val="single" w:color="auto" w:sz="4" w:space="0"/>
              <w:right w:val="single" w:color="auto" w:sz="4" w:space="0"/>
            </w:tcBorders>
            <w:noWrap w:val="0"/>
            <w:vAlign w:val="top"/>
          </w:tcPr>
          <w:p>
            <w:pPr>
              <w:snapToGrid w:val="0"/>
              <w:spacing w:before="156" w:beforeLines="50" w:after="50" w:line="360" w:lineRule="auto"/>
              <w:rPr>
                <w:rFonts w:ascii="宋体" w:hAnsi="宋体"/>
                <w:b/>
                <w:color w:val="000000"/>
                <w:kern w:val="44"/>
                <w:sz w:val="24"/>
                <w:szCs w:val="20"/>
              </w:rPr>
            </w:pPr>
          </w:p>
        </w:tc>
      </w:tr>
    </w:tbl>
    <w:p>
      <w:pPr>
        <w:spacing w:line="360" w:lineRule="auto"/>
        <w:rPr>
          <w:rFonts w:ascii="宋体" w:hAnsi="宋体"/>
          <w:b/>
          <w:color w:val="000000"/>
          <w:szCs w:val="21"/>
        </w:rPr>
      </w:pPr>
      <w:r>
        <w:rPr>
          <w:rFonts w:hint="eastAsia" w:ascii="宋体" w:hAnsi="宋体"/>
          <w:b/>
          <w:color w:val="000000"/>
          <w:szCs w:val="21"/>
        </w:rPr>
        <w:t>要求：</w:t>
      </w:r>
    </w:p>
    <w:p>
      <w:pPr>
        <w:spacing w:line="360" w:lineRule="auto"/>
        <w:ind w:left="437"/>
        <w:rPr>
          <w:rFonts w:ascii="宋体" w:hAnsi="宋体"/>
          <w:color w:val="000000"/>
          <w:szCs w:val="21"/>
        </w:rPr>
      </w:pPr>
      <w:r>
        <w:rPr>
          <w:rFonts w:hint="eastAsia" w:ascii="宋体" w:hAnsi="宋体"/>
          <w:b/>
          <w:color w:val="000000"/>
          <w:szCs w:val="21"/>
        </w:rPr>
        <w:t>1.</w:t>
      </w:r>
      <w:r>
        <w:rPr>
          <w:rFonts w:hint="eastAsia" w:ascii="宋体" w:hAnsi="宋体"/>
          <w:color w:val="000000"/>
          <w:szCs w:val="21"/>
        </w:rPr>
        <w:t>在填写时，如本表格不适合供应商的实际情况，可根据本表格式自行划表填写。</w:t>
      </w:r>
    </w:p>
    <w:p>
      <w:pPr>
        <w:pStyle w:val="43"/>
        <w:spacing w:line="360" w:lineRule="auto"/>
        <w:ind w:left="424" w:leftChars="202"/>
        <w:rPr>
          <w:rFonts w:ascii="宋体" w:hAnsi="宋体"/>
          <w:color w:val="000000"/>
          <w:szCs w:val="21"/>
        </w:rPr>
      </w:pPr>
      <w:r>
        <w:rPr>
          <w:rFonts w:hint="eastAsia" w:ascii="宋体" w:hAnsi="宋体"/>
          <w:color w:val="000000"/>
          <w:szCs w:val="21"/>
        </w:rPr>
        <w:t>2.附人员证书复印件；</w:t>
      </w:r>
    </w:p>
    <w:p>
      <w:pPr>
        <w:pStyle w:val="43"/>
        <w:spacing w:line="360" w:lineRule="auto"/>
        <w:ind w:left="424" w:hanging="424" w:hangingChars="202"/>
        <w:rPr>
          <w:rFonts w:ascii="宋体" w:hAnsi="宋体"/>
          <w:color w:val="000000"/>
          <w:szCs w:val="21"/>
        </w:rPr>
      </w:pPr>
      <w:r>
        <w:rPr>
          <w:rFonts w:hint="eastAsia" w:ascii="宋体" w:hAnsi="宋体"/>
          <w:color w:val="000000"/>
          <w:szCs w:val="21"/>
        </w:rPr>
        <w:t>　　3.出具上述人员在本单位服务的外部证明，如：磋商</w:t>
      </w:r>
      <w:r>
        <w:rPr>
          <w:rFonts w:ascii="宋体" w:hAnsi="宋体"/>
          <w:color w:val="000000"/>
          <w:szCs w:val="21"/>
        </w:rPr>
        <w:t>截止日之前六个月以内的</w:t>
      </w:r>
      <w:r>
        <w:rPr>
          <w:rFonts w:hint="eastAsia" w:ascii="宋体" w:hAnsi="宋体"/>
          <w:color w:val="000000"/>
          <w:szCs w:val="21"/>
        </w:rPr>
        <w:t>代缴个税税单、参加社会保险的《投保单》或《社会保险参保人员证明》等。</w:t>
      </w:r>
    </w:p>
    <w:p>
      <w:pPr>
        <w:snapToGrid w:val="0"/>
        <w:spacing w:before="50" w:after="156" w:afterLines="50" w:line="360" w:lineRule="auto"/>
        <w:jc w:val="left"/>
        <w:rPr>
          <w:rFonts w:ascii="宋体" w:hAnsi="宋体"/>
          <w:color w:val="000000"/>
          <w:sz w:val="24"/>
          <w:szCs w:val="20"/>
        </w:rPr>
      </w:pPr>
    </w:p>
    <w:p>
      <w:pPr>
        <w:spacing w:line="360" w:lineRule="auto"/>
        <w:ind w:left="420"/>
        <w:rPr>
          <w:rFonts w:ascii="宋体" w:hAnsi="宋体"/>
          <w:color w:val="000000"/>
          <w:sz w:val="24"/>
          <w:u w:val="single"/>
        </w:rPr>
      </w:pPr>
      <w:r>
        <w:rPr>
          <w:rFonts w:hint="eastAsia" w:ascii="宋体" w:hAnsi="宋体"/>
          <w:color w:val="000000"/>
          <w:sz w:val="24"/>
        </w:rPr>
        <w:t>磋商供应商名称（盖章）：</w:t>
      </w:r>
      <w:r>
        <w:rPr>
          <w:rFonts w:hint="eastAsia" w:ascii="宋体" w:hAnsi="宋体"/>
          <w:color w:val="000000"/>
          <w:sz w:val="24"/>
          <w:u w:val="single"/>
        </w:rPr>
        <w:t xml:space="preserve">                      </w:t>
      </w:r>
    </w:p>
    <w:p>
      <w:pPr>
        <w:spacing w:line="360" w:lineRule="auto"/>
        <w:ind w:left="420"/>
        <w:rPr>
          <w:rFonts w:ascii="宋体" w:hAnsi="宋体"/>
          <w:color w:val="000000"/>
          <w:sz w:val="24"/>
        </w:rPr>
      </w:pPr>
      <w:r>
        <w:rPr>
          <w:rFonts w:hint="eastAsia" w:ascii="宋体" w:hAnsi="宋体"/>
          <w:color w:val="000000"/>
          <w:sz w:val="24"/>
        </w:rPr>
        <w:t xml:space="preserve"> </w:t>
      </w:r>
    </w:p>
    <w:p>
      <w:pPr>
        <w:spacing w:line="360" w:lineRule="auto"/>
        <w:ind w:firstLine="435"/>
        <w:rPr>
          <w:rFonts w:ascii="宋体" w:hAnsi="宋体"/>
          <w:color w:val="000000"/>
          <w:sz w:val="24"/>
        </w:rPr>
      </w:pPr>
      <w:r>
        <w:rPr>
          <w:rFonts w:hint="eastAsia" w:ascii="宋体" w:hAnsi="宋体"/>
          <w:color w:val="000000"/>
          <w:sz w:val="24"/>
        </w:rPr>
        <w:t>磋商供应商代表签字：</w:t>
      </w:r>
      <w:r>
        <w:rPr>
          <w:rFonts w:hint="eastAsia" w:ascii="宋体" w:hAnsi="宋体"/>
          <w:color w:val="000000"/>
          <w:sz w:val="24"/>
          <w:u w:val="single"/>
        </w:rPr>
        <w:t xml:space="preserve">                          </w:t>
      </w:r>
    </w:p>
    <w:p>
      <w:pPr>
        <w:spacing w:line="360" w:lineRule="auto"/>
        <w:ind w:firstLine="435"/>
        <w:rPr>
          <w:rFonts w:ascii="宋体" w:hAnsi="宋体"/>
          <w:color w:val="000000"/>
          <w:sz w:val="24"/>
        </w:rPr>
      </w:pPr>
    </w:p>
    <w:p>
      <w:pPr>
        <w:spacing w:line="360" w:lineRule="auto"/>
        <w:ind w:firstLine="435"/>
        <w:rPr>
          <w:rFonts w:ascii="宋体" w:hAnsi="宋体"/>
          <w:color w:val="000000"/>
          <w:sz w:val="24"/>
        </w:rPr>
      </w:pPr>
      <w:r>
        <w:rPr>
          <w:rFonts w:hint="eastAsia" w:ascii="宋体" w:hAnsi="宋体"/>
          <w:color w:val="000000"/>
          <w:sz w:val="24"/>
        </w:rPr>
        <w:t>职        务：</w:t>
      </w:r>
      <w:r>
        <w:rPr>
          <w:rFonts w:hint="eastAsia" w:ascii="宋体" w:hAnsi="宋体"/>
          <w:color w:val="000000"/>
          <w:sz w:val="24"/>
          <w:u w:val="single"/>
        </w:rPr>
        <w:t xml:space="preserve">                            </w:t>
      </w:r>
    </w:p>
    <w:p>
      <w:pPr>
        <w:spacing w:line="360" w:lineRule="auto"/>
        <w:ind w:firstLine="435"/>
        <w:rPr>
          <w:rFonts w:ascii="宋体" w:hAnsi="宋体"/>
          <w:color w:val="000000"/>
          <w:sz w:val="24"/>
        </w:rPr>
      </w:pPr>
    </w:p>
    <w:p>
      <w:pPr>
        <w:spacing w:line="360" w:lineRule="auto"/>
        <w:ind w:firstLine="435"/>
        <w:rPr>
          <w:rFonts w:ascii="宋体" w:hAnsi="宋体"/>
          <w:b/>
          <w:color w:val="000000"/>
          <w:sz w:val="28"/>
        </w:rPr>
      </w:pPr>
      <w:r>
        <w:rPr>
          <w:rFonts w:hint="eastAsia" w:ascii="宋体" w:hAnsi="宋体"/>
          <w:color w:val="000000"/>
          <w:sz w:val="24"/>
        </w:rPr>
        <w:t>日        期：</w:t>
      </w:r>
      <w:r>
        <w:rPr>
          <w:rFonts w:hint="eastAsia" w:ascii="宋体" w:hAnsi="宋体"/>
          <w:color w:val="000000"/>
          <w:sz w:val="24"/>
          <w:u w:val="single"/>
        </w:rPr>
        <w:t xml:space="preserve">                            </w:t>
      </w:r>
    </w:p>
    <w:p>
      <w:pPr>
        <w:spacing w:line="360" w:lineRule="auto"/>
        <w:ind w:firstLine="435"/>
        <w:rPr>
          <w:rFonts w:ascii="宋体" w:hAnsi="宋体"/>
          <w:color w:val="000000"/>
        </w:rPr>
      </w:pPr>
      <w:r>
        <w:rPr>
          <w:rFonts w:hint="eastAsia" w:ascii="宋体" w:hAnsi="宋体"/>
          <w:b/>
          <w:color w:val="000000"/>
          <w:sz w:val="28"/>
        </w:rPr>
        <w:t>附件6：</w:t>
      </w:r>
    </w:p>
    <w:p>
      <w:pPr>
        <w:spacing w:before="156" w:beforeLines="50" w:after="156" w:afterLines="50" w:line="360" w:lineRule="auto"/>
        <w:ind w:right="-10"/>
        <w:jc w:val="center"/>
        <w:rPr>
          <w:rFonts w:ascii="宋体" w:hAnsi="宋体"/>
          <w:b/>
          <w:bCs/>
          <w:color w:val="000000"/>
          <w:sz w:val="32"/>
          <w:szCs w:val="32"/>
        </w:rPr>
      </w:pPr>
      <w:r>
        <w:rPr>
          <w:rFonts w:hint="eastAsia" w:ascii="宋体" w:hAnsi="宋体"/>
          <w:b/>
          <w:bCs/>
          <w:color w:val="000000"/>
          <w:sz w:val="32"/>
          <w:szCs w:val="32"/>
        </w:rPr>
        <w:t>项目负责人资格情况表</w:t>
      </w:r>
    </w:p>
    <w:p>
      <w:pPr>
        <w:spacing w:line="360" w:lineRule="auto"/>
        <w:rPr>
          <w:rFonts w:ascii="宋体" w:hAnsi="宋体"/>
          <w:color w:val="000000"/>
        </w:rPr>
      </w:pPr>
      <w:r>
        <w:rPr>
          <w:rFonts w:hint="eastAsia" w:ascii="宋体" w:hAnsi="宋体"/>
          <w:color w:val="000000"/>
        </w:rPr>
        <w:t>采购项目：                                            采购编号：</w:t>
      </w:r>
    </w:p>
    <w:tbl>
      <w:tblPr>
        <w:tblStyle w:val="30"/>
        <w:tblW w:w="0" w:type="auto"/>
        <w:tblInd w:w="12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4"/>
        <w:gridCol w:w="2967"/>
        <w:gridCol w:w="3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trPr>
        <w:tc>
          <w:tcPr>
            <w:tcW w:w="1974" w:type="dxa"/>
            <w:tcBorders>
              <w:top w:val="single" w:color="auto" w:sz="12" w:space="0"/>
              <w:left w:val="single" w:color="auto" w:sz="12"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b/>
                <w:bCs/>
                <w:color w:val="000000"/>
                <w:lang w:val="zh-CN"/>
              </w:rPr>
            </w:pPr>
            <w:r>
              <w:rPr>
                <w:rFonts w:hint="eastAsia" w:ascii="宋体" w:hAnsi="宋体"/>
                <w:b/>
                <w:bCs/>
                <w:color w:val="000000"/>
                <w:lang w:val="zh-CN"/>
              </w:rPr>
              <w:t>姓名</w:t>
            </w:r>
          </w:p>
        </w:tc>
        <w:tc>
          <w:tcPr>
            <w:tcW w:w="2967" w:type="dxa"/>
            <w:tcBorders>
              <w:top w:val="single" w:color="auto" w:sz="12" w:space="0"/>
              <w:left w:val="single" w:color="auto" w:sz="4"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c>
          <w:tcPr>
            <w:tcW w:w="3685" w:type="dxa"/>
            <w:tcBorders>
              <w:top w:val="single" w:color="auto" w:sz="12" w:space="0"/>
              <w:left w:val="single" w:color="auto" w:sz="4" w:space="0"/>
              <w:bottom w:val="single" w:color="auto" w:sz="4" w:space="0"/>
              <w:right w:val="single" w:color="auto" w:sz="12" w:space="0"/>
            </w:tcBorders>
            <w:noWrap w:val="0"/>
            <w:vAlign w:val="center"/>
          </w:tcPr>
          <w:p>
            <w:pPr>
              <w:autoSpaceDE w:val="0"/>
              <w:autoSpaceDN w:val="0"/>
              <w:adjustRightInd w:val="0"/>
              <w:snapToGrid w:val="0"/>
              <w:spacing w:line="360" w:lineRule="auto"/>
              <w:jc w:val="center"/>
              <w:rPr>
                <w:rFonts w:ascii="宋体" w:hAnsi="宋体"/>
                <w:b/>
                <w:bCs/>
                <w:color w:val="000000"/>
                <w:lang w:val="zh-CN"/>
              </w:rPr>
            </w:pPr>
            <w:r>
              <w:rPr>
                <w:rFonts w:hint="eastAsia" w:ascii="宋体" w:hAnsi="宋体"/>
                <w:b/>
                <w:bCs/>
                <w:color w:val="000000"/>
                <w:lang w:val="zh-CN"/>
              </w:rPr>
              <w:t>近年来主要工作业绩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b/>
                <w:bCs/>
                <w:color w:val="000000"/>
                <w:lang w:val="zh-CN"/>
              </w:rPr>
            </w:pPr>
            <w:r>
              <w:rPr>
                <w:rFonts w:hint="eastAsia" w:ascii="宋体" w:hAnsi="宋体"/>
                <w:b/>
                <w:bCs/>
                <w:color w:val="000000"/>
                <w:lang w:val="zh-CN"/>
              </w:rPr>
              <w:t>性别</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c>
          <w:tcPr>
            <w:tcW w:w="3685" w:type="dxa"/>
            <w:vMerge w:val="restart"/>
            <w:tcBorders>
              <w:top w:val="single" w:color="auto" w:sz="4" w:space="0"/>
              <w:left w:val="single" w:color="auto" w:sz="4" w:space="0"/>
              <w:bottom w:val="single" w:color="auto" w:sz="4" w:space="0"/>
              <w:right w:val="single" w:color="auto" w:sz="12" w:space="0"/>
            </w:tcBorders>
            <w:noWrap w:val="0"/>
            <w:vAlign w:val="center"/>
          </w:tcPr>
          <w:p>
            <w:pPr>
              <w:autoSpaceDE w:val="0"/>
              <w:autoSpaceDN w:val="0"/>
              <w:adjustRightInd w:val="0"/>
              <w:snapToGrid w:val="0"/>
              <w:spacing w:line="360" w:lineRule="auto"/>
              <w:jc w:val="center"/>
              <w:rPr>
                <w:rFonts w:ascii="宋体" w:hAnsi="宋体"/>
                <w:color w:val="000000"/>
              </w:rPr>
            </w:pPr>
            <w:r>
              <w:rPr>
                <w:rFonts w:hint="eastAsia" w:ascii="宋体" w:hAnsi="宋体"/>
                <w:color w:val="000000"/>
              </w:rPr>
              <w:t>注：业绩证明应提供旁证材料</w:t>
            </w:r>
          </w:p>
          <w:p>
            <w:pPr>
              <w:autoSpaceDE w:val="0"/>
              <w:autoSpaceDN w:val="0"/>
              <w:adjustRightInd w:val="0"/>
              <w:snapToGrid w:val="0"/>
              <w:spacing w:line="360" w:lineRule="auto"/>
              <w:jc w:val="center"/>
              <w:rPr>
                <w:rFonts w:ascii="宋体" w:hAnsi="宋体"/>
                <w:color w:val="000000"/>
                <w:lang w:val="zh-CN"/>
              </w:rPr>
            </w:pPr>
            <w:r>
              <w:rPr>
                <w:rFonts w:hint="eastAsia" w:ascii="宋体" w:hAnsi="宋体"/>
                <w:color w:val="000000"/>
              </w:rPr>
              <w:t>（供货合同或成交通知书）。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b/>
                <w:bCs/>
                <w:color w:val="000000"/>
                <w:lang w:val="zh-CN"/>
              </w:rPr>
            </w:pPr>
            <w:r>
              <w:rPr>
                <w:rFonts w:hint="eastAsia" w:ascii="宋体" w:hAnsi="宋体"/>
                <w:b/>
                <w:bCs/>
                <w:color w:val="000000"/>
                <w:lang w:val="zh-CN"/>
              </w:rPr>
              <w:t>年龄</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b/>
                <w:bCs/>
                <w:color w:val="000000"/>
                <w:lang w:val="zh-CN"/>
              </w:rPr>
            </w:pPr>
            <w:r>
              <w:rPr>
                <w:rFonts w:hint="eastAsia" w:ascii="宋体" w:hAnsi="宋体"/>
                <w:b/>
                <w:bCs/>
                <w:color w:val="000000"/>
                <w:lang w:val="zh-CN"/>
              </w:rPr>
              <w:t>职称</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b/>
                <w:bCs/>
                <w:color w:val="000000"/>
                <w:lang w:val="zh-CN"/>
              </w:rPr>
            </w:pPr>
            <w:r>
              <w:rPr>
                <w:rFonts w:hint="eastAsia" w:ascii="宋体" w:hAnsi="宋体"/>
                <w:b/>
                <w:bCs/>
                <w:color w:val="000000"/>
                <w:lang w:val="zh-CN"/>
              </w:rPr>
              <w:t>毕业时间</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b/>
                <w:bCs/>
                <w:color w:val="000000"/>
                <w:lang w:val="zh-CN"/>
              </w:rPr>
            </w:pPr>
            <w:r>
              <w:rPr>
                <w:rFonts w:hint="eastAsia" w:ascii="宋体" w:hAnsi="宋体"/>
                <w:b/>
                <w:bCs/>
                <w:color w:val="000000"/>
                <w:lang w:val="zh-CN"/>
              </w:rPr>
              <w:t>学校专业</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b/>
                <w:bCs/>
                <w:color w:val="000000"/>
                <w:lang w:val="zh-CN"/>
              </w:rPr>
            </w:pPr>
            <w:r>
              <w:rPr>
                <w:rFonts w:hint="eastAsia" w:ascii="宋体" w:hAnsi="宋体"/>
                <w:b/>
                <w:bCs/>
                <w:color w:val="000000"/>
                <w:lang w:val="zh-CN"/>
              </w:rPr>
              <w:t>联系电话</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b/>
                <w:bCs/>
                <w:color w:val="000000"/>
                <w:lang w:val="zh-CN"/>
              </w:rPr>
            </w:pPr>
            <w:r>
              <w:rPr>
                <w:rFonts w:hint="eastAsia" w:ascii="宋体" w:hAnsi="宋体"/>
                <w:b/>
                <w:bCs/>
                <w:color w:val="000000"/>
              </w:rPr>
              <w:t>最近一年工作状况</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trPr>
        <w:tc>
          <w:tcPr>
            <w:tcW w:w="1974" w:type="dxa"/>
            <w:tcBorders>
              <w:top w:val="single" w:color="auto" w:sz="4" w:space="0"/>
              <w:left w:val="single" w:color="auto" w:sz="12" w:space="0"/>
              <w:bottom w:val="single" w:color="auto" w:sz="12" w:space="0"/>
              <w:right w:val="single" w:color="auto" w:sz="4" w:space="0"/>
            </w:tcBorders>
            <w:noWrap w:val="0"/>
            <w:vAlign w:val="center"/>
          </w:tcPr>
          <w:p>
            <w:pPr>
              <w:autoSpaceDE w:val="0"/>
              <w:autoSpaceDN w:val="0"/>
              <w:adjustRightInd w:val="0"/>
              <w:snapToGrid w:val="0"/>
              <w:spacing w:line="360" w:lineRule="auto"/>
              <w:jc w:val="center"/>
              <w:rPr>
                <w:rFonts w:ascii="宋体" w:hAnsi="宋体"/>
                <w:b/>
                <w:bCs/>
                <w:color w:val="000000"/>
                <w:lang w:val="zh-CN"/>
              </w:rPr>
            </w:pPr>
            <w:r>
              <w:rPr>
                <w:rFonts w:hint="eastAsia" w:ascii="宋体" w:hAnsi="宋体"/>
                <w:b/>
                <w:bCs/>
                <w:color w:val="000000"/>
                <w:lang w:val="zh-CN"/>
              </w:rPr>
              <w:t>拟在本项目中担任主要工作</w:t>
            </w:r>
          </w:p>
        </w:tc>
        <w:tc>
          <w:tcPr>
            <w:tcW w:w="6652" w:type="dxa"/>
            <w:gridSpan w:val="2"/>
            <w:tcBorders>
              <w:top w:val="single" w:color="auto" w:sz="4" w:space="0"/>
              <w:left w:val="single" w:color="auto" w:sz="4" w:space="0"/>
              <w:bottom w:val="single" w:color="auto" w:sz="12" w:space="0"/>
              <w:right w:val="single" w:color="auto" w:sz="12" w:space="0"/>
            </w:tcBorders>
            <w:noWrap w:val="0"/>
            <w:vAlign w:val="center"/>
          </w:tcPr>
          <w:p>
            <w:pPr>
              <w:autoSpaceDE w:val="0"/>
              <w:autoSpaceDN w:val="0"/>
              <w:adjustRightInd w:val="0"/>
              <w:snapToGrid w:val="0"/>
              <w:spacing w:line="360" w:lineRule="auto"/>
              <w:jc w:val="center"/>
              <w:rPr>
                <w:rFonts w:ascii="宋体" w:hAnsi="宋体"/>
                <w:color w:val="000000"/>
                <w:lang w:val="zh-CN"/>
              </w:rPr>
            </w:pPr>
          </w:p>
        </w:tc>
      </w:tr>
    </w:tbl>
    <w:p>
      <w:pPr>
        <w:spacing w:line="360" w:lineRule="auto"/>
        <w:ind w:left="420"/>
        <w:rPr>
          <w:rFonts w:ascii="宋体" w:hAnsi="宋体"/>
          <w:color w:val="000000"/>
          <w:sz w:val="24"/>
        </w:rPr>
      </w:pPr>
    </w:p>
    <w:p>
      <w:pPr>
        <w:spacing w:line="360" w:lineRule="auto"/>
        <w:ind w:firstLine="480" w:firstLineChars="200"/>
        <w:rPr>
          <w:rFonts w:ascii="宋体" w:hAnsi="宋体"/>
          <w:color w:val="000000"/>
          <w:sz w:val="24"/>
          <w:u w:val="single"/>
        </w:rPr>
      </w:pPr>
      <w:r>
        <w:rPr>
          <w:rFonts w:hint="eastAsia" w:ascii="宋体" w:hAnsi="宋体"/>
          <w:color w:val="000000"/>
          <w:sz w:val="24"/>
        </w:rPr>
        <w:t>磋商供应商名称（盖章）：</w:t>
      </w:r>
      <w:r>
        <w:rPr>
          <w:rFonts w:hint="eastAsia" w:ascii="宋体" w:hAnsi="宋体"/>
          <w:color w:val="000000"/>
          <w:sz w:val="24"/>
          <w:u w:val="single"/>
        </w:rPr>
        <w:t xml:space="preserve">                      </w:t>
      </w:r>
    </w:p>
    <w:p>
      <w:pPr>
        <w:spacing w:line="360" w:lineRule="auto"/>
        <w:ind w:left="420"/>
        <w:rPr>
          <w:rFonts w:ascii="宋体" w:hAnsi="宋体"/>
          <w:color w:val="000000"/>
          <w:sz w:val="24"/>
        </w:rPr>
      </w:pPr>
      <w:r>
        <w:rPr>
          <w:rFonts w:hint="eastAsia" w:ascii="宋体" w:hAnsi="宋体"/>
          <w:color w:val="000000"/>
          <w:sz w:val="24"/>
        </w:rPr>
        <w:t xml:space="preserve"> </w:t>
      </w:r>
    </w:p>
    <w:p>
      <w:pPr>
        <w:spacing w:line="360" w:lineRule="auto"/>
        <w:ind w:firstLine="435"/>
        <w:rPr>
          <w:rFonts w:ascii="宋体" w:hAnsi="宋体"/>
          <w:color w:val="000000"/>
          <w:sz w:val="24"/>
        </w:rPr>
      </w:pPr>
      <w:r>
        <w:rPr>
          <w:rFonts w:hint="eastAsia" w:ascii="宋体" w:hAnsi="宋体"/>
          <w:color w:val="000000"/>
          <w:sz w:val="24"/>
        </w:rPr>
        <w:t>磋商供应商代表签字：</w:t>
      </w:r>
      <w:r>
        <w:rPr>
          <w:rFonts w:hint="eastAsia" w:ascii="宋体" w:hAnsi="宋体"/>
          <w:color w:val="000000"/>
          <w:sz w:val="24"/>
          <w:u w:val="single"/>
        </w:rPr>
        <w:t xml:space="preserve">                          </w:t>
      </w:r>
    </w:p>
    <w:p>
      <w:pPr>
        <w:spacing w:line="360" w:lineRule="auto"/>
        <w:ind w:firstLine="435"/>
        <w:rPr>
          <w:rFonts w:ascii="宋体" w:hAnsi="宋体"/>
          <w:color w:val="000000"/>
          <w:sz w:val="24"/>
        </w:rPr>
      </w:pPr>
    </w:p>
    <w:p>
      <w:pPr>
        <w:spacing w:line="360" w:lineRule="auto"/>
        <w:ind w:firstLine="435"/>
        <w:rPr>
          <w:rFonts w:ascii="宋体" w:hAnsi="宋体"/>
          <w:color w:val="000000"/>
          <w:sz w:val="24"/>
        </w:rPr>
      </w:pPr>
      <w:r>
        <w:rPr>
          <w:rFonts w:hint="eastAsia" w:ascii="宋体" w:hAnsi="宋体"/>
          <w:color w:val="000000"/>
          <w:sz w:val="24"/>
        </w:rPr>
        <w:t>职        务：</w:t>
      </w:r>
      <w:r>
        <w:rPr>
          <w:rFonts w:hint="eastAsia" w:ascii="宋体" w:hAnsi="宋体"/>
          <w:color w:val="000000"/>
          <w:sz w:val="24"/>
          <w:u w:val="single"/>
        </w:rPr>
        <w:t xml:space="preserve">                            </w:t>
      </w:r>
    </w:p>
    <w:p>
      <w:pPr>
        <w:spacing w:line="360" w:lineRule="auto"/>
        <w:ind w:firstLine="435"/>
        <w:rPr>
          <w:rFonts w:ascii="宋体" w:hAnsi="宋体"/>
          <w:color w:val="000000"/>
          <w:sz w:val="24"/>
        </w:rPr>
      </w:pPr>
    </w:p>
    <w:p>
      <w:pPr>
        <w:spacing w:line="360" w:lineRule="auto"/>
        <w:ind w:firstLine="435"/>
        <w:rPr>
          <w:rFonts w:ascii="宋体" w:hAnsi="宋体"/>
          <w:color w:val="000000"/>
          <w:sz w:val="24"/>
        </w:rPr>
      </w:pPr>
      <w:r>
        <w:rPr>
          <w:rFonts w:hint="eastAsia" w:ascii="宋体" w:hAnsi="宋体"/>
          <w:color w:val="000000"/>
          <w:sz w:val="24"/>
        </w:rPr>
        <w:t>日        期：</w:t>
      </w:r>
      <w:r>
        <w:rPr>
          <w:rFonts w:hint="eastAsia" w:ascii="宋体" w:hAnsi="宋体"/>
          <w:color w:val="000000"/>
          <w:sz w:val="24"/>
          <w:u w:val="single"/>
        </w:rPr>
        <w:t xml:space="preserve">                            </w:t>
      </w:r>
    </w:p>
    <w:p>
      <w:pPr>
        <w:spacing w:line="360" w:lineRule="auto"/>
        <w:rPr>
          <w:rFonts w:hint="eastAsia" w:ascii="宋体" w:hAnsi="宋体"/>
          <w:b/>
          <w:color w:val="000000"/>
          <w:sz w:val="28"/>
        </w:rPr>
      </w:pPr>
      <w:r>
        <w:rPr>
          <w:rFonts w:hint="eastAsia" w:ascii="宋体" w:hAnsi="宋体"/>
          <w:b/>
          <w:color w:val="000000"/>
          <w:sz w:val="28"/>
        </w:rPr>
        <w:t>附件7：</w:t>
      </w:r>
    </w:p>
    <w:p>
      <w:pPr>
        <w:spacing w:line="360" w:lineRule="auto"/>
        <w:ind w:left="480"/>
        <w:jc w:val="center"/>
        <w:rPr>
          <w:rFonts w:ascii="宋体" w:hAnsi="宋体"/>
          <w:b/>
          <w:color w:val="000000"/>
          <w:sz w:val="32"/>
          <w:szCs w:val="32"/>
        </w:rPr>
      </w:pPr>
      <w:r>
        <w:rPr>
          <w:rFonts w:hint="eastAsia" w:ascii="宋体" w:hAnsi="宋体"/>
          <w:b/>
          <w:color w:val="000000"/>
          <w:sz w:val="32"/>
          <w:szCs w:val="32"/>
        </w:rPr>
        <w:t>供货</w:t>
      </w:r>
      <w:r>
        <w:rPr>
          <w:rFonts w:ascii="宋体" w:hAnsi="宋体"/>
          <w:b/>
          <w:color w:val="000000"/>
          <w:sz w:val="32"/>
          <w:szCs w:val="32"/>
        </w:rPr>
        <w:t>清单</w:t>
      </w:r>
      <w:r>
        <w:rPr>
          <w:rFonts w:hint="eastAsia" w:ascii="宋体" w:hAnsi="宋体"/>
          <w:b/>
          <w:color w:val="000000"/>
          <w:sz w:val="32"/>
          <w:szCs w:val="32"/>
        </w:rPr>
        <w:t xml:space="preserve"> (第 标)</w:t>
      </w:r>
    </w:p>
    <w:p>
      <w:pPr>
        <w:spacing w:line="360" w:lineRule="auto"/>
        <w:ind w:left="480"/>
        <w:rPr>
          <w:rFonts w:ascii="宋体" w:hAnsi="宋体"/>
          <w:color w:val="000000"/>
        </w:rPr>
      </w:pPr>
      <w:r>
        <w:rPr>
          <w:rFonts w:hint="eastAsia" w:ascii="宋体" w:hAnsi="宋体"/>
          <w:color w:val="000000"/>
          <w:sz w:val="24"/>
        </w:rPr>
        <w:t xml:space="preserve">                                                                                                                                                      </w:t>
      </w:r>
    </w:p>
    <w:p>
      <w:pPr>
        <w:spacing w:line="360" w:lineRule="auto"/>
        <w:rPr>
          <w:rFonts w:ascii="宋体" w:hAnsi="宋体"/>
          <w:color w:val="000000"/>
          <w:sz w:val="24"/>
        </w:rPr>
      </w:pPr>
      <w:r>
        <w:rPr>
          <w:rFonts w:hint="eastAsia" w:ascii="宋体" w:hAnsi="宋体"/>
          <w:color w:val="000000"/>
          <w:sz w:val="24"/>
        </w:rPr>
        <w:t xml:space="preserve">  项目编号：</w:t>
      </w:r>
      <w:r>
        <w:rPr>
          <w:rFonts w:hint="eastAsia" w:ascii="宋体" w:hAnsi="宋体"/>
          <w:color w:val="000000"/>
          <w:sz w:val="24"/>
          <w:u w:val="single"/>
        </w:rPr>
        <w:t xml:space="preserve">             </w:t>
      </w:r>
    </w:p>
    <w:p>
      <w:pPr>
        <w:spacing w:line="360" w:lineRule="auto"/>
        <w:ind w:left="420"/>
        <w:rPr>
          <w:rFonts w:ascii="宋体" w:hAnsi="宋体"/>
          <w:color w:val="000000"/>
          <w:sz w:val="24"/>
        </w:rPr>
      </w:pPr>
    </w:p>
    <w:tbl>
      <w:tblPr>
        <w:tblStyle w:val="30"/>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5"/>
        <w:gridCol w:w="2169"/>
        <w:gridCol w:w="1134"/>
        <w:gridCol w:w="1842"/>
        <w:gridCol w:w="993"/>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0" w:hRule="atLeast"/>
        </w:trPr>
        <w:tc>
          <w:tcPr>
            <w:tcW w:w="525" w:type="dxa"/>
            <w:noWrap w:val="0"/>
            <w:vAlign w:val="center"/>
          </w:tcPr>
          <w:p>
            <w:pPr>
              <w:spacing w:line="360" w:lineRule="auto"/>
              <w:rPr>
                <w:rFonts w:ascii="宋体" w:hAnsi="宋体"/>
                <w:b/>
                <w:color w:val="000000"/>
                <w:sz w:val="24"/>
              </w:rPr>
            </w:pPr>
            <w:r>
              <w:rPr>
                <w:rFonts w:hint="eastAsia" w:ascii="宋体" w:hAnsi="宋体"/>
                <w:b/>
                <w:color w:val="000000"/>
                <w:sz w:val="24"/>
              </w:rPr>
              <w:t>序号</w:t>
            </w:r>
          </w:p>
        </w:tc>
        <w:tc>
          <w:tcPr>
            <w:tcW w:w="2169" w:type="dxa"/>
            <w:noWrap w:val="0"/>
            <w:vAlign w:val="center"/>
          </w:tcPr>
          <w:p>
            <w:pPr>
              <w:tabs>
                <w:tab w:val="left" w:pos="8280"/>
              </w:tabs>
              <w:autoSpaceDE w:val="0"/>
              <w:autoSpaceDN w:val="0"/>
              <w:adjustRightInd w:val="0"/>
              <w:spacing w:line="360" w:lineRule="auto"/>
              <w:ind w:right="25" w:firstLine="361" w:firstLineChars="150"/>
              <w:jc w:val="center"/>
              <w:rPr>
                <w:rFonts w:ascii="宋体" w:hAnsi="宋体"/>
                <w:b/>
                <w:color w:val="000000"/>
                <w:sz w:val="24"/>
              </w:rPr>
            </w:pPr>
            <w:r>
              <w:rPr>
                <w:rFonts w:hint="eastAsia" w:ascii="宋体" w:hAnsi="宋体"/>
                <w:b/>
                <w:color w:val="000000"/>
                <w:sz w:val="24"/>
              </w:rPr>
              <w:t>名称</w:t>
            </w:r>
          </w:p>
        </w:tc>
        <w:tc>
          <w:tcPr>
            <w:tcW w:w="1134" w:type="dxa"/>
            <w:noWrap w:val="0"/>
            <w:vAlign w:val="center"/>
          </w:tcPr>
          <w:p>
            <w:pPr>
              <w:tabs>
                <w:tab w:val="left" w:pos="8280"/>
              </w:tabs>
              <w:autoSpaceDE w:val="0"/>
              <w:autoSpaceDN w:val="0"/>
              <w:adjustRightInd w:val="0"/>
              <w:spacing w:line="360" w:lineRule="auto"/>
              <w:ind w:right="25"/>
              <w:jc w:val="center"/>
              <w:rPr>
                <w:rFonts w:ascii="宋体" w:hAnsi="宋体"/>
                <w:b/>
                <w:color w:val="000000"/>
                <w:sz w:val="24"/>
              </w:rPr>
            </w:pPr>
            <w:r>
              <w:rPr>
                <w:rFonts w:hint="eastAsia" w:ascii="宋体" w:hAnsi="宋体"/>
                <w:b/>
                <w:color w:val="000000"/>
                <w:sz w:val="24"/>
              </w:rPr>
              <w:t>品牌</w:t>
            </w:r>
          </w:p>
        </w:tc>
        <w:tc>
          <w:tcPr>
            <w:tcW w:w="1842" w:type="dxa"/>
            <w:noWrap w:val="0"/>
            <w:vAlign w:val="center"/>
          </w:tcPr>
          <w:p>
            <w:pPr>
              <w:tabs>
                <w:tab w:val="left" w:pos="8280"/>
              </w:tabs>
              <w:autoSpaceDE w:val="0"/>
              <w:autoSpaceDN w:val="0"/>
              <w:adjustRightInd w:val="0"/>
              <w:spacing w:line="360" w:lineRule="auto"/>
              <w:ind w:right="25"/>
              <w:jc w:val="center"/>
              <w:rPr>
                <w:rFonts w:ascii="宋体" w:hAnsi="宋体"/>
                <w:b/>
                <w:color w:val="000000"/>
                <w:sz w:val="24"/>
              </w:rPr>
            </w:pPr>
            <w:r>
              <w:rPr>
                <w:rFonts w:hint="eastAsia" w:ascii="宋体" w:hAnsi="宋体"/>
                <w:b/>
                <w:color w:val="000000"/>
                <w:sz w:val="24"/>
              </w:rPr>
              <w:t>规格型号</w:t>
            </w:r>
          </w:p>
        </w:tc>
        <w:tc>
          <w:tcPr>
            <w:tcW w:w="993" w:type="dxa"/>
            <w:noWrap w:val="0"/>
            <w:vAlign w:val="center"/>
          </w:tcPr>
          <w:p>
            <w:pPr>
              <w:spacing w:line="360" w:lineRule="auto"/>
              <w:ind w:left="52"/>
              <w:jc w:val="center"/>
              <w:rPr>
                <w:rFonts w:ascii="宋体" w:hAnsi="宋体"/>
                <w:b/>
                <w:color w:val="000000"/>
                <w:sz w:val="24"/>
              </w:rPr>
            </w:pPr>
            <w:r>
              <w:rPr>
                <w:rFonts w:hint="eastAsia" w:ascii="宋体" w:hAnsi="宋体"/>
                <w:b/>
                <w:color w:val="000000"/>
                <w:sz w:val="24"/>
              </w:rPr>
              <w:t>产地</w:t>
            </w:r>
          </w:p>
        </w:tc>
        <w:tc>
          <w:tcPr>
            <w:tcW w:w="1559" w:type="dxa"/>
            <w:noWrap w:val="0"/>
            <w:vAlign w:val="center"/>
          </w:tcPr>
          <w:p>
            <w:pPr>
              <w:spacing w:line="360" w:lineRule="auto"/>
              <w:ind w:left="152"/>
              <w:jc w:val="center"/>
              <w:rPr>
                <w:rFonts w:ascii="宋体" w:hAnsi="宋体"/>
                <w:b/>
                <w:color w:val="000000"/>
                <w:sz w:val="24"/>
              </w:rPr>
            </w:pPr>
            <w:r>
              <w:rPr>
                <w:rFonts w:hint="eastAsia" w:ascii="宋体" w:hAnsi="宋体"/>
                <w:b/>
                <w:color w:val="000000"/>
                <w:sz w:val="24"/>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525" w:type="dxa"/>
            <w:noWrap w:val="0"/>
            <w:vAlign w:val="center"/>
          </w:tcPr>
          <w:p>
            <w:pPr>
              <w:spacing w:line="360" w:lineRule="auto"/>
              <w:rPr>
                <w:rFonts w:ascii="宋体" w:hAnsi="宋体"/>
                <w:color w:val="000000"/>
                <w:sz w:val="24"/>
              </w:rPr>
            </w:pPr>
          </w:p>
        </w:tc>
        <w:tc>
          <w:tcPr>
            <w:tcW w:w="2169" w:type="dxa"/>
            <w:noWrap w:val="0"/>
            <w:vAlign w:val="center"/>
          </w:tcPr>
          <w:p>
            <w:pPr>
              <w:spacing w:line="360" w:lineRule="auto"/>
              <w:rPr>
                <w:rFonts w:ascii="宋体" w:hAnsi="宋体"/>
                <w:color w:val="000000"/>
                <w:sz w:val="24"/>
              </w:rPr>
            </w:pPr>
          </w:p>
        </w:tc>
        <w:tc>
          <w:tcPr>
            <w:tcW w:w="1134" w:type="dxa"/>
            <w:noWrap w:val="0"/>
            <w:vAlign w:val="center"/>
          </w:tcPr>
          <w:p>
            <w:pPr>
              <w:spacing w:line="360" w:lineRule="auto"/>
              <w:rPr>
                <w:rFonts w:ascii="宋体" w:hAnsi="宋体"/>
                <w:color w:val="000000"/>
                <w:sz w:val="24"/>
              </w:rPr>
            </w:pPr>
          </w:p>
        </w:tc>
        <w:tc>
          <w:tcPr>
            <w:tcW w:w="1842" w:type="dxa"/>
            <w:noWrap w:val="0"/>
            <w:vAlign w:val="center"/>
          </w:tcPr>
          <w:p>
            <w:pPr>
              <w:spacing w:line="360" w:lineRule="auto"/>
              <w:rPr>
                <w:rFonts w:ascii="宋体" w:hAnsi="宋体"/>
                <w:color w:val="000000"/>
                <w:sz w:val="24"/>
              </w:rPr>
            </w:pPr>
          </w:p>
        </w:tc>
        <w:tc>
          <w:tcPr>
            <w:tcW w:w="993" w:type="dxa"/>
            <w:noWrap w:val="0"/>
            <w:vAlign w:val="center"/>
          </w:tcPr>
          <w:p>
            <w:pPr>
              <w:spacing w:line="360" w:lineRule="auto"/>
              <w:rPr>
                <w:rFonts w:ascii="宋体" w:hAnsi="宋体"/>
                <w:color w:val="000000"/>
                <w:sz w:val="24"/>
              </w:rPr>
            </w:pPr>
          </w:p>
        </w:tc>
        <w:tc>
          <w:tcPr>
            <w:tcW w:w="1559" w:type="dxa"/>
            <w:noWrap w:val="0"/>
            <w:vAlign w:val="center"/>
          </w:tcPr>
          <w:p>
            <w:pPr>
              <w:spacing w:line="360" w:lineRule="auto"/>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trPr>
        <w:tc>
          <w:tcPr>
            <w:tcW w:w="525" w:type="dxa"/>
            <w:noWrap w:val="0"/>
            <w:vAlign w:val="center"/>
          </w:tcPr>
          <w:p>
            <w:pPr>
              <w:spacing w:line="360" w:lineRule="auto"/>
              <w:rPr>
                <w:rFonts w:ascii="宋体" w:hAnsi="宋体"/>
                <w:color w:val="000000"/>
                <w:sz w:val="24"/>
              </w:rPr>
            </w:pPr>
          </w:p>
        </w:tc>
        <w:tc>
          <w:tcPr>
            <w:tcW w:w="2169" w:type="dxa"/>
            <w:noWrap w:val="0"/>
            <w:vAlign w:val="center"/>
          </w:tcPr>
          <w:p>
            <w:pPr>
              <w:spacing w:line="360" w:lineRule="auto"/>
              <w:rPr>
                <w:rFonts w:ascii="宋体" w:hAnsi="宋体"/>
                <w:color w:val="000000"/>
                <w:sz w:val="24"/>
              </w:rPr>
            </w:pPr>
          </w:p>
        </w:tc>
        <w:tc>
          <w:tcPr>
            <w:tcW w:w="1134" w:type="dxa"/>
            <w:noWrap w:val="0"/>
            <w:vAlign w:val="center"/>
          </w:tcPr>
          <w:p>
            <w:pPr>
              <w:spacing w:line="360" w:lineRule="auto"/>
              <w:rPr>
                <w:rFonts w:ascii="宋体" w:hAnsi="宋体"/>
                <w:color w:val="000000"/>
                <w:sz w:val="24"/>
              </w:rPr>
            </w:pPr>
          </w:p>
        </w:tc>
        <w:tc>
          <w:tcPr>
            <w:tcW w:w="1842" w:type="dxa"/>
            <w:noWrap w:val="0"/>
            <w:vAlign w:val="center"/>
          </w:tcPr>
          <w:p>
            <w:pPr>
              <w:spacing w:line="360" w:lineRule="auto"/>
              <w:rPr>
                <w:rFonts w:ascii="宋体" w:hAnsi="宋体"/>
                <w:color w:val="000000"/>
                <w:sz w:val="24"/>
              </w:rPr>
            </w:pPr>
          </w:p>
        </w:tc>
        <w:tc>
          <w:tcPr>
            <w:tcW w:w="993" w:type="dxa"/>
            <w:noWrap w:val="0"/>
            <w:vAlign w:val="center"/>
          </w:tcPr>
          <w:p>
            <w:pPr>
              <w:spacing w:line="360" w:lineRule="auto"/>
              <w:rPr>
                <w:rFonts w:ascii="宋体" w:hAnsi="宋体"/>
                <w:color w:val="000000"/>
                <w:sz w:val="24"/>
              </w:rPr>
            </w:pPr>
          </w:p>
        </w:tc>
        <w:tc>
          <w:tcPr>
            <w:tcW w:w="1559" w:type="dxa"/>
            <w:noWrap w:val="0"/>
            <w:vAlign w:val="center"/>
          </w:tcPr>
          <w:p>
            <w:pPr>
              <w:spacing w:line="360" w:lineRule="auto"/>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525" w:type="dxa"/>
            <w:noWrap w:val="0"/>
            <w:vAlign w:val="center"/>
          </w:tcPr>
          <w:p>
            <w:pPr>
              <w:spacing w:line="360" w:lineRule="auto"/>
              <w:rPr>
                <w:rFonts w:ascii="宋体" w:hAnsi="宋体"/>
                <w:color w:val="000000"/>
                <w:sz w:val="24"/>
              </w:rPr>
            </w:pPr>
          </w:p>
        </w:tc>
        <w:tc>
          <w:tcPr>
            <w:tcW w:w="2169" w:type="dxa"/>
            <w:noWrap w:val="0"/>
            <w:vAlign w:val="center"/>
          </w:tcPr>
          <w:p>
            <w:pPr>
              <w:spacing w:line="360" w:lineRule="auto"/>
              <w:rPr>
                <w:rFonts w:ascii="宋体" w:hAnsi="宋体"/>
                <w:color w:val="000000"/>
                <w:sz w:val="24"/>
              </w:rPr>
            </w:pPr>
          </w:p>
        </w:tc>
        <w:tc>
          <w:tcPr>
            <w:tcW w:w="1134" w:type="dxa"/>
            <w:noWrap w:val="0"/>
            <w:vAlign w:val="center"/>
          </w:tcPr>
          <w:p>
            <w:pPr>
              <w:spacing w:line="360" w:lineRule="auto"/>
              <w:rPr>
                <w:rFonts w:ascii="宋体" w:hAnsi="宋体"/>
                <w:color w:val="000000"/>
                <w:sz w:val="24"/>
              </w:rPr>
            </w:pPr>
          </w:p>
        </w:tc>
        <w:tc>
          <w:tcPr>
            <w:tcW w:w="1842" w:type="dxa"/>
            <w:noWrap w:val="0"/>
            <w:vAlign w:val="center"/>
          </w:tcPr>
          <w:p>
            <w:pPr>
              <w:spacing w:line="360" w:lineRule="auto"/>
              <w:rPr>
                <w:rFonts w:ascii="宋体" w:hAnsi="宋体"/>
                <w:color w:val="000000"/>
                <w:sz w:val="24"/>
              </w:rPr>
            </w:pPr>
          </w:p>
        </w:tc>
        <w:tc>
          <w:tcPr>
            <w:tcW w:w="993" w:type="dxa"/>
            <w:noWrap w:val="0"/>
            <w:vAlign w:val="center"/>
          </w:tcPr>
          <w:p>
            <w:pPr>
              <w:spacing w:line="360" w:lineRule="auto"/>
              <w:rPr>
                <w:rFonts w:ascii="宋体" w:hAnsi="宋体"/>
                <w:color w:val="000000"/>
                <w:sz w:val="24"/>
              </w:rPr>
            </w:pPr>
          </w:p>
        </w:tc>
        <w:tc>
          <w:tcPr>
            <w:tcW w:w="1559" w:type="dxa"/>
            <w:noWrap w:val="0"/>
            <w:vAlign w:val="center"/>
          </w:tcPr>
          <w:p>
            <w:pPr>
              <w:spacing w:line="360" w:lineRule="auto"/>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00" w:hRule="atLeast"/>
        </w:trPr>
        <w:tc>
          <w:tcPr>
            <w:tcW w:w="525" w:type="dxa"/>
            <w:noWrap w:val="0"/>
            <w:vAlign w:val="center"/>
          </w:tcPr>
          <w:p>
            <w:pPr>
              <w:spacing w:line="360" w:lineRule="auto"/>
              <w:rPr>
                <w:rFonts w:ascii="宋体" w:hAnsi="宋体"/>
                <w:color w:val="000000"/>
                <w:sz w:val="24"/>
              </w:rPr>
            </w:pPr>
          </w:p>
        </w:tc>
        <w:tc>
          <w:tcPr>
            <w:tcW w:w="2169" w:type="dxa"/>
            <w:noWrap w:val="0"/>
            <w:vAlign w:val="center"/>
          </w:tcPr>
          <w:p>
            <w:pPr>
              <w:spacing w:line="360" w:lineRule="auto"/>
              <w:rPr>
                <w:rFonts w:ascii="宋体" w:hAnsi="宋体"/>
                <w:color w:val="000000"/>
                <w:sz w:val="24"/>
              </w:rPr>
            </w:pPr>
          </w:p>
        </w:tc>
        <w:tc>
          <w:tcPr>
            <w:tcW w:w="1134" w:type="dxa"/>
            <w:noWrap w:val="0"/>
            <w:vAlign w:val="center"/>
          </w:tcPr>
          <w:p>
            <w:pPr>
              <w:spacing w:line="360" w:lineRule="auto"/>
              <w:rPr>
                <w:rFonts w:ascii="宋体" w:hAnsi="宋体"/>
                <w:color w:val="000000"/>
                <w:sz w:val="24"/>
              </w:rPr>
            </w:pPr>
          </w:p>
        </w:tc>
        <w:tc>
          <w:tcPr>
            <w:tcW w:w="1842" w:type="dxa"/>
            <w:noWrap w:val="0"/>
            <w:vAlign w:val="center"/>
          </w:tcPr>
          <w:p>
            <w:pPr>
              <w:spacing w:line="360" w:lineRule="auto"/>
              <w:rPr>
                <w:rFonts w:ascii="宋体" w:hAnsi="宋体"/>
                <w:color w:val="000000"/>
                <w:sz w:val="24"/>
              </w:rPr>
            </w:pPr>
          </w:p>
        </w:tc>
        <w:tc>
          <w:tcPr>
            <w:tcW w:w="993" w:type="dxa"/>
            <w:noWrap w:val="0"/>
            <w:vAlign w:val="center"/>
          </w:tcPr>
          <w:p>
            <w:pPr>
              <w:spacing w:line="360" w:lineRule="auto"/>
              <w:rPr>
                <w:rFonts w:ascii="宋体" w:hAnsi="宋体"/>
                <w:color w:val="000000"/>
                <w:sz w:val="24"/>
              </w:rPr>
            </w:pPr>
          </w:p>
        </w:tc>
        <w:tc>
          <w:tcPr>
            <w:tcW w:w="1559" w:type="dxa"/>
            <w:noWrap w:val="0"/>
            <w:vAlign w:val="center"/>
          </w:tcPr>
          <w:p>
            <w:pPr>
              <w:spacing w:line="360" w:lineRule="auto"/>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60" w:hRule="atLeast"/>
        </w:trPr>
        <w:tc>
          <w:tcPr>
            <w:tcW w:w="525" w:type="dxa"/>
            <w:noWrap w:val="0"/>
            <w:vAlign w:val="center"/>
          </w:tcPr>
          <w:p>
            <w:pPr>
              <w:spacing w:line="360" w:lineRule="auto"/>
              <w:rPr>
                <w:rFonts w:ascii="宋体" w:hAnsi="宋体"/>
                <w:color w:val="000000"/>
                <w:sz w:val="24"/>
              </w:rPr>
            </w:pPr>
          </w:p>
        </w:tc>
        <w:tc>
          <w:tcPr>
            <w:tcW w:w="2169" w:type="dxa"/>
            <w:noWrap w:val="0"/>
            <w:vAlign w:val="center"/>
          </w:tcPr>
          <w:p>
            <w:pPr>
              <w:spacing w:line="360" w:lineRule="auto"/>
              <w:rPr>
                <w:rFonts w:ascii="宋体" w:hAnsi="宋体"/>
                <w:color w:val="000000"/>
                <w:sz w:val="24"/>
              </w:rPr>
            </w:pPr>
          </w:p>
        </w:tc>
        <w:tc>
          <w:tcPr>
            <w:tcW w:w="1134" w:type="dxa"/>
            <w:noWrap w:val="0"/>
            <w:vAlign w:val="center"/>
          </w:tcPr>
          <w:p>
            <w:pPr>
              <w:spacing w:line="360" w:lineRule="auto"/>
              <w:rPr>
                <w:rFonts w:ascii="宋体" w:hAnsi="宋体"/>
                <w:color w:val="000000"/>
                <w:sz w:val="24"/>
              </w:rPr>
            </w:pPr>
          </w:p>
        </w:tc>
        <w:tc>
          <w:tcPr>
            <w:tcW w:w="1842" w:type="dxa"/>
            <w:noWrap w:val="0"/>
            <w:vAlign w:val="center"/>
          </w:tcPr>
          <w:p>
            <w:pPr>
              <w:spacing w:line="360" w:lineRule="auto"/>
              <w:rPr>
                <w:rFonts w:ascii="宋体" w:hAnsi="宋体"/>
                <w:color w:val="000000"/>
                <w:sz w:val="24"/>
              </w:rPr>
            </w:pPr>
          </w:p>
        </w:tc>
        <w:tc>
          <w:tcPr>
            <w:tcW w:w="993" w:type="dxa"/>
            <w:noWrap w:val="0"/>
            <w:vAlign w:val="center"/>
          </w:tcPr>
          <w:p>
            <w:pPr>
              <w:spacing w:line="360" w:lineRule="auto"/>
              <w:rPr>
                <w:rFonts w:ascii="宋体" w:hAnsi="宋体"/>
                <w:color w:val="000000"/>
                <w:sz w:val="24"/>
              </w:rPr>
            </w:pPr>
          </w:p>
        </w:tc>
        <w:tc>
          <w:tcPr>
            <w:tcW w:w="1559" w:type="dxa"/>
            <w:noWrap w:val="0"/>
            <w:vAlign w:val="center"/>
          </w:tcPr>
          <w:p>
            <w:pPr>
              <w:spacing w:line="360" w:lineRule="auto"/>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20" w:hRule="atLeast"/>
        </w:trPr>
        <w:tc>
          <w:tcPr>
            <w:tcW w:w="525" w:type="dxa"/>
            <w:noWrap w:val="0"/>
            <w:vAlign w:val="center"/>
          </w:tcPr>
          <w:p>
            <w:pPr>
              <w:spacing w:line="360" w:lineRule="auto"/>
              <w:rPr>
                <w:rFonts w:ascii="宋体" w:hAnsi="宋体"/>
                <w:color w:val="000000"/>
                <w:sz w:val="24"/>
              </w:rPr>
            </w:pPr>
          </w:p>
        </w:tc>
        <w:tc>
          <w:tcPr>
            <w:tcW w:w="2169" w:type="dxa"/>
            <w:noWrap w:val="0"/>
            <w:vAlign w:val="center"/>
          </w:tcPr>
          <w:p>
            <w:pPr>
              <w:spacing w:line="360" w:lineRule="auto"/>
              <w:rPr>
                <w:rFonts w:ascii="宋体" w:hAnsi="宋体"/>
                <w:color w:val="000000"/>
                <w:sz w:val="24"/>
              </w:rPr>
            </w:pPr>
          </w:p>
        </w:tc>
        <w:tc>
          <w:tcPr>
            <w:tcW w:w="1134" w:type="dxa"/>
            <w:noWrap w:val="0"/>
            <w:vAlign w:val="center"/>
          </w:tcPr>
          <w:p>
            <w:pPr>
              <w:spacing w:line="360" w:lineRule="auto"/>
              <w:rPr>
                <w:rFonts w:ascii="宋体" w:hAnsi="宋体"/>
                <w:color w:val="000000"/>
                <w:sz w:val="24"/>
              </w:rPr>
            </w:pPr>
          </w:p>
        </w:tc>
        <w:tc>
          <w:tcPr>
            <w:tcW w:w="1842" w:type="dxa"/>
            <w:noWrap w:val="0"/>
            <w:vAlign w:val="center"/>
          </w:tcPr>
          <w:p>
            <w:pPr>
              <w:spacing w:line="360" w:lineRule="auto"/>
              <w:rPr>
                <w:rFonts w:ascii="宋体" w:hAnsi="宋体"/>
                <w:color w:val="000000"/>
                <w:sz w:val="24"/>
              </w:rPr>
            </w:pPr>
          </w:p>
        </w:tc>
        <w:tc>
          <w:tcPr>
            <w:tcW w:w="993" w:type="dxa"/>
            <w:noWrap w:val="0"/>
            <w:vAlign w:val="center"/>
          </w:tcPr>
          <w:p>
            <w:pPr>
              <w:spacing w:line="360" w:lineRule="auto"/>
              <w:rPr>
                <w:rFonts w:ascii="宋体" w:hAnsi="宋体"/>
                <w:color w:val="000000"/>
                <w:sz w:val="24"/>
              </w:rPr>
            </w:pPr>
          </w:p>
        </w:tc>
        <w:tc>
          <w:tcPr>
            <w:tcW w:w="1559" w:type="dxa"/>
            <w:noWrap w:val="0"/>
            <w:vAlign w:val="center"/>
          </w:tcPr>
          <w:p>
            <w:pPr>
              <w:spacing w:line="360" w:lineRule="auto"/>
              <w:rPr>
                <w:rFonts w:ascii="宋体" w:hAnsi="宋体"/>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00" w:hRule="atLeast"/>
        </w:trPr>
        <w:tc>
          <w:tcPr>
            <w:tcW w:w="525" w:type="dxa"/>
            <w:noWrap w:val="0"/>
            <w:vAlign w:val="center"/>
          </w:tcPr>
          <w:p>
            <w:pPr>
              <w:spacing w:line="360" w:lineRule="auto"/>
              <w:rPr>
                <w:rFonts w:ascii="宋体" w:hAnsi="宋体"/>
                <w:color w:val="000000"/>
                <w:sz w:val="24"/>
              </w:rPr>
            </w:pPr>
          </w:p>
        </w:tc>
        <w:tc>
          <w:tcPr>
            <w:tcW w:w="2169" w:type="dxa"/>
            <w:noWrap w:val="0"/>
            <w:vAlign w:val="center"/>
          </w:tcPr>
          <w:p>
            <w:pPr>
              <w:spacing w:line="360" w:lineRule="auto"/>
              <w:rPr>
                <w:rFonts w:ascii="宋体" w:hAnsi="宋体"/>
                <w:color w:val="000000"/>
                <w:sz w:val="24"/>
              </w:rPr>
            </w:pPr>
          </w:p>
        </w:tc>
        <w:tc>
          <w:tcPr>
            <w:tcW w:w="1134" w:type="dxa"/>
            <w:noWrap w:val="0"/>
            <w:vAlign w:val="center"/>
          </w:tcPr>
          <w:p>
            <w:pPr>
              <w:spacing w:line="360" w:lineRule="auto"/>
              <w:rPr>
                <w:rFonts w:ascii="宋体" w:hAnsi="宋体"/>
                <w:color w:val="000000"/>
                <w:sz w:val="24"/>
              </w:rPr>
            </w:pPr>
          </w:p>
        </w:tc>
        <w:tc>
          <w:tcPr>
            <w:tcW w:w="1842" w:type="dxa"/>
            <w:noWrap w:val="0"/>
            <w:vAlign w:val="center"/>
          </w:tcPr>
          <w:p>
            <w:pPr>
              <w:spacing w:line="360" w:lineRule="auto"/>
              <w:rPr>
                <w:rFonts w:ascii="宋体" w:hAnsi="宋体"/>
                <w:color w:val="000000"/>
                <w:sz w:val="24"/>
              </w:rPr>
            </w:pPr>
          </w:p>
        </w:tc>
        <w:tc>
          <w:tcPr>
            <w:tcW w:w="993" w:type="dxa"/>
            <w:noWrap w:val="0"/>
            <w:vAlign w:val="center"/>
          </w:tcPr>
          <w:p>
            <w:pPr>
              <w:spacing w:line="360" w:lineRule="auto"/>
              <w:rPr>
                <w:rFonts w:ascii="宋体" w:hAnsi="宋体"/>
                <w:color w:val="000000"/>
                <w:sz w:val="24"/>
              </w:rPr>
            </w:pPr>
          </w:p>
        </w:tc>
        <w:tc>
          <w:tcPr>
            <w:tcW w:w="1559" w:type="dxa"/>
            <w:noWrap w:val="0"/>
            <w:vAlign w:val="center"/>
          </w:tcPr>
          <w:p>
            <w:pPr>
              <w:spacing w:line="360" w:lineRule="auto"/>
              <w:rPr>
                <w:rFonts w:ascii="宋体" w:hAnsi="宋体"/>
                <w:color w:val="000000"/>
                <w:sz w:val="24"/>
              </w:rPr>
            </w:pPr>
          </w:p>
        </w:tc>
      </w:tr>
    </w:tbl>
    <w:p>
      <w:pPr>
        <w:spacing w:line="360" w:lineRule="auto"/>
        <w:ind w:left="420"/>
        <w:rPr>
          <w:rFonts w:ascii="宋体" w:hAnsi="宋体"/>
          <w:color w:val="000000"/>
          <w:sz w:val="24"/>
        </w:rPr>
      </w:pPr>
    </w:p>
    <w:p>
      <w:pPr>
        <w:spacing w:line="360" w:lineRule="auto"/>
        <w:ind w:left="435"/>
        <w:rPr>
          <w:rFonts w:ascii="宋体" w:hAnsi="宋体"/>
          <w:b/>
          <w:color w:val="000000"/>
          <w:szCs w:val="21"/>
        </w:rPr>
      </w:pPr>
      <w:r>
        <w:rPr>
          <w:rFonts w:hint="eastAsia" w:ascii="宋体" w:hAnsi="宋体"/>
          <w:b/>
          <w:color w:val="000000"/>
          <w:szCs w:val="21"/>
        </w:rPr>
        <w:t>要求：</w:t>
      </w:r>
    </w:p>
    <w:p>
      <w:pPr>
        <w:spacing w:line="360" w:lineRule="auto"/>
        <w:ind w:left="435" w:firstLine="559" w:firstLineChars="265"/>
        <w:rPr>
          <w:rFonts w:ascii="宋体" w:hAnsi="宋体"/>
          <w:color w:val="000000"/>
          <w:szCs w:val="21"/>
        </w:rPr>
      </w:pPr>
      <w:r>
        <w:rPr>
          <w:rFonts w:hint="eastAsia" w:ascii="宋体" w:hAnsi="宋体"/>
          <w:b/>
          <w:color w:val="000000"/>
          <w:szCs w:val="21"/>
        </w:rPr>
        <w:t>1.</w:t>
      </w:r>
      <w:r>
        <w:rPr>
          <w:rFonts w:hint="eastAsia" w:ascii="宋体" w:hAnsi="宋体"/>
          <w:color w:val="000000"/>
          <w:szCs w:val="21"/>
        </w:rPr>
        <w:t>本表中的名称、数量应与报价明细表中相对应的报价名称、数量一致</w:t>
      </w:r>
    </w:p>
    <w:p>
      <w:pPr>
        <w:spacing w:line="360" w:lineRule="auto"/>
        <w:ind w:left="420"/>
        <w:rPr>
          <w:rFonts w:ascii="宋体" w:hAnsi="宋体"/>
          <w:color w:val="000000"/>
          <w:sz w:val="24"/>
        </w:rPr>
      </w:pPr>
    </w:p>
    <w:p>
      <w:pPr>
        <w:spacing w:line="360" w:lineRule="auto"/>
        <w:ind w:left="420"/>
        <w:rPr>
          <w:rFonts w:ascii="宋体" w:hAnsi="宋体"/>
          <w:color w:val="000000"/>
          <w:sz w:val="24"/>
        </w:rPr>
      </w:pPr>
    </w:p>
    <w:p>
      <w:pPr>
        <w:spacing w:line="360" w:lineRule="auto"/>
        <w:ind w:left="420" w:firstLine="571" w:firstLineChars="238"/>
        <w:rPr>
          <w:rFonts w:ascii="宋体" w:hAnsi="宋体"/>
          <w:color w:val="000000"/>
          <w:sz w:val="24"/>
          <w:u w:val="single"/>
        </w:rPr>
      </w:pPr>
      <w:r>
        <w:rPr>
          <w:rFonts w:hint="eastAsia" w:ascii="宋体" w:hAnsi="宋体"/>
          <w:color w:val="000000"/>
          <w:sz w:val="24"/>
        </w:rPr>
        <w:t>磋商供应商名称（盖章）：</w:t>
      </w:r>
      <w:r>
        <w:rPr>
          <w:rFonts w:hint="eastAsia" w:ascii="宋体" w:hAnsi="宋体"/>
          <w:color w:val="000000"/>
          <w:sz w:val="24"/>
          <w:u w:val="single"/>
        </w:rPr>
        <w:t xml:space="preserve">                     </w:t>
      </w:r>
    </w:p>
    <w:p>
      <w:pPr>
        <w:spacing w:line="360" w:lineRule="auto"/>
        <w:ind w:left="420"/>
        <w:rPr>
          <w:rFonts w:ascii="宋体" w:hAnsi="宋体"/>
          <w:color w:val="000000"/>
          <w:sz w:val="24"/>
        </w:rPr>
      </w:pPr>
    </w:p>
    <w:p>
      <w:pPr>
        <w:spacing w:line="360" w:lineRule="auto"/>
        <w:ind w:firstLine="993"/>
        <w:rPr>
          <w:rFonts w:ascii="宋体" w:hAnsi="宋体"/>
          <w:color w:val="000000"/>
          <w:sz w:val="24"/>
        </w:rPr>
      </w:pPr>
      <w:r>
        <w:rPr>
          <w:rFonts w:hint="eastAsia" w:ascii="宋体" w:hAnsi="宋体"/>
          <w:color w:val="000000"/>
          <w:sz w:val="24"/>
        </w:rPr>
        <w:t>磋商供应商代表签字：</w:t>
      </w:r>
      <w:r>
        <w:rPr>
          <w:rFonts w:hint="eastAsia" w:ascii="宋体" w:hAnsi="宋体"/>
          <w:color w:val="000000"/>
          <w:sz w:val="24"/>
          <w:u w:val="single"/>
        </w:rPr>
        <w:t xml:space="preserve">                         </w:t>
      </w:r>
    </w:p>
    <w:p>
      <w:pPr>
        <w:spacing w:line="360" w:lineRule="auto"/>
        <w:ind w:firstLine="435"/>
        <w:rPr>
          <w:rFonts w:ascii="宋体" w:hAnsi="宋体"/>
          <w:color w:val="000000"/>
          <w:sz w:val="24"/>
        </w:rPr>
      </w:pPr>
    </w:p>
    <w:p>
      <w:pPr>
        <w:spacing w:line="360" w:lineRule="auto"/>
        <w:ind w:firstLine="993"/>
        <w:rPr>
          <w:rFonts w:ascii="宋体" w:hAnsi="宋体"/>
          <w:color w:val="000000"/>
          <w:sz w:val="24"/>
        </w:rPr>
      </w:pPr>
      <w:r>
        <w:rPr>
          <w:rFonts w:hint="eastAsia" w:ascii="宋体" w:hAnsi="宋体"/>
          <w:color w:val="000000"/>
          <w:sz w:val="24"/>
        </w:rPr>
        <w:t>职        务：</w:t>
      </w:r>
      <w:r>
        <w:rPr>
          <w:rFonts w:hint="eastAsia" w:ascii="宋体" w:hAnsi="宋体"/>
          <w:color w:val="000000"/>
          <w:sz w:val="24"/>
          <w:u w:val="single"/>
        </w:rPr>
        <w:t xml:space="preserve">                             </w:t>
      </w:r>
    </w:p>
    <w:p>
      <w:pPr>
        <w:spacing w:line="360" w:lineRule="auto"/>
        <w:ind w:firstLine="435"/>
        <w:rPr>
          <w:rFonts w:ascii="宋体" w:hAnsi="宋体"/>
          <w:color w:val="000000"/>
          <w:sz w:val="24"/>
        </w:rPr>
      </w:pPr>
    </w:p>
    <w:p>
      <w:pPr>
        <w:spacing w:line="360" w:lineRule="auto"/>
        <w:ind w:firstLine="993"/>
        <w:rPr>
          <w:rFonts w:ascii="宋体" w:hAnsi="宋体"/>
          <w:color w:val="000000"/>
          <w:sz w:val="24"/>
        </w:rPr>
      </w:pPr>
      <w:r>
        <w:rPr>
          <w:rFonts w:hint="eastAsia" w:ascii="宋体" w:hAnsi="宋体"/>
          <w:color w:val="000000"/>
          <w:sz w:val="24"/>
        </w:rPr>
        <w:t>日        期：</w:t>
      </w:r>
      <w:r>
        <w:rPr>
          <w:rFonts w:hint="eastAsia" w:ascii="宋体" w:hAnsi="宋体"/>
          <w:color w:val="000000"/>
          <w:sz w:val="24"/>
          <w:u w:val="single"/>
        </w:rPr>
        <w:t xml:space="preserve">                             </w:t>
      </w:r>
    </w:p>
    <w:p>
      <w:pPr>
        <w:spacing w:line="360" w:lineRule="auto"/>
        <w:ind w:firstLine="435"/>
        <w:rPr>
          <w:rFonts w:hint="eastAsia" w:ascii="宋体" w:hAnsi="宋体"/>
          <w:b/>
          <w:color w:val="000000"/>
          <w:sz w:val="28"/>
        </w:rPr>
      </w:pPr>
    </w:p>
    <w:p>
      <w:pPr>
        <w:spacing w:line="360" w:lineRule="auto"/>
        <w:ind w:firstLine="435"/>
        <w:rPr>
          <w:rFonts w:hint="eastAsia" w:ascii="宋体" w:hAnsi="宋体"/>
          <w:b/>
          <w:color w:val="000000"/>
          <w:sz w:val="28"/>
        </w:rPr>
      </w:pPr>
      <w:r>
        <w:rPr>
          <w:rFonts w:hint="eastAsia" w:ascii="宋体" w:hAnsi="宋体"/>
          <w:b/>
          <w:color w:val="000000"/>
          <w:sz w:val="28"/>
        </w:rPr>
        <w:t>附件8：</w:t>
      </w:r>
    </w:p>
    <w:p>
      <w:pPr>
        <w:pStyle w:val="15"/>
        <w:adjustRightInd w:val="0"/>
        <w:snapToGrid w:val="0"/>
        <w:spacing w:line="360" w:lineRule="auto"/>
        <w:jc w:val="center"/>
        <w:rPr>
          <w:rFonts w:hint="eastAsia" w:hAnsi="宋体"/>
          <w:b/>
          <w:color w:val="000000"/>
          <w:sz w:val="32"/>
          <w:szCs w:val="32"/>
        </w:rPr>
      </w:pPr>
      <w:r>
        <w:rPr>
          <w:rFonts w:hint="eastAsia" w:hAnsi="宋体"/>
          <w:b/>
          <w:color w:val="000000"/>
          <w:sz w:val="32"/>
          <w:szCs w:val="32"/>
        </w:rPr>
        <w:t>商务及技术响应表</w:t>
      </w:r>
    </w:p>
    <w:p>
      <w:pPr>
        <w:pStyle w:val="15"/>
        <w:adjustRightInd w:val="0"/>
        <w:snapToGrid w:val="0"/>
        <w:spacing w:line="360" w:lineRule="auto"/>
        <w:jc w:val="left"/>
        <w:rPr>
          <w:rFonts w:hint="eastAsia" w:hAnsi="宋体" w:cs="Arial"/>
          <w:b/>
          <w:color w:val="000000"/>
          <w:sz w:val="24"/>
        </w:rPr>
      </w:pPr>
      <w:r>
        <w:rPr>
          <w:rFonts w:hint="eastAsia" w:hAnsi="宋体"/>
          <w:b/>
          <w:bCs/>
          <w:color w:val="000000"/>
          <w:sz w:val="24"/>
        </w:rPr>
        <w:t>项目名称及编号：</w:t>
      </w:r>
    </w:p>
    <w:tbl>
      <w:tblPr>
        <w:tblStyle w:val="30"/>
        <w:tblW w:w="0" w:type="auto"/>
        <w:tblInd w:w="0" w:type="dxa"/>
        <w:tblLayout w:type="fixed"/>
        <w:tblCellMar>
          <w:top w:w="0" w:type="dxa"/>
          <w:left w:w="108" w:type="dxa"/>
          <w:bottom w:w="0" w:type="dxa"/>
          <w:right w:w="108" w:type="dxa"/>
        </w:tblCellMar>
      </w:tblPr>
      <w:tblGrid>
        <w:gridCol w:w="1202"/>
        <w:gridCol w:w="1831"/>
        <w:gridCol w:w="2160"/>
        <w:gridCol w:w="2127"/>
        <w:gridCol w:w="1472"/>
      </w:tblGrid>
      <w:tr>
        <w:tblPrEx>
          <w:tblCellMar>
            <w:top w:w="0" w:type="dxa"/>
            <w:left w:w="108" w:type="dxa"/>
            <w:bottom w:w="0" w:type="dxa"/>
            <w:right w:w="108" w:type="dxa"/>
          </w:tblCellMar>
        </w:tblPrEx>
        <w:trPr>
          <w:trHeight w:val="690" w:hRule="atLeast"/>
        </w:trPr>
        <w:tc>
          <w:tcPr>
            <w:tcW w:w="120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int="eastAsia" w:hAnsi="宋体" w:cs="宋体"/>
                <w:bCs/>
                <w:color w:val="000000"/>
                <w:spacing w:val="10"/>
                <w:kern w:val="0"/>
                <w:sz w:val="24"/>
                <w:szCs w:val="22"/>
              </w:rPr>
            </w:pPr>
            <w:r>
              <w:rPr>
                <w:rFonts w:hint="eastAsia" w:hAnsi="宋体" w:cs="宋体"/>
                <w:bCs/>
                <w:color w:val="000000"/>
                <w:spacing w:val="10"/>
                <w:kern w:val="0"/>
                <w:sz w:val="24"/>
                <w:szCs w:val="22"/>
              </w:rPr>
              <w:t>类别</w:t>
            </w:r>
          </w:p>
        </w:tc>
        <w:tc>
          <w:tcPr>
            <w:tcW w:w="1831"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int="eastAsia" w:hAnsi="宋体" w:cs="宋体"/>
                <w:bCs/>
                <w:color w:val="000000"/>
                <w:spacing w:val="10"/>
                <w:kern w:val="0"/>
                <w:sz w:val="24"/>
                <w:szCs w:val="22"/>
              </w:rPr>
            </w:pPr>
            <w:r>
              <w:rPr>
                <w:rFonts w:hint="eastAsia" w:hAnsi="宋体" w:cs="宋体"/>
                <w:bCs/>
                <w:color w:val="000000"/>
                <w:spacing w:val="10"/>
                <w:kern w:val="0"/>
                <w:sz w:val="24"/>
                <w:szCs w:val="22"/>
              </w:rPr>
              <w:t>内容</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int="eastAsia" w:hAnsi="宋体" w:cs="宋体"/>
                <w:bCs/>
                <w:color w:val="000000"/>
                <w:spacing w:val="10"/>
                <w:kern w:val="0"/>
                <w:sz w:val="24"/>
                <w:szCs w:val="22"/>
              </w:rPr>
            </w:pPr>
            <w:r>
              <w:rPr>
                <w:rFonts w:hint="eastAsia" w:hAnsi="宋体" w:cs="宋体"/>
                <w:bCs/>
                <w:color w:val="000000"/>
                <w:spacing w:val="10"/>
                <w:kern w:val="0"/>
                <w:sz w:val="24"/>
                <w:szCs w:val="22"/>
              </w:rPr>
              <w:t>磋商文件产品技术要求</w:t>
            </w: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int="eastAsia" w:hAnsi="宋体" w:cs="宋体"/>
                <w:bCs/>
                <w:color w:val="000000"/>
                <w:spacing w:val="10"/>
                <w:kern w:val="0"/>
                <w:sz w:val="24"/>
                <w:szCs w:val="22"/>
              </w:rPr>
            </w:pPr>
            <w:r>
              <w:rPr>
                <w:rFonts w:hint="eastAsia" w:hAnsi="宋体" w:cs="宋体"/>
                <w:bCs/>
                <w:color w:val="000000"/>
                <w:spacing w:val="10"/>
                <w:kern w:val="0"/>
                <w:sz w:val="24"/>
                <w:szCs w:val="22"/>
              </w:rPr>
              <w:t>磋商响应文件产品技术响应</w:t>
            </w: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int="eastAsia" w:hAnsi="宋体" w:cs="宋体"/>
                <w:bCs/>
                <w:color w:val="000000"/>
                <w:spacing w:val="10"/>
                <w:kern w:val="0"/>
                <w:sz w:val="24"/>
                <w:szCs w:val="22"/>
              </w:rPr>
            </w:pPr>
            <w:r>
              <w:rPr>
                <w:rFonts w:hint="eastAsia" w:hAnsi="宋体" w:cs="宋体"/>
                <w:bCs/>
                <w:color w:val="000000"/>
                <w:spacing w:val="10"/>
                <w:kern w:val="0"/>
                <w:sz w:val="24"/>
                <w:szCs w:val="22"/>
              </w:rPr>
              <w:t>偏离情况</w:t>
            </w:r>
          </w:p>
        </w:tc>
      </w:tr>
      <w:tr>
        <w:tblPrEx>
          <w:tblCellMar>
            <w:top w:w="0" w:type="dxa"/>
            <w:left w:w="108" w:type="dxa"/>
            <w:bottom w:w="0" w:type="dxa"/>
            <w:right w:w="108" w:type="dxa"/>
          </w:tblCellMar>
        </w:tblPrEx>
        <w:trPr>
          <w:trHeight w:val="519" w:hRule="atLeast"/>
        </w:trPr>
        <w:tc>
          <w:tcPr>
            <w:tcW w:w="1202" w:type="dxa"/>
            <w:vMerge w:val="restart"/>
            <w:tcBorders>
              <w:top w:val="single" w:color="auto" w:sz="4" w:space="0"/>
              <w:left w:val="single" w:color="auto" w:sz="4" w:space="0"/>
              <w:right w:val="single" w:color="auto" w:sz="4" w:space="0"/>
            </w:tcBorders>
            <w:noWrap w:val="0"/>
            <w:vAlign w:val="center"/>
          </w:tcPr>
          <w:p>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商务响应情况</w:t>
            </w:r>
          </w:p>
        </w:tc>
        <w:tc>
          <w:tcPr>
            <w:tcW w:w="183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olor w:val="000000"/>
                <w:sz w:val="24"/>
              </w:rPr>
            </w:pPr>
            <w:r>
              <w:rPr>
                <w:rFonts w:hint="eastAsia" w:ascii="宋体" w:hAnsi="宋体"/>
                <w:color w:val="000000"/>
                <w:sz w:val="24"/>
              </w:rPr>
              <w:t>质保期</w:t>
            </w:r>
          </w:p>
        </w:tc>
        <w:tc>
          <w:tcPr>
            <w:tcW w:w="2160" w:type="dxa"/>
            <w:tcBorders>
              <w:top w:val="single" w:color="auto" w:sz="4" w:space="0"/>
              <w:left w:val="single" w:color="auto" w:sz="4" w:space="0"/>
              <w:bottom w:val="single" w:color="auto" w:sz="4" w:space="0"/>
              <w:right w:val="single" w:color="auto" w:sz="4" w:space="0"/>
            </w:tcBorders>
            <w:noWrap w:val="0"/>
            <w:vAlign w:val="top"/>
          </w:tcPr>
          <w:p>
            <w:pPr>
              <w:pStyle w:val="15"/>
              <w:adjustRightInd w:val="0"/>
              <w:snapToGrid w:val="0"/>
              <w:spacing w:line="360" w:lineRule="auto"/>
              <w:jc w:val="center"/>
              <w:rPr>
                <w:rFonts w:hAnsi="宋体"/>
                <w:color w:val="000000"/>
                <w:spacing w:val="20"/>
                <w:sz w:val="24"/>
              </w:rPr>
            </w:pP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r>
      <w:tr>
        <w:tblPrEx>
          <w:tblCellMar>
            <w:top w:w="0" w:type="dxa"/>
            <w:left w:w="108" w:type="dxa"/>
            <w:bottom w:w="0" w:type="dxa"/>
            <w:right w:w="108" w:type="dxa"/>
          </w:tblCellMar>
        </w:tblPrEx>
        <w:trPr>
          <w:trHeight w:val="519" w:hRule="atLeast"/>
        </w:trPr>
        <w:tc>
          <w:tcPr>
            <w:tcW w:w="1202" w:type="dxa"/>
            <w:vMerge w:val="continue"/>
            <w:tcBorders>
              <w:left w:val="single" w:color="auto" w:sz="4" w:space="0"/>
              <w:right w:val="single" w:color="auto" w:sz="4" w:space="0"/>
            </w:tcBorders>
            <w:noWrap w:val="0"/>
            <w:vAlign w:val="center"/>
          </w:tcPr>
          <w:p>
            <w:pPr>
              <w:widowControl/>
              <w:jc w:val="center"/>
              <w:rPr>
                <w:rFonts w:ascii="宋体" w:hAnsi="宋体" w:cs="宋体"/>
                <w:color w:val="000000"/>
                <w:kern w:val="0"/>
                <w:sz w:val="22"/>
                <w:szCs w:val="22"/>
              </w:rPr>
            </w:pPr>
          </w:p>
        </w:tc>
        <w:tc>
          <w:tcPr>
            <w:tcW w:w="183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olor w:val="000000"/>
                <w:sz w:val="24"/>
              </w:rPr>
            </w:pPr>
            <w:r>
              <w:rPr>
                <w:rFonts w:hint="eastAsia" w:ascii="宋体" w:hAnsi="宋体"/>
                <w:color w:val="000000"/>
                <w:sz w:val="24"/>
              </w:rPr>
              <w:t xml:space="preserve"> 项目工期</w:t>
            </w:r>
          </w:p>
        </w:tc>
        <w:tc>
          <w:tcPr>
            <w:tcW w:w="2160" w:type="dxa"/>
            <w:tcBorders>
              <w:top w:val="single" w:color="auto" w:sz="4" w:space="0"/>
              <w:left w:val="single" w:color="auto" w:sz="4" w:space="0"/>
              <w:bottom w:val="single" w:color="auto" w:sz="4" w:space="0"/>
              <w:right w:val="single" w:color="auto" w:sz="4" w:space="0"/>
            </w:tcBorders>
            <w:noWrap w:val="0"/>
            <w:vAlign w:val="top"/>
          </w:tcPr>
          <w:p>
            <w:pPr>
              <w:pStyle w:val="15"/>
              <w:adjustRightInd w:val="0"/>
              <w:snapToGrid w:val="0"/>
              <w:spacing w:line="360" w:lineRule="auto"/>
              <w:jc w:val="center"/>
              <w:rPr>
                <w:rFonts w:hAnsi="宋体"/>
                <w:color w:val="000000"/>
                <w:spacing w:val="20"/>
                <w:sz w:val="24"/>
              </w:rPr>
            </w:pP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r>
      <w:tr>
        <w:tblPrEx>
          <w:tblCellMar>
            <w:top w:w="0" w:type="dxa"/>
            <w:left w:w="108" w:type="dxa"/>
            <w:bottom w:w="0" w:type="dxa"/>
            <w:right w:w="108" w:type="dxa"/>
          </w:tblCellMar>
        </w:tblPrEx>
        <w:trPr>
          <w:trHeight w:val="519" w:hRule="atLeast"/>
        </w:trPr>
        <w:tc>
          <w:tcPr>
            <w:tcW w:w="1202" w:type="dxa"/>
            <w:vMerge w:val="continue"/>
            <w:tcBorders>
              <w:left w:val="single" w:color="auto" w:sz="4" w:space="0"/>
              <w:right w:val="single" w:color="auto" w:sz="4" w:space="0"/>
            </w:tcBorders>
            <w:noWrap w:val="0"/>
            <w:vAlign w:val="center"/>
          </w:tcPr>
          <w:p>
            <w:pPr>
              <w:widowControl/>
              <w:jc w:val="center"/>
              <w:rPr>
                <w:rFonts w:ascii="宋体" w:hAnsi="宋体" w:cs="宋体"/>
                <w:color w:val="000000"/>
                <w:kern w:val="0"/>
                <w:sz w:val="22"/>
                <w:szCs w:val="22"/>
              </w:rPr>
            </w:pPr>
          </w:p>
        </w:tc>
        <w:tc>
          <w:tcPr>
            <w:tcW w:w="183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olor w:val="000000"/>
                <w:sz w:val="24"/>
              </w:rPr>
            </w:pPr>
            <w:r>
              <w:rPr>
                <w:rFonts w:hint="eastAsia" w:ascii="宋体" w:hAnsi="宋体"/>
                <w:color w:val="000000"/>
                <w:sz w:val="24"/>
              </w:rPr>
              <w:t>付款方式</w:t>
            </w:r>
          </w:p>
        </w:tc>
        <w:tc>
          <w:tcPr>
            <w:tcW w:w="2160" w:type="dxa"/>
            <w:tcBorders>
              <w:top w:val="single" w:color="auto" w:sz="4" w:space="0"/>
              <w:left w:val="single" w:color="auto" w:sz="4" w:space="0"/>
              <w:bottom w:val="single" w:color="auto" w:sz="4" w:space="0"/>
              <w:right w:val="single" w:color="auto" w:sz="4" w:space="0"/>
            </w:tcBorders>
            <w:noWrap w:val="0"/>
            <w:vAlign w:val="top"/>
          </w:tcPr>
          <w:p>
            <w:pPr>
              <w:pStyle w:val="15"/>
              <w:adjustRightInd w:val="0"/>
              <w:snapToGrid w:val="0"/>
              <w:spacing w:line="360" w:lineRule="auto"/>
              <w:jc w:val="center"/>
              <w:rPr>
                <w:rFonts w:hAnsi="宋体"/>
                <w:color w:val="000000"/>
                <w:spacing w:val="20"/>
                <w:sz w:val="24"/>
              </w:rPr>
            </w:pP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r>
      <w:tr>
        <w:tblPrEx>
          <w:tblCellMar>
            <w:top w:w="0" w:type="dxa"/>
            <w:left w:w="108" w:type="dxa"/>
            <w:bottom w:w="0" w:type="dxa"/>
            <w:right w:w="108" w:type="dxa"/>
          </w:tblCellMar>
        </w:tblPrEx>
        <w:trPr>
          <w:trHeight w:val="519" w:hRule="atLeast"/>
        </w:trPr>
        <w:tc>
          <w:tcPr>
            <w:tcW w:w="1202" w:type="dxa"/>
            <w:vMerge w:val="continue"/>
            <w:tcBorders>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2"/>
                <w:szCs w:val="22"/>
              </w:rPr>
            </w:pPr>
          </w:p>
        </w:tc>
        <w:tc>
          <w:tcPr>
            <w:tcW w:w="183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olor w:val="000000"/>
                <w:sz w:val="24"/>
              </w:rPr>
            </w:pPr>
            <w:r>
              <w:rPr>
                <w:rFonts w:hint="eastAsia" w:ascii="宋体" w:hAnsi="宋体"/>
                <w:color w:val="000000"/>
                <w:sz w:val="24"/>
              </w:rPr>
              <w:t>……</w:t>
            </w:r>
          </w:p>
        </w:tc>
        <w:tc>
          <w:tcPr>
            <w:tcW w:w="2160" w:type="dxa"/>
            <w:tcBorders>
              <w:top w:val="single" w:color="auto" w:sz="4" w:space="0"/>
              <w:left w:val="single" w:color="auto" w:sz="4" w:space="0"/>
              <w:bottom w:val="single" w:color="auto" w:sz="4" w:space="0"/>
              <w:right w:val="single" w:color="auto" w:sz="4" w:space="0"/>
            </w:tcBorders>
            <w:noWrap w:val="0"/>
            <w:vAlign w:val="top"/>
          </w:tcPr>
          <w:p>
            <w:pPr>
              <w:pStyle w:val="15"/>
              <w:adjustRightInd w:val="0"/>
              <w:snapToGrid w:val="0"/>
              <w:spacing w:line="360" w:lineRule="auto"/>
              <w:jc w:val="center"/>
              <w:rPr>
                <w:rFonts w:hAnsi="宋体"/>
                <w:color w:val="000000"/>
                <w:spacing w:val="20"/>
                <w:sz w:val="24"/>
              </w:rPr>
            </w:pP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r>
      <w:tr>
        <w:tblPrEx>
          <w:tblCellMar>
            <w:top w:w="0" w:type="dxa"/>
            <w:left w:w="108" w:type="dxa"/>
            <w:bottom w:w="0" w:type="dxa"/>
            <w:right w:w="108" w:type="dxa"/>
          </w:tblCellMar>
        </w:tblPrEx>
        <w:trPr>
          <w:trHeight w:val="690" w:hRule="atLeast"/>
        </w:trPr>
        <w:tc>
          <w:tcPr>
            <w:tcW w:w="120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int="eastAsia" w:hAnsi="宋体" w:cs="宋体"/>
                <w:color w:val="000000"/>
                <w:kern w:val="0"/>
                <w:sz w:val="22"/>
                <w:szCs w:val="22"/>
              </w:rPr>
            </w:pPr>
            <w:r>
              <w:rPr>
                <w:rFonts w:hint="eastAsia" w:hAnsi="宋体" w:cs="宋体"/>
                <w:color w:val="000000"/>
                <w:kern w:val="0"/>
                <w:sz w:val="22"/>
                <w:szCs w:val="22"/>
              </w:rPr>
              <w:t>类别</w:t>
            </w:r>
          </w:p>
        </w:tc>
        <w:tc>
          <w:tcPr>
            <w:tcW w:w="1831"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int="eastAsia" w:hAnsi="宋体" w:cs="宋体"/>
                <w:color w:val="000000"/>
                <w:kern w:val="0"/>
                <w:sz w:val="22"/>
                <w:szCs w:val="22"/>
              </w:rPr>
            </w:pPr>
            <w:r>
              <w:rPr>
                <w:rFonts w:hint="eastAsia" w:hAnsi="宋体" w:cs="宋体"/>
                <w:color w:val="000000"/>
                <w:kern w:val="0"/>
                <w:sz w:val="22"/>
                <w:szCs w:val="22"/>
              </w:rPr>
              <w:t>设备品牌型号</w:t>
            </w:r>
          </w:p>
        </w:tc>
        <w:tc>
          <w:tcPr>
            <w:tcW w:w="2160"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int="eastAsia" w:hAnsi="宋体" w:cs="宋体"/>
                <w:color w:val="000000"/>
                <w:kern w:val="0"/>
                <w:sz w:val="22"/>
                <w:szCs w:val="22"/>
              </w:rPr>
            </w:pPr>
            <w:r>
              <w:rPr>
                <w:rFonts w:hint="eastAsia" w:hAnsi="宋体" w:cs="宋体"/>
                <w:color w:val="000000"/>
                <w:kern w:val="0"/>
                <w:sz w:val="22"/>
                <w:szCs w:val="22"/>
              </w:rPr>
              <w:t>磋商文件产品技术要求</w:t>
            </w: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int="eastAsia" w:hAnsi="宋体" w:cs="宋体"/>
                <w:color w:val="000000"/>
                <w:kern w:val="0"/>
                <w:sz w:val="22"/>
                <w:szCs w:val="22"/>
              </w:rPr>
            </w:pPr>
            <w:r>
              <w:rPr>
                <w:rFonts w:hint="eastAsia" w:hAnsi="宋体" w:cs="宋体"/>
                <w:color w:val="000000"/>
                <w:kern w:val="0"/>
                <w:sz w:val="22"/>
                <w:szCs w:val="22"/>
              </w:rPr>
              <w:t>磋商响应文件产品技术响应</w:t>
            </w: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int="eastAsia" w:hAnsi="宋体" w:cs="宋体"/>
                <w:color w:val="000000"/>
                <w:kern w:val="0"/>
                <w:sz w:val="22"/>
                <w:szCs w:val="22"/>
              </w:rPr>
            </w:pPr>
            <w:r>
              <w:rPr>
                <w:rFonts w:hint="eastAsia" w:hAnsi="宋体" w:cs="宋体"/>
                <w:color w:val="000000"/>
                <w:kern w:val="0"/>
                <w:sz w:val="22"/>
                <w:szCs w:val="22"/>
              </w:rPr>
              <w:t>偏离情况</w:t>
            </w:r>
          </w:p>
        </w:tc>
      </w:tr>
      <w:tr>
        <w:tblPrEx>
          <w:tblCellMar>
            <w:top w:w="0" w:type="dxa"/>
            <w:left w:w="108" w:type="dxa"/>
            <w:bottom w:w="0" w:type="dxa"/>
            <w:right w:w="108" w:type="dxa"/>
          </w:tblCellMar>
        </w:tblPrEx>
        <w:trPr>
          <w:trHeight w:val="519" w:hRule="atLeast"/>
        </w:trPr>
        <w:tc>
          <w:tcPr>
            <w:tcW w:w="1202"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宋体" w:hAnsi="宋体" w:cs="宋体"/>
                <w:color w:val="000000"/>
                <w:kern w:val="0"/>
                <w:sz w:val="22"/>
                <w:szCs w:val="22"/>
              </w:rPr>
            </w:pPr>
            <w:r>
              <w:rPr>
                <w:rFonts w:hint="eastAsia" w:ascii="宋体" w:hAnsi="宋体" w:cs="宋体"/>
                <w:color w:val="000000"/>
                <w:kern w:val="0"/>
                <w:sz w:val="22"/>
                <w:szCs w:val="22"/>
              </w:rPr>
              <w:t>技术响应情况</w:t>
            </w:r>
          </w:p>
        </w:tc>
        <w:tc>
          <w:tcPr>
            <w:tcW w:w="1831"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color w:val="000000"/>
                <w:sz w:val="24"/>
              </w:rPr>
            </w:pPr>
          </w:p>
        </w:tc>
        <w:tc>
          <w:tcPr>
            <w:tcW w:w="2160" w:type="dxa"/>
            <w:tcBorders>
              <w:top w:val="single" w:color="auto" w:sz="4" w:space="0"/>
              <w:left w:val="single" w:color="auto" w:sz="4" w:space="0"/>
              <w:bottom w:val="single" w:color="auto" w:sz="4" w:space="0"/>
              <w:right w:val="single" w:color="auto" w:sz="4" w:space="0"/>
            </w:tcBorders>
            <w:noWrap w:val="0"/>
            <w:vAlign w:val="top"/>
          </w:tcPr>
          <w:p>
            <w:pPr>
              <w:pStyle w:val="15"/>
              <w:adjustRightInd w:val="0"/>
              <w:snapToGrid w:val="0"/>
              <w:spacing w:line="360" w:lineRule="auto"/>
              <w:jc w:val="center"/>
              <w:rPr>
                <w:rFonts w:hAnsi="宋体"/>
                <w:color w:val="000000"/>
                <w:spacing w:val="20"/>
                <w:sz w:val="24"/>
              </w:rPr>
            </w:pP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r>
      <w:tr>
        <w:tblPrEx>
          <w:tblCellMar>
            <w:top w:w="0" w:type="dxa"/>
            <w:left w:w="108" w:type="dxa"/>
            <w:bottom w:w="0" w:type="dxa"/>
            <w:right w:w="108" w:type="dxa"/>
          </w:tblCellMar>
        </w:tblPrEx>
        <w:trPr>
          <w:trHeight w:val="519" w:hRule="atLeast"/>
        </w:trPr>
        <w:tc>
          <w:tcPr>
            <w:tcW w:w="1202"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2"/>
                <w:szCs w:val="22"/>
              </w:rPr>
            </w:pPr>
          </w:p>
        </w:tc>
        <w:tc>
          <w:tcPr>
            <w:tcW w:w="1831"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2160" w:type="dxa"/>
            <w:tcBorders>
              <w:top w:val="single" w:color="auto" w:sz="4" w:space="0"/>
              <w:left w:val="single" w:color="auto" w:sz="4" w:space="0"/>
              <w:bottom w:val="single" w:color="auto" w:sz="4" w:space="0"/>
              <w:right w:val="single" w:color="auto" w:sz="4" w:space="0"/>
            </w:tcBorders>
            <w:noWrap w:val="0"/>
            <w:vAlign w:val="top"/>
          </w:tcPr>
          <w:p>
            <w:pPr>
              <w:pStyle w:val="15"/>
              <w:adjustRightInd w:val="0"/>
              <w:snapToGrid w:val="0"/>
              <w:spacing w:line="360" w:lineRule="auto"/>
              <w:jc w:val="center"/>
              <w:rPr>
                <w:rFonts w:hAnsi="宋体"/>
                <w:color w:val="000000"/>
                <w:spacing w:val="20"/>
                <w:sz w:val="24"/>
              </w:rPr>
            </w:pP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r>
      <w:tr>
        <w:tblPrEx>
          <w:tblCellMar>
            <w:top w:w="0" w:type="dxa"/>
            <w:left w:w="108" w:type="dxa"/>
            <w:bottom w:w="0" w:type="dxa"/>
            <w:right w:w="108" w:type="dxa"/>
          </w:tblCellMar>
        </w:tblPrEx>
        <w:trPr>
          <w:trHeight w:val="519" w:hRule="atLeast"/>
        </w:trPr>
        <w:tc>
          <w:tcPr>
            <w:tcW w:w="1202"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宋体" w:hAnsi="宋体" w:cs="宋体"/>
                <w:color w:val="000000"/>
                <w:kern w:val="0"/>
                <w:sz w:val="22"/>
                <w:szCs w:val="22"/>
              </w:rPr>
            </w:pPr>
          </w:p>
        </w:tc>
        <w:tc>
          <w:tcPr>
            <w:tcW w:w="1831"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2160" w:type="dxa"/>
            <w:tcBorders>
              <w:top w:val="single" w:color="auto" w:sz="4" w:space="0"/>
              <w:left w:val="single" w:color="auto" w:sz="4" w:space="0"/>
              <w:bottom w:val="single" w:color="auto" w:sz="4" w:space="0"/>
              <w:right w:val="single" w:color="auto" w:sz="4" w:space="0"/>
            </w:tcBorders>
            <w:noWrap w:val="0"/>
            <w:vAlign w:val="top"/>
          </w:tcPr>
          <w:p>
            <w:pPr>
              <w:pStyle w:val="15"/>
              <w:adjustRightInd w:val="0"/>
              <w:snapToGrid w:val="0"/>
              <w:spacing w:line="360" w:lineRule="auto"/>
              <w:jc w:val="center"/>
              <w:rPr>
                <w:rFonts w:hAnsi="宋体"/>
                <w:color w:val="000000"/>
                <w:spacing w:val="20"/>
                <w:sz w:val="24"/>
              </w:rPr>
            </w:pP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r>
      <w:tr>
        <w:tblPrEx>
          <w:tblCellMar>
            <w:top w:w="0" w:type="dxa"/>
            <w:left w:w="108" w:type="dxa"/>
            <w:bottom w:w="0" w:type="dxa"/>
            <w:right w:w="108" w:type="dxa"/>
          </w:tblCellMar>
        </w:tblPrEx>
        <w:trPr>
          <w:trHeight w:val="519" w:hRule="atLeast"/>
        </w:trPr>
        <w:tc>
          <w:tcPr>
            <w:tcW w:w="1202"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宋体" w:hAnsi="宋体"/>
                <w:color w:val="000000"/>
                <w:kern w:val="0"/>
                <w:sz w:val="22"/>
                <w:szCs w:val="22"/>
              </w:rPr>
            </w:pPr>
          </w:p>
        </w:tc>
        <w:tc>
          <w:tcPr>
            <w:tcW w:w="1831"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2160" w:type="dxa"/>
            <w:tcBorders>
              <w:top w:val="single" w:color="auto" w:sz="4" w:space="0"/>
              <w:left w:val="single" w:color="auto" w:sz="4" w:space="0"/>
              <w:bottom w:val="single" w:color="auto" w:sz="4" w:space="0"/>
              <w:right w:val="single" w:color="auto" w:sz="4" w:space="0"/>
            </w:tcBorders>
            <w:noWrap w:val="0"/>
            <w:vAlign w:val="top"/>
          </w:tcPr>
          <w:p>
            <w:pPr>
              <w:pStyle w:val="15"/>
              <w:adjustRightInd w:val="0"/>
              <w:snapToGrid w:val="0"/>
              <w:spacing w:line="360" w:lineRule="auto"/>
              <w:jc w:val="center"/>
              <w:rPr>
                <w:rFonts w:hAnsi="宋体"/>
                <w:color w:val="000000"/>
                <w:spacing w:val="20"/>
                <w:sz w:val="24"/>
              </w:rPr>
            </w:pP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r>
      <w:tr>
        <w:tblPrEx>
          <w:tblCellMar>
            <w:top w:w="0" w:type="dxa"/>
            <w:left w:w="108" w:type="dxa"/>
            <w:bottom w:w="0" w:type="dxa"/>
            <w:right w:w="108" w:type="dxa"/>
          </w:tblCellMar>
        </w:tblPrEx>
        <w:trPr>
          <w:trHeight w:val="519" w:hRule="atLeast"/>
        </w:trPr>
        <w:tc>
          <w:tcPr>
            <w:tcW w:w="1202"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宋体" w:hAnsi="宋体"/>
                <w:color w:val="000000"/>
                <w:kern w:val="0"/>
                <w:sz w:val="22"/>
                <w:szCs w:val="22"/>
              </w:rPr>
            </w:pPr>
          </w:p>
        </w:tc>
        <w:tc>
          <w:tcPr>
            <w:tcW w:w="1831"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2160" w:type="dxa"/>
            <w:tcBorders>
              <w:top w:val="single" w:color="auto" w:sz="4" w:space="0"/>
              <w:left w:val="single" w:color="auto" w:sz="4" w:space="0"/>
              <w:bottom w:val="single" w:color="auto" w:sz="4" w:space="0"/>
              <w:right w:val="single" w:color="auto" w:sz="4" w:space="0"/>
            </w:tcBorders>
            <w:noWrap w:val="0"/>
            <w:vAlign w:val="top"/>
          </w:tcPr>
          <w:p>
            <w:pPr>
              <w:pStyle w:val="15"/>
              <w:adjustRightInd w:val="0"/>
              <w:snapToGrid w:val="0"/>
              <w:spacing w:line="360" w:lineRule="auto"/>
              <w:jc w:val="center"/>
              <w:rPr>
                <w:rFonts w:hAnsi="宋体"/>
                <w:color w:val="000000"/>
                <w:spacing w:val="20"/>
                <w:sz w:val="24"/>
              </w:rPr>
            </w:pP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r>
      <w:tr>
        <w:tblPrEx>
          <w:tblCellMar>
            <w:top w:w="0" w:type="dxa"/>
            <w:left w:w="108" w:type="dxa"/>
            <w:bottom w:w="0" w:type="dxa"/>
            <w:right w:w="108" w:type="dxa"/>
          </w:tblCellMar>
        </w:tblPrEx>
        <w:trPr>
          <w:trHeight w:val="519" w:hRule="atLeast"/>
        </w:trPr>
        <w:tc>
          <w:tcPr>
            <w:tcW w:w="1202"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宋体" w:hAnsi="宋体"/>
                <w:color w:val="000000"/>
                <w:kern w:val="0"/>
                <w:sz w:val="22"/>
                <w:szCs w:val="22"/>
              </w:rPr>
            </w:pPr>
          </w:p>
        </w:tc>
        <w:tc>
          <w:tcPr>
            <w:tcW w:w="1831"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2160" w:type="dxa"/>
            <w:tcBorders>
              <w:top w:val="single" w:color="auto" w:sz="4" w:space="0"/>
              <w:left w:val="single" w:color="auto" w:sz="4" w:space="0"/>
              <w:bottom w:val="single" w:color="auto" w:sz="4" w:space="0"/>
              <w:right w:val="single" w:color="auto" w:sz="4" w:space="0"/>
            </w:tcBorders>
            <w:noWrap w:val="0"/>
            <w:vAlign w:val="top"/>
          </w:tcPr>
          <w:p>
            <w:pPr>
              <w:pStyle w:val="15"/>
              <w:adjustRightInd w:val="0"/>
              <w:snapToGrid w:val="0"/>
              <w:spacing w:line="360" w:lineRule="auto"/>
              <w:jc w:val="center"/>
              <w:rPr>
                <w:rFonts w:hAnsi="宋体"/>
                <w:color w:val="000000"/>
                <w:spacing w:val="20"/>
                <w:sz w:val="24"/>
              </w:rPr>
            </w:pP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r>
      <w:tr>
        <w:tblPrEx>
          <w:tblCellMar>
            <w:top w:w="0" w:type="dxa"/>
            <w:left w:w="108" w:type="dxa"/>
            <w:bottom w:w="0" w:type="dxa"/>
            <w:right w:w="108" w:type="dxa"/>
          </w:tblCellMar>
        </w:tblPrEx>
        <w:trPr>
          <w:trHeight w:val="519" w:hRule="atLeast"/>
        </w:trPr>
        <w:tc>
          <w:tcPr>
            <w:tcW w:w="1202"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宋体" w:hAnsi="宋体"/>
                <w:color w:val="000000"/>
                <w:kern w:val="0"/>
                <w:sz w:val="22"/>
                <w:szCs w:val="22"/>
              </w:rPr>
            </w:pPr>
          </w:p>
        </w:tc>
        <w:tc>
          <w:tcPr>
            <w:tcW w:w="1831"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2160" w:type="dxa"/>
            <w:tcBorders>
              <w:top w:val="single" w:color="auto" w:sz="4" w:space="0"/>
              <w:left w:val="single" w:color="auto" w:sz="4" w:space="0"/>
              <w:bottom w:val="single" w:color="auto" w:sz="4" w:space="0"/>
              <w:right w:val="single" w:color="auto" w:sz="4" w:space="0"/>
            </w:tcBorders>
            <w:noWrap w:val="0"/>
            <w:vAlign w:val="top"/>
          </w:tcPr>
          <w:p>
            <w:pPr>
              <w:pStyle w:val="15"/>
              <w:adjustRightInd w:val="0"/>
              <w:snapToGrid w:val="0"/>
              <w:spacing w:line="360" w:lineRule="auto"/>
              <w:jc w:val="center"/>
              <w:rPr>
                <w:rFonts w:hAnsi="宋体"/>
                <w:color w:val="000000"/>
                <w:spacing w:val="20"/>
                <w:sz w:val="24"/>
              </w:rPr>
            </w:pPr>
          </w:p>
        </w:tc>
        <w:tc>
          <w:tcPr>
            <w:tcW w:w="2127"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c>
          <w:tcPr>
            <w:tcW w:w="1472" w:type="dxa"/>
            <w:tcBorders>
              <w:top w:val="single" w:color="auto" w:sz="4" w:space="0"/>
              <w:left w:val="single" w:color="auto" w:sz="4" w:space="0"/>
              <w:bottom w:val="single" w:color="auto" w:sz="4" w:space="0"/>
              <w:right w:val="single" w:color="auto" w:sz="4" w:space="0"/>
            </w:tcBorders>
            <w:noWrap w:val="0"/>
            <w:vAlign w:val="center"/>
          </w:tcPr>
          <w:p>
            <w:pPr>
              <w:pStyle w:val="15"/>
              <w:adjustRightInd w:val="0"/>
              <w:snapToGrid w:val="0"/>
              <w:spacing w:line="360" w:lineRule="auto"/>
              <w:jc w:val="center"/>
              <w:rPr>
                <w:rFonts w:hAnsi="宋体"/>
                <w:color w:val="000000"/>
                <w:spacing w:val="20"/>
                <w:sz w:val="24"/>
              </w:rPr>
            </w:pPr>
          </w:p>
        </w:tc>
      </w:tr>
    </w:tbl>
    <w:p>
      <w:pPr>
        <w:pStyle w:val="15"/>
        <w:adjustRightInd w:val="0"/>
        <w:snapToGrid w:val="0"/>
        <w:spacing w:line="360" w:lineRule="auto"/>
        <w:rPr>
          <w:rFonts w:hint="eastAsia" w:hAnsi="宋体"/>
          <w:color w:val="000000"/>
          <w:sz w:val="24"/>
        </w:rPr>
      </w:pPr>
      <w:r>
        <w:rPr>
          <w:rFonts w:hint="eastAsia" w:hAnsi="宋体"/>
          <w:color w:val="000000"/>
          <w:sz w:val="24"/>
        </w:rPr>
        <w:t>备注：供应商在填写其中的“磋商响应文件产品技术响应”内容时，必须对照本磋商文件“产品技术要求”中各指标项逐条说明，写出各磋商产品的具体参数响应内容，不得以“符合”或“满足”等词语作简单回答或者完全复制本项目采购需求中参数内容，否则磋商小组有权视其磋商响应文件未响应磋商文件要求。</w:t>
      </w:r>
    </w:p>
    <w:p>
      <w:pPr>
        <w:ind w:firstLine="424" w:firstLineChars="177"/>
        <w:rPr>
          <w:rFonts w:ascii="宋体" w:hAnsi="宋体"/>
          <w:color w:val="000000"/>
          <w:sz w:val="24"/>
          <w:u w:val="single"/>
        </w:rPr>
      </w:pPr>
      <w:r>
        <w:rPr>
          <w:rFonts w:hint="eastAsia" w:ascii="宋体" w:hAnsi="宋体"/>
          <w:color w:val="000000"/>
          <w:sz w:val="24"/>
        </w:rPr>
        <w:t>磋商供应商名称（盖章）：</w:t>
      </w:r>
      <w:r>
        <w:rPr>
          <w:rFonts w:hint="eastAsia" w:ascii="宋体" w:hAnsi="宋体"/>
          <w:color w:val="000000"/>
          <w:sz w:val="24"/>
          <w:u w:val="single"/>
        </w:rPr>
        <w:t xml:space="preserve">                       </w:t>
      </w:r>
    </w:p>
    <w:p>
      <w:pPr>
        <w:ind w:left="420"/>
        <w:rPr>
          <w:rFonts w:ascii="宋体" w:hAnsi="宋体"/>
          <w:color w:val="000000"/>
          <w:sz w:val="24"/>
        </w:rPr>
      </w:pPr>
    </w:p>
    <w:p>
      <w:pPr>
        <w:ind w:firstLine="424" w:firstLineChars="177"/>
        <w:rPr>
          <w:rFonts w:ascii="宋体" w:hAnsi="宋体"/>
          <w:color w:val="000000"/>
          <w:sz w:val="24"/>
        </w:rPr>
      </w:pPr>
      <w:r>
        <w:rPr>
          <w:rFonts w:hint="eastAsia" w:ascii="宋体" w:hAnsi="宋体"/>
          <w:color w:val="000000"/>
          <w:sz w:val="24"/>
        </w:rPr>
        <w:t>磋商供应商代表签字：</w:t>
      </w:r>
      <w:r>
        <w:rPr>
          <w:rFonts w:hint="eastAsia" w:ascii="宋体" w:hAnsi="宋体"/>
          <w:color w:val="000000"/>
          <w:sz w:val="24"/>
          <w:u w:val="single"/>
        </w:rPr>
        <w:t xml:space="preserve">                          </w:t>
      </w:r>
    </w:p>
    <w:p>
      <w:pPr>
        <w:ind w:firstLine="435"/>
        <w:rPr>
          <w:rFonts w:ascii="宋体" w:hAnsi="宋体"/>
          <w:color w:val="000000"/>
          <w:sz w:val="24"/>
        </w:rPr>
      </w:pPr>
    </w:p>
    <w:p>
      <w:pPr>
        <w:ind w:firstLine="424" w:firstLineChars="177"/>
        <w:rPr>
          <w:rFonts w:ascii="宋体" w:hAnsi="宋体"/>
          <w:color w:val="000000"/>
          <w:sz w:val="24"/>
          <w:u w:val="single"/>
        </w:rPr>
      </w:pPr>
      <w:r>
        <w:rPr>
          <w:rFonts w:hint="eastAsia" w:ascii="宋体" w:hAnsi="宋体"/>
          <w:color w:val="000000"/>
          <w:sz w:val="24"/>
        </w:rPr>
        <w:t>职        务：</w:t>
      </w:r>
      <w:r>
        <w:rPr>
          <w:rFonts w:hint="eastAsia" w:ascii="宋体" w:hAnsi="宋体"/>
          <w:color w:val="000000"/>
          <w:sz w:val="24"/>
          <w:u w:val="single"/>
        </w:rPr>
        <w:t xml:space="preserve">                             </w:t>
      </w:r>
    </w:p>
    <w:p>
      <w:pPr>
        <w:rPr>
          <w:rFonts w:ascii="宋体" w:hAnsi="宋体"/>
          <w:color w:val="000000"/>
          <w:sz w:val="24"/>
        </w:rPr>
      </w:pPr>
    </w:p>
    <w:p>
      <w:pPr>
        <w:pStyle w:val="54"/>
        <w:shd w:val="clear" w:color="auto" w:fill="FFFFFF"/>
        <w:spacing w:before="0" w:beforeAutospacing="0" w:after="0" w:afterAutospacing="0"/>
        <w:ind w:firstLine="424" w:firstLineChars="177"/>
        <w:rPr>
          <w:rFonts w:hint="eastAsia"/>
          <w:b/>
          <w:color w:val="000000"/>
          <w:sz w:val="28"/>
        </w:rPr>
      </w:pPr>
      <w:r>
        <w:rPr>
          <w:rFonts w:hint="eastAsia"/>
          <w:color w:val="000000"/>
        </w:rPr>
        <w:t>日        期：</w:t>
      </w:r>
      <w:r>
        <w:rPr>
          <w:rFonts w:hint="eastAsia"/>
          <w:color w:val="000000"/>
          <w:u w:val="single"/>
        </w:rPr>
        <w:t xml:space="preserve">                            </w:t>
      </w:r>
    </w:p>
    <w:p>
      <w:pPr>
        <w:snapToGrid w:val="0"/>
        <w:spacing w:before="156" w:beforeLines="50" w:after="50" w:line="360" w:lineRule="auto"/>
        <w:rPr>
          <w:rFonts w:hint="eastAsia" w:ascii="宋体" w:hAnsi="宋体"/>
          <w:b/>
          <w:color w:val="000000"/>
          <w:sz w:val="28"/>
        </w:rPr>
      </w:pPr>
      <w:r>
        <w:rPr>
          <w:rFonts w:hint="eastAsia" w:ascii="宋体" w:hAnsi="宋体"/>
          <w:b/>
          <w:color w:val="000000"/>
          <w:sz w:val="28"/>
        </w:rPr>
        <w:t>附件9：</w:t>
      </w:r>
    </w:p>
    <w:p>
      <w:pPr>
        <w:pStyle w:val="52"/>
        <w:spacing w:line="360" w:lineRule="auto"/>
        <w:jc w:val="center"/>
        <w:rPr>
          <w:rFonts w:ascii="宋体" w:hAnsi="宋体"/>
          <w:b/>
          <w:color w:val="000000"/>
          <w:sz w:val="32"/>
          <w:szCs w:val="32"/>
        </w:rPr>
      </w:pPr>
      <w:r>
        <w:rPr>
          <w:rFonts w:hint="eastAsia" w:ascii="宋体" w:hAnsi="宋体"/>
          <w:b/>
          <w:color w:val="000000"/>
          <w:sz w:val="32"/>
          <w:szCs w:val="32"/>
        </w:rPr>
        <w:t>证书一览表</w:t>
      </w:r>
    </w:p>
    <w:p>
      <w:pPr>
        <w:pStyle w:val="52"/>
        <w:spacing w:line="360" w:lineRule="auto"/>
        <w:jc w:val="center"/>
        <w:rPr>
          <w:rFonts w:ascii="宋体" w:hAnsi="宋体" w:cs="Arial"/>
          <w:color w:val="000000"/>
          <w:sz w:val="28"/>
          <w:szCs w:val="28"/>
        </w:rPr>
      </w:pPr>
    </w:p>
    <w:tbl>
      <w:tblPr>
        <w:tblStyle w:val="30"/>
        <w:tblW w:w="0" w:type="auto"/>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7"/>
        <w:gridCol w:w="2258"/>
        <w:gridCol w:w="2260"/>
        <w:gridCol w:w="2047"/>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867" w:type="dxa"/>
            <w:tcBorders>
              <w:top w:val="single" w:color="auto" w:sz="4" w:space="0"/>
              <w:left w:val="single" w:color="auto" w:sz="4" w:space="0"/>
              <w:bottom w:val="single" w:color="auto" w:sz="4" w:space="0"/>
            </w:tcBorders>
            <w:noWrap w:val="0"/>
            <w:vAlign w:val="top"/>
          </w:tcPr>
          <w:p>
            <w:pPr>
              <w:pStyle w:val="52"/>
              <w:spacing w:line="360" w:lineRule="auto"/>
              <w:jc w:val="center"/>
              <w:rPr>
                <w:rFonts w:ascii="宋体" w:hAnsi="宋体" w:cs="Arial"/>
                <w:b/>
                <w:bCs/>
                <w:color w:val="000000"/>
                <w:sz w:val="24"/>
              </w:rPr>
            </w:pPr>
            <w:r>
              <w:rPr>
                <w:rFonts w:hint="eastAsia" w:ascii="宋体" w:hAnsi="宋体" w:cs="Arial"/>
                <w:b/>
                <w:bCs/>
                <w:color w:val="000000"/>
                <w:sz w:val="24"/>
              </w:rPr>
              <w:t>证书名称</w:t>
            </w:r>
          </w:p>
        </w:tc>
        <w:tc>
          <w:tcPr>
            <w:tcW w:w="2258" w:type="dxa"/>
            <w:tcBorders>
              <w:top w:val="single" w:color="auto" w:sz="4" w:space="0"/>
              <w:bottom w:val="single" w:color="auto" w:sz="4" w:space="0"/>
            </w:tcBorders>
            <w:noWrap w:val="0"/>
            <w:vAlign w:val="top"/>
          </w:tcPr>
          <w:p>
            <w:pPr>
              <w:pStyle w:val="52"/>
              <w:spacing w:line="360" w:lineRule="auto"/>
              <w:jc w:val="center"/>
              <w:rPr>
                <w:rFonts w:ascii="宋体" w:hAnsi="宋体" w:cs="Arial"/>
                <w:b/>
                <w:bCs/>
                <w:color w:val="000000"/>
                <w:sz w:val="24"/>
              </w:rPr>
            </w:pPr>
            <w:r>
              <w:rPr>
                <w:rFonts w:hint="eastAsia" w:ascii="宋体" w:hAnsi="宋体" w:cs="Arial"/>
                <w:b/>
                <w:bCs/>
                <w:color w:val="000000"/>
                <w:sz w:val="24"/>
              </w:rPr>
              <w:t>发证单位</w:t>
            </w:r>
          </w:p>
        </w:tc>
        <w:tc>
          <w:tcPr>
            <w:tcW w:w="2260" w:type="dxa"/>
            <w:tcBorders>
              <w:top w:val="single" w:color="auto" w:sz="4" w:space="0"/>
              <w:bottom w:val="single" w:color="auto" w:sz="4" w:space="0"/>
            </w:tcBorders>
            <w:noWrap w:val="0"/>
            <w:vAlign w:val="top"/>
          </w:tcPr>
          <w:p>
            <w:pPr>
              <w:pStyle w:val="52"/>
              <w:spacing w:line="360" w:lineRule="auto"/>
              <w:jc w:val="center"/>
              <w:rPr>
                <w:rFonts w:ascii="宋体" w:hAnsi="宋体" w:cs="Arial"/>
                <w:b/>
                <w:bCs/>
                <w:color w:val="000000"/>
                <w:sz w:val="24"/>
              </w:rPr>
            </w:pPr>
            <w:r>
              <w:rPr>
                <w:rFonts w:hint="eastAsia" w:ascii="宋体" w:hAnsi="宋体" w:cs="Arial"/>
                <w:b/>
                <w:bCs/>
                <w:color w:val="000000"/>
                <w:sz w:val="24"/>
              </w:rPr>
              <w:t>证书等级</w:t>
            </w:r>
          </w:p>
        </w:tc>
        <w:tc>
          <w:tcPr>
            <w:tcW w:w="2047" w:type="dxa"/>
            <w:tcBorders>
              <w:top w:val="single" w:color="auto" w:sz="4" w:space="0"/>
              <w:bottom w:val="single" w:color="auto" w:sz="4" w:space="0"/>
              <w:right w:val="single" w:color="auto" w:sz="4" w:space="0"/>
            </w:tcBorders>
            <w:noWrap w:val="0"/>
            <w:vAlign w:val="top"/>
          </w:tcPr>
          <w:p>
            <w:pPr>
              <w:pStyle w:val="52"/>
              <w:spacing w:line="360" w:lineRule="auto"/>
              <w:jc w:val="center"/>
              <w:rPr>
                <w:rFonts w:ascii="宋体" w:hAnsi="宋体" w:cs="Arial"/>
                <w:b/>
                <w:bCs/>
                <w:color w:val="000000"/>
                <w:sz w:val="24"/>
              </w:rPr>
            </w:pPr>
            <w:r>
              <w:rPr>
                <w:rFonts w:hint="eastAsia" w:ascii="宋体" w:hAnsi="宋体" w:cs="Arial"/>
                <w:b/>
                <w:bCs/>
                <w:color w:val="000000"/>
                <w:sz w:val="24"/>
              </w:rPr>
              <w:t>证书有效期</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top w:val="single" w:color="auto" w:sz="4" w:space="0"/>
              <w:left w:val="single" w:color="auto" w:sz="4" w:space="0"/>
            </w:tcBorders>
            <w:noWrap w:val="0"/>
            <w:vAlign w:val="top"/>
          </w:tcPr>
          <w:p>
            <w:pPr>
              <w:pStyle w:val="52"/>
              <w:spacing w:line="360" w:lineRule="auto"/>
              <w:jc w:val="center"/>
              <w:rPr>
                <w:rFonts w:ascii="宋体" w:hAnsi="宋体" w:cs="Arial"/>
                <w:color w:val="000000"/>
                <w:szCs w:val="21"/>
              </w:rPr>
            </w:pPr>
          </w:p>
        </w:tc>
        <w:tc>
          <w:tcPr>
            <w:tcW w:w="2258" w:type="dxa"/>
            <w:tcBorders>
              <w:top w:val="single" w:color="auto" w:sz="4" w:space="0"/>
            </w:tcBorders>
            <w:noWrap w:val="0"/>
            <w:vAlign w:val="top"/>
          </w:tcPr>
          <w:p>
            <w:pPr>
              <w:pStyle w:val="52"/>
              <w:spacing w:line="360" w:lineRule="auto"/>
              <w:jc w:val="center"/>
              <w:rPr>
                <w:rFonts w:ascii="宋体" w:hAnsi="宋体" w:cs="Arial"/>
                <w:color w:val="000000"/>
                <w:szCs w:val="21"/>
              </w:rPr>
            </w:pPr>
          </w:p>
        </w:tc>
        <w:tc>
          <w:tcPr>
            <w:tcW w:w="2260" w:type="dxa"/>
            <w:tcBorders>
              <w:top w:val="single" w:color="auto" w:sz="4" w:space="0"/>
            </w:tcBorders>
            <w:noWrap w:val="0"/>
            <w:vAlign w:val="top"/>
          </w:tcPr>
          <w:p>
            <w:pPr>
              <w:pStyle w:val="52"/>
              <w:spacing w:line="360" w:lineRule="auto"/>
              <w:jc w:val="center"/>
              <w:rPr>
                <w:rFonts w:ascii="宋体" w:hAnsi="宋体" w:cs="Arial"/>
                <w:color w:val="000000"/>
                <w:szCs w:val="21"/>
              </w:rPr>
            </w:pPr>
          </w:p>
        </w:tc>
        <w:tc>
          <w:tcPr>
            <w:tcW w:w="2047" w:type="dxa"/>
            <w:tcBorders>
              <w:top w:val="single" w:color="auto" w:sz="4" w:space="0"/>
              <w:right w:val="single" w:color="auto" w:sz="4" w:space="0"/>
            </w:tcBorders>
            <w:noWrap w:val="0"/>
            <w:vAlign w:val="top"/>
          </w:tcPr>
          <w:p>
            <w:pPr>
              <w:pStyle w:val="52"/>
              <w:spacing w:line="360" w:lineRule="auto"/>
              <w:jc w:val="center"/>
              <w:rPr>
                <w:rFonts w:ascii="宋体" w:hAnsi="宋体" w:cs="Arial"/>
                <w:color w:val="000000"/>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noWrap w:val="0"/>
            <w:vAlign w:val="top"/>
          </w:tcPr>
          <w:p>
            <w:pPr>
              <w:pStyle w:val="52"/>
              <w:spacing w:line="360" w:lineRule="auto"/>
              <w:jc w:val="center"/>
              <w:rPr>
                <w:rFonts w:ascii="宋体" w:hAnsi="宋体" w:cs="Arial"/>
                <w:color w:val="000000"/>
                <w:szCs w:val="21"/>
              </w:rPr>
            </w:pPr>
          </w:p>
        </w:tc>
        <w:tc>
          <w:tcPr>
            <w:tcW w:w="2258" w:type="dxa"/>
            <w:noWrap w:val="0"/>
            <w:vAlign w:val="top"/>
          </w:tcPr>
          <w:p>
            <w:pPr>
              <w:pStyle w:val="52"/>
              <w:spacing w:line="360" w:lineRule="auto"/>
              <w:jc w:val="center"/>
              <w:rPr>
                <w:rFonts w:ascii="宋体" w:hAnsi="宋体" w:cs="Arial"/>
                <w:color w:val="000000"/>
                <w:szCs w:val="21"/>
              </w:rPr>
            </w:pPr>
          </w:p>
        </w:tc>
        <w:tc>
          <w:tcPr>
            <w:tcW w:w="2260" w:type="dxa"/>
            <w:noWrap w:val="0"/>
            <w:vAlign w:val="top"/>
          </w:tcPr>
          <w:p>
            <w:pPr>
              <w:pStyle w:val="52"/>
              <w:spacing w:line="360" w:lineRule="auto"/>
              <w:jc w:val="center"/>
              <w:rPr>
                <w:rFonts w:ascii="宋体" w:hAnsi="宋体" w:cs="Arial"/>
                <w:color w:val="000000"/>
                <w:szCs w:val="21"/>
              </w:rPr>
            </w:pPr>
          </w:p>
        </w:tc>
        <w:tc>
          <w:tcPr>
            <w:tcW w:w="2047" w:type="dxa"/>
            <w:tcBorders>
              <w:right w:val="single" w:color="auto" w:sz="4" w:space="0"/>
            </w:tcBorders>
            <w:noWrap w:val="0"/>
            <w:vAlign w:val="top"/>
          </w:tcPr>
          <w:p>
            <w:pPr>
              <w:pStyle w:val="52"/>
              <w:spacing w:line="360" w:lineRule="auto"/>
              <w:jc w:val="center"/>
              <w:rPr>
                <w:rFonts w:ascii="宋体" w:hAnsi="宋体" w:cs="Arial"/>
                <w:color w:val="000000"/>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noWrap w:val="0"/>
            <w:vAlign w:val="top"/>
          </w:tcPr>
          <w:p>
            <w:pPr>
              <w:pStyle w:val="52"/>
              <w:spacing w:line="360" w:lineRule="auto"/>
              <w:jc w:val="center"/>
              <w:rPr>
                <w:rFonts w:ascii="宋体" w:hAnsi="宋体" w:cs="Arial"/>
                <w:color w:val="000000"/>
                <w:szCs w:val="21"/>
              </w:rPr>
            </w:pPr>
          </w:p>
        </w:tc>
        <w:tc>
          <w:tcPr>
            <w:tcW w:w="2258" w:type="dxa"/>
            <w:noWrap w:val="0"/>
            <w:vAlign w:val="top"/>
          </w:tcPr>
          <w:p>
            <w:pPr>
              <w:pStyle w:val="52"/>
              <w:spacing w:line="360" w:lineRule="auto"/>
              <w:jc w:val="center"/>
              <w:rPr>
                <w:rFonts w:ascii="宋体" w:hAnsi="宋体" w:cs="Arial"/>
                <w:color w:val="000000"/>
                <w:szCs w:val="21"/>
              </w:rPr>
            </w:pPr>
          </w:p>
        </w:tc>
        <w:tc>
          <w:tcPr>
            <w:tcW w:w="2260" w:type="dxa"/>
            <w:noWrap w:val="0"/>
            <w:vAlign w:val="top"/>
          </w:tcPr>
          <w:p>
            <w:pPr>
              <w:pStyle w:val="52"/>
              <w:spacing w:line="360" w:lineRule="auto"/>
              <w:jc w:val="center"/>
              <w:rPr>
                <w:rFonts w:ascii="宋体" w:hAnsi="宋体" w:cs="Arial"/>
                <w:color w:val="000000"/>
                <w:szCs w:val="21"/>
              </w:rPr>
            </w:pPr>
          </w:p>
        </w:tc>
        <w:tc>
          <w:tcPr>
            <w:tcW w:w="2047" w:type="dxa"/>
            <w:tcBorders>
              <w:right w:val="single" w:color="auto" w:sz="4" w:space="0"/>
            </w:tcBorders>
            <w:noWrap w:val="0"/>
            <w:vAlign w:val="top"/>
          </w:tcPr>
          <w:p>
            <w:pPr>
              <w:pStyle w:val="52"/>
              <w:spacing w:line="360" w:lineRule="auto"/>
              <w:jc w:val="center"/>
              <w:rPr>
                <w:rFonts w:ascii="宋体" w:hAnsi="宋体" w:cs="Arial"/>
                <w:color w:val="000000"/>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noWrap w:val="0"/>
            <w:vAlign w:val="top"/>
          </w:tcPr>
          <w:p>
            <w:pPr>
              <w:pStyle w:val="52"/>
              <w:spacing w:line="360" w:lineRule="auto"/>
              <w:jc w:val="center"/>
              <w:rPr>
                <w:rFonts w:ascii="宋体" w:hAnsi="宋体" w:cs="Arial"/>
                <w:color w:val="000000"/>
                <w:szCs w:val="21"/>
              </w:rPr>
            </w:pPr>
          </w:p>
        </w:tc>
        <w:tc>
          <w:tcPr>
            <w:tcW w:w="2258" w:type="dxa"/>
            <w:noWrap w:val="0"/>
            <w:vAlign w:val="top"/>
          </w:tcPr>
          <w:p>
            <w:pPr>
              <w:pStyle w:val="52"/>
              <w:spacing w:line="360" w:lineRule="auto"/>
              <w:jc w:val="center"/>
              <w:rPr>
                <w:rFonts w:ascii="宋体" w:hAnsi="宋体" w:cs="Arial"/>
                <w:color w:val="000000"/>
                <w:szCs w:val="21"/>
              </w:rPr>
            </w:pPr>
          </w:p>
        </w:tc>
        <w:tc>
          <w:tcPr>
            <w:tcW w:w="2260" w:type="dxa"/>
            <w:noWrap w:val="0"/>
            <w:vAlign w:val="top"/>
          </w:tcPr>
          <w:p>
            <w:pPr>
              <w:pStyle w:val="52"/>
              <w:spacing w:line="360" w:lineRule="auto"/>
              <w:jc w:val="center"/>
              <w:rPr>
                <w:rFonts w:ascii="宋体" w:hAnsi="宋体" w:cs="Arial"/>
                <w:color w:val="000000"/>
                <w:szCs w:val="21"/>
              </w:rPr>
            </w:pPr>
          </w:p>
        </w:tc>
        <w:tc>
          <w:tcPr>
            <w:tcW w:w="2047" w:type="dxa"/>
            <w:tcBorders>
              <w:right w:val="single" w:color="auto" w:sz="4" w:space="0"/>
            </w:tcBorders>
            <w:noWrap w:val="0"/>
            <w:vAlign w:val="top"/>
          </w:tcPr>
          <w:p>
            <w:pPr>
              <w:pStyle w:val="52"/>
              <w:spacing w:line="360" w:lineRule="auto"/>
              <w:jc w:val="center"/>
              <w:rPr>
                <w:rFonts w:ascii="宋体" w:hAnsi="宋体" w:cs="Arial"/>
                <w:color w:val="000000"/>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noWrap w:val="0"/>
            <w:vAlign w:val="top"/>
          </w:tcPr>
          <w:p>
            <w:pPr>
              <w:pStyle w:val="52"/>
              <w:spacing w:line="360" w:lineRule="auto"/>
              <w:jc w:val="center"/>
              <w:rPr>
                <w:rFonts w:ascii="宋体" w:hAnsi="宋体" w:cs="Arial"/>
                <w:color w:val="000000"/>
                <w:szCs w:val="21"/>
              </w:rPr>
            </w:pPr>
          </w:p>
        </w:tc>
        <w:tc>
          <w:tcPr>
            <w:tcW w:w="2258" w:type="dxa"/>
            <w:noWrap w:val="0"/>
            <w:vAlign w:val="top"/>
          </w:tcPr>
          <w:p>
            <w:pPr>
              <w:pStyle w:val="52"/>
              <w:spacing w:line="360" w:lineRule="auto"/>
              <w:jc w:val="center"/>
              <w:rPr>
                <w:rFonts w:ascii="宋体" w:hAnsi="宋体" w:cs="Arial"/>
                <w:color w:val="000000"/>
                <w:szCs w:val="21"/>
              </w:rPr>
            </w:pPr>
          </w:p>
        </w:tc>
        <w:tc>
          <w:tcPr>
            <w:tcW w:w="2260" w:type="dxa"/>
            <w:noWrap w:val="0"/>
            <w:vAlign w:val="top"/>
          </w:tcPr>
          <w:p>
            <w:pPr>
              <w:pStyle w:val="52"/>
              <w:spacing w:line="360" w:lineRule="auto"/>
              <w:jc w:val="center"/>
              <w:rPr>
                <w:rFonts w:ascii="宋体" w:hAnsi="宋体" w:cs="Arial"/>
                <w:color w:val="000000"/>
                <w:szCs w:val="21"/>
              </w:rPr>
            </w:pPr>
          </w:p>
        </w:tc>
        <w:tc>
          <w:tcPr>
            <w:tcW w:w="2047" w:type="dxa"/>
            <w:tcBorders>
              <w:right w:val="single" w:color="auto" w:sz="4" w:space="0"/>
            </w:tcBorders>
            <w:noWrap w:val="0"/>
            <w:vAlign w:val="top"/>
          </w:tcPr>
          <w:p>
            <w:pPr>
              <w:pStyle w:val="52"/>
              <w:spacing w:line="360" w:lineRule="auto"/>
              <w:jc w:val="center"/>
              <w:rPr>
                <w:rFonts w:ascii="宋体" w:hAnsi="宋体" w:cs="Arial"/>
                <w:color w:val="000000"/>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tcBorders>
            <w:noWrap w:val="0"/>
            <w:vAlign w:val="top"/>
          </w:tcPr>
          <w:p>
            <w:pPr>
              <w:pStyle w:val="52"/>
              <w:spacing w:line="360" w:lineRule="auto"/>
              <w:jc w:val="center"/>
              <w:rPr>
                <w:rFonts w:ascii="宋体" w:hAnsi="宋体" w:cs="Arial"/>
                <w:color w:val="000000"/>
                <w:szCs w:val="21"/>
              </w:rPr>
            </w:pPr>
          </w:p>
        </w:tc>
        <w:tc>
          <w:tcPr>
            <w:tcW w:w="2258" w:type="dxa"/>
            <w:noWrap w:val="0"/>
            <w:vAlign w:val="top"/>
          </w:tcPr>
          <w:p>
            <w:pPr>
              <w:pStyle w:val="52"/>
              <w:spacing w:line="360" w:lineRule="auto"/>
              <w:jc w:val="center"/>
              <w:rPr>
                <w:rFonts w:ascii="宋体" w:hAnsi="宋体" w:cs="Arial"/>
                <w:color w:val="000000"/>
                <w:szCs w:val="21"/>
              </w:rPr>
            </w:pPr>
          </w:p>
        </w:tc>
        <w:tc>
          <w:tcPr>
            <w:tcW w:w="2260" w:type="dxa"/>
            <w:noWrap w:val="0"/>
            <w:vAlign w:val="top"/>
          </w:tcPr>
          <w:p>
            <w:pPr>
              <w:pStyle w:val="52"/>
              <w:spacing w:line="360" w:lineRule="auto"/>
              <w:jc w:val="center"/>
              <w:rPr>
                <w:rFonts w:ascii="宋体" w:hAnsi="宋体" w:cs="Arial"/>
                <w:color w:val="000000"/>
                <w:szCs w:val="21"/>
              </w:rPr>
            </w:pPr>
          </w:p>
        </w:tc>
        <w:tc>
          <w:tcPr>
            <w:tcW w:w="2047" w:type="dxa"/>
            <w:tcBorders>
              <w:right w:val="single" w:color="auto" w:sz="4" w:space="0"/>
            </w:tcBorders>
            <w:noWrap w:val="0"/>
            <w:vAlign w:val="top"/>
          </w:tcPr>
          <w:p>
            <w:pPr>
              <w:pStyle w:val="52"/>
              <w:spacing w:line="360" w:lineRule="auto"/>
              <w:jc w:val="center"/>
              <w:rPr>
                <w:rFonts w:ascii="宋体" w:hAnsi="宋体" w:cs="Arial"/>
                <w:color w:val="000000"/>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tcBorders>
              <w:left w:val="single" w:color="auto" w:sz="4" w:space="0"/>
              <w:bottom w:val="single" w:color="auto" w:sz="4" w:space="0"/>
            </w:tcBorders>
            <w:noWrap w:val="0"/>
            <w:vAlign w:val="top"/>
          </w:tcPr>
          <w:p>
            <w:pPr>
              <w:pStyle w:val="52"/>
              <w:spacing w:line="360" w:lineRule="auto"/>
              <w:jc w:val="center"/>
              <w:rPr>
                <w:rFonts w:ascii="宋体" w:hAnsi="宋体" w:cs="Arial"/>
                <w:color w:val="000000"/>
                <w:szCs w:val="21"/>
              </w:rPr>
            </w:pPr>
          </w:p>
        </w:tc>
        <w:tc>
          <w:tcPr>
            <w:tcW w:w="2258" w:type="dxa"/>
            <w:tcBorders>
              <w:bottom w:val="single" w:color="auto" w:sz="4" w:space="0"/>
            </w:tcBorders>
            <w:noWrap w:val="0"/>
            <w:vAlign w:val="top"/>
          </w:tcPr>
          <w:p>
            <w:pPr>
              <w:pStyle w:val="52"/>
              <w:spacing w:line="360" w:lineRule="auto"/>
              <w:jc w:val="center"/>
              <w:rPr>
                <w:rFonts w:ascii="宋体" w:hAnsi="宋体" w:cs="Arial"/>
                <w:color w:val="000000"/>
                <w:szCs w:val="21"/>
              </w:rPr>
            </w:pPr>
          </w:p>
        </w:tc>
        <w:tc>
          <w:tcPr>
            <w:tcW w:w="2260" w:type="dxa"/>
            <w:tcBorders>
              <w:bottom w:val="single" w:color="auto" w:sz="4" w:space="0"/>
            </w:tcBorders>
            <w:noWrap w:val="0"/>
            <w:vAlign w:val="top"/>
          </w:tcPr>
          <w:p>
            <w:pPr>
              <w:pStyle w:val="52"/>
              <w:spacing w:line="360" w:lineRule="auto"/>
              <w:jc w:val="center"/>
              <w:rPr>
                <w:rFonts w:ascii="宋体" w:hAnsi="宋体" w:cs="Arial"/>
                <w:color w:val="000000"/>
                <w:szCs w:val="21"/>
              </w:rPr>
            </w:pPr>
          </w:p>
        </w:tc>
        <w:tc>
          <w:tcPr>
            <w:tcW w:w="2047" w:type="dxa"/>
            <w:tcBorders>
              <w:bottom w:val="single" w:color="auto" w:sz="4" w:space="0"/>
              <w:right w:val="single" w:color="auto" w:sz="4" w:space="0"/>
            </w:tcBorders>
            <w:noWrap w:val="0"/>
            <w:vAlign w:val="top"/>
          </w:tcPr>
          <w:p>
            <w:pPr>
              <w:pStyle w:val="52"/>
              <w:spacing w:line="360" w:lineRule="auto"/>
              <w:jc w:val="center"/>
              <w:rPr>
                <w:rFonts w:ascii="宋体" w:hAnsi="宋体" w:cs="Arial"/>
                <w:color w:val="000000"/>
                <w:szCs w:val="21"/>
              </w:rPr>
            </w:pPr>
          </w:p>
        </w:tc>
      </w:tr>
    </w:tbl>
    <w:p>
      <w:pPr>
        <w:pStyle w:val="52"/>
        <w:tabs>
          <w:tab w:val="left" w:pos="1050"/>
        </w:tabs>
        <w:spacing w:line="360" w:lineRule="auto"/>
        <w:rPr>
          <w:rFonts w:ascii="仿宋_GB2312" w:hAnsi="宋体" w:eastAsia="仿宋_GB2312"/>
          <w:color w:val="000000"/>
          <w:sz w:val="24"/>
        </w:rPr>
      </w:pPr>
    </w:p>
    <w:p>
      <w:pPr>
        <w:pStyle w:val="52"/>
        <w:tabs>
          <w:tab w:val="left" w:pos="1050"/>
        </w:tabs>
        <w:spacing w:line="360" w:lineRule="auto"/>
        <w:rPr>
          <w:rFonts w:ascii="宋体" w:hAnsi="宋体"/>
          <w:color w:val="000000"/>
          <w:szCs w:val="21"/>
        </w:rPr>
      </w:pPr>
      <w:r>
        <w:rPr>
          <w:rFonts w:hint="eastAsia" w:ascii="宋体" w:hAnsi="宋体"/>
          <w:b/>
          <w:color w:val="000000"/>
          <w:szCs w:val="21"/>
        </w:rPr>
        <w:t>要求：</w:t>
      </w:r>
    </w:p>
    <w:p>
      <w:pPr>
        <w:pStyle w:val="52"/>
        <w:tabs>
          <w:tab w:val="left" w:pos="1050"/>
        </w:tabs>
        <w:spacing w:line="360" w:lineRule="auto"/>
        <w:ind w:firstLine="424" w:firstLineChars="202"/>
        <w:rPr>
          <w:rFonts w:ascii="宋体" w:hAnsi="宋体"/>
          <w:color w:val="000000"/>
          <w:szCs w:val="21"/>
        </w:rPr>
      </w:pPr>
      <w:r>
        <w:rPr>
          <w:rFonts w:hint="eastAsia" w:ascii="宋体" w:hAnsi="宋体"/>
          <w:color w:val="000000"/>
          <w:szCs w:val="21"/>
        </w:rPr>
        <w:t>1.填写磋商供应商获得资质、认证或企业信誉证书。</w:t>
      </w:r>
    </w:p>
    <w:p>
      <w:pPr>
        <w:pStyle w:val="52"/>
        <w:tabs>
          <w:tab w:val="left" w:pos="1050"/>
        </w:tabs>
        <w:spacing w:line="360" w:lineRule="auto"/>
        <w:ind w:firstLine="424" w:firstLineChars="202"/>
        <w:rPr>
          <w:rFonts w:ascii="宋体" w:hAnsi="宋体"/>
          <w:szCs w:val="21"/>
        </w:rPr>
      </w:pPr>
      <w:r>
        <w:rPr>
          <w:rFonts w:hint="eastAsia" w:ascii="宋体" w:hAnsi="宋体"/>
          <w:color w:val="000000"/>
          <w:szCs w:val="21"/>
        </w:rPr>
        <w:t>2.</w:t>
      </w:r>
      <w:r>
        <w:rPr>
          <w:rFonts w:hint="eastAsia" w:ascii="宋体" w:hAnsi="宋体"/>
          <w:szCs w:val="21"/>
        </w:rPr>
        <w:t>附所列证书复印件或其他证明材料。</w:t>
      </w:r>
    </w:p>
    <w:p>
      <w:pPr>
        <w:pStyle w:val="52"/>
        <w:tabs>
          <w:tab w:val="left" w:pos="1050"/>
        </w:tabs>
        <w:spacing w:line="360" w:lineRule="auto"/>
        <w:ind w:firstLine="424" w:firstLineChars="202"/>
        <w:rPr>
          <w:rFonts w:ascii="宋体" w:hAnsi="宋体"/>
          <w:color w:val="000000"/>
          <w:szCs w:val="21"/>
        </w:rPr>
      </w:pPr>
    </w:p>
    <w:p>
      <w:pPr>
        <w:pStyle w:val="52"/>
        <w:tabs>
          <w:tab w:val="left" w:pos="1050"/>
        </w:tabs>
        <w:spacing w:line="360" w:lineRule="auto"/>
        <w:ind w:firstLine="720" w:firstLineChars="300"/>
        <w:rPr>
          <w:rFonts w:ascii="仿宋_GB2312" w:hAnsi="宋体" w:eastAsia="仿宋_GB2312"/>
          <w:color w:val="000000"/>
          <w:sz w:val="24"/>
        </w:rPr>
      </w:pPr>
    </w:p>
    <w:p>
      <w:pPr>
        <w:pStyle w:val="52"/>
        <w:tabs>
          <w:tab w:val="left" w:pos="1050"/>
        </w:tabs>
        <w:spacing w:line="360" w:lineRule="auto"/>
        <w:ind w:firstLine="720" w:firstLineChars="300"/>
        <w:rPr>
          <w:rFonts w:ascii="仿宋_GB2312" w:hAnsi="宋体" w:eastAsia="仿宋_GB2312"/>
          <w:color w:val="000000"/>
          <w:sz w:val="24"/>
        </w:rPr>
      </w:pPr>
    </w:p>
    <w:p>
      <w:pPr>
        <w:pStyle w:val="52"/>
        <w:tabs>
          <w:tab w:val="left" w:pos="1050"/>
        </w:tabs>
        <w:spacing w:line="360" w:lineRule="auto"/>
        <w:ind w:firstLine="720" w:firstLineChars="300"/>
        <w:rPr>
          <w:rFonts w:ascii="仿宋_GB2312" w:hAnsi="宋体" w:eastAsia="仿宋_GB2312"/>
          <w:color w:val="000000"/>
          <w:sz w:val="24"/>
        </w:rPr>
      </w:pPr>
    </w:p>
    <w:p>
      <w:pPr>
        <w:spacing w:line="360" w:lineRule="auto"/>
        <w:ind w:firstLine="424" w:firstLineChars="177"/>
        <w:rPr>
          <w:rFonts w:ascii="宋体" w:hAnsi="宋体"/>
          <w:color w:val="000000"/>
          <w:sz w:val="24"/>
          <w:u w:val="single"/>
        </w:rPr>
      </w:pPr>
      <w:r>
        <w:rPr>
          <w:rFonts w:hint="eastAsia" w:ascii="宋体" w:hAnsi="宋体"/>
          <w:color w:val="000000"/>
          <w:sz w:val="24"/>
        </w:rPr>
        <w:t>磋商供应商名称（盖章）：</w:t>
      </w:r>
      <w:r>
        <w:rPr>
          <w:rFonts w:hint="eastAsia" w:ascii="宋体" w:hAnsi="宋体"/>
          <w:color w:val="000000"/>
          <w:sz w:val="24"/>
          <w:u w:val="single"/>
        </w:rPr>
        <w:t xml:space="preserve">                       </w:t>
      </w:r>
    </w:p>
    <w:p>
      <w:pPr>
        <w:spacing w:line="360" w:lineRule="auto"/>
        <w:ind w:left="420"/>
        <w:rPr>
          <w:rFonts w:ascii="宋体" w:hAnsi="宋体"/>
          <w:color w:val="000000"/>
          <w:sz w:val="24"/>
        </w:rPr>
      </w:pPr>
    </w:p>
    <w:p>
      <w:pPr>
        <w:spacing w:line="360" w:lineRule="auto"/>
        <w:ind w:firstLine="424" w:firstLineChars="177"/>
        <w:rPr>
          <w:rFonts w:ascii="宋体" w:hAnsi="宋体"/>
          <w:color w:val="000000"/>
          <w:sz w:val="24"/>
        </w:rPr>
      </w:pPr>
      <w:r>
        <w:rPr>
          <w:rFonts w:hint="eastAsia" w:ascii="宋体" w:hAnsi="宋体"/>
          <w:color w:val="000000"/>
          <w:sz w:val="24"/>
        </w:rPr>
        <w:t>磋商供应商代表签字：</w:t>
      </w:r>
      <w:r>
        <w:rPr>
          <w:rFonts w:hint="eastAsia" w:ascii="宋体" w:hAnsi="宋体"/>
          <w:color w:val="000000"/>
          <w:sz w:val="24"/>
          <w:u w:val="single"/>
        </w:rPr>
        <w:t xml:space="preserve">                          </w:t>
      </w:r>
    </w:p>
    <w:p>
      <w:pPr>
        <w:spacing w:line="360" w:lineRule="auto"/>
        <w:ind w:firstLine="435"/>
        <w:rPr>
          <w:rFonts w:ascii="宋体" w:hAnsi="宋体"/>
          <w:color w:val="000000"/>
          <w:sz w:val="24"/>
        </w:rPr>
      </w:pPr>
    </w:p>
    <w:p>
      <w:pPr>
        <w:spacing w:line="360" w:lineRule="auto"/>
        <w:ind w:firstLine="424" w:firstLineChars="177"/>
        <w:rPr>
          <w:rFonts w:ascii="宋体" w:hAnsi="宋体"/>
          <w:color w:val="000000"/>
          <w:sz w:val="24"/>
          <w:u w:val="single"/>
        </w:rPr>
      </w:pPr>
      <w:r>
        <w:rPr>
          <w:rFonts w:hint="eastAsia" w:ascii="宋体" w:hAnsi="宋体"/>
          <w:color w:val="000000"/>
          <w:sz w:val="24"/>
        </w:rPr>
        <w:t>职        务：</w:t>
      </w:r>
      <w:r>
        <w:rPr>
          <w:rFonts w:hint="eastAsia" w:ascii="宋体" w:hAnsi="宋体"/>
          <w:color w:val="000000"/>
          <w:sz w:val="24"/>
          <w:u w:val="single"/>
        </w:rPr>
        <w:t xml:space="preserve">                             </w:t>
      </w:r>
    </w:p>
    <w:p>
      <w:pPr>
        <w:spacing w:line="360" w:lineRule="auto"/>
        <w:rPr>
          <w:rFonts w:ascii="宋体" w:hAnsi="宋体"/>
          <w:color w:val="000000"/>
          <w:sz w:val="24"/>
        </w:rPr>
      </w:pPr>
    </w:p>
    <w:p>
      <w:pPr>
        <w:pStyle w:val="54"/>
        <w:shd w:val="clear" w:color="auto" w:fill="FFFFFF"/>
        <w:spacing w:before="0" w:beforeAutospacing="0" w:after="0" w:afterAutospacing="0" w:line="360" w:lineRule="auto"/>
        <w:ind w:firstLine="424" w:firstLineChars="177"/>
        <w:rPr>
          <w:b/>
          <w:bCs/>
          <w:color w:val="000000"/>
          <w:spacing w:val="11"/>
        </w:rPr>
      </w:pPr>
      <w:r>
        <w:rPr>
          <w:rFonts w:hint="eastAsia"/>
          <w:color w:val="000000"/>
        </w:rPr>
        <w:t>日        期：</w:t>
      </w:r>
      <w:r>
        <w:rPr>
          <w:rFonts w:hint="eastAsia"/>
          <w:color w:val="000000"/>
          <w:u w:val="single"/>
        </w:rPr>
        <w:t xml:space="preserve">                            </w:t>
      </w:r>
      <w:r>
        <w:rPr>
          <w:rFonts w:hint="eastAsia"/>
          <w:color w:val="000000"/>
        </w:rPr>
        <w:t>：</w:t>
      </w:r>
    </w:p>
    <w:p>
      <w:pPr>
        <w:spacing w:line="360" w:lineRule="auto"/>
        <w:rPr>
          <w:rFonts w:hint="eastAsia" w:ascii="宋体" w:hAnsi="宋体"/>
          <w:b/>
          <w:color w:val="000000"/>
          <w:sz w:val="28"/>
        </w:rPr>
      </w:pPr>
    </w:p>
    <w:p>
      <w:pPr>
        <w:spacing w:line="360" w:lineRule="auto"/>
        <w:rPr>
          <w:rFonts w:hint="eastAsia" w:ascii="宋体" w:hAnsi="宋体"/>
          <w:b/>
          <w:color w:val="000000"/>
          <w:sz w:val="28"/>
        </w:rPr>
      </w:pPr>
    </w:p>
    <w:p>
      <w:pPr>
        <w:spacing w:line="360" w:lineRule="auto"/>
        <w:rPr>
          <w:rFonts w:ascii="宋体" w:hAnsi="宋体"/>
          <w:b/>
          <w:color w:val="000000"/>
          <w:sz w:val="28"/>
        </w:rPr>
      </w:pPr>
      <w:r>
        <w:rPr>
          <w:rFonts w:hint="eastAsia" w:ascii="宋体" w:hAnsi="宋体"/>
          <w:b/>
          <w:color w:val="000000"/>
          <w:sz w:val="28"/>
        </w:rPr>
        <w:t>附件10:</w:t>
      </w:r>
    </w:p>
    <w:p>
      <w:pPr>
        <w:pStyle w:val="50"/>
        <w:spacing w:line="360" w:lineRule="auto"/>
        <w:jc w:val="center"/>
        <w:rPr>
          <w:rFonts w:ascii="宋体" w:hAnsi="宋体"/>
          <w:b/>
          <w:color w:val="000000"/>
          <w:sz w:val="32"/>
          <w:szCs w:val="32"/>
        </w:rPr>
      </w:pPr>
      <w:r>
        <w:rPr>
          <w:rFonts w:hint="eastAsia" w:ascii="宋体" w:hAnsi="宋体"/>
          <w:b/>
          <w:color w:val="000000"/>
          <w:sz w:val="32"/>
          <w:szCs w:val="32"/>
        </w:rPr>
        <w:t>类似项目实施情况一览表</w:t>
      </w:r>
    </w:p>
    <w:p>
      <w:pPr>
        <w:pStyle w:val="50"/>
        <w:spacing w:line="360" w:lineRule="auto"/>
        <w:jc w:val="center"/>
        <w:rPr>
          <w:rFonts w:ascii="仿宋_GB2312" w:eastAsia="仿宋_GB2312"/>
          <w:b/>
          <w:color w:val="000000"/>
          <w:sz w:val="28"/>
          <w:szCs w:val="28"/>
        </w:rPr>
      </w:pPr>
    </w:p>
    <w:tbl>
      <w:tblPr>
        <w:tblStyle w:val="30"/>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0"/>
        <w:gridCol w:w="1293"/>
        <w:gridCol w:w="1575"/>
        <w:gridCol w:w="1260"/>
        <w:gridCol w:w="1452"/>
        <w:gridCol w:w="1383"/>
        <w:gridCol w:w="203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540" w:type="dxa"/>
            <w:tcBorders>
              <w:top w:val="single" w:color="auto" w:sz="6" w:space="0"/>
              <w:left w:val="single" w:color="auto" w:sz="6" w:space="0"/>
              <w:bottom w:val="single" w:color="auto" w:sz="6" w:space="0"/>
              <w:right w:val="single" w:color="auto" w:sz="6" w:space="0"/>
            </w:tcBorders>
            <w:noWrap w:val="0"/>
            <w:vAlign w:val="center"/>
          </w:tcPr>
          <w:p>
            <w:pPr>
              <w:pStyle w:val="50"/>
              <w:spacing w:line="360" w:lineRule="auto"/>
              <w:jc w:val="center"/>
              <w:rPr>
                <w:rFonts w:ascii="宋体" w:hAnsi="宋体" w:cs="Arial"/>
                <w:b/>
                <w:bCs/>
                <w:color w:val="000000"/>
                <w:sz w:val="24"/>
              </w:rPr>
            </w:pPr>
            <w:r>
              <w:rPr>
                <w:rFonts w:hint="eastAsia" w:ascii="宋体" w:hAnsi="宋体" w:cs="Arial"/>
                <w:b/>
                <w:bCs/>
                <w:color w:val="000000"/>
                <w:sz w:val="24"/>
              </w:rPr>
              <w:t>序号</w:t>
            </w:r>
          </w:p>
        </w:tc>
        <w:tc>
          <w:tcPr>
            <w:tcW w:w="1293" w:type="dxa"/>
            <w:tcBorders>
              <w:top w:val="single" w:color="auto" w:sz="6" w:space="0"/>
              <w:left w:val="single" w:color="auto" w:sz="6" w:space="0"/>
              <w:bottom w:val="single" w:color="auto" w:sz="6" w:space="0"/>
              <w:right w:val="single" w:color="auto" w:sz="6" w:space="0"/>
            </w:tcBorders>
            <w:noWrap w:val="0"/>
            <w:vAlign w:val="center"/>
          </w:tcPr>
          <w:p>
            <w:pPr>
              <w:pStyle w:val="50"/>
              <w:spacing w:line="360" w:lineRule="auto"/>
              <w:jc w:val="center"/>
              <w:rPr>
                <w:rFonts w:ascii="宋体" w:hAnsi="宋体" w:cs="Arial"/>
                <w:b/>
                <w:bCs/>
                <w:color w:val="000000"/>
                <w:sz w:val="24"/>
              </w:rPr>
            </w:pPr>
            <w:r>
              <w:rPr>
                <w:rFonts w:hint="eastAsia" w:ascii="宋体" w:hAnsi="宋体" w:cs="Arial"/>
                <w:b/>
                <w:bCs/>
                <w:color w:val="000000"/>
                <w:sz w:val="24"/>
              </w:rPr>
              <w:t>项目名称</w:t>
            </w:r>
          </w:p>
        </w:tc>
        <w:tc>
          <w:tcPr>
            <w:tcW w:w="1575" w:type="dxa"/>
            <w:tcBorders>
              <w:top w:val="single" w:color="auto" w:sz="6" w:space="0"/>
              <w:left w:val="single" w:color="auto" w:sz="6" w:space="0"/>
              <w:bottom w:val="single" w:color="auto" w:sz="6" w:space="0"/>
              <w:right w:val="single" w:color="auto" w:sz="6" w:space="0"/>
            </w:tcBorders>
            <w:noWrap w:val="0"/>
            <w:vAlign w:val="center"/>
          </w:tcPr>
          <w:p>
            <w:pPr>
              <w:pStyle w:val="50"/>
              <w:spacing w:line="360" w:lineRule="auto"/>
              <w:jc w:val="center"/>
              <w:rPr>
                <w:rFonts w:ascii="宋体" w:hAnsi="宋体" w:cs="Arial"/>
                <w:b/>
                <w:bCs/>
                <w:color w:val="000000"/>
                <w:sz w:val="24"/>
              </w:rPr>
            </w:pPr>
            <w:r>
              <w:rPr>
                <w:rFonts w:hint="eastAsia" w:ascii="宋体" w:hAnsi="宋体" w:cs="Arial"/>
                <w:b/>
                <w:bCs/>
                <w:color w:val="000000"/>
                <w:sz w:val="24"/>
              </w:rPr>
              <w:t>项目地址</w:t>
            </w:r>
          </w:p>
        </w:tc>
        <w:tc>
          <w:tcPr>
            <w:tcW w:w="1260" w:type="dxa"/>
            <w:tcBorders>
              <w:top w:val="single" w:color="auto" w:sz="6" w:space="0"/>
              <w:left w:val="single" w:color="auto" w:sz="6" w:space="0"/>
              <w:bottom w:val="single" w:color="auto" w:sz="6" w:space="0"/>
              <w:right w:val="single" w:color="auto" w:sz="6" w:space="0"/>
            </w:tcBorders>
            <w:noWrap w:val="0"/>
            <w:vAlign w:val="center"/>
          </w:tcPr>
          <w:p>
            <w:pPr>
              <w:pStyle w:val="50"/>
              <w:spacing w:line="360" w:lineRule="auto"/>
              <w:jc w:val="center"/>
              <w:rPr>
                <w:rFonts w:ascii="宋体" w:hAnsi="宋体" w:cs="Arial"/>
                <w:b/>
                <w:bCs/>
                <w:color w:val="000000"/>
                <w:sz w:val="24"/>
              </w:rPr>
            </w:pPr>
            <w:r>
              <w:rPr>
                <w:rFonts w:hint="eastAsia" w:ascii="宋体" w:hAnsi="宋体" w:cs="Arial"/>
                <w:b/>
                <w:bCs/>
                <w:color w:val="000000"/>
                <w:sz w:val="24"/>
              </w:rPr>
              <w:t>合同总价</w:t>
            </w:r>
          </w:p>
        </w:tc>
        <w:tc>
          <w:tcPr>
            <w:tcW w:w="1452" w:type="dxa"/>
            <w:tcBorders>
              <w:top w:val="single" w:color="auto" w:sz="6" w:space="0"/>
              <w:left w:val="single" w:color="auto" w:sz="6" w:space="0"/>
              <w:bottom w:val="single" w:color="auto" w:sz="6" w:space="0"/>
              <w:right w:val="single" w:color="auto" w:sz="6" w:space="0"/>
            </w:tcBorders>
            <w:noWrap w:val="0"/>
            <w:vAlign w:val="center"/>
          </w:tcPr>
          <w:p>
            <w:pPr>
              <w:pStyle w:val="50"/>
              <w:spacing w:line="360" w:lineRule="auto"/>
              <w:jc w:val="center"/>
              <w:rPr>
                <w:rFonts w:ascii="宋体" w:hAnsi="宋体" w:cs="Arial"/>
                <w:b/>
                <w:bCs/>
                <w:color w:val="000000"/>
                <w:sz w:val="24"/>
              </w:rPr>
            </w:pPr>
            <w:r>
              <w:rPr>
                <w:rFonts w:hint="eastAsia" w:ascii="宋体" w:hAnsi="宋体" w:cs="Arial"/>
                <w:b/>
                <w:bCs/>
                <w:color w:val="000000"/>
                <w:sz w:val="24"/>
              </w:rPr>
              <w:t>实施时间</w:t>
            </w:r>
          </w:p>
        </w:tc>
        <w:tc>
          <w:tcPr>
            <w:tcW w:w="1383" w:type="dxa"/>
            <w:tcBorders>
              <w:top w:val="single" w:color="auto" w:sz="6" w:space="0"/>
              <w:left w:val="single" w:color="auto" w:sz="6" w:space="0"/>
              <w:bottom w:val="single" w:color="auto" w:sz="6" w:space="0"/>
              <w:right w:val="single" w:color="auto" w:sz="6" w:space="0"/>
            </w:tcBorders>
            <w:noWrap w:val="0"/>
            <w:vAlign w:val="center"/>
          </w:tcPr>
          <w:p>
            <w:pPr>
              <w:pStyle w:val="50"/>
              <w:spacing w:line="360" w:lineRule="auto"/>
              <w:jc w:val="center"/>
              <w:rPr>
                <w:rFonts w:ascii="宋体" w:hAnsi="宋体" w:cs="Arial"/>
                <w:b/>
                <w:bCs/>
                <w:color w:val="000000"/>
                <w:sz w:val="24"/>
              </w:rPr>
            </w:pPr>
            <w:r>
              <w:rPr>
                <w:rFonts w:hint="eastAsia" w:ascii="宋体" w:hAnsi="宋体" w:cs="Arial"/>
                <w:b/>
                <w:bCs/>
                <w:color w:val="000000"/>
                <w:sz w:val="24"/>
              </w:rPr>
              <w:t>项目质量</w:t>
            </w:r>
          </w:p>
        </w:tc>
        <w:tc>
          <w:tcPr>
            <w:tcW w:w="2037" w:type="dxa"/>
            <w:tcBorders>
              <w:top w:val="single" w:color="auto" w:sz="6" w:space="0"/>
              <w:left w:val="single" w:color="auto" w:sz="6" w:space="0"/>
              <w:bottom w:val="single" w:color="auto" w:sz="6" w:space="0"/>
              <w:right w:val="single" w:color="auto" w:sz="6" w:space="0"/>
            </w:tcBorders>
            <w:noWrap w:val="0"/>
            <w:vAlign w:val="center"/>
          </w:tcPr>
          <w:p>
            <w:pPr>
              <w:pStyle w:val="50"/>
              <w:spacing w:line="360" w:lineRule="auto"/>
              <w:jc w:val="center"/>
              <w:rPr>
                <w:rFonts w:ascii="宋体" w:hAnsi="宋体" w:cs="Arial"/>
                <w:b/>
                <w:bCs/>
                <w:color w:val="000000"/>
                <w:sz w:val="24"/>
              </w:rPr>
            </w:pPr>
            <w:r>
              <w:rPr>
                <w:rFonts w:hint="eastAsia" w:ascii="宋体" w:hAnsi="宋体" w:cs="Arial"/>
                <w:b/>
                <w:bCs/>
                <w:color w:val="000000"/>
                <w:sz w:val="24"/>
              </w:rPr>
              <w:t>项目单位名称及其联系人电话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1"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jc w:val="center"/>
              <w:rPr>
                <w:rFonts w:ascii="宋体" w:hAnsi="宋体" w:cs="Arial"/>
                <w:color w:val="000000"/>
                <w:sz w:val="24"/>
              </w:rPr>
            </w:pPr>
            <w:r>
              <w:rPr>
                <w:rFonts w:hint="eastAsia" w:ascii="宋体" w:hAnsi="宋体" w:cs="Arial"/>
                <w:color w:val="000000"/>
                <w:sz w:val="24"/>
              </w:rPr>
              <w:t>1</w:t>
            </w: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9"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jc w:val="center"/>
              <w:rPr>
                <w:rFonts w:ascii="宋体" w:hAnsi="宋体" w:cs="Arial"/>
                <w:color w:val="000000"/>
                <w:sz w:val="24"/>
              </w:rPr>
            </w:pPr>
            <w:r>
              <w:rPr>
                <w:rFonts w:hint="eastAsia" w:ascii="宋体" w:hAnsi="宋体" w:cs="Arial"/>
                <w:color w:val="000000"/>
                <w:sz w:val="24"/>
              </w:rPr>
              <w:t>2</w:t>
            </w: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3"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jc w:val="center"/>
              <w:rPr>
                <w:rFonts w:ascii="宋体" w:hAnsi="宋体" w:cs="Arial"/>
                <w:color w:val="000000"/>
                <w:sz w:val="24"/>
              </w:rPr>
            </w:pPr>
            <w:r>
              <w:rPr>
                <w:rFonts w:hint="eastAsia" w:ascii="宋体" w:hAnsi="宋体" w:cs="Arial"/>
                <w:color w:val="000000"/>
                <w:sz w:val="24"/>
              </w:rPr>
              <w:t>3</w:t>
            </w: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r>
              <w:rPr>
                <w:rFonts w:hint="eastAsia" w:ascii="宋体" w:hAnsi="宋体" w:cs="Arial"/>
                <w:color w:val="000000"/>
                <w:sz w:val="24"/>
              </w:rPr>
              <w:t>…</w:t>
            </w: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50"/>
              <w:spacing w:line="360" w:lineRule="auto"/>
              <w:rPr>
                <w:rFonts w:ascii="宋体" w:hAnsi="宋体" w:cs="Arial"/>
                <w:color w:val="000000"/>
                <w:sz w:val="24"/>
              </w:rPr>
            </w:pPr>
          </w:p>
        </w:tc>
      </w:tr>
    </w:tbl>
    <w:p>
      <w:pPr>
        <w:autoSpaceDE w:val="0"/>
        <w:autoSpaceDN w:val="0"/>
        <w:adjustRightInd w:val="0"/>
        <w:spacing w:before="156" w:beforeLines="50" w:line="360" w:lineRule="auto"/>
        <w:rPr>
          <w:rFonts w:ascii="宋体" w:hAnsi="宋体" w:cs="Arial"/>
          <w:b/>
          <w:color w:val="000000"/>
          <w:szCs w:val="21"/>
        </w:rPr>
      </w:pPr>
      <w:r>
        <w:rPr>
          <w:rFonts w:hint="eastAsia" w:ascii="宋体" w:hAnsi="宋体" w:cs="Arial"/>
          <w:b/>
          <w:color w:val="000000"/>
          <w:szCs w:val="21"/>
        </w:rPr>
        <w:t>要求</w:t>
      </w:r>
      <w:r>
        <w:rPr>
          <w:rFonts w:ascii="宋体" w:hAnsi="宋体" w:cs="Arial"/>
          <w:b/>
          <w:color w:val="000000"/>
          <w:szCs w:val="21"/>
        </w:rPr>
        <w:t>：</w:t>
      </w:r>
    </w:p>
    <w:p>
      <w:pPr>
        <w:autoSpaceDE w:val="0"/>
        <w:autoSpaceDN w:val="0"/>
        <w:adjustRightInd w:val="0"/>
        <w:spacing w:before="156" w:beforeLines="50" w:line="360" w:lineRule="auto"/>
        <w:ind w:firstLine="424" w:firstLineChars="202"/>
        <w:rPr>
          <w:rFonts w:ascii="宋体" w:hAnsi="宋体" w:cs="Arial"/>
          <w:b/>
          <w:color w:val="000000"/>
          <w:szCs w:val="21"/>
        </w:rPr>
      </w:pPr>
      <w:r>
        <w:rPr>
          <w:rFonts w:ascii="宋体" w:hAnsi="宋体" w:cs="Arial"/>
          <w:color w:val="000000"/>
          <w:szCs w:val="21"/>
        </w:rPr>
        <w:t>1</w:t>
      </w:r>
      <w:r>
        <w:rPr>
          <w:rFonts w:hint="eastAsia" w:ascii="宋体" w:hAnsi="宋体" w:cs="Arial"/>
          <w:color w:val="000000"/>
          <w:szCs w:val="21"/>
        </w:rPr>
        <w:t>.</w:t>
      </w:r>
      <w:r>
        <w:rPr>
          <w:rFonts w:ascii="宋体" w:hAnsi="宋体" w:cs="Arial"/>
          <w:color w:val="000000"/>
          <w:szCs w:val="21"/>
        </w:rPr>
        <w:t>业绩证明应提供证明材料（合同</w:t>
      </w:r>
      <w:r>
        <w:rPr>
          <w:rFonts w:hint="eastAsia" w:ascii="宋体" w:hAnsi="宋体" w:cs="Arial"/>
          <w:color w:val="000000"/>
          <w:szCs w:val="21"/>
        </w:rPr>
        <w:t>复印件可只提供首页、含金额页、盖章页并加盖磋商供应商公章</w:t>
      </w:r>
      <w:r>
        <w:rPr>
          <w:rFonts w:ascii="宋体" w:hAnsi="宋体" w:cs="Arial"/>
          <w:color w:val="000000"/>
          <w:szCs w:val="21"/>
        </w:rPr>
        <w:t>）；</w:t>
      </w:r>
    </w:p>
    <w:p>
      <w:pPr>
        <w:spacing w:line="360" w:lineRule="auto"/>
        <w:ind w:firstLine="424" w:firstLineChars="202"/>
        <w:jc w:val="left"/>
        <w:rPr>
          <w:rFonts w:ascii="宋体" w:hAnsi="宋体" w:cs="Arial"/>
          <w:color w:val="000000"/>
          <w:szCs w:val="21"/>
        </w:rPr>
      </w:pPr>
      <w:r>
        <w:rPr>
          <w:rFonts w:ascii="宋体" w:hAnsi="宋体" w:cs="Arial"/>
          <w:color w:val="000000"/>
          <w:szCs w:val="21"/>
        </w:rPr>
        <w:t>2</w:t>
      </w:r>
      <w:r>
        <w:rPr>
          <w:rFonts w:hint="eastAsia" w:ascii="宋体" w:hAnsi="宋体" w:cs="Arial"/>
          <w:color w:val="000000"/>
          <w:szCs w:val="21"/>
        </w:rPr>
        <w:t>.磋商供应商</w:t>
      </w:r>
      <w:r>
        <w:rPr>
          <w:rFonts w:ascii="宋体" w:hAnsi="宋体" w:cs="Arial"/>
          <w:color w:val="000000"/>
          <w:szCs w:val="21"/>
        </w:rPr>
        <w:t>可按此表格式复制</w:t>
      </w:r>
      <w:r>
        <w:rPr>
          <w:rFonts w:hint="eastAsia" w:ascii="宋体" w:hAnsi="宋体" w:cs="Arial"/>
          <w:color w:val="000000"/>
          <w:szCs w:val="21"/>
        </w:rPr>
        <w:t>。</w:t>
      </w:r>
    </w:p>
    <w:p>
      <w:pPr>
        <w:spacing w:line="360" w:lineRule="auto"/>
        <w:rPr>
          <w:rFonts w:ascii="宋体" w:hAnsi="宋体"/>
          <w:color w:val="000000"/>
          <w:sz w:val="22"/>
          <w:szCs w:val="22"/>
        </w:rPr>
      </w:pPr>
    </w:p>
    <w:p>
      <w:pPr>
        <w:spacing w:line="360" w:lineRule="auto"/>
        <w:rPr>
          <w:rFonts w:ascii="宋体" w:hAnsi="宋体"/>
          <w:color w:val="000000"/>
          <w:sz w:val="22"/>
          <w:szCs w:val="22"/>
        </w:rPr>
      </w:pPr>
    </w:p>
    <w:p>
      <w:pPr>
        <w:spacing w:line="360" w:lineRule="auto"/>
        <w:ind w:left="420"/>
        <w:rPr>
          <w:rFonts w:ascii="宋体" w:hAnsi="宋体"/>
          <w:color w:val="000000"/>
          <w:sz w:val="24"/>
          <w:u w:val="single"/>
        </w:rPr>
      </w:pPr>
      <w:r>
        <w:rPr>
          <w:rFonts w:hint="eastAsia" w:ascii="宋体" w:hAnsi="宋体"/>
          <w:color w:val="000000"/>
          <w:sz w:val="24"/>
        </w:rPr>
        <w:t>磋商供应商名称（盖章）：</w:t>
      </w:r>
      <w:r>
        <w:rPr>
          <w:rFonts w:hint="eastAsia" w:ascii="宋体" w:hAnsi="宋体"/>
          <w:color w:val="000000"/>
          <w:sz w:val="24"/>
          <w:u w:val="single"/>
        </w:rPr>
        <w:t xml:space="preserve">                       </w:t>
      </w:r>
    </w:p>
    <w:p>
      <w:pPr>
        <w:spacing w:line="360" w:lineRule="auto"/>
        <w:ind w:left="420"/>
        <w:rPr>
          <w:rFonts w:ascii="宋体" w:hAnsi="宋体"/>
          <w:color w:val="000000"/>
          <w:sz w:val="24"/>
        </w:rPr>
      </w:pPr>
    </w:p>
    <w:p>
      <w:pPr>
        <w:spacing w:line="360" w:lineRule="auto"/>
        <w:ind w:firstLine="435"/>
        <w:rPr>
          <w:rFonts w:ascii="宋体" w:hAnsi="宋体"/>
          <w:color w:val="000000"/>
          <w:sz w:val="24"/>
        </w:rPr>
      </w:pPr>
      <w:r>
        <w:rPr>
          <w:rFonts w:hint="eastAsia" w:ascii="宋体" w:hAnsi="宋体"/>
          <w:color w:val="000000"/>
          <w:sz w:val="24"/>
        </w:rPr>
        <w:t>磋商供应商代表签字：</w:t>
      </w:r>
      <w:r>
        <w:rPr>
          <w:rFonts w:hint="eastAsia" w:ascii="宋体" w:hAnsi="宋体"/>
          <w:color w:val="000000"/>
          <w:sz w:val="24"/>
          <w:u w:val="single"/>
        </w:rPr>
        <w:t xml:space="preserve">                          </w:t>
      </w:r>
    </w:p>
    <w:p>
      <w:pPr>
        <w:spacing w:line="360" w:lineRule="auto"/>
        <w:ind w:firstLine="435"/>
        <w:rPr>
          <w:rFonts w:ascii="宋体" w:hAnsi="宋体"/>
          <w:color w:val="000000"/>
          <w:sz w:val="24"/>
        </w:rPr>
      </w:pPr>
    </w:p>
    <w:p>
      <w:pPr>
        <w:spacing w:line="360" w:lineRule="auto"/>
        <w:ind w:firstLine="435"/>
        <w:rPr>
          <w:rFonts w:ascii="宋体" w:hAnsi="宋体"/>
          <w:color w:val="000000"/>
          <w:sz w:val="24"/>
          <w:u w:val="single"/>
        </w:rPr>
      </w:pPr>
      <w:r>
        <w:rPr>
          <w:rFonts w:hint="eastAsia" w:ascii="宋体" w:hAnsi="宋体"/>
          <w:color w:val="000000"/>
          <w:sz w:val="24"/>
        </w:rPr>
        <w:t>职        务：</w:t>
      </w:r>
      <w:r>
        <w:rPr>
          <w:rFonts w:hint="eastAsia" w:ascii="宋体" w:hAnsi="宋体"/>
          <w:color w:val="000000"/>
          <w:sz w:val="24"/>
          <w:u w:val="single"/>
        </w:rPr>
        <w:t xml:space="preserve">                             </w:t>
      </w:r>
    </w:p>
    <w:p>
      <w:pPr>
        <w:spacing w:line="360" w:lineRule="auto"/>
        <w:rPr>
          <w:rFonts w:ascii="宋体" w:hAnsi="宋体"/>
          <w:color w:val="000000"/>
          <w:sz w:val="24"/>
        </w:rPr>
      </w:pPr>
    </w:p>
    <w:p>
      <w:pPr>
        <w:spacing w:line="360" w:lineRule="auto"/>
        <w:ind w:firstLine="435"/>
        <w:rPr>
          <w:rFonts w:ascii="宋体" w:hAnsi="宋体"/>
          <w:color w:val="000000"/>
          <w:sz w:val="24"/>
        </w:rPr>
      </w:pPr>
      <w:r>
        <w:rPr>
          <w:rFonts w:hint="eastAsia" w:ascii="宋体" w:hAnsi="宋体"/>
          <w:color w:val="000000"/>
          <w:sz w:val="24"/>
        </w:rPr>
        <w:t>日        期：</w:t>
      </w:r>
      <w:r>
        <w:rPr>
          <w:rFonts w:hint="eastAsia" w:ascii="宋体" w:hAnsi="宋体"/>
          <w:color w:val="000000"/>
          <w:sz w:val="24"/>
          <w:u w:val="single"/>
        </w:rPr>
        <w:t xml:space="preserve">                             </w:t>
      </w:r>
    </w:p>
    <w:p>
      <w:pPr>
        <w:jc w:val="center"/>
        <w:rPr>
          <w:rFonts w:hint="eastAsia" w:ascii="仿宋" w:hAnsi="仿宋" w:eastAsia="仿宋"/>
          <w:snapToGrid w:val="0"/>
          <w:color w:val="000000"/>
          <w:kern w:val="0"/>
          <w:sz w:val="24"/>
        </w:rPr>
      </w:pPr>
    </w:p>
    <w:p>
      <w:pPr>
        <w:tabs>
          <w:tab w:val="left" w:pos="2460"/>
        </w:tabs>
        <w:spacing w:line="360" w:lineRule="auto"/>
        <w:rPr>
          <w:rFonts w:ascii="宋体" w:hAnsi="宋体"/>
          <w:b/>
          <w:color w:val="000000"/>
          <w:sz w:val="28"/>
        </w:rPr>
      </w:pPr>
      <w:r>
        <w:rPr>
          <w:rFonts w:hint="eastAsia" w:ascii="宋体" w:hAnsi="宋体"/>
          <w:b/>
          <w:color w:val="000000"/>
          <w:sz w:val="28"/>
        </w:rPr>
        <w:t xml:space="preserve">附件11:  </w:t>
      </w:r>
      <w:r>
        <w:rPr>
          <w:rFonts w:ascii="宋体" w:hAnsi="宋体"/>
          <w:b/>
          <w:color w:val="000000"/>
          <w:sz w:val="28"/>
        </w:rPr>
        <w:tab/>
      </w:r>
    </w:p>
    <w:p>
      <w:pPr>
        <w:spacing w:line="360" w:lineRule="auto"/>
        <w:ind w:firstLine="435"/>
        <w:jc w:val="center"/>
        <w:rPr>
          <w:rFonts w:ascii="宋体" w:hAnsi="宋体"/>
          <w:b/>
          <w:color w:val="000000"/>
          <w:sz w:val="32"/>
          <w:szCs w:val="32"/>
        </w:rPr>
      </w:pPr>
      <w:r>
        <w:rPr>
          <w:rFonts w:hint="eastAsia" w:ascii="宋体" w:hAnsi="宋体"/>
          <w:b/>
          <w:color w:val="000000"/>
          <w:sz w:val="32"/>
          <w:szCs w:val="32"/>
        </w:rPr>
        <w:t>售后服务情况表</w:t>
      </w:r>
    </w:p>
    <w:p>
      <w:pPr>
        <w:spacing w:line="360" w:lineRule="auto"/>
        <w:ind w:firstLine="435"/>
        <w:jc w:val="center"/>
        <w:rPr>
          <w:rFonts w:ascii="宋体" w:hAnsi="宋体"/>
          <w:b/>
          <w:color w:val="000000"/>
          <w:sz w:val="36"/>
          <w:szCs w:val="36"/>
        </w:rPr>
      </w:pPr>
    </w:p>
    <w:tbl>
      <w:tblPr>
        <w:tblStyle w:val="30"/>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39"/>
        <w:gridCol w:w="2355"/>
        <w:gridCol w:w="4061"/>
        <w:gridCol w:w="137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518" w:hRule="atLeast"/>
          <w:jc w:val="center"/>
        </w:trPr>
        <w:tc>
          <w:tcPr>
            <w:tcW w:w="739" w:type="dxa"/>
            <w:noWrap w:val="0"/>
            <w:vAlign w:val="center"/>
          </w:tcPr>
          <w:p>
            <w:pPr>
              <w:pStyle w:val="51"/>
              <w:spacing w:line="360" w:lineRule="auto"/>
              <w:jc w:val="center"/>
              <w:rPr>
                <w:rFonts w:ascii="宋体" w:hAnsi="宋体" w:cs="Arial"/>
                <w:b/>
                <w:color w:val="000000"/>
                <w:sz w:val="24"/>
              </w:rPr>
            </w:pPr>
            <w:r>
              <w:rPr>
                <w:rFonts w:hint="eastAsia" w:ascii="宋体" w:hAnsi="宋体" w:cs="Arial"/>
                <w:b/>
                <w:color w:val="000000"/>
                <w:sz w:val="24"/>
              </w:rPr>
              <w:t>序号</w:t>
            </w:r>
          </w:p>
        </w:tc>
        <w:tc>
          <w:tcPr>
            <w:tcW w:w="2355" w:type="dxa"/>
            <w:noWrap w:val="0"/>
            <w:vAlign w:val="center"/>
          </w:tcPr>
          <w:p>
            <w:pPr>
              <w:pStyle w:val="51"/>
              <w:spacing w:line="360" w:lineRule="auto"/>
              <w:jc w:val="center"/>
              <w:rPr>
                <w:rFonts w:ascii="宋体" w:hAnsi="宋体" w:cs="Arial"/>
                <w:b/>
                <w:color w:val="000000"/>
                <w:sz w:val="24"/>
              </w:rPr>
            </w:pPr>
            <w:r>
              <w:rPr>
                <w:rFonts w:hint="eastAsia" w:ascii="宋体" w:hAnsi="宋体" w:cs="Arial"/>
                <w:b/>
                <w:color w:val="000000"/>
                <w:sz w:val="24"/>
              </w:rPr>
              <w:t>项目</w:t>
            </w:r>
          </w:p>
        </w:tc>
        <w:tc>
          <w:tcPr>
            <w:tcW w:w="4061" w:type="dxa"/>
            <w:noWrap w:val="0"/>
            <w:vAlign w:val="center"/>
          </w:tcPr>
          <w:p>
            <w:pPr>
              <w:pStyle w:val="51"/>
              <w:spacing w:line="360" w:lineRule="auto"/>
              <w:jc w:val="center"/>
              <w:rPr>
                <w:rFonts w:ascii="宋体" w:hAnsi="宋体" w:cs="Arial"/>
                <w:b/>
                <w:color w:val="000000"/>
                <w:sz w:val="24"/>
              </w:rPr>
            </w:pPr>
            <w:r>
              <w:rPr>
                <w:rFonts w:hint="eastAsia" w:ascii="宋体" w:hAnsi="宋体" w:cs="Arial"/>
                <w:b/>
                <w:color w:val="000000"/>
                <w:sz w:val="24"/>
              </w:rPr>
              <w:t>磋商供应商承诺</w:t>
            </w:r>
          </w:p>
        </w:tc>
        <w:tc>
          <w:tcPr>
            <w:tcW w:w="1373" w:type="dxa"/>
            <w:noWrap w:val="0"/>
            <w:vAlign w:val="center"/>
          </w:tcPr>
          <w:p>
            <w:pPr>
              <w:pStyle w:val="51"/>
              <w:spacing w:line="360" w:lineRule="auto"/>
              <w:jc w:val="center"/>
              <w:rPr>
                <w:rFonts w:ascii="宋体" w:hAnsi="宋体" w:cs="Arial"/>
                <w:b/>
                <w:color w:val="000000"/>
                <w:sz w:val="24"/>
              </w:rPr>
            </w:pPr>
            <w:r>
              <w:rPr>
                <w:rFonts w:hint="eastAsia" w:ascii="宋体" w:hAnsi="宋体" w:cs="Arial"/>
                <w:b/>
                <w:color w:val="000000"/>
                <w:sz w:val="24"/>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258" w:hRule="atLeast"/>
          <w:jc w:val="center"/>
        </w:trPr>
        <w:tc>
          <w:tcPr>
            <w:tcW w:w="739" w:type="dxa"/>
            <w:vMerge w:val="restart"/>
            <w:noWrap w:val="0"/>
            <w:vAlign w:val="center"/>
          </w:tcPr>
          <w:p>
            <w:pPr>
              <w:pStyle w:val="51"/>
              <w:spacing w:line="360" w:lineRule="auto"/>
              <w:jc w:val="center"/>
              <w:rPr>
                <w:rFonts w:ascii="宋体" w:hAnsi="宋体" w:cs="Arial"/>
                <w:bCs/>
                <w:color w:val="000000"/>
                <w:sz w:val="24"/>
              </w:rPr>
            </w:pPr>
            <w:r>
              <w:rPr>
                <w:rFonts w:hint="eastAsia" w:ascii="宋体" w:hAnsi="宋体" w:cs="Arial"/>
                <w:bCs/>
                <w:color w:val="000000"/>
                <w:sz w:val="24"/>
              </w:rPr>
              <w:t>1</w:t>
            </w:r>
          </w:p>
        </w:tc>
        <w:tc>
          <w:tcPr>
            <w:tcW w:w="2355" w:type="dxa"/>
            <w:vMerge w:val="restart"/>
            <w:noWrap w:val="0"/>
            <w:vAlign w:val="center"/>
          </w:tcPr>
          <w:p>
            <w:pPr>
              <w:pStyle w:val="51"/>
              <w:widowControl/>
              <w:spacing w:line="360" w:lineRule="auto"/>
              <w:jc w:val="left"/>
              <w:rPr>
                <w:rFonts w:ascii="宋体" w:hAnsi="宋体" w:cs="Arial"/>
                <w:bCs/>
                <w:color w:val="000000"/>
                <w:sz w:val="24"/>
              </w:rPr>
            </w:pPr>
            <w:r>
              <w:rPr>
                <w:rFonts w:hint="eastAsia" w:ascii="宋体" w:hAnsi="宋体" w:cs="Arial"/>
                <w:bCs/>
                <w:color w:val="000000"/>
                <w:sz w:val="24"/>
              </w:rPr>
              <w:t>保修期内售后服务情况(</w:t>
            </w:r>
            <w:r>
              <w:rPr>
                <w:rFonts w:ascii="宋体" w:hAnsi="宋体" w:cs="Arial"/>
                <w:bCs/>
                <w:color w:val="000000"/>
                <w:sz w:val="24"/>
              </w:rPr>
              <w:t>服务</w:t>
            </w:r>
            <w:r>
              <w:rPr>
                <w:rFonts w:hint="eastAsia" w:ascii="宋体" w:hAnsi="宋体" w:cs="Arial"/>
                <w:bCs/>
                <w:color w:val="000000"/>
                <w:sz w:val="24"/>
              </w:rPr>
              <w:t>方式、服务网点</w:t>
            </w:r>
            <w:r>
              <w:rPr>
                <w:rFonts w:ascii="宋体" w:hAnsi="宋体" w:cs="Arial"/>
                <w:bCs/>
                <w:color w:val="000000"/>
                <w:sz w:val="24"/>
              </w:rPr>
              <w:t>、售后服务的内容和措施</w:t>
            </w:r>
            <w:r>
              <w:rPr>
                <w:rFonts w:hint="eastAsia" w:ascii="宋体" w:hAnsi="宋体" w:cs="Arial"/>
                <w:bCs/>
                <w:color w:val="000000"/>
                <w:sz w:val="24"/>
              </w:rPr>
              <w:t>等等，可用附页和宣传材料)</w:t>
            </w:r>
          </w:p>
        </w:tc>
        <w:tc>
          <w:tcPr>
            <w:tcW w:w="4061" w:type="dxa"/>
            <w:noWrap w:val="0"/>
            <w:vAlign w:val="top"/>
          </w:tcPr>
          <w:p>
            <w:pPr>
              <w:pStyle w:val="51"/>
              <w:spacing w:line="360" w:lineRule="auto"/>
              <w:rPr>
                <w:rFonts w:ascii="宋体" w:hAnsi="宋体" w:cs="Arial"/>
                <w:bCs/>
                <w:color w:val="000000"/>
                <w:sz w:val="24"/>
              </w:rPr>
            </w:pPr>
            <w:r>
              <w:rPr>
                <w:rFonts w:hint="eastAsia" w:ascii="宋体" w:hAnsi="宋体" w:cs="Arial"/>
                <w:bCs/>
                <w:color w:val="000000"/>
                <w:sz w:val="24"/>
              </w:rPr>
              <w:t>生产厂商售后服务情况：</w:t>
            </w:r>
          </w:p>
        </w:tc>
        <w:tc>
          <w:tcPr>
            <w:tcW w:w="1373" w:type="dxa"/>
            <w:noWrap w:val="0"/>
            <w:vAlign w:val="top"/>
          </w:tcPr>
          <w:p>
            <w:pPr>
              <w:pStyle w:val="51"/>
              <w:spacing w:line="360" w:lineRule="auto"/>
              <w:rPr>
                <w:rFonts w:ascii="宋体" w:hAnsi="宋体" w:cs="Arial"/>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090" w:hRule="atLeast"/>
          <w:jc w:val="center"/>
        </w:trPr>
        <w:tc>
          <w:tcPr>
            <w:tcW w:w="739" w:type="dxa"/>
            <w:vMerge w:val="continue"/>
            <w:noWrap w:val="0"/>
            <w:vAlign w:val="center"/>
          </w:tcPr>
          <w:p>
            <w:pPr>
              <w:pStyle w:val="51"/>
              <w:widowControl/>
              <w:spacing w:line="360" w:lineRule="auto"/>
              <w:jc w:val="left"/>
              <w:rPr>
                <w:rFonts w:ascii="宋体" w:hAnsi="宋体" w:cs="Arial"/>
                <w:bCs/>
                <w:color w:val="000000"/>
                <w:sz w:val="24"/>
              </w:rPr>
            </w:pPr>
          </w:p>
        </w:tc>
        <w:tc>
          <w:tcPr>
            <w:tcW w:w="2355" w:type="dxa"/>
            <w:vMerge w:val="continue"/>
            <w:noWrap w:val="0"/>
            <w:vAlign w:val="center"/>
          </w:tcPr>
          <w:p>
            <w:pPr>
              <w:pStyle w:val="51"/>
              <w:widowControl/>
              <w:spacing w:line="360" w:lineRule="auto"/>
              <w:jc w:val="left"/>
              <w:rPr>
                <w:rFonts w:ascii="宋体" w:hAnsi="宋体" w:cs="Arial"/>
                <w:bCs/>
                <w:color w:val="000000"/>
                <w:sz w:val="24"/>
              </w:rPr>
            </w:pPr>
          </w:p>
        </w:tc>
        <w:tc>
          <w:tcPr>
            <w:tcW w:w="4061" w:type="dxa"/>
            <w:noWrap w:val="0"/>
            <w:vAlign w:val="top"/>
          </w:tcPr>
          <w:p>
            <w:pPr>
              <w:pStyle w:val="51"/>
              <w:spacing w:line="360" w:lineRule="auto"/>
              <w:rPr>
                <w:rFonts w:ascii="宋体" w:hAnsi="宋体" w:cs="Arial"/>
                <w:bCs/>
                <w:color w:val="000000"/>
                <w:sz w:val="24"/>
              </w:rPr>
            </w:pPr>
            <w:r>
              <w:rPr>
                <w:rFonts w:hint="eastAsia" w:ascii="宋体" w:hAnsi="宋体" w:cs="Arial"/>
                <w:bCs/>
                <w:color w:val="000000"/>
                <w:sz w:val="24"/>
              </w:rPr>
              <w:t>磋商供应商售后服务情况：</w:t>
            </w:r>
          </w:p>
        </w:tc>
        <w:tc>
          <w:tcPr>
            <w:tcW w:w="1373" w:type="dxa"/>
            <w:noWrap w:val="0"/>
            <w:vAlign w:val="top"/>
          </w:tcPr>
          <w:p>
            <w:pPr>
              <w:pStyle w:val="51"/>
              <w:spacing w:line="360" w:lineRule="auto"/>
              <w:jc w:val="left"/>
              <w:rPr>
                <w:rFonts w:ascii="宋体" w:hAnsi="宋体" w:cs="Arial"/>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567" w:hRule="exact"/>
          <w:jc w:val="center"/>
        </w:trPr>
        <w:tc>
          <w:tcPr>
            <w:tcW w:w="739" w:type="dxa"/>
            <w:noWrap w:val="0"/>
            <w:vAlign w:val="center"/>
          </w:tcPr>
          <w:p>
            <w:pPr>
              <w:pStyle w:val="51"/>
              <w:spacing w:line="360" w:lineRule="auto"/>
              <w:jc w:val="center"/>
              <w:rPr>
                <w:rFonts w:ascii="宋体" w:hAnsi="宋体" w:cs="Arial"/>
                <w:bCs/>
                <w:color w:val="000000"/>
                <w:sz w:val="24"/>
              </w:rPr>
            </w:pPr>
            <w:r>
              <w:rPr>
                <w:rFonts w:hint="eastAsia" w:ascii="宋体" w:hAnsi="宋体" w:cs="Arial"/>
                <w:bCs/>
                <w:color w:val="000000"/>
                <w:sz w:val="24"/>
              </w:rPr>
              <w:t>2</w:t>
            </w:r>
          </w:p>
        </w:tc>
        <w:tc>
          <w:tcPr>
            <w:tcW w:w="2355" w:type="dxa"/>
            <w:noWrap w:val="0"/>
            <w:vAlign w:val="center"/>
          </w:tcPr>
          <w:p>
            <w:pPr>
              <w:pStyle w:val="51"/>
              <w:spacing w:line="360" w:lineRule="auto"/>
              <w:rPr>
                <w:rFonts w:ascii="宋体" w:hAnsi="宋体" w:cs="Arial"/>
                <w:bCs/>
                <w:color w:val="000000"/>
                <w:sz w:val="24"/>
              </w:rPr>
            </w:pPr>
            <w:r>
              <w:rPr>
                <w:rFonts w:hint="eastAsia" w:ascii="宋体" w:hAnsi="宋体" w:cs="Arial"/>
                <w:bCs/>
                <w:color w:val="000000"/>
                <w:sz w:val="24"/>
              </w:rPr>
              <w:t>保修期后售后服务</w:t>
            </w:r>
          </w:p>
        </w:tc>
        <w:tc>
          <w:tcPr>
            <w:tcW w:w="4061" w:type="dxa"/>
            <w:noWrap w:val="0"/>
            <w:vAlign w:val="top"/>
          </w:tcPr>
          <w:p>
            <w:pPr>
              <w:pStyle w:val="51"/>
              <w:widowControl/>
              <w:spacing w:line="360" w:lineRule="auto"/>
              <w:jc w:val="left"/>
              <w:rPr>
                <w:rFonts w:ascii="宋体" w:hAnsi="宋体" w:cs="Arial"/>
                <w:bCs/>
                <w:color w:val="000000"/>
                <w:sz w:val="24"/>
              </w:rPr>
            </w:pPr>
          </w:p>
          <w:p>
            <w:pPr>
              <w:pStyle w:val="51"/>
              <w:widowControl/>
              <w:spacing w:line="360" w:lineRule="auto"/>
              <w:jc w:val="left"/>
              <w:rPr>
                <w:rFonts w:ascii="宋体" w:hAnsi="宋体" w:cs="Arial"/>
                <w:bCs/>
                <w:color w:val="000000"/>
                <w:sz w:val="24"/>
              </w:rPr>
            </w:pPr>
          </w:p>
          <w:p>
            <w:pPr>
              <w:pStyle w:val="51"/>
              <w:spacing w:line="360" w:lineRule="auto"/>
              <w:rPr>
                <w:rFonts w:ascii="宋体" w:hAnsi="宋体" w:cs="Arial"/>
                <w:bCs/>
                <w:color w:val="000000"/>
                <w:sz w:val="24"/>
              </w:rPr>
            </w:pPr>
          </w:p>
        </w:tc>
        <w:tc>
          <w:tcPr>
            <w:tcW w:w="1373" w:type="dxa"/>
            <w:noWrap w:val="0"/>
            <w:vAlign w:val="top"/>
          </w:tcPr>
          <w:p>
            <w:pPr>
              <w:pStyle w:val="51"/>
              <w:widowControl/>
              <w:spacing w:line="360" w:lineRule="auto"/>
              <w:jc w:val="left"/>
              <w:rPr>
                <w:rFonts w:ascii="宋体" w:hAnsi="宋体" w:cs="Arial"/>
                <w:bCs/>
                <w:color w:val="000000"/>
                <w:sz w:val="24"/>
              </w:rPr>
            </w:pPr>
          </w:p>
          <w:p>
            <w:pPr>
              <w:pStyle w:val="51"/>
              <w:widowControl/>
              <w:spacing w:line="360" w:lineRule="auto"/>
              <w:jc w:val="left"/>
              <w:rPr>
                <w:rFonts w:ascii="宋体" w:hAnsi="宋体" w:cs="Arial"/>
                <w:bCs/>
                <w:color w:val="000000"/>
                <w:sz w:val="24"/>
              </w:rPr>
            </w:pPr>
          </w:p>
          <w:p>
            <w:pPr>
              <w:pStyle w:val="51"/>
              <w:spacing w:line="360" w:lineRule="auto"/>
              <w:rPr>
                <w:rFonts w:ascii="宋体" w:hAnsi="宋体" w:cs="Arial"/>
                <w:bCs/>
                <w:color w:val="000000"/>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620" w:hRule="exact"/>
          <w:jc w:val="center"/>
        </w:trPr>
        <w:tc>
          <w:tcPr>
            <w:tcW w:w="739" w:type="dxa"/>
            <w:noWrap w:val="0"/>
            <w:vAlign w:val="center"/>
          </w:tcPr>
          <w:p>
            <w:pPr>
              <w:pStyle w:val="51"/>
              <w:widowControl/>
              <w:spacing w:line="360" w:lineRule="auto"/>
              <w:jc w:val="left"/>
              <w:rPr>
                <w:rFonts w:ascii="宋体" w:hAnsi="宋体" w:cs="Arial"/>
                <w:bCs/>
                <w:color w:val="000000"/>
                <w:sz w:val="24"/>
              </w:rPr>
            </w:pPr>
            <w:r>
              <w:rPr>
                <w:rFonts w:hint="eastAsia" w:ascii="宋体" w:hAnsi="宋体" w:cs="Arial"/>
                <w:bCs/>
                <w:color w:val="000000"/>
                <w:sz w:val="24"/>
              </w:rPr>
              <w:t xml:space="preserve"> 3</w:t>
            </w:r>
          </w:p>
        </w:tc>
        <w:tc>
          <w:tcPr>
            <w:tcW w:w="2355" w:type="dxa"/>
            <w:noWrap w:val="0"/>
            <w:vAlign w:val="center"/>
          </w:tcPr>
          <w:p>
            <w:pPr>
              <w:pStyle w:val="51"/>
              <w:widowControl/>
              <w:spacing w:line="360" w:lineRule="auto"/>
              <w:jc w:val="left"/>
              <w:rPr>
                <w:rFonts w:ascii="宋体" w:hAnsi="宋体" w:cs="Arial"/>
                <w:bCs/>
                <w:color w:val="000000"/>
                <w:sz w:val="24"/>
              </w:rPr>
            </w:pPr>
            <w:r>
              <w:rPr>
                <w:rFonts w:hint="eastAsia" w:ascii="宋体" w:hAnsi="宋体" w:cs="Arial"/>
                <w:bCs/>
                <w:color w:val="000000"/>
                <w:sz w:val="24"/>
              </w:rPr>
              <w:t>培训方案（可用附页）</w:t>
            </w:r>
          </w:p>
        </w:tc>
        <w:tc>
          <w:tcPr>
            <w:tcW w:w="4061" w:type="dxa"/>
            <w:noWrap w:val="0"/>
            <w:vAlign w:val="top"/>
          </w:tcPr>
          <w:p>
            <w:pPr>
              <w:pStyle w:val="51"/>
              <w:widowControl/>
              <w:spacing w:line="360" w:lineRule="auto"/>
              <w:jc w:val="left"/>
              <w:rPr>
                <w:rFonts w:ascii="宋体" w:hAnsi="宋体" w:cs="Arial"/>
                <w:bCs/>
                <w:i/>
                <w:color w:val="000000"/>
                <w:sz w:val="24"/>
              </w:rPr>
            </w:pPr>
          </w:p>
          <w:p>
            <w:pPr>
              <w:pStyle w:val="51"/>
              <w:widowControl/>
              <w:spacing w:line="360" w:lineRule="auto"/>
              <w:jc w:val="left"/>
              <w:rPr>
                <w:rFonts w:ascii="宋体" w:hAnsi="宋体" w:cs="Arial"/>
                <w:bCs/>
                <w:i/>
                <w:color w:val="000000"/>
                <w:sz w:val="24"/>
              </w:rPr>
            </w:pPr>
          </w:p>
        </w:tc>
        <w:tc>
          <w:tcPr>
            <w:tcW w:w="1373" w:type="dxa"/>
            <w:noWrap w:val="0"/>
            <w:vAlign w:val="top"/>
          </w:tcPr>
          <w:p>
            <w:pPr>
              <w:pStyle w:val="51"/>
              <w:widowControl/>
              <w:spacing w:line="360" w:lineRule="auto"/>
              <w:jc w:val="left"/>
              <w:rPr>
                <w:rFonts w:ascii="宋体" w:hAnsi="宋体" w:cs="Arial"/>
                <w:bCs/>
                <w:i/>
                <w:color w:val="000000"/>
                <w:sz w:val="24"/>
              </w:rPr>
            </w:pPr>
          </w:p>
          <w:p>
            <w:pPr>
              <w:pStyle w:val="51"/>
              <w:widowControl/>
              <w:spacing w:line="360" w:lineRule="auto"/>
              <w:jc w:val="left"/>
              <w:rPr>
                <w:rFonts w:ascii="宋体" w:hAnsi="宋体" w:cs="Arial"/>
                <w:bCs/>
                <w:i/>
                <w:color w:val="000000"/>
                <w:sz w:val="24"/>
              </w:rPr>
            </w:pPr>
          </w:p>
          <w:p>
            <w:pPr>
              <w:pStyle w:val="51"/>
              <w:widowControl/>
              <w:spacing w:line="360" w:lineRule="auto"/>
              <w:jc w:val="left"/>
              <w:rPr>
                <w:rFonts w:ascii="宋体" w:hAnsi="宋体" w:cs="Arial"/>
                <w:bCs/>
                <w:i/>
                <w:color w:val="000000"/>
                <w:sz w:val="24"/>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689" w:hRule="exact"/>
          <w:jc w:val="center"/>
        </w:trPr>
        <w:tc>
          <w:tcPr>
            <w:tcW w:w="739" w:type="dxa"/>
            <w:noWrap w:val="0"/>
            <w:vAlign w:val="center"/>
          </w:tcPr>
          <w:p>
            <w:pPr>
              <w:pStyle w:val="51"/>
              <w:widowControl/>
              <w:spacing w:line="360" w:lineRule="auto"/>
              <w:jc w:val="left"/>
              <w:rPr>
                <w:rFonts w:ascii="宋体" w:hAnsi="宋体" w:cs="Arial"/>
                <w:bCs/>
                <w:color w:val="000000"/>
                <w:sz w:val="24"/>
              </w:rPr>
            </w:pPr>
            <w:r>
              <w:rPr>
                <w:rFonts w:ascii="宋体" w:hAnsi="宋体" w:cs="Arial"/>
                <w:bCs/>
                <w:color w:val="000000"/>
                <w:sz w:val="24"/>
              </w:rPr>
              <w:t>……</w:t>
            </w:r>
          </w:p>
        </w:tc>
        <w:tc>
          <w:tcPr>
            <w:tcW w:w="2355" w:type="dxa"/>
            <w:noWrap w:val="0"/>
            <w:vAlign w:val="center"/>
          </w:tcPr>
          <w:p>
            <w:pPr>
              <w:pStyle w:val="51"/>
              <w:widowControl/>
              <w:spacing w:line="360" w:lineRule="auto"/>
              <w:jc w:val="left"/>
              <w:rPr>
                <w:rFonts w:ascii="宋体" w:hAnsi="宋体" w:cs="Arial"/>
                <w:bCs/>
                <w:color w:val="000000"/>
                <w:sz w:val="24"/>
              </w:rPr>
            </w:pPr>
            <w:r>
              <w:rPr>
                <w:rFonts w:ascii="宋体" w:hAnsi="宋体" w:cs="Arial"/>
                <w:bCs/>
                <w:color w:val="000000"/>
                <w:sz w:val="24"/>
              </w:rPr>
              <w:t>……</w:t>
            </w:r>
          </w:p>
        </w:tc>
        <w:tc>
          <w:tcPr>
            <w:tcW w:w="4061" w:type="dxa"/>
            <w:noWrap w:val="0"/>
            <w:vAlign w:val="top"/>
          </w:tcPr>
          <w:p>
            <w:pPr>
              <w:pStyle w:val="51"/>
              <w:widowControl/>
              <w:spacing w:line="360" w:lineRule="auto"/>
              <w:jc w:val="left"/>
              <w:rPr>
                <w:rFonts w:ascii="宋体" w:hAnsi="宋体" w:cs="Arial"/>
                <w:bCs/>
                <w:color w:val="000000"/>
                <w:sz w:val="24"/>
              </w:rPr>
            </w:pPr>
          </w:p>
        </w:tc>
        <w:tc>
          <w:tcPr>
            <w:tcW w:w="1373" w:type="dxa"/>
            <w:noWrap w:val="0"/>
            <w:vAlign w:val="top"/>
          </w:tcPr>
          <w:p>
            <w:pPr>
              <w:pStyle w:val="51"/>
              <w:widowControl/>
              <w:spacing w:line="360" w:lineRule="auto"/>
              <w:jc w:val="left"/>
              <w:rPr>
                <w:rFonts w:ascii="宋体" w:hAnsi="宋体" w:cs="Arial"/>
                <w:bCs/>
                <w:color w:val="000000"/>
                <w:sz w:val="24"/>
              </w:rPr>
            </w:pPr>
          </w:p>
        </w:tc>
      </w:tr>
    </w:tbl>
    <w:p>
      <w:pPr>
        <w:spacing w:line="360" w:lineRule="auto"/>
        <w:ind w:left="420"/>
        <w:rPr>
          <w:rFonts w:ascii="宋体" w:hAnsi="宋体"/>
          <w:color w:val="000000"/>
          <w:sz w:val="24"/>
        </w:rPr>
      </w:pPr>
    </w:p>
    <w:p>
      <w:pPr>
        <w:spacing w:line="360" w:lineRule="auto"/>
        <w:ind w:left="420"/>
        <w:rPr>
          <w:rFonts w:ascii="宋体" w:hAnsi="宋体"/>
          <w:color w:val="000000"/>
          <w:sz w:val="24"/>
        </w:rPr>
      </w:pPr>
    </w:p>
    <w:p>
      <w:pPr>
        <w:spacing w:line="360" w:lineRule="auto"/>
        <w:ind w:left="420"/>
        <w:rPr>
          <w:rFonts w:ascii="宋体" w:hAnsi="宋体"/>
          <w:color w:val="000000"/>
          <w:sz w:val="24"/>
          <w:u w:val="single"/>
        </w:rPr>
      </w:pPr>
      <w:r>
        <w:rPr>
          <w:rFonts w:hint="eastAsia" w:ascii="宋体" w:hAnsi="宋体"/>
          <w:color w:val="000000"/>
          <w:sz w:val="24"/>
        </w:rPr>
        <w:t>磋商供应商名称（盖章）：</w:t>
      </w:r>
      <w:r>
        <w:rPr>
          <w:rFonts w:hint="eastAsia" w:ascii="宋体" w:hAnsi="宋体"/>
          <w:color w:val="000000"/>
          <w:sz w:val="24"/>
          <w:u w:val="single"/>
        </w:rPr>
        <w:t xml:space="preserve">                      </w:t>
      </w:r>
    </w:p>
    <w:p>
      <w:pPr>
        <w:spacing w:line="360" w:lineRule="auto"/>
        <w:ind w:left="420"/>
        <w:rPr>
          <w:rFonts w:ascii="宋体" w:hAnsi="宋体"/>
          <w:color w:val="000000"/>
          <w:sz w:val="24"/>
        </w:rPr>
      </w:pPr>
      <w:r>
        <w:rPr>
          <w:rFonts w:hint="eastAsia" w:ascii="宋体" w:hAnsi="宋体"/>
          <w:color w:val="000000"/>
          <w:sz w:val="24"/>
        </w:rPr>
        <w:t xml:space="preserve"> </w:t>
      </w:r>
    </w:p>
    <w:p>
      <w:pPr>
        <w:spacing w:line="360" w:lineRule="auto"/>
        <w:ind w:firstLine="435"/>
        <w:rPr>
          <w:rFonts w:ascii="宋体" w:hAnsi="宋体"/>
          <w:color w:val="000000"/>
          <w:sz w:val="24"/>
        </w:rPr>
      </w:pPr>
      <w:r>
        <w:rPr>
          <w:rFonts w:hint="eastAsia" w:ascii="宋体" w:hAnsi="宋体"/>
          <w:color w:val="000000"/>
          <w:sz w:val="24"/>
        </w:rPr>
        <w:t>磋商供应商代表签字：</w:t>
      </w:r>
      <w:r>
        <w:rPr>
          <w:rFonts w:hint="eastAsia" w:ascii="宋体" w:hAnsi="宋体"/>
          <w:color w:val="000000"/>
          <w:sz w:val="24"/>
          <w:u w:val="single"/>
        </w:rPr>
        <w:t xml:space="preserve">                          </w:t>
      </w:r>
    </w:p>
    <w:p>
      <w:pPr>
        <w:spacing w:line="360" w:lineRule="auto"/>
        <w:ind w:firstLine="435"/>
        <w:rPr>
          <w:rFonts w:ascii="宋体" w:hAnsi="宋体"/>
          <w:color w:val="000000"/>
          <w:sz w:val="24"/>
        </w:rPr>
      </w:pPr>
    </w:p>
    <w:p>
      <w:pPr>
        <w:spacing w:line="360" w:lineRule="auto"/>
        <w:ind w:firstLine="435"/>
        <w:rPr>
          <w:rFonts w:ascii="宋体" w:hAnsi="宋体"/>
          <w:color w:val="000000"/>
          <w:sz w:val="24"/>
        </w:rPr>
      </w:pPr>
      <w:r>
        <w:rPr>
          <w:rFonts w:hint="eastAsia" w:ascii="宋体" w:hAnsi="宋体"/>
          <w:color w:val="000000"/>
          <w:sz w:val="24"/>
        </w:rPr>
        <w:t>职        务：</w:t>
      </w:r>
      <w:r>
        <w:rPr>
          <w:rFonts w:hint="eastAsia" w:ascii="宋体" w:hAnsi="宋体"/>
          <w:color w:val="000000"/>
          <w:sz w:val="24"/>
          <w:u w:val="single"/>
        </w:rPr>
        <w:t xml:space="preserve">                            </w:t>
      </w:r>
    </w:p>
    <w:p>
      <w:pPr>
        <w:spacing w:line="360" w:lineRule="auto"/>
        <w:ind w:firstLine="435"/>
        <w:rPr>
          <w:rFonts w:ascii="宋体" w:hAnsi="宋体"/>
          <w:color w:val="000000"/>
          <w:sz w:val="24"/>
        </w:rPr>
      </w:pPr>
    </w:p>
    <w:p>
      <w:pPr>
        <w:spacing w:line="360" w:lineRule="auto"/>
        <w:ind w:firstLine="435"/>
        <w:rPr>
          <w:rFonts w:hint="eastAsia" w:ascii="宋体" w:hAnsi="宋体"/>
          <w:color w:val="000000"/>
          <w:sz w:val="24"/>
          <w:u w:val="single"/>
        </w:rPr>
      </w:pPr>
      <w:r>
        <w:rPr>
          <w:rFonts w:hint="eastAsia" w:ascii="宋体" w:hAnsi="宋体"/>
          <w:color w:val="000000"/>
          <w:sz w:val="24"/>
        </w:rPr>
        <w:t>日        期：</w:t>
      </w:r>
      <w:r>
        <w:rPr>
          <w:rFonts w:hint="eastAsia" w:ascii="宋体" w:hAnsi="宋体"/>
          <w:color w:val="000000"/>
          <w:sz w:val="24"/>
          <w:u w:val="single"/>
        </w:rPr>
        <w:t xml:space="preserve">                            </w:t>
      </w:r>
    </w:p>
    <w:p>
      <w:pPr>
        <w:spacing w:line="360" w:lineRule="auto"/>
        <w:ind w:firstLine="435"/>
        <w:rPr>
          <w:rFonts w:hint="eastAsia" w:ascii="宋体" w:hAnsi="宋体"/>
          <w:color w:val="000000"/>
          <w:sz w:val="24"/>
          <w:u w:val="single"/>
        </w:rPr>
      </w:pPr>
    </w:p>
    <w:p>
      <w:pPr>
        <w:spacing w:line="360" w:lineRule="auto"/>
        <w:rPr>
          <w:rFonts w:hint="eastAsia" w:ascii="宋体" w:hAnsi="宋体"/>
          <w:b/>
          <w:color w:val="000000"/>
          <w:sz w:val="28"/>
        </w:rPr>
      </w:pPr>
    </w:p>
    <w:p>
      <w:pPr>
        <w:snapToGrid w:val="0"/>
        <w:spacing w:before="156" w:beforeLines="50" w:after="50" w:line="360" w:lineRule="auto"/>
        <w:rPr>
          <w:rFonts w:hint="eastAsia" w:ascii="宋体" w:hAnsi="宋体"/>
          <w:b/>
          <w:color w:val="000000"/>
          <w:sz w:val="28"/>
        </w:rPr>
      </w:pPr>
    </w:p>
    <w:p>
      <w:pPr>
        <w:snapToGrid w:val="0"/>
        <w:spacing w:before="156" w:beforeLines="50" w:after="50" w:line="360" w:lineRule="auto"/>
        <w:rPr>
          <w:rFonts w:ascii="仿宋_GB2312" w:hAnsi="宋体" w:eastAsia="仿宋_GB2312"/>
          <w:b/>
          <w:color w:val="000000"/>
          <w:sz w:val="30"/>
          <w:szCs w:val="30"/>
        </w:rPr>
      </w:pPr>
      <w:r>
        <w:rPr>
          <w:rFonts w:hint="eastAsia" w:ascii="宋体" w:hAnsi="宋体"/>
          <w:b/>
          <w:color w:val="000000"/>
          <w:sz w:val="28"/>
        </w:rPr>
        <w:t>附件12：</w:t>
      </w:r>
      <w:r>
        <w:rPr>
          <w:rFonts w:hint="eastAsia" w:ascii="仿宋_GB2312" w:hAnsi="宋体" w:eastAsia="仿宋_GB2312"/>
          <w:b/>
          <w:color w:val="000000"/>
          <w:sz w:val="30"/>
          <w:szCs w:val="30"/>
        </w:rPr>
        <w:t xml:space="preserve">                                     </w:t>
      </w:r>
    </w:p>
    <w:p>
      <w:pPr>
        <w:spacing w:line="360" w:lineRule="auto"/>
        <w:ind w:left="-2" w:hanging="2"/>
        <w:jc w:val="center"/>
        <w:rPr>
          <w:rFonts w:hint="eastAsia" w:ascii="宋体" w:hAnsi="宋体"/>
          <w:b/>
          <w:color w:val="33CCCC"/>
          <w:sz w:val="32"/>
          <w:szCs w:val="32"/>
        </w:rPr>
      </w:pPr>
      <w:r>
        <w:rPr>
          <w:rFonts w:hint="eastAsia" w:ascii="宋体" w:hAnsi="宋体"/>
          <w:b/>
          <w:sz w:val="32"/>
          <w:szCs w:val="32"/>
        </w:rPr>
        <w:t>首次报价一览表</w:t>
      </w:r>
      <w:r>
        <w:rPr>
          <w:rFonts w:hint="eastAsia" w:ascii="宋体" w:hAnsi="宋体"/>
          <w:b/>
          <w:color w:val="33CCCC"/>
          <w:sz w:val="32"/>
          <w:szCs w:val="32"/>
        </w:rPr>
        <w:t xml:space="preserve"> (第 标)</w:t>
      </w:r>
    </w:p>
    <w:p>
      <w:pPr>
        <w:spacing w:line="360" w:lineRule="auto"/>
        <w:ind w:left="-2" w:hanging="2"/>
        <w:jc w:val="center"/>
        <w:rPr>
          <w:rFonts w:hint="eastAsia" w:ascii="宋体" w:hAnsi="宋体"/>
          <w:b/>
          <w:color w:val="33CCCC"/>
          <w:sz w:val="32"/>
          <w:szCs w:val="32"/>
        </w:rPr>
      </w:pPr>
    </w:p>
    <w:p>
      <w:pPr>
        <w:pStyle w:val="15"/>
        <w:spacing w:line="320" w:lineRule="exact"/>
        <w:rPr>
          <w:rFonts w:hAnsi="宋体"/>
          <w:b/>
          <w:color w:val="000000"/>
          <w:sz w:val="24"/>
        </w:rPr>
      </w:pPr>
    </w:p>
    <w:p>
      <w:pPr>
        <w:pStyle w:val="15"/>
        <w:spacing w:line="320" w:lineRule="exact"/>
        <w:rPr>
          <w:rFonts w:hint="eastAsia" w:hAnsi="宋体"/>
          <w:b/>
          <w:color w:val="000000"/>
          <w:sz w:val="24"/>
          <w:u w:val="single"/>
        </w:rPr>
      </w:pPr>
      <w:r>
        <w:rPr>
          <w:rFonts w:hAnsi="宋体"/>
          <w:b/>
          <w:color w:val="000000"/>
          <w:sz w:val="24"/>
        </w:rPr>
        <w:t>项目编号：</w:t>
      </w:r>
      <w:r>
        <w:rPr>
          <w:rFonts w:hint="eastAsia" w:hAnsi="宋体"/>
          <w:b/>
          <w:color w:val="000000"/>
          <w:sz w:val="24"/>
          <w:u w:val="single"/>
        </w:rPr>
        <w:t xml:space="preserve">               </w:t>
      </w:r>
    </w:p>
    <w:p>
      <w:pPr>
        <w:pStyle w:val="37"/>
        <w:spacing w:line="360" w:lineRule="auto"/>
        <w:ind w:right="480"/>
        <w:jc w:val="left"/>
        <w:rPr>
          <w:rFonts w:hAnsi="宋体"/>
          <w:color w:val="000000"/>
          <w:sz w:val="24"/>
        </w:rPr>
      </w:pPr>
      <w:r>
        <w:rPr>
          <w:rFonts w:hAnsi="宋体"/>
          <w:b/>
          <w:color w:val="000000"/>
          <w:sz w:val="24"/>
        </w:rPr>
        <w:t>项目名称：</w:t>
      </w:r>
      <w:r>
        <w:rPr>
          <w:rFonts w:hint="eastAsia" w:hAnsi="宋体"/>
          <w:b/>
          <w:color w:val="000000"/>
          <w:sz w:val="24"/>
          <w:u w:val="single"/>
        </w:rPr>
        <w:t xml:space="preserve">               </w:t>
      </w:r>
      <w:r>
        <w:rPr>
          <w:rFonts w:hint="eastAsia" w:ascii="宋体" w:hAnsi="宋体"/>
          <w:sz w:val="24"/>
        </w:rPr>
        <w:t xml:space="preserve">                    [货币单位：人民币元]</w:t>
      </w:r>
    </w:p>
    <w:tbl>
      <w:tblPr>
        <w:tblStyle w:val="30"/>
        <w:tblW w:w="0" w:type="auto"/>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0" w:type="dxa"/>
          <w:bottom w:w="0" w:type="dxa"/>
          <w:right w:w="0" w:type="dxa"/>
        </w:tblCellMar>
      </w:tblPr>
      <w:tblGrid>
        <w:gridCol w:w="2694"/>
        <w:gridCol w:w="1349"/>
        <w:gridCol w:w="4629"/>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cantSplit/>
          <w:trHeight w:val="1469" w:hRule="atLeast"/>
          <w:jc w:val="center"/>
        </w:trPr>
        <w:tc>
          <w:tcPr>
            <w:tcW w:w="2694" w:type="dxa"/>
            <w:vMerge w:val="restart"/>
            <w:tcBorders>
              <w:top w:val="single" w:color="auto" w:sz="12" w:space="0"/>
              <w:left w:val="single" w:color="auto" w:sz="12" w:space="0"/>
              <w:bottom w:val="single" w:color="auto" w:sz="4" w:space="0"/>
              <w:right w:val="single" w:color="auto" w:sz="4" w:space="0"/>
            </w:tcBorders>
            <w:noWrap w:val="0"/>
            <w:vAlign w:val="center"/>
          </w:tcPr>
          <w:p>
            <w:pPr>
              <w:autoSpaceDE w:val="0"/>
              <w:autoSpaceDN w:val="0"/>
              <w:spacing w:line="450" w:lineRule="exact"/>
              <w:jc w:val="center"/>
              <w:textAlignment w:val="bottom"/>
              <w:rPr>
                <w:rFonts w:ascii="宋体" w:hAnsi="宋体"/>
                <w:color w:val="000000"/>
                <w:sz w:val="24"/>
              </w:rPr>
            </w:pPr>
            <w:r>
              <w:rPr>
                <w:rFonts w:hint="eastAsia" w:ascii="宋体" w:hAnsi="宋体"/>
                <w:color w:val="000000"/>
                <w:sz w:val="24"/>
              </w:rPr>
              <w:t>总报价(元)</w:t>
            </w:r>
          </w:p>
        </w:tc>
        <w:tc>
          <w:tcPr>
            <w:tcW w:w="1349" w:type="dxa"/>
            <w:tcBorders>
              <w:top w:val="single" w:color="auto" w:sz="12" w:space="0"/>
              <w:left w:val="single" w:color="auto" w:sz="4" w:space="0"/>
              <w:bottom w:val="single" w:color="auto" w:sz="4" w:space="0"/>
              <w:right w:val="single" w:color="auto" w:sz="4" w:space="0"/>
            </w:tcBorders>
            <w:noWrap w:val="0"/>
            <w:vAlign w:val="center"/>
          </w:tcPr>
          <w:p>
            <w:pPr>
              <w:autoSpaceDE w:val="0"/>
              <w:autoSpaceDN w:val="0"/>
              <w:spacing w:line="450" w:lineRule="exact"/>
              <w:jc w:val="center"/>
              <w:textAlignment w:val="bottom"/>
              <w:rPr>
                <w:rFonts w:ascii="宋体" w:hAnsi="宋体"/>
                <w:color w:val="000000"/>
                <w:sz w:val="24"/>
              </w:rPr>
            </w:pPr>
            <w:r>
              <w:rPr>
                <w:rFonts w:hint="eastAsia" w:ascii="宋体" w:hAnsi="宋体"/>
                <w:color w:val="000000"/>
                <w:sz w:val="24"/>
              </w:rPr>
              <w:t>大写</w:t>
            </w:r>
          </w:p>
        </w:tc>
        <w:tc>
          <w:tcPr>
            <w:tcW w:w="4629" w:type="dxa"/>
            <w:tcBorders>
              <w:top w:val="single" w:color="auto" w:sz="12" w:space="0"/>
              <w:left w:val="single" w:color="auto" w:sz="4" w:space="0"/>
              <w:bottom w:val="single" w:color="auto" w:sz="4" w:space="0"/>
              <w:right w:val="single" w:color="auto" w:sz="12" w:space="0"/>
            </w:tcBorders>
            <w:noWrap w:val="0"/>
            <w:vAlign w:val="center"/>
          </w:tcPr>
          <w:p>
            <w:pPr>
              <w:autoSpaceDE w:val="0"/>
              <w:autoSpaceDN w:val="0"/>
              <w:spacing w:line="450" w:lineRule="exact"/>
              <w:jc w:val="center"/>
              <w:textAlignment w:val="bottom"/>
              <w:rPr>
                <w:rFonts w:ascii="宋体" w:hAnsi="宋体"/>
                <w:color w:val="000000"/>
                <w:sz w:val="24"/>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cantSplit/>
          <w:trHeight w:val="1530" w:hRule="atLeast"/>
          <w:jc w:val="center"/>
        </w:trPr>
        <w:tc>
          <w:tcPr>
            <w:tcW w:w="2694" w:type="dxa"/>
            <w:vMerge w:val="continue"/>
            <w:tcBorders>
              <w:top w:val="single" w:color="auto" w:sz="12" w:space="0"/>
              <w:left w:val="single" w:color="auto" w:sz="12" w:space="0"/>
              <w:bottom w:val="single" w:color="auto" w:sz="4" w:space="0"/>
              <w:right w:val="single" w:color="auto" w:sz="4" w:space="0"/>
            </w:tcBorders>
            <w:noWrap w:val="0"/>
            <w:vAlign w:val="center"/>
          </w:tcPr>
          <w:p>
            <w:pPr>
              <w:rPr>
                <w:rFonts w:ascii="宋体" w:hAnsi="宋体"/>
                <w:color w:val="000000"/>
                <w:sz w:val="24"/>
              </w:rPr>
            </w:pPr>
          </w:p>
        </w:tc>
        <w:tc>
          <w:tcPr>
            <w:tcW w:w="1349"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spacing w:line="450" w:lineRule="exact"/>
              <w:jc w:val="center"/>
              <w:textAlignment w:val="bottom"/>
              <w:rPr>
                <w:rFonts w:ascii="宋体" w:hAnsi="宋体"/>
                <w:color w:val="000000"/>
                <w:sz w:val="24"/>
              </w:rPr>
            </w:pPr>
            <w:r>
              <w:rPr>
                <w:rFonts w:hint="eastAsia" w:ascii="宋体" w:hAnsi="宋体"/>
                <w:color w:val="000000"/>
                <w:sz w:val="24"/>
              </w:rPr>
              <w:t>小写</w:t>
            </w:r>
          </w:p>
        </w:tc>
        <w:tc>
          <w:tcPr>
            <w:tcW w:w="4629" w:type="dxa"/>
            <w:tcBorders>
              <w:top w:val="single" w:color="auto" w:sz="4" w:space="0"/>
              <w:left w:val="single" w:color="auto" w:sz="4" w:space="0"/>
              <w:bottom w:val="single" w:color="auto" w:sz="4" w:space="0"/>
              <w:right w:val="single" w:color="auto" w:sz="12" w:space="0"/>
            </w:tcBorders>
            <w:noWrap w:val="0"/>
            <w:vAlign w:val="center"/>
          </w:tcPr>
          <w:p>
            <w:pPr>
              <w:autoSpaceDE w:val="0"/>
              <w:autoSpaceDN w:val="0"/>
              <w:spacing w:line="450" w:lineRule="exact"/>
              <w:jc w:val="center"/>
              <w:textAlignment w:val="bottom"/>
              <w:rPr>
                <w:rFonts w:ascii="宋体" w:hAnsi="宋体"/>
                <w:color w:val="000000"/>
                <w:sz w:val="24"/>
              </w:rPr>
            </w:pPr>
          </w:p>
        </w:tc>
      </w:tr>
    </w:tbl>
    <w:p>
      <w:pPr>
        <w:spacing w:line="360" w:lineRule="auto"/>
        <w:ind w:left="480"/>
        <w:rPr>
          <w:rFonts w:ascii="宋体" w:hAnsi="宋体"/>
          <w:b/>
          <w:sz w:val="30"/>
        </w:rPr>
      </w:pPr>
    </w:p>
    <w:p>
      <w:pPr>
        <w:spacing w:line="360" w:lineRule="auto"/>
        <w:rPr>
          <w:rFonts w:ascii="宋体" w:hAnsi="宋体"/>
          <w:sz w:val="24"/>
        </w:rPr>
      </w:pPr>
      <w:r>
        <w:rPr>
          <w:rFonts w:hint="eastAsia" w:ascii="宋体" w:hAnsi="宋体"/>
          <w:b/>
          <w:szCs w:val="21"/>
        </w:rPr>
        <w:t>填报要求：</w:t>
      </w:r>
    </w:p>
    <w:p>
      <w:pPr>
        <w:pStyle w:val="7"/>
        <w:spacing w:line="360" w:lineRule="auto"/>
        <w:ind w:firstLineChars="200"/>
        <w:rPr>
          <w:rFonts w:ascii="宋体" w:hAnsi="宋体"/>
          <w:kern w:val="0"/>
          <w:szCs w:val="21"/>
        </w:rPr>
      </w:pPr>
      <w:r>
        <w:rPr>
          <w:rFonts w:hint="eastAsia" w:ascii="宋体" w:hAnsi="宋体"/>
          <w:kern w:val="0"/>
          <w:szCs w:val="21"/>
        </w:rPr>
        <w:t>1.总报价是包括货款、标准附件、备品备件、专用工具、包装、运输、装卸、保险、税金、货到就位以及安装、调试、培训、保修、合同包含的所有风险责任等各项费用及不可预见费等所需的全部费用。</w:t>
      </w:r>
    </w:p>
    <w:p>
      <w:pPr>
        <w:spacing w:line="360" w:lineRule="auto"/>
        <w:ind w:firstLine="420" w:firstLineChars="200"/>
        <w:rPr>
          <w:rFonts w:ascii="宋体" w:hAnsi="宋体"/>
          <w:b/>
          <w:i/>
          <w:szCs w:val="21"/>
          <w:u w:val="single"/>
        </w:rPr>
      </w:pPr>
      <w:r>
        <w:rPr>
          <w:rFonts w:hint="eastAsia" w:ascii="宋体" w:hAnsi="宋体"/>
          <w:kern w:val="0"/>
          <w:szCs w:val="21"/>
        </w:rPr>
        <w:t>2.报价一经涂改，应在涂改处加盖单位公章，或者由法定代表人或全权代表签字或盖章，否则作无效标处理。</w:t>
      </w:r>
    </w:p>
    <w:p>
      <w:pPr>
        <w:spacing w:line="360" w:lineRule="auto"/>
        <w:ind w:left="420"/>
        <w:rPr>
          <w:rFonts w:ascii="宋体" w:hAnsi="宋体"/>
          <w:sz w:val="24"/>
        </w:rPr>
      </w:pPr>
    </w:p>
    <w:p>
      <w:pPr>
        <w:spacing w:line="320" w:lineRule="exact"/>
        <w:ind w:left="420"/>
        <w:rPr>
          <w:rFonts w:hint="eastAsia" w:ascii="宋体" w:hAnsi="宋体"/>
          <w:color w:val="000000"/>
          <w:sz w:val="24"/>
        </w:rPr>
      </w:pPr>
    </w:p>
    <w:p>
      <w:pPr>
        <w:spacing w:line="320" w:lineRule="exact"/>
        <w:ind w:left="420"/>
        <w:rPr>
          <w:rFonts w:hint="eastAsia" w:ascii="宋体" w:hAnsi="宋体"/>
          <w:color w:val="000000"/>
          <w:sz w:val="24"/>
          <w:u w:val="single"/>
        </w:rPr>
      </w:pPr>
      <w:r>
        <w:rPr>
          <w:rFonts w:hint="eastAsia" w:ascii="宋体" w:hAnsi="宋体"/>
          <w:color w:val="000000"/>
          <w:sz w:val="24"/>
        </w:rPr>
        <w:t>磋商供应商名称（盖章）：</w:t>
      </w:r>
      <w:r>
        <w:rPr>
          <w:rFonts w:hint="eastAsia" w:ascii="宋体" w:hAnsi="宋体"/>
          <w:color w:val="000000"/>
          <w:sz w:val="24"/>
          <w:u w:val="single"/>
        </w:rPr>
        <w:t xml:space="preserve">                     </w:t>
      </w:r>
    </w:p>
    <w:p>
      <w:pPr>
        <w:spacing w:line="320" w:lineRule="exact"/>
        <w:ind w:left="420"/>
        <w:rPr>
          <w:rFonts w:hint="eastAsia" w:ascii="宋体" w:hAnsi="宋体"/>
          <w:color w:val="000000"/>
          <w:sz w:val="24"/>
        </w:rPr>
      </w:pPr>
    </w:p>
    <w:p>
      <w:pPr>
        <w:spacing w:line="320" w:lineRule="exact"/>
        <w:ind w:firstLine="435"/>
        <w:rPr>
          <w:rFonts w:hint="eastAsia" w:ascii="宋体" w:hAnsi="宋体"/>
          <w:color w:val="000000"/>
          <w:sz w:val="24"/>
        </w:rPr>
      </w:pPr>
      <w:r>
        <w:rPr>
          <w:rFonts w:hint="eastAsia" w:ascii="宋体" w:hAnsi="宋体"/>
          <w:color w:val="000000"/>
          <w:sz w:val="24"/>
        </w:rPr>
        <w:t>磋商供应商代表签字：</w:t>
      </w:r>
      <w:r>
        <w:rPr>
          <w:rFonts w:hint="eastAsia" w:ascii="宋体" w:hAnsi="宋体"/>
          <w:color w:val="000000"/>
          <w:sz w:val="24"/>
          <w:u w:val="single"/>
        </w:rPr>
        <w:t xml:space="preserve">                         </w:t>
      </w:r>
    </w:p>
    <w:p>
      <w:pPr>
        <w:spacing w:line="320" w:lineRule="exact"/>
        <w:ind w:firstLine="435"/>
        <w:rPr>
          <w:rFonts w:hint="eastAsia" w:ascii="宋体" w:hAnsi="宋体"/>
          <w:color w:val="000000"/>
          <w:sz w:val="24"/>
        </w:rPr>
      </w:pPr>
    </w:p>
    <w:p>
      <w:pPr>
        <w:spacing w:line="320" w:lineRule="exact"/>
        <w:ind w:firstLine="435"/>
        <w:rPr>
          <w:rFonts w:hint="eastAsia" w:ascii="宋体" w:hAnsi="宋体"/>
          <w:color w:val="000000"/>
          <w:sz w:val="24"/>
        </w:rPr>
      </w:pPr>
      <w:r>
        <w:rPr>
          <w:rFonts w:hint="eastAsia" w:ascii="宋体" w:hAnsi="宋体"/>
          <w:color w:val="000000"/>
          <w:sz w:val="24"/>
        </w:rPr>
        <w:t>职        务：</w:t>
      </w:r>
      <w:r>
        <w:rPr>
          <w:rFonts w:hint="eastAsia" w:ascii="宋体" w:hAnsi="宋体"/>
          <w:color w:val="000000"/>
          <w:sz w:val="24"/>
          <w:u w:val="single"/>
        </w:rPr>
        <w:t xml:space="preserve">                             </w:t>
      </w:r>
    </w:p>
    <w:p>
      <w:pPr>
        <w:spacing w:line="320" w:lineRule="exact"/>
        <w:ind w:firstLine="435"/>
        <w:rPr>
          <w:rFonts w:hint="eastAsia" w:ascii="宋体" w:hAnsi="宋体"/>
          <w:color w:val="000000"/>
          <w:sz w:val="24"/>
        </w:rPr>
      </w:pPr>
    </w:p>
    <w:p>
      <w:pPr>
        <w:spacing w:line="320" w:lineRule="exact"/>
        <w:ind w:firstLine="435"/>
        <w:rPr>
          <w:rFonts w:hint="eastAsia" w:ascii="宋体" w:hAnsi="宋体"/>
          <w:color w:val="000000"/>
          <w:sz w:val="24"/>
        </w:rPr>
      </w:pPr>
      <w:r>
        <w:rPr>
          <w:rFonts w:hint="eastAsia" w:ascii="宋体" w:hAnsi="宋体"/>
          <w:color w:val="000000"/>
          <w:sz w:val="24"/>
        </w:rPr>
        <w:t>日        期：</w:t>
      </w:r>
      <w:r>
        <w:rPr>
          <w:rFonts w:hint="eastAsia" w:ascii="宋体" w:hAnsi="宋体"/>
          <w:color w:val="000000"/>
          <w:sz w:val="24"/>
          <w:u w:val="single"/>
        </w:rPr>
        <w:t xml:space="preserve">                             </w:t>
      </w:r>
    </w:p>
    <w:p>
      <w:pPr>
        <w:adjustRightInd w:val="0"/>
        <w:snapToGrid w:val="0"/>
        <w:spacing w:line="360" w:lineRule="auto"/>
        <w:ind w:right="480"/>
        <w:jc w:val="center"/>
        <w:rPr>
          <w:rFonts w:hint="eastAsia" w:ascii="宋体" w:hAnsi="宋体" w:cs="仿宋_GB2312"/>
          <w:kern w:val="0"/>
          <w:sz w:val="24"/>
          <w:lang w:val="zh-CN"/>
        </w:rPr>
      </w:pPr>
    </w:p>
    <w:p>
      <w:pPr>
        <w:spacing w:line="360" w:lineRule="atLeast"/>
        <w:ind w:left="480"/>
        <w:rPr>
          <w:rFonts w:hint="eastAsia" w:ascii="宋体" w:hAnsi="宋体"/>
          <w:b/>
          <w:color w:val="000000"/>
          <w:sz w:val="28"/>
        </w:rPr>
      </w:pPr>
    </w:p>
    <w:p>
      <w:pPr>
        <w:spacing w:line="360" w:lineRule="atLeast"/>
        <w:ind w:left="480"/>
        <w:rPr>
          <w:rFonts w:hint="eastAsia" w:ascii="宋体" w:hAnsi="宋体"/>
          <w:b/>
          <w:color w:val="000000"/>
          <w:sz w:val="28"/>
        </w:rPr>
      </w:pPr>
      <w:r>
        <w:rPr>
          <w:rFonts w:hint="eastAsia" w:ascii="宋体" w:hAnsi="宋体"/>
          <w:b/>
          <w:color w:val="000000"/>
          <w:sz w:val="28"/>
        </w:rPr>
        <w:t xml:space="preserve">附件13:           </w:t>
      </w:r>
    </w:p>
    <w:p>
      <w:pPr>
        <w:spacing w:line="360" w:lineRule="auto"/>
        <w:ind w:left="480"/>
        <w:jc w:val="center"/>
        <w:rPr>
          <w:rFonts w:hint="eastAsia" w:ascii="宋体" w:hAnsi="宋体"/>
          <w:color w:val="000000"/>
        </w:rPr>
      </w:pPr>
      <w:r>
        <w:rPr>
          <w:rFonts w:hint="eastAsia" w:ascii="宋体" w:hAnsi="宋体"/>
          <w:b/>
          <w:color w:val="000000"/>
          <w:sz w:val="32"/>
          <w:szCs w:val="32"/>
        </w:rPr>
        <w:t>报价明细表</w:t>
      </w:r>
      <w:r>
        <w:rPr>
          <w:rFonts w:hint="eastAsia" w:ascii="宋体" w:hAnsi="宋体"/>
          <w:b/>
          <w:color w:val="33CCCC"/>
          <w:sz w:val="32"/>
          <w:szCs w:val="32"/>
        </w:rPr>
        <w:t xml:space="preserve"> (第 标)</w:t>
      </w:r>
      <w:r>
        <w:rPr>
          <w:rFonts w:hint="eastAsia" w:ascii="宋体" w:hAnsi="宋体"/>
          <w:color w:val="000000"/>
          <w:sz w:val="24"/>
        </w:rPr>
        <w:t xml:space="preserve">                                                                                       </w:t>
      </w:r>
    </w:p>
    <w:p>
      <w:pPr>
        <w:spacing w:line="360" w:lineRule="auto"/>
        <w:rPr>
          <w:rFonts w:ascii="宋体" w:hAnsi="宋体"/>
          <w:sz w:val="24"/>
        </w:rPr>
      </w:pPr>
      <w:r>
        <w:rPr>
          <w:rFonts w:hint="eastAsia" w:ascii="宋体" w:hAnsi="宋体"/>
          <w:color w:val="000000"/>
          <w:sz w:val="24"/>
        </w:rPr>
        <w:t xml:space="preserve"> </w:t>
      </w:r>
      <w:r>
        <w:rPr>
          <w:rFonts w:hint="eastAsia" w:ascii="宋体" w:hAnsi="宋体"/>
          <w:sz w:val="24"/>
        </w:rPr>
        <w:t>项目编号：</w:t>
      </w:r>
      <w:r>
        <w:rPr>
          <w:rFonts w:hint="eastAsia" w:ascii="宋体" w:hAnsi="宋体"/>
          <w:sz w:val="24"/>
          <w:u w:val="single"/>
        </w:rPr>
        <w:t xml:space="preserve">                  </w:t>
      </w:r>
      <w:r>
        <w:rPr>
          <w:rFonts w:hint="eastAsia" w:ascii="宋体" w:hAnsi="宋体"/>
          <w:sz w:val="24"/>
        </w:rPr>
        <w:t xml:space="preserve">                  [货币单位：人民币元]</w:t>
      </w:r>
    </w:p>
    <w:tbl>
      <w:tblPr>
        <w:tblStyle w:val="30"/>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5"/>
        <w:gridCol w:w="1460"/>
        <w:gridCol w:w="1559"/>
        <w:gridCol w:w="1559"/>
        <w:gridCol w:w="851"/>
        <w:gridCol w:w="992"/>
        <w:gridCol w:w="992"/>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0" w:hRule="atLeast"/>
        </w:trPr>
        <w:tc>
          <w:tcPr>
            <w:tcW w:w="525" w:type="dxa"/>
            <w:noWrap w:val="0"/>
            <w:vAlign w:val="center"/>
          </w:tcPr>
          <w:p>
            <w:pPr>
              <w:spacing w:line="360" w:lineRule="auto"/>
              <w:rPr>
                <w:rFonts w:ascii="宋体" w:hAnsi="宋体"/>
                <w:b/>
                <w:sz w:val="24"/>
              </w:rPr>
            </w:pPr>
            <w:r>
              <w:rPr>
                <w:rFonts w:hint="eastAsia" w:ascii="宋体" w:hAnsi="宋体"/>
                <w:b/>
                <w:sz w:val="24"/>
              </w:rPr>
              <w:t>序号</w:t>
            </w:r>
          </w:p>
        </w:tc>
        <w:tc>
          <w:tcPr>
            <w:tcW w:w="1460" w:type="dxa"/>
            <w:noWrap w:val="0"/>
            <w:vAlign w:val="center"/>
          </w:tcPr>
          <w:p>
            <w:pPr>
              <w:tabs>
                <w:tab w:val="left" w:pos="8280"/>
              </w:tabs>
              <w:autoSpaceDE w:val="0"/>
              <w:autoSpaceDN w:val="0"/>
              <w:adjustRightInd w:val="0"/>
              <w:spacing w:line="360" w:lineRule="auto"/>
              <w:ind w:right="25"/>
              <w:rPr>
                <w:rFonts w:ascii="宋体" w:hAnsi="宋体"/>
                <w:b/>
                <w:sz w:val="24"/>
              </w:rPr>
            </w:pPr>
            <w:r>
              <w:rPr>
                <w:rFonts w:hint="eastAsia" w:ascii="宋体" w:hAnsi="宋体"/>
                <w:b/>
                <w:sz w:val="24"/>
              </w:rPr>
              <w:t>报价项目</w:t>
            </w:r>
          </w:p>
        </w:tc>
        <w:tc>
          <w:tcPr>
            <w:tcW w:w="1559" w:type="dxa"/>
            <w:noWrap w:val="0"/>
            <w:vAlign w:val="center"/>
          </w:tcPr>
          <w:p>
            <w:pPr>
              <w:tabs>
                <w:tab w:val="left" w:pos="8280"/>
              </w:tabs>
              <w:autoSpaceDE w:val="0"/>
              <w:autoSpaceDN w:val="0"/>
              <w:adjustRightInd w:val="0"/>
              <w:spacing w:line="360" w:lineRule="auto"/>
              <w:ind w:right="25"/>
              <w:jc w:val="center"/>
              <w:rPr>
                <w:rFonts w:ascii="宋体" w:hAnsi="宋体"/>
                <w:b/>
                <w:sz w:val="24"/>
              </w:rPr>
            </w:pPr>
            <w:r>
              <w:rPr>
                <w:rFonts w:hint="eastAsia" w:ascii="宋体" w:hAnsi="宋体"/>
                <w:b/>
                <w:sz w:val="24"/>
              </w:rPr>
              <w:t>品牌、产地</w:t>
            </w:r>
          </w:p>
        </w:tc>
        <w:tc>
          <w:tcPr>
            <w:tcW w:w="1559" w:type="dxa"/>
            <w:noWrap w:val="0"/>
            <w:vAlign w:val="center"/>
          </w:tcPr>
          <w:p>
            <w:pPr>
              <w:spacing w:line="360" w:lineRule="auto"/>
              <w:ind w:left="52"/>
              <w:jc w:val="center"/>
              <w:rPr>
                <w:rFonts w:ascii="宋体" w:hAnsi="宋体"/>
                <w:b/>
                <w:sz w:val="24"/>
              </w:rPr>
            </w:pPr>
            <w:r>
              <w:rPr>
                <w:rFonts w:hint="eastAsia" w:ascii="宋体" w:hAnsi="宋体"/>
                <w:b/>
                <w:sz w:val="24"/>
              </w:rPr>
              <w:t>型号规格</w:t>
            </w:r>
          </w:p>
        </w:tc>
        <w:tc>
          <w:tcPr>
            <w:tcW w:w="851" w:type="dxa"/>
            <w:noWrap w:val="0"/>
            <w:vAlign w:val="center"/>
          </w:tcPr>
          <w:p>
            <w:pPr>
              <w:spacing w:line="360" w:lineRule="auto"/>
              <w:ind w:left="152"/>
              <w:jc w:val="center"/>
              <w:rPr>
                <w:rFonts w:ascii="宋体" w:hAnsi="宋体"/>
                <w:b/>
                <w:sz w:val="24"/>
              </w:rPr>
            </w:pPr>
            <w:r>
              <w:rPr>
                <w:rFonts w:hint="eastAsia" w:ascii="宋体" w:hAnsi="宋体"/>
                <w:b/>
                <w:sz w:val="24"/>
              </w:rPr>
              <w:t>数量</w:t>
            </w:r>
          </w:p>
        </w:tc>
        <w:tc>
          <w:tcPr>
            <w:tcW w:w="992" w:type="dxa"/>
            <w:noWrap w:val="0"/>
            <w:vAlign w:val="center"/>
          </w:tcPr>
          <w:p>
            <w:pPr>
              <w:spacing w:line="360" w:lineRule="auto"/>
              <w:jc w:val="center"/>
              <w:rPr>
                <w:rFonts w:ascii="宋体" w:hAnsi="宋体"/>
                <w:b/>
                <w:sz w:val="24"/>
              </w:rPr>
            </w:pPr>
            <w:r>
              <w:rPr>
                <w:rFonts w:hint="eastAsia" w:ascii="宋体" w:hAnsi="宋体"/>
                <w:b/>
                <w:sz w:val="24"/>
              </w:rPr>
              <w:t>单价</w:t>
            </w:r>
          </w:p>
        </w:tc>
        <w:tc>
          <w:tcPr>
            <w:tcW w:w="992" w:type="dxa"/>
            <w:noWrap w:val="0"/>
            <w:vAlign w:val="center"/>
          </w:tcPr>
          <w:p>
            <w:pPr>
              <w:spacing w:line="360" w:lineRule="auto"/>
              <w:jc w:val="center"/>
              <w:rPr>
                <w:rFonts w:ascii="宋体" w:hAnsi="宋体"/>
                <w:b/>
                <w:sz w:val="24"/>
              </w:rPr>
            </w:pPr>
            <w:r>
              <w:rPr>
                <w:rFonts w:hint="eastAsia" w:ascii="宋体" w:hAnsi="宋体"/>
                <w:b/>
                <w:sz w:val="24"/>
              </w:rPr>
              <w:t>小计</w:t>
            </w:r>
          </w:p>
        </w:tc>
        <w:tc>
          <w:tcPr>
            <w:tcW w:w="709" w:type="dxa"/>
            <w:noWrap w:val="0"/>
            <w:vAlign w:val="center"/>
          </w:tcPr>
          <w:p>
            <w:pPr>
              <w:spacing w:line="360" w:lineRule="auto"/>
              <w:jc w:val="center"/>
              <w:rPr>
                <w:rFonts w:ascii="宋体" w:hAnsi="宋体"/>
                <w:b/>
                <w:sz w:val="24"/>
              </w:rPr>
            </w:pPr>
            <w:r>
              <w:rPr>
                <w:rFonts w:hint="eastAsia" w:ascii="宋体" w:hAnsi="宋体"/>
                <w:b/>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525" w:type="dxa"/>
            <w:noWrap w:val="0"/>
            <w:vAlign w:val="center"/>
          </w:tcPr>
          <w:p>
            <w:pPr>
              <w:spacing w:line="360" w:lineRule="auto"/>
              <w:rPr>
                <w:rFonts w:ascii="宋体" w:hAnsi="宋体"/>
                <w:sz w:val="24"/>
              </w:rPr>
            </w:pPr>
          </w:p>
        </w:tc>
        <w:tc>
          <w:tcPr>
            <w:tcW w:w="1460" w:type="dxa"/>
            <w:noWrap w:val="0"/>
            <w:vAlign w:val="center"/>
          </w:tcPr>
          <w:p>
            <w:pPr>
              <w:spacing w:line="360" w:lineRule="auto"/>
              <w:rPr>
                <w:rFonts w:ascii="宋体" w:hAnsi="宋体"/>
                <w:sz w:val="24"/>
              </w:rPr>
            </w:pPr>
          </w:p>
        </w:tc>
        <w:tc>
          <w:tcPr>
            <w:tcW w:w="1559" w:type="dxa"/>
            <w:noWrap w:val="0"/>
            <w:vAlign w:val="center"/>
          </w:tcPr>
          <w:p>
            <w:pPr>
              <w:spacing w:line="360" w:lineRule="auto"/>
              <w:rPr>
                <w:rFonts w:ascii="宋体" w:hAnsi="宋体"/>
                <w:sz w:val="24"/>
              </w:rPr>
            </w:pPr>
          </w:p>
        </w:tc>
        <w:tc>
          <w:tcPr>
            <w:tcW w:w="1559" w:type="dxa"/>
            <w:noWrap w:val="0"/>
            <w:vAlign w:val="center"/>
          </w:tcPr>
          <w:p>
            <w:pPr>
              <w:spacing w:line="360" w:lineRule="auto"/>
              <w:rPr>
                <w:rFonts w:ascii="宋体" w:hAnsi="宋体"/>
                <w:sz w:val="24"/>
              </w:rPr>
            </w:pPr>
          </w:p>
        </w:tc>
        <w:tc>
          <w:tcPr>
            <w:tcW w:w="851" w:type="dxa"/>
            <w:noWrap w:val="0"/>
            <w:vAlign w:val="center"/>
          </w:tcPr>
          <w:p>
            <w:pPr>
              <w:spacing w:line="360" w:lineRule="auto"/>
              <w:rPr>
                <w:rFonts w:ascii="宋体" w:hAnsi="宋体"/>
                <w:sz w:val="24"/>
              </w:rPr>
            </w:pPr>
          </w:p>
        </w:tc>
        <w:tc>
          <w:tcPr>
            <w:tcW w:w="992" w:type="dxa"/>
            <w:noWrap w:val="0"/>
            <w:vAlign w:val="center"/>
          </w:tcPr>
          <w:p>
            <w:pPr>
              <w:spacing w:line="360" w:lineRule="auto"/>
              <w:rPr>
                <w:rFonts w:ascii="宋体" w:hAnsi="宋体"/>
                <w:sz w:val="24"/>
              </w:rPr>
            </w:pPr>
          </w:p>
        </w:tc>
        <w:tc>
          <w:tcPr>
            <w:tcW w:w="992" w:type="dxa"/>
            <w:noWrap w:val="0"/>
            <w:vAlign w:val="center"/>
          </w:tcPr>
          <w:p>
            <w:pPr>
              <w:spacing w:line="360" w:lineRule="auto"/>
              <w:rPr>
                <w:rFonts w:ascii="宋体" w:hAnsi="宋体"/>
                <w:sz w:val="24"/>
              </w:rPr>
            </w:pPr>
          </w:p>
        </w:tc>
        <w:tc>
          <w:tcPr>
            <w:tcW w:w="709" w:type="dxa"/>
            <w:noWrap w:val="0"/>
            <w:vAlign w:val="center"/>
          </w:tcPr>
          <w:p>
            <w:pPr>
              <w:spacing w:line="360" w:lineRule="auto"/>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trPr>
        <w:tc>
          <w:tcPr>
            <w:tcW w:w="525" w:type="dxa"/>
            <w:noWrap w:val="0"/>
            <w:vAlign w:val="center"/>
          </w:tcPr>
          <w:p>
            <w:pPr>
              <w:spacing w:line="360" w:lineRule="auto"/>
              <w:rPr>
                <w:rFonts w:ascii="宋体" w:hAnsi="宋体"/>
                <w:sz w:val="24"/>
              </w:rPr>
            </w:pPr>
          </w:p>
        </w:tc>
        <w:tc>
          <w:tcPr>
            <w:tcW w:w="1460" w:type="dxa"/>
            <w:noWrap w:val="0"/>
            <w:vAlign w:val="center"/>
          </w:tcPr>
          <w:p>
            <w:pPr>
              <w:spacing w:line="360" w:lineRule="auto"/>
              <w:rPr>
                <w:rFonts w:ascii="宋体" w:hAnsi="宋体"/>
                <w:sz w:val="24"/>
              </w:rPr>
            </w:pPr>
          </w:p>
        </w:tc>
        <w:tc>
          <w:tcPr>
            <w:tcW w:w="1559" w:type="dxa"/>
            <w:noWrap w:val="0"/>
            <w:vAlign w:val="center"/>
          </w:tcPr>
          <w:p>
            <w:pPr>
              <w:spacing w:line="360" w:lineRule="auto"/>
              <w:rPr>
                <w:rFonts w:ascii="宋体" w:hAnsi="宋体"/>
                <w:sz w:val="24"/>
              </w:rPr>
            </w:pPr>
          </w:p>
        </w:tc>
        <w:tc>
          <w:tcPr>
            <w:tcW w:w="1559" w:type="dxa"/>
            <w:noWrap w:val="0"/>
            <w:vAlign w:val="center"/>
          </w:tcPr>
          <w:p>
            <w:pPr>
              <w:spacing w:line="360" w:lineRule="auto"/>
              <w:rPr>
                <w:rFonts w:ascii="宋体" w:hAnsi="宋体"/>
                <w:sz w:val="24"/>
              </w:rPr>
            </w:pPr>
          </w:p>
        </w:tc>
        <w:tc>
          <w:tcPr>
            <w:tcW w:w="851" w:type="dxa"/>
            <w:noWrap w:val="0"/>
            <w:vAlign w:val="center"/>
          </w:tcPr>
          <w:p>
            <w:pPr>
              <w:spacing w:line="360" w:lineRule="auto"/>
              <w:rPr>
                <w:rFonts w:ascii="宋体" w:hAnsi="宋体"/>
                <w:sz w:val="24"/>
              </w:rPr>
            </w:pPr>
          </w:p>
        </w:tc>
        <w:tc>
          <w:tcPr>
            <w:tcW w:w="992" w:type="dxa"/>
            <w:noWrap w:val="0"/>
            <w:vAlign w:val="center"/>
          </w:tcPr>
          <w:p>
            <w:pPr>
              <w:spacing w:line="360" w:lineRule="auto"/>
              <w:rPr>
                <w:rFonts w:ascii="宋体" w:hAnsi="宋体"/>
                <w:sz w:val="24"/>
              </w:rPr>
            </w:pPr>
          </w:p>
        </w:tc>
        <w:tc>
          <w:tcPr>
            <w:tcW w:w="992" w:type="dxa"/>
            <w:noWrap w:val="0"/>
            <w:vAlign w:val="center"/>
          </w:tcPr>
          <w:p>
            <w:pPr>
              <w:spacing w:line="360" w:lineRule="auto"/>
              <w:rPr>
                <w:rFonts w:ascii="宋体" w:hAnsi="宋体"/>
                <w:sz w:val="24"/>
              </w:rPr>
            </w:pPr>
          </w:p>
        </w:tc>
        <w:tc>
          <w:tcPr>
            <w:tcW w:w="709" w:type="dxa"/>
            <w:noWrap w:val="0"/>
            <w:vAlign w:val="center"/>
          </w:tcPr>
          <w:p>
            <w:pPr>
              <w:spacing w:line="360" w:lineRule="auto"/>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525" w:type="dxa"/>
            <w:noWrap w:val="0"/>
            <w:vAlign w:val="center"/>
          </w:tcPr>
          <w:p>
            <w:pPr>
              <w:spacing w:line="360" w:lineRule="auto"/>
              <w:rPr>
                <w:rFonts w:ascii="宋体" w:hAnsi="宋体"/>
                <w:sz w:val="24"/>
              </w:rPr>
            </w:pPr>
          </w:p>
        </w:tc>
        <w:tc>
          <w:tcPr>
            <w:tcW w:w="1460" w:type="dxa"/>
            <w:noWrap w:val="0"/>
            <w:vAlign w:val="center"/>
          </w:tcPr>
          <w:p>
            <w:pPr>
              <w:spacing w:line="360" w:lineRule="auto"/>
              <w:rPr>
                <w:rFonts w:ascii="宋体" w:hAnsi="宋体"/>
                <w:sz w:val="24"/>
              </w:rPr>
            </w:pPr>
          </w:p>
        </w:tc>
        <w:tc>
          <w:tcPr>
            <w:tcW w:w="1559" w:type="dxa"/>
            <w:noWrap w:val="0"/>
            <w:vAlign w:val="center"/>
          </w:tcPr>
          <w:p>
            <w:pPr>
              <w:spacing w:line="360" w:lineRule="auto"/>
              <w:rPr>
                <w:rFonts w:ascii="宋体" w:hAnsi="宋体"/>
                <w:sz w:val="24"/>
              </w:rPr>
            </w:pPr>
          </w:p>
        </w:tc>
        <w:tc>
          <w:tcPr>
            <w:tcW w:w="1559" w:type="dxa"/>
            <w:noWrap w:val="0"/>
            <w:vAlign w:val="center"/>
          </w:tcPr>
          <w:p>
            <w:pPr>
              <w:spacing w:line="360" w:lineRule="auto"/>
              <w:rPr>
                <w:rFonts w:ascii="宋体" w:hAnsi="宋体"/>
                <w:sz w:val="24"/>
              </w:rPr>
            </w:pPr>
          </w:p>
        </w:tc>
        <w:tc>
          <w:tcPr>
            <w:tcW w:w="851" w:type="dxa"/>
            <w:noWrap w:val="0"/>
            <w:vAlign w:val="center"/>
          </w:tcPr>
          <w:p>
            <w:pPr>
              <w:spacing w:line="360" w:lineRule="auto"/>
              <w:rPr>
                <w:rFonts w:ascii="宋体" w:hAnsi="宋体"/>
                <w:sz w:val="24"/>
              </w:rPr>
            </w:pPr>
          </w:p>
        </w:tc>
        <w:tc>
          <w:tcPr>
            <w:tcW w:w="992" w:type="dxa"/>
            <w:noWrap w:val="0"/>
            <w:vAlign w:val="center"/>
          </w:tcPr>
          <w:p>
            <w:pPr>
              <w:spacing w:line="360" w:lineRule="auto"/>
              <w:rPr>
                <w:rFonts w:ascii="宋体" w:hAnsi="宋体"/>
                <w:sz w:val="24"/>
              </w:rPr>
            </w:pPr>
          </w:p>
        </w:tc>
        <w:tc>
          <w:tcPr>
            <w:tcW w:w="992" w:type="dxa"/>
            <w:noWrap w:val="0"/>
            <w:vAlign w:val="center"/>
          </w:tcPr>
          <w:p>
            <w:pPr>
              <w:spacing w:line="360" w:lineRule="auto"/>
              <w:rPr>
                <w:rFonts w:ascii="宋体" w:hAnsi="宋体"/>
                <w:sz w:val="24"/>
              </w:rPr>
            </w:pPr>
          </w:p>
        </w:tc>
        <w:tc>
          <w:tcPr>
            <w:tcW w:w="709" w:type="dxa"/>
            <w:noWrap w:val="0"/>
            <w:vAlign w:val="center"/>
          </w:tcPr>
          <w:p>
            <w:pPr>
              <w:spacing w:line="360" w:lineRule="auto"/>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525" w:type="dxa"/>
            <w:noWrap w:val="0"/>
            <w:vAlign w:val="center"/>
          </w:tcPr>
          <w:p>
            <w:pPr>
              <w:spacing w:line="360" w:lineRule="auto"/>
              <w:rPr>
                <w:rFonts w:ascii="宋体" w:hAnsi="宋体"/>
                <w:sz w:val="24"/>
              </w:rPr>
            </w:pPr>
          </w:p>
        </w:tc>
        <w:tc>
          <w:tcPr>
            <w:tcW w:w="1460" w:type="dxa"/>
            <w:noWrap w:val="0"/>
            <w:vAlign w:val="center"/>
          </w:tcPr>
          <w:p>
            <w:pPr>
              <w:spacing w:line="360" w:lineRule="auto"/>
              <w:rPr>
                <w:rFonts w:ascii="宋体" w:hAnsi="宋体"/>
                <w:sz w:val="24"/>
              </w:rPr>
            </w:pPr>
          </w:p>
        </w:tc>
        <w:tc>
          <w:tcPr>
            <w:tcW w:w="1559" w:type="dxa"/>
            <w:noWrap w:val="0"/>
            <w:vAlign w:val="center"/>
          </w:tcPr>
          <w:p>
            <w:pPr>
              <w:spacing w:line="360" w:lineRule="auto"/>
              <w:rPr>
                <w:rFonts w:ascii="宋体" w:hAnsi="宋体"/>
                <w:sz w:val="24"/>
              </w:rPr>
            </w:pPr>
          </w:p>
        </w:tc>
        <w:tc>
          <w:tcPr>
            <w:tcW w:w="1559" w:type="dxa"/>
            <w:noWrap w:val="0"/>
            <w:vAlign w:val="center"/>
          </w:tcPr>
          <w:p>
            <w:pPr>
              <w:spacing w:line="360" w:lineRule="auto"/>
              <w:rPr>
                <w:rFonts w:ascii="宋体" w:hAnsi="宋体"/>
                <w:sz w:val="24"/>
              </w:rPr>
            </w:pPr>
          </w:p>
        </w:tc>
        <w:tc>
          <w:tcPr>
            <w:tcW w:w="851" w:type="dxa"/>
            <w:noWrap w:val="0"/>
            <w:vAlign w:val="center"/>
          </w:tcPr>
          <w:p>
            <w:pPr>
              <w:spacing w:line="360" w:lineRule="auto"/>
              <w:rPr>
                <w:rFonts w:ascii="宋体" w:hAnsi="宋体"/>
                <w:sz w:val="24"/>
              </w:rPr>
            </w:pPr>
          </w:p>
        </w:tc>
        <w:tc>
          <w:tcPr>
            <w:tcW w:w="992" w:type="dxa"/>
            <w:noWrap w:val="0"/>
            <w:vAlign w:val="center"/>
          </w:tcPr>
          <w:p>
            <w:pPr>
              <w:spacing w:line="360" w:lineRule="auto"/>
              <w:rPr>
                <w:rFonts w:ascii="宋体" w:hAnsi="宋体"/>
                <w:sz w:val="24"/>
              </w:rPr>
            </w:pPr>
          </w:p>
        </w:tc>
        <w:tc>
          <w:tcPr>
            <w:tcW w:w="992" w:type="dxa"/>
            <w:noWrap w:val="0"/>
            <w:vAlign w:val="center"/>
          </w:tcPr>
          <w:p>
            <w:pPr>
              <w:spacing w:line="360" w:lineRule="auto"/>
              <w:rPr>
                <w:rFonts w:ascii="宋体" w:hAnsi="宋体"/>
                <w:sz w:val="24"/>
              </w:rPr>
            </w:pPr>
          </w:p>
        </w:tc>
        <w:tc>
          <w:tcPr>
            <w:tcW w:w="709" w:type="dxa"/>
            <w:noWrap w:val="0"/>
            <w:vAlign w:val="center"/>
          </w:tcPr>
          <w:p>
            <w:pPr>
              <w:spacing w:line="360" w:lineRule="auto"/>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0" w:hRule="atLeast"/>
        </w:trPr>
        <w:tc>
          <w:tcPr>
            <w:tcW w:w="525" w:type="dxa"/>
            <w:noWrap w:val="0"/>
            <w:vAlign w:val="center"/>
          </w:tcPr>
          <w:p>
            <w:pPr>
              <w:spacing w:line="360" w:lineRule="auto"/>
              <w:rPr>
                <w:rFonts w:ascii="宋体" w:hAnsi="宋体"/>
                <w:sz w:val="24"/>
              </w:rPr>
            </w:pPr>
          </w:p>
        </w:tc>
        <w:tc>
          <w:tcPr>
            <w:tcW w:w="1460" w:type="dxa"/>
            <w:noWrap w:val="0"/>
            <w:vAlign w:val="center"/>
          </w:tcPr>
          <w:p>
            <w:pPr>
              <w:spacing w:line="360" w:lineRule="auto"/>
              <w:rPr>
                <w:rFonts w:ascii="宋体" w:hAnsi="宋体"/>
                <w:sz w:val="24"/>
              </w:rPr>
            </w:pPr>
          </w:p>
        </w:tc>
        <w:tc>
          <w:tcPr>
            <w:tcW w:w="1559" w:type="dxa"/>
            <w:noWrap w:val="0"/>
            <w:vAlign w:val="center"/>
          </w:tcPr>
          <w:p>
            <w:pPr>
              <w:spacing w:line="360" w:lineRule="auto"/>
              <w:rPr>
                <w:rFonts w:ascii="宋体" w:hAnsi="宋体"/>
                <w:sz w:val="24"/>
              </w:rPr>
            </w:pPr>
          </w:p>
        </w:tc>
        <w:tc>
          <w:tcPr>
            <w:tcW w:w="1559" w:type="dxa"/>
            <w:noWrap w:val="0"/>
            <w:vAlign w:val="center"/>
          </w:tcPr>
          <w:p>
            <w:pPr>
              <w:spacing w:line="360" w:lineRule="auto"/>
              <w:rPr>
                <w:rFonts w:ascii="宋体" w:hAnsi="宋体"/>
                <w:sz w:val="24"/>
              </w:rPr>
            </w:pPr>
          </w:p>
        </w:tc>
        <w:tc>
          <w:tcPr>
            <w:tcW w:w="851" w:type="dxa"/>
            <w:noWrap w:val="0"/>
            <w:vAlign w:val="center"/>
          </w:tcPr>
          <w:p>
            <w:pPr>
              <w:spacing w:line="360" w:lineRule="auto"/>
              <w:rPr>
                <w:rFonts w:ascii="宋体" w:hAnsi="宋体"/>
                <w:sz w:val="24"/>
              </w:rPr>
            </w:pPr>
          </w:p>
        </w:tc>
        <w:tc>
          <w:tcPr>
            <w:tcW w:w="992" w:type="dxa"/>
            <w:noWrap w:val="0"/>
            <w:vAlign w:val="center"/>
          </w:tcPr>
          <w:p>
            <w:pPr>
              <w:spacing w:line="360" w:lineRule="auto"/>
              <w:rPr>
                <w:rFonts w:ascii="宋体" w:hAnsi="宋体"/>
                <w:sz w:val="24"/>
              </w:rPr>
            </w:pPr>
          </w:p>
        </w:tc>
        <w:tc>
          <w:tcPr>
            <w:tcW w:w="992" w:type="dxa"/>
            <w:noWrap w:val="0"/>
            <w:vAlign w:val="center"/>
          </w:tcPr>
          <w:p>
            <w:pPr>
              <w:spacing w:line="360" w:lineRule="auto"/>
              <w:rPr>
                <w:rFonts w:ascii="宋体" w:hAnsi="宋体"/>
                <w:sz w:val="24"/>
              </w:rPr>
            </w:pPr>
          </w:p>
        </w:tc>
        <w:tc>
          <w:tcPr>
            <w:tcW w:w="709" w:type="dxa"/>
            <w:noWrap w:val="0"/>
            <w:vAlign w:val="center"/>
          </w:tcPr>
          <w:p>
            <w:pPr>
              <w:spacing w:line="360" w:lineRule="auto"/>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6" w:hRule="atLeast"/>
        </w:trPr>
        <w:tc>
          <w:tcPr>
            <w:tcW w:w="8647" w:type="dxa"/>
            <w:gridSpan w:val="8"/>
            <w:tcBorders>
              <w:bottom w:val="single" w:color="auto" w:sz="4" w:space="0"/>
            </w:tcBorders>
            <w:noWrap w:val="0"/>
            <w:vAlign w:val="center"/>
          </w:tcPr>
          <w:p>
            <w:pPr>
              <w:spacing w:line="360" w:lineRule="auto"/>
              <w:rPr>
                <w:rFonts w:ascii="宋体" w:hAnsi="宋体"/>
                <w:b/>
                <w:sz w:val="24"/>
              </w:rPr>
            </w:pPr>
            <w:r>
              <w:rPr>
                <w:rFonts w:hint="eastAsia" w:ascii="宋体" w:hAnsi="宋体"/>
                <w:b/>
                <w:sz w:val="24"/>
              </w:rPr>
              <w:t>合计人民币：大写                               小写</w:t>
            </w:r>
          </w:p>
        </w:tc>
      </w:tr>
    </w:tbl>
    <w:p>
      <w:pPr>
        <w:spacing w:line="360" w:lineRule="auto"/>
        <w:rPr>
          <w:rFonts w:ascii="宋体" w:hAnsi="宋体"/>
          <w:b/>
          <w:szCs w:val="21"/>
        </w:rPr>
      </w:pPr>
      <w:r>
        <w:rPr>
          <w:rFonts w:hint="eastAsia" w:ascii="宋体" w:hAnsi="宋体"/>
          <w:b/>
          <w:szCs w:val="21"/>
        </w:rPr>
        <w:t>要求：</w:t>
      </w:r>
    </w:p>
    <w:p>
      <w:pPr>
        <w:spacing w:line="360" w:lineRule="auto"/>
        <w:ind w:left="435"/>
        <w:rPr>
          <w:rFonts w:ascii="宋体" w:hAnsi="宋体"/>
          <w:color w:val="000000"/>
          <w:szCs w:val="21"/>
        </w:rPr>
      </w:pPr>
      <w:r>
        <w:rPr>
          <w:rFonts w:hint="eastAsia" w:ascii="宋体" w:hAnsi="宋体"/>
          <w:color w:val="000000"/>
          <w:szCs w:val="21"/>
        </w:rPr>
        <w:t>1. 本表为《首次报价一览表》的报价明细表，如有缺项、漏项，视为磋商报价中已包含相关费用，采购人无需另外支付任何费用。</w:t>
      </w:r>
    </w:p>
    <w:p>
      <w:pPr>
        <w:spacing w:line="360" w:lineRule="auto"/>
        <w:ind w:left="435"/>
        <w:rPr>
          <w:rFonts w:ascii="宋体"/>
          <w:szCs w:val="21"/>
          <w:lang w:val="zh-CN"/>
        </w:rPr>
      </w:pPr>
      <w:r>
        <w:rPr>
          <w:rFonts w:hint="eastAsia" w:ascii="宋体" w:hAnsi="宋体"/>
          <w:color w:val="000000"/>
          <w:szCs w:val="21"/>
        </w:rPr>
        <w:t>2.</w:t>
      </w:r>
      <w:r>
        <w:rPr>
          <w:rFonts w:hint="eastAsia" w:ascii="宋体"/>
          <w:szCs w:val="21"/>
          <w:lang w:val="zh-CN"/>
        </w:rPr>
        <w:t>“</w:t>
      </w:r>
      <w:r>
        <w:rPr>
          <w:rFonts w:hint="eastAsia" w:ascii="宋体" w:hAnsi="宋体"/>
          <w:color w:val="000000"/>
          <w:szCs w:val="21"/>
        </w:rPr>
        <w:t>报价明细表</w:t>
      </w:r>
      <w:r>
        <w:rPr>
          <w:rFonts w:hint="eastAsia" w:ascii="宋体"/>
          <w:szCs w:val="21"/>
          <w:lang w:val="zh-CN"/>
        </w:rPr>
        <w:t>”中的报价合计应与“首次报价一览表”中的总报价相一致，不一致时，以首次报价一览表为准。</w:t>
      </w:r>
    </w:p>
    <w:p>
      <w:pPr>
        <w:spacing w:line="360" w:lineRule="auto"/>
        <w:ind w:left="435"/>
        <w:rPr>
          <w:rFonts w:ascii="宋体"/>
          <w:szCs w:val="21"/>
          <w:lang w:val="zh-CN"/>
        </w:rPr>
      </w:pPr>
      <w:r>
        <w:rPr>
          <w:rFonts w:hint="eastAsia" w:ascii="宋体"/>
          <w:szCs w:val="21"/>
        </w:rPr>
        <w:t>3.</w:t>
      </w:r>
      <w:r>
        <w:rPr>
          <w:rFonts w:hint="eastAsia" w:ascii="宋体"/>
          <w:szCs w:val="21"/>
          <w:lang w:val="zh-CN"/>
        </w:rPr>
        <w:t>报价明细表所填内容按磋商文件采购设备清单要求为准。如有漏报的，视同已包含在磋商总价内或已作优惠处理。有重大缺项的将作无效标处理。</w:t>
      </w:r>
    </w:p>
    <w:p>
      <w:pPr>
        <w:spacing w:line="360" w:lineRule="auto"/>
        <w:ind w:left="435"/>
        <w:rPr>
          <w:rFonts w:ascii="宋体"/>
          <w:szCs w:val="21"/>
          <w:lang w:val="zh-CN"/>
        </w:rPr>
      </w:pPr>
      <w:r>
        <w:rPr>
          <w:rFonts w:hint="eastAsia" w:ascii="宋体"/>
          <w:szCs w:val="21"/>
          <w:lang w:val="zh-CN"/>
        </w:rPr>
        <w:t>▲4. 本表中的型号规格必须明确，磋商文件中明确要求定制的除外。</w:t>
      </w:r>
    </w:p>
    <w:p>
      <w:pPr>
        <w:spacing w:line="360" w:lineRule="auto"/>
        <w:ind w:left="435"/>
        <w:rPr>
          <w:rFonts w:hint="eastAsia" w:ascii="宋体"/>
          <w:szCs w:val="21"/>
          <w:lang w:val="zh-CN"/>
        </w:rPr>
      </w:pPr>
    </w:p>
    <w:p>
      <w:pPr>
        <w:snapToGrid w:val="0"/>
        <w:spacing w:before="156" w:beforeLines="50" w:after="156" w:afterLines="50"/>
        <w:ind w:firstLine="424" w:firstLineChars="177"/>
        <w:rPr>
          <w:rFonts w:ascii="宋体" w:hAnsi="宋体"/>
          <w:color w:val="000000"/>
          <w:sz w:val="24"/>
          <w:u w:val="single"/>
        </w:rPr>
      </w:pPr>
      <w:r>
        <w:rPr>
          <w:rFonts w:hint="eastAsia" w:ascii="宋体" w:hAnsi="宋体"/>
          <w:color w:val="000000"/>
          <w:sz w:val="24"/>
        </w:rPr>
        <w:t>磋商供应商名称（盖章）：</w:t>
      </w:r>
      <w:r>
        <w:rPr>
          <w:rFonts w:hint="eastAsia" w:ascii="宋体" w:hAnsi="宋体"/>
          <w:color w:val="000000"/>
          <w:sz w:val="24"/>
          <w:u w:val="single"/>
        </w:rPr>
        <w:t xml:space="preserve">                       </w:t>
      </w:r>
    </w:p>
    <w:p>
      <w:pPr>
        <w:snapToGrid w:val="0"/>
        <w:spacing w:before="156" w:beforeLines="50" w:after="156" w:afterLines="50"/>
        <w:ind w:left="420"/>
        <w:rPr>
          <w:rFonts w:ascii="宋体" w:hAnsi="宋体"/>
          <w:color w:val="000000"/>
          <w:sz w:val="24"/>
        </w:rPr>
      </w:pPr>
    </w:p>
    <w:p>
      <w:pPr>
        <w:snapToGrid w:val="0"/>
        <w:spacing w:before="156" w:beforeLines="50" w:after="156" w:afterLines="50"/>
        <w:ind w:firstLine="424" w:firstLineChars="177"/>
        <w:rPr>
          <w:rFonts w:ascii="宋体" w:hAnsi="宋体"/>
          <w:color w:val="000000"/>
          <w:sz w:val="24"/>
        </w:rPr>
      </w:pPr>
      <w:r>
        <w:rPr>
          <w:rFonts w:hint="eastAsia" w:ascii="宋体" w:hAnsi="宋体"/>
          <w:color w:val="000000"/>
          <w:sz w:val="24"/>
        </w:rPr>
        <w:t>磋商供应商代表签字：</w:t>
      </w:r>
      <w:r>
        <w:rPr>
          <w:rFonts w:hint="eastAsia" w:ascii="宋体" w:hAnsi="宋体"/>
          <w:color w:val="000000"/>
          <w:sz w:val="24"/>
          <w:u w:val="single"/>
        </w:rPr>
        <w:t xml:space="preserve">                          </w:t>
      </w:r>
    </w:p>
    <w:p>
      <w:pPr>
        <w:snapToGrid w:val="0"/>
        <w:spacing w:before="156" w:beforeLines="50" w:after="156" w:afterLines="50"/>
        <w:ind w:firstLine="435"/>
        <w:rPr>
          <w:rFonts w:ascii="宋体" w:hAnsi="宋体"/>
          <w:color w:val="000000"/>
          <w:sz w:val="24"/>
        </w:rPr>
      </w:pPr>
    </w:p>
    <w:p>
      <w:pPr>
        <w:snapToGrid w:val="0"/>
        <w:spacing w:before="156" w:beforeLines="50" w:after="156" w:afterLines="50"/>
        <w:ind w:firstLine="424" w:firstLineChars="177"/>
        <w:rPr>
          <w:rFonts w:ascii="宋体" w:hAnsi="宋体"/>
          <w:color w:val="000000"/>
          <w:sz w:val="24"/>
          <w:u w:val="single"/>
        </w:rPr>
      </w:pPr>
      <w:r>
        <w:rPr>
          <w:rFonts w:hint="eastAsia" w:ascii="宋体" w:hAnsi="宋体"/>
          <w:color w:val="000000"/>
          <w:sz w:val="24"/>
        </w:rPr>
        <w:t>职        务：</w:t>
      </w:r>
      <w:r>
        <w:rPr>
          <w:rFonts w:hint="eastAsia" w:ascii="宋体" w:hAnsi="宋体"/>
          <w:color w:val="000000"/>
          <w:sz w:val="24"/>
          <w:u w:val="single"/>
        </w:rPr>
        <w:t xml:space="preserve">                             </w:t>
      </w:r>
    </w:p>
    <w:p>
      <w:pPr>
        <w:snapToGrid w:val="0"/>
        <w:spacing w:before="156" w:beforeLines="50" w:after="156" w:afterLines="50"/>
        <w:rPr>
          <w:rFonts w:ascii="宋体" w:hAnsi="宋体"/>
          <w:color w:val="000000"/>
          <w:sz w:val="24"/>
        </w:rPr>
      </w:pPr>
    </w:p>
    <w:p>
      <w:pPr>
        <w:pStyle w:val="54"/>
        <w:shd w:val="clear" w:color="auto" w:fill="FFFFFF"/>
        <w:snapToGrid w:val="0"/>
        <w:spacing w:before="156" w:beforeLines="50" w:beforeAutospacing="0" w:after="156" w:afterLines="50" w:afterAutospacing="0"/>
        <w:ind w:firstLine="424" w:firstLineChars="177"/>
        <w:rPr>
          <w:rFonts w:hint="eastAsia"/>
          <w:color w:val="000000"/>
          <w:u w:val="single"/>
        </w:rPr>
      </w:pPr>
      <w:r>
        <w:rPr>
          <w:rFonts w:hint="eastAsia"/>
          <w:color w:val="000000"/>
        </w:rPr>
        <w:t>日        期：</w:t>
      </w:r>
      <w:r>
        <w:rPr>
          <w:rFonts w:hint="eastAsia"/>
          <w:color w:val="000000"/>
          <w:u w:val="single"/>
        </w:rPr>
        <w:t xml:space="preserve">                            </w:t>
      </w:r>
    </w:p>
    <w:p>
      <w:pPr>
        <w:rPr>
          <w:rFonts w:hint="eastAsia" w:ascii="宋体" w:hAnsi="宋体"/>
          <w:b/>
          <w:color w:val="000000"/>
          <w:sz w:val="28"/>
        </w:rPr>
      </w:pPr>
      <w:r>
        <w:rPr>
          <w:rFonts w:hint="eastAsia" w:ascii="宋体" w:hAnsi="宋体"/>
          <w:b/>
          <w:color w:val="000000"/>
          <w:sz w:val="28"/>
        </w:rPr>
        <w:br w:type="page"/>
      </w:r>
    </w:p>
    <w:p>
      <w:pPr>
        <w:spacing w:line="360" w:lineRule="auto"/>
        <w:ind w:right="-110"/>
        <w:rPr>
          <w:rFonts w:hint="eastAsia" w:ascii="宋体" w:hAnsi="宋体"/>
          <w:b/>
          <w:color w:val="000000"/>
          <w:sz w:val="32"/>
          <w:szCs w:val="32"/>
        </w:rPr>
      </w:pPr>
      <w:r>
        <w:rPr>
          <w:rFonts w:hint="eastAsia" w:ascii="宋体" w:hAnsi="宋体"/>
          <w:b/>
          <w:color w:val="000000"/>
          <w:sz w:val="28"/>
        </w:rPr>
        <w:t>附件14:</w:t>
      </w:r>
    </w:p>
    <w:p>
      <w:pPr>
        <w:spacing w:line="656" w:lineRule="exact"/>
        <w:ind w:right="21"/>
        <w:jc w:val="center"/>
        <w:rPr>
          <w:b/>
          <w:color w:val="000000"/>
          <w:sz w:val="36"/>
          <w:highlight w:val="none"/>
        </w:rPr>
      </w:pPr>
      <w:r>
        <w:rPr>
          <w:b/>
          <w:color w:val="000000"/>
          <w:sz w:val="36"/>
          <w:highlight w:val="none"/>
        </w:rPr>
        <w:t>中小企业声明函</w:t>
      </w:r>
    </w:p>
    <w:p>
      <w:pPr>
        <w:spacing w:line="360" w:lineRule="auto"/>
        <w:ind w:left="15" w:firstLine="480" w:firstLineChars="200"/>
        <w:rPr>
          <w:rFonts w:ascii="宋体" w:hAnsi="宋体" w:cs="宋体"/>
          <w:color w:val="000000"/>
          <w:sz w:val="24"/>
          <w:highlight w:val="none"/>
        </w:rPr>
      </w:pPr>
      <w:r>
        <w:rPr>
          <w:rFonts w:hint="eastAsia" w:ascii="宋体" w:hAnsi="宋体" w:cs="宋体"/>
          <w:color w:val="000000"/>
          <w:sz w:val="24"/>
          <w:highlight w:val="none"/>
        </w:rPr>
        <w:t>本公司郑重声明，根据《政府采购促进中小企业发展管理办法》（财库﹝2020﹞46 号）的规定，本公司</w:t>
      </w:r>
      <w:r>
        <w:rPr>
          <w:rFonts w:hint="eastAsia" w:ascii="宋体" w:hAnsi="宋体" w:cs="宋体"/>
          <w:color w:val="000000"/>
          <w:sz w:val="24"/>
          <w:highlight w:val="none"/>
          <w:u w:val="single"/>
        </w:rPr>
        <w:t xml:space="preserve">      </w:t>
      </w:r>
      <w:r>
        <w:rPr>
          <w:rFonts w:hint="eastAsia" w:ascii="宋体" w:hAnsi="宋体" w:cs="宋体"/>
          <w:color w:val="000000"/>
          <w:sz w:val="24"/>
          <w:highlight w:val="none"/>
        </w:rPr>
        <w:t>参加</w:t>
      </w:r>
      <w:r>
        <w:rPr>
          <w:rFonts w:hint="eastAsia" w:ascii="宋体" w:hAnsi="宋体" w:cs="宋体"/>
          <w:color w:val="000000"/>
          <w:sz w:val="24"/>
          <w:highlight w:val="none"/>
          <w:u w:val="single"/>
        </w:rPr>
        <w:t xml:space="preserve">    （单位名称）</w:t>
      </w:r>
      <w:r>
        <w:rPr>
          <w:rFonts w:hint="eastAsia" w:ascii="宋体" w:hAnsi="宋体" w:cs="宋体"/>
          <w:color w:val="000000"/>
          <w:sz w:val="24"/>
          <w:highlight w:val="none"/>
        </w:rPr>
        <w:t>的</w:t>
      </w:r>
      <w:r>
        <w:rPr>
          <w:rFonts w:hint="eastAsia" w:ascii="宋体" w:hAnsi="宋体" w:cs="宋体"/>
          <w:color w:val="000000"/>
          <w:sz w:val="24"/>
          <w:highlight w:val="none"/>
          <w:u w:val="single"/>
        </w:rPr>
        <w:t xml:space="preserve">       （项目名称）</w:t>
      </w:r>
      <w:r>
        <w:rPr>
          <w:rFonts w:hint="eastAsia" w:ascii="宋体" w:hAnsi="宋体" w:cs="宋体"/>
          <w:color w:val="000000"/>
          <w:sz w:val="24"/>
          <w:highlight w:val="none"/>
        </w:rPr>
        <w:t>采购活动，服务全部由符合政策要求的中小企业承接。相关企业的具体情况如下：</w:t>
      </w:r>
    </w:p>
    <w:p>
      <w:pPr>
        <w:numPr>
          <w:ilvl w:val="0"/>
          <w:numId w:val="9"/>
        </w:numPr>
        <w:spacing w:line="360" w:lineRule="auto"/>
        <w:ind w:left="15" w:firstLine="480" w:firstLineChars="200"/>
        <w:rPr>
          <w:rFonts w:ascii="宋体" w:hAnsi="宋体" w:cs="宋体"/>
          <w:color w:val="000000"/>
          <w:sz w:val="24"/>
          <w:highlight w:val="none"/>
        </w:rPr>
      </w:pPr>
      <w:r>
        <w:rPr>
          <w:rFonts w:hint="eastAsia" w:ascii="宋体" w:hAnsi="宋体" w:cs="宋体"/>
          <w:color w:val="000000"/>
          <w:sz w:val="24"/>
          <w:highlight w:val="none"/>
          <w:u w:val="single"/>
        </w:rPr>
        <w:t xml:space="preserve">     （标的名称）</w:t>
      </w:r>
      <w:r>
        <w:rPr>
          <w:rFonts w:hint="eastAsia" w:ascii="宋体" w:hAnsi="宋体" w:cs="宋体"/>
          <w:color w:val="000000"/>
          <w:sz w:val="24"/>
          <w:highlight w:val="none"/>
        </w:rPr>
        <w:t>，属于（采购文件中明确的所属行业）；承建（承接）企业为</w:t>
      </w:r>
      <w:r>
        <w:rPr>
          <w:rFonts w:hint="eastAsia" w:ascii="宋体" w:hAnsi="宋体" w:cs="宋体"/>
          <w:color w:val="000000"/>
          <w:sz w:val="24"/>
          <w:highlight w:val="none"/>
          <w:u w:val="single"/>
        </w:rPr>
        <w:t xml:space="preserve">     （企业名称）</w:t>
      </w:r>
      <w:r>
        <w:rPr>
          <w:rFonts w:hint="eastAsia" w:ascii="宋体" w:hAnsi="宋体" w:cs="宋体"/>
          <w:color w:val="000000"/>
          <w:sz w:val="24"/>
          <w:highlight w:val="none"/>
        </w:rPr>
        <w:t>，从业人员</w:t>
      </w:r>
      <w:r>
        <w:rPr>
          <w:rFonts w:hint="eastAsia" w:ascii="宋体" w:hAnsi="宋体" w:cs="宋体"/>
          <w:color w:val="000000"/>
          <w:sz w:val="24"/>
          <w:highlight w:val="none"/>
          <w:u w:val="single"/>
        </w:rPr>
        <w:t xml:space="preserve"> </w:t>
      </w:r>
      <w:r>
        <w:rPr>
          <w:rFonts w:hint="eastAsia" w:ascii="宋体" w:hAnsi="宋体" w:cs="宋体"/>
          <w:color w:val="000000"/>
          <w:sz w:val="24"/>
          <w:highlight w:val="none"/>
          <w:u w:val="single"/>
        </w:rPr>
        <w:tab/>
      </w:r>
      <w:r>
        <w:rPr>
          <w:rFonts w:hint="eastAsia" w:ascii="宋体" w:hAnsi="宋体" w:cs="宋体"/>
          <w:color w:val="000000"/>
          <w:sz w:val="24"/>
          <w:highlight w:val="none"/>
          <w:u w:val="single"/>
        </w:rPr>
        <w:t xml:space="preserve">   人</w:t>
      </w:r>
      <w:r>
        <w:rPr>
          <w:rFonts w:hint="eastAsia" w:ascii="宋体" w:hAnsi="宋体" w:cs="宋体"/>
          <w:color w:val="000000"/>
          <w:sz w:val="24"/>
          <w:highlight w:val="none"/>
        </w:rPr>
        <w:t>，营业收入为</w:t>
      </w:r>
      <w:r>
        <w:rPr>
          <w:rFonts w:hint="eastAsia" w:ascii="宋体" w:hAnsi="宋体" w:cs="宋体"/>
          <w:color w:val="000000"/>
          <w:sz w:val="24"/>
          <w:highlight w:val="none"/>
          <w:u w:val="single"/>
        </w:rPr>
        <w:t xml:space="preserve"> </w:t>
      </w:r>
      <w:r>
        <w:rPr>
          <w:rFonts w:hint="eastAsia" w:ascii="宋体" w:hAnsi="宋体" w:cs="宋体"/>
          <w:color w:val="000000"/>
          <w:sz w:val="24"/>
          <w:highlight w:val="none"/>
          <w:u w:val="single"/>
        </w:rPr>
        <w:tab/>
      </w:r>
      <w:r>
        <w:rPr>
          <w:rFonts w:hint="eastAsia" w:ascii="宋体" w:hAnsi="宋体" w:cs="宋体"/>
          <w:color w:val="000000"/>
          <w:sz w:val="24"/>
          <w:highlight w:val="none"/>
          <w:u w:val="single"/>
        </w:rPr>
        <w:t>万元</w:t>
      </w:r>
      <w:r>
        <w:rPr>
          <w:rFonts w:hint="eastAsia" w:ascii="宋体" w:hAnsi="宋体" w:cs="宋体"/>
          <w:color w:val="000000"/>
          <w:sz w:val="24"/>
          <w:highlight w:val="none"/>
        </w:rPr>
        <w:t>，资产总额为</w:t>
      </w:r>
      <w:r>
        <w:rPr>
          <w:rFonts w:hint="eastAsia" w:ascii="宋体" w:hAnsi="宋体" w:cs="宋体"/>
          <w:color w:val="000000"/>
          <w:sz w:val="24"/>
          <w:highlight w:val="none"/>
          <w:u w:val="single"/>
        </w:rPr>
        <w:t xml:space="preserve"> </w:t>
      </w:r>
      <w:r>
        <w:rPr>
          <w:rFonts w:hint="eastAsia" w:ascii="宋体" w:hAnsi="宋体" w:cs="宋体"/>
          <w:color w:val="000000"/>
          <w:sz w:val="24"/>
          <w:highlight w:val="none"/>
          <w:u w:val="single"/>
        </w:rPr>
        <w:tab/>
      </w:r>
      <w:r>
        <w:rPr>
          <w:rFonts w:hint="eastAsia" w:ascii="宋体" w:hAnsi="宋体" w:cs="宋体"/>
          <w:color w:val="000000"/>
          <w:sz w:val="24"/>
          <w:highlight w:val="none"/>
          <w:u w:val="single"/>
        </w:rPr>
        <w:t>万元</w:t>
      </w:r>
      <w:r>
        <w:rPr>
          <w:rFonts w:hint="eastAsia" w:ascii="宋体" w:hAnsi="宋体" w:cs="宋体"/>
          <w:color w:val="000000"/>
          <w:sz w:val="24"/>
          <w:highlight w:val="none"/>
        </w:rPr>
        <w:t>，属于（中型企业、小型企业、微型企业）；</w:t>
      </w:r>
    </w:p>
    <w:p>
      <w:pPr>
        <w:numPr>
          <w:ilvl w:val="0"/>
          <w:numId w:val="9"/>
        </w:numPr>
        <w:spacing w:line="360" w:lineRule="auto"/>
        <w:ind w:left="15" w:firstLine="480" w:firstLineChars="200"/>
        <w:rPr>
          <w:rFonts w:ascii="宋体" w:hAnsi="宋体" w:cs="宋体"/>
          <w:color w:val="000000"/>
          <w:sz w:val="24"/>
          <w:highlight w:val="none"/>
        </w:rPr>
      </w:pPr>
      <w:r>
        <w:rPr>
          <w:rFonts w:hint="eastAsia" w:ascii="宋体" w:hAnsi="宋体" w:cs="宋体"/>
          <w:color w:val="000000"/>
          <w:sz w:val="24"/>
          <w:highlight w:val="none"/>
          <w:u w:val="single"/>
        </w:rPr>
        <w:t xml:space="preserve">      （标的名称）</w:t>
      </w:r>
      <w:r>
        <w:rPr>
          <w:rFonts w:hint="eastAsia" w:ascii="宋体" w:hAnsi="宋体" w:cs="宋体"/>
          <w:color w:val="000000"/>
          <w:sz w:val="24"/>
          <w:highlight w:val="none"/>
        </w:rPr>
        <w:t>，属于（采购文件中明确的所属行业）；承建（承接）企业为</w:t>
      </w:r>
      <w:r>
        <w:rPr>
          <w:rFonts w:hint="eastAsia" w:ascii="宋体" w:hAnsi="宋体" w:cs="宋体"/>
          <w:color w:val="000000"/>
          <w:sz w:val="24"/>
          <w:highlight w:val="none"/>
          <w:u w:val="single"/>
        </w:rPr>
        <w:t xml:space="preserve">     （企业名称）</w:t>
      </w:r>
      <w:r>
        <w:rPr>
          <w:rFonts w:hint="eastAsia" w:ascii="宋体" w:hAnsi="宋体" w:cs="宋体"/>
          <w:color w:val="000000"/>
          <w:sz w:val="24"/>
          <w:highlight w:val="none"/>
        </w:rPr>
        <w:t xml:space="preserve">，从业人员 </w:t>
      </w:r>
      <w:r>
        <w:rPr>
          <w:rFonts w:hint="eastAsia" w:ascii="宋体" w:hAnsi="宋体" w:cs="宋体"/>
          <w:color w:val="000000"/>
          <w:sz w:val="24"/>
          <w:highlight w:val="none"/>
          <w:u w:val="single"/>
        </w:rPr>
        <w:t xml:space="preserve">   </w:t>
      </w:r>
      <w:r>
        <w:rPr>
          <w:rFonts w:hint="eastAsia" w:ascii="宋体" w:hAnsi="宋体" w:cs="宋体"/>
          <w:color w:val="000000"/>
          <w:sz w:val="24"/>
          <w:highlight w:val="none"/>
          <w:u w:val="single"/>
        </w:rPr>
        <w:tab/>
      </w:r>
      <w:r>
        <w:rPr>
          <w:rFonts w:hint="eastAsia" w:ascii="宋体" w:hAnsi="宋体" w:cs="宋体"/>
          <w:color w:val="000000"/>
          <w:sz w:val="24"/>
          <w:highlight w:val="none"/>
          <w:u w:val="single"/>
        </w:rPr>
        <w:t>人</w:t>
      </w:r>
      <w:r>
        <w:rPr>
          <w:rFonts w:hint="eastAsia" w:ascii="宋体" w:hAnsi="宋体" w:cs="宋体"/>
          <w:color w:val="000000"/>
          <w:sz w:val="24"/>
          <w:highlight w:val="none"/>
        </w:rPr>
        <w:t xml:space="preserve">，营业收入为 </w:t>
      </w:r>
      <w:r>
        <w:rPr>
          <w:rFonts w:hint="eastAsia" w:ascii="宋体" w:hAnsi="宋体" w:cs="宋体"/>
          <w:color w:val="000000"/>
          <w:sz w:val="24"/>
          <w:highlight w:val="none"/>
          <w:u w:val="single"/>
        </w:rPr>
        <w:t xml:space="preserve">   万元</w:t>
      </w:r>
      <w:r>
        <w:rPr>
          <w:rFonts w:hint="eastAsia" w:ascii="宋体" w:hAnsi="宋体" w:cs="宋体"/>
          <w:color w:val="000000"/>
          <w:sz w:val="24"/>
          <w:highlight w:val="none"/>
        </w:rPr>
        <w:t>，资产总额为</w:t>
      </w:r>
      <w:r>
        <w:rPr>
          <w:rFonts w:hint="eastAsia" w:ascii="宋体" w:hAnsi="宋体" w:cs="宋体"/>
          <w:color w:val="000000"/>
          <w:sz w:val="24"/>
          <w:highlight w:val="none"/>
          <w:u w:val="single"/>
        </w:rPr>
        <w:t xml:space="preserve"> </w:t>
      </w:r>
      <w:r>
        <w:rPr>
          <w:rFonts w:hint="eastAsia" w:ascii="宋体" w:hAnsi="宋体" w:cs="宋体"/>
          <w:color w:val="000000"/>
          <w:sz w:val="24"/>
          <w:highlight w:val="none"/>
          <w:u w:val="single"/>
        </w:rPr>
        <w:tab/>
      </w:r>
      <w:r>
        <w:rPr>
          <w:rFonts w:hint="eastAsia" w:ascii="宋体" w:hAnsi="宋体" w:cs="宋体"/>
          <w:color w:val="000000"/>
          <w:sz w:val="24"/>
          <w:highlight w:val="none"/>
          <w:u w:val="single"/>
        </w:rPr>
        <w:t>万元</w:t>
      </w:r>
      <w:r>
        <w:rPr>
          <w:rFonts w:hint="eastAsia" w:ascii="宋体" w:hAnsi="宋体" w:cs="宋体"/>
          <w:color w:val="000000"/>
          <w:sz w:val="24"/>
          <w:highlight w:val="none"/>
        </w:rPr>
        <w:t>， 属于（中型企业、小型企业、微型企业）；</w:t>
      </w:r>
    </w:p>
    <w:p>
      <w:pPr>
        <w:spacing w:line="360" w:lineRule="auto"/>
        <w:ind w:left="15" w:firstLine="480" w:firstLineChars="200"/>
        <w:rPr>
          <w:rFonts w:ascii="宋体" w:hAnsi="宋体" w:cs="宋体"/>
          <w:color w:val="000000"/>
          <w:sz w:val="24"/>
          <w:highlight w:val="none"/>
        </w:rPr>
      </w:pPr>
      <w:r>
        <w:rPr>
          <w:rFonts w:hint="eastAsia" w:ascii="宋体" w:hAnsi="宋体" w:cs="宋体"/>
          <w:color w:val="000000"/>
          <w:sz w:val="24"/>
          <w:highlight w:val="none"/>
        </w:rPr>
        <w:t>……</w:t>
      </w:r>
    </w:p>
    <w:p>
      <w:pPr>
        <w:spacing w:line="360" w:lineRule="auto"/>
        <w:ind w:left="15" w:firstLine="480" w:firstLineChars="200"/>
        <w:rPr>
          <w:rFonts w:ascii="宋体" w:hAnsi="宋体" w:cs="宋体"/>
          <w:color w:val="000000"/>
          <w:sz w:val="24"/>
          <w:highlight w:val="none"/>
        </w:rPr>
      </w:pPr>
      <w:r>
        <w:rPr>
          <w:rFonts w:hint="eastAsia" w:ascii="宋体" w:hAnsi="宋体" w:cs="宋体"/>
          <w:color w:val="000000"/>
          <w:sz w:val="24"/>
          <w:highlight w:val="none"/>
        </w:rPr>
        <w:t>以上企业，不属于大企业的分支机构，不存在控股股东为大企业的情形，也不存在与大企业的负责人为同一人的情形。</w:t>
      </w:r>
    </w:p>
    <w:p>
      <w:pPr>
        <w:spacing w:line="360" w:lineRule="auto"/>
        <w:ind w:left="15" w:firstLine="480" w:firstLineChars="200"/>
        <w:rPr>
          <w:color w:val="000000"/>
          <w:sz w:val="24"/>
          <w:highlight w:val="none"/>
        </w:rPr>
      </w:pPr>
      <w:r>
        <w:rPr>
          <w:rFonts w:hint="eastAsia" w:ascii="宋体" w:hAnsi="宋体" w:cs="宋体"/>
          <w:color w:val="000000"/>
          <w:sz w:val="24"/>
          <w:highlight w:val="none"/>
        </w:rPr>
        <w:t>本企业对上述声明内容的真实性负责。如有虚假，将依法承担相应责</w:t>
      </w:r>
      <w:r>
        <w:rPr>
          <w:color w:val="000000"/>
          <w:sz w:val="24"/>
          <w:highlight w:val="none"/>
        </w:rPr>
        <w:t>任。</w:t>
      </w:r>
    </w:p>
    <w:p>
      <w:pPr>
        <w:pStyle w:val="11"/>
        <w:rPr>
          <w:color w:val="000000"/>
          <w:sz w:val="24"/>
          <w:highlight w:val="none"/>
        </w:rPr>
      </w:pPr>
    </w:p>
    <w:p>
      <w:pPr>
        <w:spacing w:line="360" w:lineRule="auto"/>
        <w:ind w:left="15" w:firstLine="480" w:firstLineChars="200"/>
        <w:rPr>
          <w:rFonts w:ascii="宋体" w:hAnsi="宋体" w:cs="宋体"/>
          <w:color w:val="000000"/>
          <w:sz w:val="24"/>
          <w:highlight w:val="none"/>
        </w:rPr>
      </w:pPr>
      <w:r>
        <w:rPr>
          <w:rFonts w:hint="eastAsia" w:ascii="宋体" w:hAnsi="宋体" w:cs="宋体"/>
          <w:color w:val="000000"/>
          <w:sz w:val="24"/>
          <w:highlight w:val="none"/>
        </w:rPr>
        <w:t>企业名称（盖章）：</w:t>
      </w:r>
    </w:p>
    <w:p>
      <w:pPr>
        <w:spacing w:line="360" w:lineRule="auto"/>
        <w:ind w:left="15" w:firstLine="480" w:firstLineChars="200"/>
        <w:rPr>
          <w:rFonts w:ascii="宋体" w:hAnsi="宋体" w:cs="宋体"/>
          <w:color w:val="000000"/>
          <w:sz w:val="24"/>
          <w:highlight w:val="none"/>
        </w:rPr>
      </w:pPr>
      <w:r>
        <w:rPr>
          <w:rFonts w:hint="eastAsia" w:ascii="宋体" w:hAnsi="宋体" w:cs="宋体"/>
          <w:color w:val="000000"/>
          <w:sz w:val="24"/>
          <w:highlight w:val="none"/>
        </w:rPr>
        <w:t>日期</w:t>
      </w:r>
    </w:p>
    <w:p>
      <w:pPr>
        <w:pStyle w:val="40"/>
        <w:spacing w:line="360" w:lineRule="auto"/>
        <w:rPr>
          <w:color w:val="000000"/>
          <w:sz w:val="24"/>
          <w:highlight w:val="none"/>
        </w:rPr>
      </w:pPr>
    </w:p>
    <w:p>
      <w:pPr>
        <w:pStyle w:val="40"/>
        <w:spacing w:line="360" w:lineRule="auto"/>
        <w:rPr>
          <w:color w:val="000000"/>
          <w:sz w:val="24"/>
          <w:highlight w:val="none"/>
        </w:rPr>
      </w:pPr>
    </w:p>
    <w:p>
      <w:pPr>
        <w:pStyle w:val="40"/>
        <w:spacing w:line="360" w:lineRule="auto"/>
        <w:rPr>
          <w:color w:val="000000"/>
          <w:sz w:val="24"/>
          <w:highlight w:val="none"/>
        </w:rPr>
      </w:pPr>
    </w:p>
    <w:p>
      <w:pPr>
        <w:pStyle w:val="40"/>
        <w:spacing w:line="360" w:lineRule="auto"/>
        <w:rPr>
          <w:rFonts w:ascii="宋体" w:hAnsi="宋体" w:cs="宋体"/>
          <w:color w:val="000000"/>
          <w:sz w:val="24"/>
          <w:highlight w:val="none"/>
        </w:rPr>
      </w:pPr>
      <w:r>
        <w:rPr>
          <w:color w:val="000000"/>
          <w:sz w:val="24"/>
          <w:highlight w:val="none"/>
        </w:rPr>
        <w:t>备注：从业人员、营业收入、资产总额填报上一年度数据，无上一年度数据的新成立企业可不填报。</w:t>
      </w:r>
    </w:p>
    <w:p>
      <w:pPr>
        <w:pStyle w:val="73"/>
        <w:rPr>
          <w:color w:val="000000"/>
          <w:highlight w:val="none"/>
          <w:lang w:val="en-GB"/>
        </w:rPr>
      </w:pPr>
    </w:p>
    <w:p/>
    <w:p>
      <w:pPr>
        <w:rPr>
          <w:rFonts w:hint="eastAsia" w:hAnsi="宋体" w:cs="宋体"/>
          <w:b/>
          <w:sz w:val="32"/>
          <w:szCs w:val="32"/>
          <w:lang w:val="en-GB"/>
        </w:rPr>
      </w:pPr>
      <w:r>
        <w:rPr>
          <w:rFonts w:hint="eastAsia" w:hAnsi="宋体" w:cs="宋体"/>
          <w:b/>
          <w:sz w:val="32"/>
          <w:szCs w:val="32"/>
          <w:lang w:val="en-GB"/>
        </w:rPr>
        <w:br w:type="page"/>
      </w:r>
    </w:p>
    <w:p>
      <w:pPr>
        <w:pStyle w:val="15"/>
        <w:spacing w:line="360" w:lineRule="auto"/>
        <w:jc w:val="center"/>
        <w:outlineLvl w:val="1"/>
        <w:rPr>
          <w:rFonts w:hAnsi="宋体" w:cs="宋体"/>
          <w:b/>
          <w:sz w:val="32"/>
          <w:szCs w:val="32"/>
          <w:lang w:val="en-GB"/>
        </w:rPr>
      </w:pPr>
      <w:r>
        <w:rPr>
          <w:rFonts w:hint="eastAsia" w:hAnsi="宋体" w:cs="宋体"/>
          <w:b/>
          <w:sz w:val="32"/>
          <w:szCs w:val="32"/>
          <w:lang w:val="en-GB"/>
        </w:rPr>
        <w:t>残疾人福利性单位声明函</w:t>
      </w:r>
    </w:p>
    <w:p>
      <w:pPr>
        <w:spacing w:line="588" w:lineRule="exact"/>
        <w:ind w:firstLine="504" w:firstLineChars="200"/>
        <w:rPr>
          <w:rFonts w:ascii="宋体" w:hAnsi="宋体" w:cs="宋体"/>
          <w:spacing w:val="6"/>
          <w:sz w:val="24"/>
        </w:rPr>
      </w:pPr>
      <w:r>
        <w:rPr>
          <w:rFonts w:hint="eastAsia" w:ascii="宋体" w:hAnsi="宋体" w:cs="宋体"/>
          <w:spacing w:val="6"/>
          <w:sz w:val="24"/>
        </w:rPr>
        <w:t>本单位郑重声明，根据《财政部 民政部 中国残疾人联合会关于促进残疾人就业政府采购政策的通知》（财库〔2017〕 141号）的规定，本单位为符合条件的残疾人福利性单位，且本单位参加</w:t>
      </w:r>
      <w:r>
        <w:rPr>
          <w:rFonts w:hint="eastAsia" w:ascii="宋体" w:hAnsi="宋体" w:cs="宋体"/>
          <w:spacing w:val="6"/>
          <w:sz w:val="24"/>
          <w:u w:val="single"/>
        </w:rPr>
        <w:t xml:space="preserve">    政府采购中心 </w:t>
      </w:r>
      <w:r>
        <w:rPr>
          <w:rFonts w:hint="eastAsia" w:ascii="宋体" w:hAnsi="宋体" w:cs="宋体"/>
          <w:spacing w:val="6"/>
          <w:sz w:val="24"/>
        </w:rPr>
        <w:t>单位的</w:t>
      </w:r>
      <w:r>
        <w:rPr>
          <w:rFonts w:hint="eastAsia" w:ascii="宋体" w:hAnsi="宋体" w:cs="宋体"/>
          <w:spacing w:val="6"/>
          <w:sz w:val="24"/>
          <w:u w:val="single"/>
        </w:rPr>
        <w:t xml:space="preserve">          </w:t>
      </w:r>
      <w:r>
        <w:rPr>
          <w:rFonts w:hint="eastAsia" w:ascii="宋体" w:hAnsi="宋体" w:cs="宋体"/>
          <w:spacing w:val="6"/>
          <w:sz w:val="24"/>
        </w:rPr>
        <w:t>项目采购活动提供本单位制造的货物（由本单位承担工程/提供服务），或者提供其他残疾人福利性单位制造的货物（不包括使用非残疾人福利性单位注册商标的货物）。</w:t>
      </w:r>
    </w:p>
    <w:p>
      <w:pPr>
        <w:spacing w:line="588" w:lineRule="exact"/>
        <w:ind w:firstLine="504" w:firstLineChars="200"/>
        <w:rPr>
          <w:rFonts w:ascii="宋体" w:hAnsi="宋体" w:cs="宋体"/>
          <w:spacing w:val="6"/>
          <w:sz w:val="24"/>
        </w:rPr>
      </w:pPr>
      <w:r>
        <w:rPr>
          <w:rFonts w:hint="eastAsia" w:ascii="宋体" w:hAnsi="宋体" w:cs="宋体"/>
          <w:spacing w:val="6"/>
          <w:sz w:val="24"/>
        </w:rPr>
        <w:t>本单位对上述声明的真实性负责。如有虚假，将依法承担相应责任。</w:t>
      </w:r>
    </w:p>
    <w:p>
      <w:pPr>
        <w:tabs>
          <w:tab w:val="left" w:pos="4860"/>
        </w:tabs>
        <w:spacing w:line="588" w:lineRule="exact"/>
        <w:ind w:right="1560" w:firstLine="504" w:firstLineChars="200"/>
        <w:jc w:val="center"/>
        <w:rPr>
          <w:rFonts w:ascii="宋体" w:hAnsi="宋体" w:cs="宋体"/>
          <w:spacing w:val="6"/>
          <w:sz w:val="24"/>
        </w:rPr>
      </w:pPr>
      <w:r>
        <w:rPr>
          <w:rFonts w:hint="eastAsia" w:ascii="宋体" w:hAnsi="宋体" w:cs="宋体"/>
          <w:spacing w:val="6"/>
          <w:sz w:val="24"/>
        </w:rPr>
        <w:t xml:space="preserve">           </w:t>
      </w:r>
    </w:p>
    <w:p>
      <w:pPr>
        <w:tabs>
          <w:tab w:val="left" w:pos="4860"/>
        </w:tabs>
        <w:spacing w:line="588" w:lineRule="exact"/>
        <w:ind w:right="1560" w:firstLine="504" w:firstLineChars="200"/>
        <w:jc w:val="center"/>
        <w:rPr>
          <w:rFonts w:ascii="宋体" w:hAnsi="宋体" w:cs="宋体"/>
          <w:spacing w:val="6"/>
          <w:sz w:val="24"/>
        </w:rPr>
      </w:pPr>
      <w:r>
        <w:rPr>
          <w:rFonts w:hint="eastAsia" w:ascii="宋体" w:hAnsi="宋体" w:cs="宋体"/>
          <w:spacing w:val="6"/>
          <w:sz w:val="24"/>
        </w:rPr>
        <w:t xml:space="preserve">                                单位名称（盖章）：</w:t>
      </w:r>
    </w:p>
    <w:p>
      <w:pPr>
        <w:tabs>
          <w:tab w:val="left" w:pos="4860"/>
        </w:tabs>
        <w:spacing w:line="588" w:lineRule="exact"/>
        <w:ind w:right="1560" w:firstLine="504" w:firstLineChars="200"/>
        <w:jc w:val="center"/>
        <w:rPr>
          <w:rFonts w:ascii="宋体" w:hAnsi="宋体" w:cs="宋体"/>
          <w:spacing w:val="6"/>
          <w:sz w:val="24"/>
        </w:rPr>
      </w:pPr>
      <w:r>
        <w:rPr>
          <w:rFonts w:hint="eastAsia" w:ascii="宋体" w:hAnsi="宋体" w:cs="宋体"/>
          <w:spacing w:val="6"/>
          <w:sz w:val="24"/>
        </w:rPr>
        <w:t xml:space="preserve">        </w:t>
      </w:r>
    </w:p>
    <w:p>
      <w:pPr>
        <w:tabs>
          <w:tab w:val="left" w:pos="4860"/>
        </w:tabs>
        <w:spacing w:line="588" w:lineRule="exact"/>
        <w:ind w:right="1560" w:firstLine="504" w:firstLineChars="200"/>
        <w:jc w:val="center"/>
        <w:rPr>
          <w:rFonts w:ascii="宋体" w:hAnsi="宋体" w:cs="宋体"/>
          <w:sz w:val="24"/>
        </w:rPr>
      </w:pPr>
      <w:r>
        <w:rPr>
          <w:rFonts w:hint="eastAsia" w:ascii="宋体" w:hAnsi="宋体" w:cs="宋体"/>
          <w:spacing w:val="6"/>
          <w:sz w:val="24"/>
        </w:rPr>
        <w:t xml:space="preserve">                                  日  期  ：</w:t>
      </w:r>
    </w:p>
    <w:p>
      <w:pPr>
        <w:pStyle w:val="40"/>
        <w:spacing w:line="360" w:lineRule="auto"/>
        <w:rPr>
          <w:rFonts w:ascii="宋体" w:hAnsi="宋体"/>
          <w:b/>
          <w:sz w:val="28"/>
          <w:szCs w:val="28"/>
        </w:rPr>
      </w:pPr>
      <w:r>
        <w:rPr>
          <w:rFonts w:hint="eastAsia" w:hAnsi="宋体" w:cs="宋体"/>
          <w:b/>
          <w:sz w:val="24"/>
        </w:rPr>
        <w:br w:type="page"/>
      </w:r>
    </w:p>
    <w:p>
      <w:pPr>
        <w:pStyle w:val="11"/>
        <w:rPr>
          <w:rFonts w:hint="eastAsia" w:ascii="宋体" w:hAnsi="宋体" w:eastAsia="宋体" w:cs="Times New Roman"/>
          <w:b/>
          <w:color w:val="000000"/>
          <w:kern w:val="2"/>
          <w:sz w:val="28"/>
          <w:szCs w:val="24"/>
          <w:lang w:val="en-US" w:eastAsia="zh-CN" w:bidi="ar-SA"/>
        </w:rPr>
      </w:pPr>
      <w:r>
        <w:rPr>
          <w:rFonts w:hint="eastAsia" w:ascii="宋体" w:hAnsi="宋体" w:eastAsia="宋体" w:cs="Times New Roman"/>
          <w:b/>
          <w:color w:val="000000"/>
          <w:kern w:val="2"/>
          <w:sz w:val="28"/>
          <w:szCs w:val="24"/>
          <w:lang w:val="en-US" w:eastAsia="zh-CN" w:bidi="ar-SA"/>
        </w:rPr>
        <w:t>附件15：</w:t>
      </w:r>
    </w:p>
    <w:p>
      <w:pPr>
        <w:pStyle w:val="71"/>
        <w:spacing w:line="360" w:lineRule="auto"/>
        <w:jc w:val="center"/>
        <w:rPr>
          <w:rFonts w:ascii="宋体" w:hAnsi="宋体"/>
          <w:b/>
          <w:sz w:val="32"/>
          <w:szCs w:val="32"/>
          <w:lang w:val="en-GB"/>
        </w:rPr>
      </w:pPr>
      <w:r>
        <w:rPr>
          <w:rFonts w:hint="eastAsia" w:ascii="宋体" w:hAnsi="宋体"/>
          <w:b/>
          <w:sz w:val="32"/>
          <w:szCs w:val="32"/>
          <w:lang w:val="en-GB"/>
        </w:rPr>
        <w:t>产品适用政府采购政策情况表</w:t>
      </w:r>
    </w:p>
    <w:p>
      <w:pPr>
        <w:pStyle w:val="71"/>
        <w:spacing w:line="360" w:lineRule="auto"/>
        <w:jc w:val="center"/>
        <w:rPr>
          <w:rFonts w:ascii="宋体" w:hAnsi="宋体"/>
          <w:b/>
          <w:sz w:val="32"/>
          <w:szCs w:val="32"/>
          <w:lang w:val="en-GB"/>
        </w:rPr>
      </w:pPr>
    </w:p>
    <w:tbl>
      <w:tblPr>
        <w:tblStyle w:val="30"/>
        <w:tblW w:w="9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5"/>
        <w:gridCol w:w="2679"/>
        <w:gridCol w:w="3811"/>
        <w:gridCol w:w="1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restart"/>
            <w:vAlign w:val="center"/>
          </w:tcPr>
          <w:p>
            <w:pPr>
              <w:pStyle w:val="71"/>
              <w:tabs>
                <w:tab w:val="left" w:pos="1260"/>
              </w:tabs>
              <w:jc w:val="center"/>
              <w:rPr>
                <w:rFonts w:ascii="宋体" w:hAnsi="宋体"/>
                <w:sz w:val="24"/>
                <w:lang w:val="en-GB"/>
              </w:rPr>
            </w:pPr>
            <w:r>
              <w:rPr>
                <w:rFonts w:hint="eastAsia" w:ascii="宋体" w:hAnsi="宋体"/>
                <w:sz w:val="24"/>
                <w:lang w:val="en-GB"/>
              </w:rPr>
              <w:t>小微企业扶持政策</w:t>
            </w:r>
          </w:p>
        </w:tc>
        <w:tc>
          <w:tcPr>
            <w:tcW w:w="8111" w:type="dxa"/>
            <w:gridSpan w:val="3"/>
            <w:vAlign w:val="center"/>
          </w:tcPr>
          <w:tbl>
            <w:tblPr>
              <w:tblStyle w:val="30"/>
              <w:tblW w:w="81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8111" w:type="dxa"/>
                  <w:vAlign w:val="center"/>
                </w:tcPr>
                <w:p>
                  <w:pPr>
                    <w:pStyle w:val="71"/>
                    <w:tabs>
                      <w:tab w:val="left" w:pos="1260"/>
                    </w:tabs>
                    <w:spacing w:line="360" w:lineRule="auto"/>
                    <w:rPr>
                      <w:rFonts w:ascii="宋体" w:hAnsi="宋体"/>
                      <w:sz w:val="24"/>
                    </w:rPr>
                  </w:pPr>
                  <w:r>
                    <w:rPr>
                      <w:rFonts w:hint="eastAsia" w:ascii="宋体" w:hAnsi="宋体"/>
                      <w:b/>
                      <w:bCs/>
                      <w:sz w:val="24"/>
                    </w:rPr>
                    <w:t>小型、微型企业投标且所投产品（指货物、工程、服务）由本企业制造，或者所投产品（仅指货物）含有其他小型、微型企业制造的，应</w:t>
                  </w:r>
                  <w:r>
                    <w:rPr>
                      <w:rFonts w:hint="eastAsia" w:ascii="宋体" w:hAnsi="宋体"/>
                      <w:b/>
                      <w:bCs/>
                      <w:sz w:val="24"/>
                      <w:lang w:val="en-GB"/>
                    </w:rPr>
                    <w:t>按要求列出具体产品与金额。</w:t>
                  </w:r>
                </w:p>
              </w:tc>
            </w:tr>
          </w:tbl>
          <w:p>
            <w:pPr>
              <w:pStyle w:val="71"/>
              <w:tabs>
                <w:tab w:val="left" w:pos="1260"/>
              </w:tabs>
              <w:spacing w:line="360" w:lineRule="auto"/>
              <w:rPr>
                <w:rFonts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continue"/>
            <w:vAlign w:val="center"/>
          </w:tcPr>
          <w:p>
            <w:pPr>
              <w:pStyle w:val="71"/>
              <w:tabs>
                <w:tab w:val="left" w:pos="1260"/>
              </w:tabs>
              <w:jc w:val="center"/>
              <w:rPr>
                <w:rFonts w:ascii="宋体" w:hAnsi="宋体"/>
                <w:sz w:val="24"/>
                <w:lang w:val="en-GB"/>
              </w:rPr>
            </w:pPr>
          </w:p>
        </w:tc>
        <w:tc>
          <w:tcPr>
            <w:tcW w:w="2679" w:type="dxa"/>
            <w:vAlign w:val="center"/>
          </w:tcPr>
          <w:p>
            <w:pPr>
              <w:pStyle w:val="71"/>
              <w:tabs>
                <w:tab w:val="left" w:pos="1260"/>
              </w:tabs>
              <w:jc w:val="center"/>
              <w:rPr>
                <w:rFonts w:ascii="宋体" w:hAnsi="宋体"/>
                <w:sz w:val="24"/>
                <w:lang w:val="en-GB"/>
              </w:rPr>
            </w:pPr>
            <w:r>
              <w:rPr>
                <w:rFonts w:hint="eastAsia" w:ascii="宋体" w:hAnsi="宋体"/>
                <w:sz w:val="24"/>
                <w:lang w:val="en-GB"/>
              </w:rPr>
              <w:t>产品名称（品牌、型号）</w:t>
            </w:r>
          </w:p>
        </w:tc>
        <w:tc>
          <w:tcPr>
            <w:tcW w:w="3811" w:type="dxa"/>
            <w:vAlign w:val="center"/>
          </w:tcPr>
          <w:p>
            <w:pPr>
              <w:pStyle w:val="71"/>
              <w:tabs>
                <w:tab w:val="left" w:pos="1260"/>
              </w:tabs>
              <w:jc w:val="center"/>
              <w:rPr>
                <w:rFonts w:ascii="宋体" w:hAnsi="宋体"/>
                <w:sz w:val="24"/>
                <w:lang w:val="en-GB"/>
              </w:rPr>
            </w:pPr>
            <w:r>
              <w:rPr>
                <w:rFonts w:hint="eastAsia" w:ascii="宋体" w:hAnsi="宋体"/>
                <w:sz w:val="24"/>
                <w:lang w:val="en-GB"/>
              </w:rPr>
              <w:t>制造企业名称</w:t>
            </w:r>
          </w:p>
        </w:tc>
        <w:tc>
          <w:tcPr>
            <w:tcW w:w="1621" w:type="dxa"/>
            <w:vAlign w:val="center"/>
          </w:tcPr>
          <w:p>
            <w:pPr>
              <w:pStyle w:val="71"/>
              <w:tabs>
                <w:tab w:val="left" w:pos="1260"/>
              </w:tabs>
              <w:jc w:val="center"/>
              <w:rPr>
                <w:rFonts w:ascii="宋体" w:hAnsi="宋体"/>
                <w:sz w:val="24"/>
                <w:lang w:val="en-GB"/>
              </w:rPr>
            </w:pPr>
            <w:r>
              <w:rPr>
                <w:rFonts w:hint="eastAsia" w:ascii="宋体" w:hAnsi="宋体"/>
                <w:sz w:val="24"/>
                <w:lang w:val="en-GB"/>
              </w:rPr>
              <w:t>金额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continue"/>
            <w:vAlign w:val="center"/>
          </w:tcPr>
          <w:p>
            <w:pPr>
              <w:pStyle w:val="71"/>
              <w:tabs>
                <w:tab w:val="left" w:pos="1260"/>
              </w:tabs>
              <w:jc w:val="center"/>
              <w:rPr>
                <w:rFonts w:ascii="宋体" w:hAnsi="宋体"/>
                <w:sz w:val="24"/>
                <w:lang w:val="en-GB"/>
              </w:rPr>
            </w:pPr>
          </w:p>
        </w:tc>
        <w:tc>
          <w:tcPr>
            <w:tcW w:w="2679" w:type="dxa"/>
            <w:vAlign w:val="center"/>
          </w:tcPr>
          <w:p>
            <w:pPr>
              <w:pStyle w:val="71"/>
              <w:tabs>
                <w:tab w:val="left" w:pos="1260"/>
              </w:tabs>
              <w:jc w:val="center"/>
              <w:rPr>
                <w:rFonts w:ascii="宋体" w:hAnsi="宋体"/>
                <w:sz w:val="24"/>
                <w:lang w:val="en-GB"/>
              </w:rPr>
            </w:pPr>
          </w:p>
        </w:tc>
        <w:tc>
          <w:tcPr>
            <w:tcW w:w="3811" w:type="dxa"/>
            <w:vAlign w:val="center"/>
          </w:tcPr>
          <w:p>
            <w:pPr>
              <w:pStyle w:val="71"/>
              <w:tabs>
                <w:tab w:val="left" w:pos="1260"/>
              </w:tabs>
              <w:jc w:val="center"/>
              <w:rPr>
                <w:rFonts w:ascii="宋体" w:hAnsi="宋体"/>
                <w:sz w:val="24"/>
                <w:lang w:val="en-GB"/>
              </w:rPr>
            </w:pPr>
          </w:p>
        </w:tc>
        <w:tc>
          <w:tcPr>
            <w:tcW w:w="1621" w:type="dxa"/>
            <w:vAlign w:val="center"/>
          </w:tcPr>
          <w:p>
            <w:pPr>
              <w:pStyle w:val="71"/>
              <w:tabs>
                <w:tab w:val="left" w:pos="1260"/>
              </w:tabs>
              <w:jc w:val="center"/>
              <w:rPr>
                <w:rFonts w:ascii="宋体" w:hAnsi="宋体"/>
                <w:sz w:val="24"/>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continue"/>
            <w:vAlign w:val="center"/>
          </w:tcPr>
          <w:p>
            <w:pPr>
              <w:pStyle w:val="71"/>
              <w:tabs>
                <w:tab w:val="left" w:pos="1260"/>
              </w:tabs>
              <w:jc w:val="center"/>
              <w:rPr>
                <w:rFonts w:ascii="宋体" w:hAnsi="宋体"/>
                <w:sz w:val="24"/>
                <w:lang w:val="en-GB"/>
              </w:rPr>
            </w:pPr>
          </w:p>
        </w:tc>
        <w:tc>
          <w:tcPr>
            <w:tcW w:w="2679" w:type="dxa"/>
            <w:vAlign w:val="center"/>
          </w:tcPr>
          <w:p>
            <w:pPr>
              <w:pStyle w:val="71"/>
              <w:tabs>
                <w:tab w:val="left" w:pos="1260"/>
              </w:tabs>
              <w:jc w:val="center"/>
              <w:rPr>
                <w:rFonts w:ascii="宋体" w:hAnsi="宋体"/>
                <w:sz w:val="24"/>
                <w:lang w:val="en-GB"/>
              </w:rPr>
            </w:pPr>
          </w:p>
        </w:tc>
        <w:tc>
          <w:tcPr>
            <w:tcW w:w="3811" w:type="dxa"/>
            <w:vAlign w:val="center"/>
          </w:tcPr>
          <w:p>
            <w:pPr>
              <w:pStyle w:val="71"/>
              <w:tabs>
                <w:tab w:val="left" w:pos="1260"/>
              </w:tabs>
              <w:jc w:val="center"/>
              <w:rPr>
                <w:rFonts w:ascii="宋体" w:hAnsi="宋体"/>
                <w:sz w:val="24"/>
                <w:lang w:val="en-GB"/>
              </w:rPr>
            </w:pPr>
          </w:p>
        </w:tc>
        <w:tc>
          <w:tcPr>
            <w:tcW w:w="1621" w:type="dxa"/>
            <w:vAlign w:val="center"/>
          </w:tcPr>
          <w:p>
            <w:pPr>
              <w:pStyle w:val="71"/>
              <w:tabs>
                <w:tab w:val="left" w:pos="1260"/>
              </w:tabs>
              <w:jc w:val="center"/>
              <w:rPr>
                <w:rFonts w:ascii="宋体" w:hAnsi="宋体"/>
                <w:sz w:val="24"/>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continue"/>
            <w:vAlign w:val="center"/>
          </w:tcPr>
          <w:p>
            <w:pPr>
              <w:pStyle w:val="71"/>
              <w:tabs>
                <w:tab w:val="left" w:pos="1260"/>
              </w:tabs>
              <w:jc w:val="center"/>
              <w:rPr>
                <w:rFonts w:ascii="宋体" w:hAnsi="宋体"/>
                <w:sz w:val="24"/>
                <w:lang w:val="en-GB"/>
              </w:rPr>
            </w:pPr>
          </w:p>
        </w:tc>
        <w:tc>
          <w:tcPr>
            <w:tcW w:w="2679" w:type="dxa"/>
            <w:vAlign w:val="center"/>
          </w:tcPr>
          <w:p>
            <w:pPr>
              <w:pStyle w:val="71"/>
              <w:tabs>
                <w:tab w:val="left" w:pos="1260"/>
              </w:tabs>
              <w:jc w:val="center"/>
              <w:rPr>
                <w:rFonts w:ascii="宋体" w:hAnsi="宋体"/>
                <w:sz w:val="24"/>
                <w:lang w:val="en-GB"/>
              </w:rPr>
            </w:pPr>
          </w:p>
        </w:tc>
        <w:tc>
          <w:tcPr>
            <w:tcW w:w="3811" w:type="dxa"/>
            <w:vAlign w:val="center"/>
          </w:tcPr>
          <w:p>
            <w:pPr>
              <w:pStyle w:val="71"/>
              <w:tabs>
                <w:tab w:val="left" w:pos="1260"/>
              </w:tabs>
              <w:jc w:val="center"/>
              <w:rPr>
                <w:rFonts w:ascii="宋体" w:hAnsi="宋体"/>
                <w:sz w:val="24"/>
                <w:lang w:val="en-GB"/>
              </w:rPr>
            </w:pPr>
          </w:p>
        </w:tc>
        <w:tc>
          <w:tcPr>
            <w:tcW w:w="1621" w:type="dxa"/>
            <w:vAlign w:val="center"/>
          </w:tcPr>
          <w:p>
            <w:pPr>
              <w:pStyle w:val="71"/>
              <w:tabs>
                <w:tab w:val="left" w:pos="1260"/>
              </w:tabs>
              <w:jc w:val="center"/>
              <w:rPr>
                <w:rFonts w:ascii="宋体" w:hAnsi="宋体"/>
                <w:sz w:val="24"/>
                <w:lang w:val="en-GB"/>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9" w:hRule="atLeast"/>
          <w:jc w:val="center"/>
        </w:trPr>
        <w:tc>
          <w:tcPr>
            <w:tcW w:w="1015" w:type="dxa"/>
            <w:vMerge w:val="continue"/>
            <w:vAlign w:val="center"/>
          </w:tcPr>
          <w:p>
            <w:pPr>
              <w:pStyle w:val="71"/>
              <w:tabs>
                <w:tab w:val="left" w:pos="1260"/>
              </w:tabs>
              <w:jc w:val="center"/>
              <w:rPr>
                <w:rFonts w:ascii="宋体" w:hAnsi="宋体"/>
                <w:sz w:val="24"/>
                <w:lang w:val="en-GB"/>
              </w:rPr>
            </w:pPr>
          </w:p>
        </w:tc>
        <w:tc>
          <w:tcPr>
            <w:tcW w:w="6490" w:type="dxa"/>
            <w:gridSpan w:val="2"/>
            <w:vAlign w:val="center"/>
          </w:tcPr>
          <w:p>
            <w:pPr>
              <w:pStyle w:val="71"/>
              <w:tabs>
                <w:tab w:val="left" w:pos="1260"/>
              </w:tabs>
              <w:jc w:val="center"/>
              <w:rPr>
                <w:rFonts w:ascii="宋体" w:hAnsi="宋体"/>
                <w:sz w:val="24"/>
                <w:lang w:val="en-GB"/>
              </w:rPr>
            </w:pPr>
            <w:r>
              <w:rPr>
                <w:rFonts w:hint="eastAsia" w:ascii="宋体" w:hAnsi="宋体"/>
                <w:sz w:val="24"/>
              </w:rPr>
              <w:t>小型、微型企业产品</w:t>
            </w:r>
            <w:r>
              <w:rPr>
                <w:rFonts w:hint="eastAsia" w:ascii="宋体" w:hAnsi="宋体"/>
                <w:sz w:val="24"/>
                <w:lang w:val="en-GB"/>
              </w:rPr>
              <w:t>金额合计（元）</w:t>
            </w:r>
          </w:p>
          <w:p/>
        </w:tc>
        <w:tc>
          <w:tcPr>
            <w:tcW w:w="1621" w:type="dxa"/>
            <w:vAlign w:val="center"/>
          </w:tcPr>
          <w:p>
            <w:pPr>
              <w:pStyle w:val="71"/>
              <w:tabs>
                <w:tab w:val="left" w:pos="1260"/>
              </w:tabs>
              <w:jc w:val="center"/>
              <w:rPr>
                <w:rFonts w:ascii="宋体" w:hAnsi="宋体"/>
                <w:sz w:val="24"/>
                <w:lang w:val="en-GB"/>
              </w:rPr>
            </w:pPr>
          </w:p>
        </w:tc>
      </w:tr>
    </w:tbl>
    <w:p>
      <w:pPr>
        <w:pStyle w:val="71"/>
        <w:spacing w:line="360" w:lineRule="auto"/>
        <w:rPr>
          <w:rFonts w:ascii="宋体" w:hAnsi="宋体"/>
          <w:szCs w:val="21"/>
          <w:lang w:val="en-GB"/>
        </w:rPr>
      </w:pPr>
    </w:p>
    <w:p>
      <w:pPr>
        <w:pStyle w:val="71"/>
        <w:spacing w:line="360" w:lineRule="auto"/>
        <w:rPr>
          <w:rFonts w:ascii="宋体" w:hAnsi="宋体"/>
          <w:szCs w:val="21"/>
          <w:lang w:val="en-GB"/>
        </w:rPr>
      </w:pPr>
      <w:r>
        <w:rPr>
          <w:rFonts w:hint="eastAsia" w:ascii="宋体" w:hAnsi="宋体"/>
          <w:szCs w:val="21"/>
          <w:lang w:val="en-GB"/>
        </w:rPr>
        <w:t>填报要求：</w:t>
      </w:r>
    </w:p>
    <w:p>
      <w:pPr>
        <w:pStyle w:val="71"/>
        <w:widowControl/>
        <w:numPr>
          <w:ilvl w:val="0"/>
          <w:numId w:val="10"/>
        </w:numPr>
        <w:spacing w:line="360" w:lineRule="auto"/>
        <w:ind w:right="84" w:rightChars="40"/>
        <w:jc w:val="left"/>
        <w:rPr>
          <w:rFonts w:ascii="宋体" w:hAnsi="宋体"/>
          <w:szCs w:val="21"/>
          <w:lang w:val="en-GB"/>
        </w:rPr>
      </w:pPr>
      <w:r>
        <w:rPr>
          <w:rFonts w:hint="eastAsia" w:ascii="宋体" w:hAnsi="宋体"/>
          <w:szCs w:val="21"/>
          <w:lang w:val="en-GB"/>
        </w:rPr>
        <w:t>本表的产品名称、规格型号和注册商标、金额要与《报价明细表》一致。</w:t>
      </w:r>
    </w:p>
    <w:p>
      <w:pPr>
        <w:pStyle w:val="71"/>
        <w:widowControl/>
        <w:numPr>
          <w:ilvl w:val="0"/>
          <w:numId w:val="10"/>
        </w:numPr>
        <w:tabs>
          <w:tab w:val="left" w:pos="360"/>
        </w:tabs>
        <w:spacing w:line="360" w:lineRule="auto"/>
        <w:ind w:left="360" w:right="84" w:rightChars="40" w:hanging="360"/>
        <w:jc w:val="left"/>
        <w:rPr>
          <w:rFonts w:ascii="宋体" w:hAnsi="宋体"/>
          <w:szCs w:val="21"/>
          <w:lang w:val="en-GB"/>
        </w:rPr>
      </w:pPr>
      <w:r>
        <w:rPr>
          <w:rFonts w:hint="eastAsia" w:ascii="宋体" w:hAnsi="宋体"/>
          <w:szCs w:val="21"/>
          <w:lang w:val="en-GB"/>
        </w:rPr>
        <w:t>制造商为小型或微型企业时才需要填“制造商企业类型”栏，填写内容为“小型”或“微型”。</w:t>
      </w:r>
    </w:p>
    <w:p>
      <w:pPr>
        <w:pStyle w:val="71"/>
        <w:widowControl/>
        <w:numPr>
          <w:ilvl w:val="0"/>
          <w:numId w:val="10"/>
        </w:numPr>
        <w:spacing w:line="360" w:lineRule="auto"/>
        <w:ind w:right="84" w:rightChars="40"/>
        <w:jc w:val="left"/>
        <w:rPr>
          <w:rFonts w:ascii="宋体" w:hAnsi="宋体"/>
          <w:szCs w:val="21"/>
          <w:lang w:val="en-GB"/>
        </w:rPr>
      </w:pPr>
      <w:r>
        <w:rPr>
          <w:rFonts w:hint="eastAsia" w:ascii="宋体" w:hAnsi="宋体"/>
          <w:szCs w:val="21"/>
          <w:lang w:val="en-GB"/>
        </w:rPr>
        <w:t>请投标人正确填写本表，所填内容将作为评分依据（以“小型、微型企业产品金额合计”为准进行价格折扣，表中所填内容必须与政府采购优惠政策需提供的相关资料相符，如出现不相符或提供资料不全的，该小型、微型企业</w:t>
      </w:r>
      <w:r>
        <w:rPr>
          <w:rFonts w:hint="eastAsia" w:ascii="宋体" w:hAnsi="宋体"/>
          <w:szCs w:val="21"/>
        </w:rPr>
        <w:t>不符产品核</w:t>
      </w:r>
      <w:r>
        <w:rPr>
          <w:rFonts w:hint="eastAsia" w:ascii="宋体" w:hAnsi="宋体"/>
          <w:szCs w:val="21"/>
          <w:lang w:val="en-GB"/>
        </w:rPr>
        <w:t>计金额将不予以享受小微企业扶持政策优惠）。</w:t>
      </w:r>
    </w:p>
    <w:p>
      <w:pPr>
        <w:pStyle w:val="11"/>
        <w:rPr>
          <w:rFonts w:hint="default" w:ascii="宋体" w:hAnsi="宋体" w:eastAsia="宋体" w:cs="Times New Roman"/>
          <w:b/>
          <w:color w:val="000000"/>
          <w:kern w:val="2"/>
          <w:sz w:val="28"/>
          <w:szCs w:val="24"/>
          <w:lang w:val="en-US" w:eastAsia="zh-CN" w:bidi="ar-SA"/>
        </w:rPr>
      </w:pPr>
    </w:p>
    <w:sectPr>
      <w:pgSz w:w="11906" w:h="16838"/>
      <w:pgMar w:top="1440" w:right="1803" w:bottom="1440" w:left="1803" w:header="851" w:footer="992" w:gutter="0"/>
      <w:pgNumType w:fmt="decimal"/>
      <w:cols w:space="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方正书宋简体">
    <w:altName w:val="宋体"/>
    <w:panose1 w:val="00000000000000000000"/>
    <w:charset w:val="86"/>
    <w:family w:val="script"/>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003" w:usb1="288F0000" w:usb2="00000006" w:usb3="00000000" w:csb0="00040001" w:csb1="00000000"/>
  </w:font>
  <w:font w:name="Arial (W1)">
    <w:altName w:val="Arial"/>
    <w:panose1 w:val="00000000000000000000"/>
    <w:charset w:val="00"/>
    <w:family w:val="auto"/>
    <w:pitch w:val="default"/>
    <w:sig w:usb0="00000000" w:usb1="00000000" w:usb2="00000000" w:usb3="00000000" w:csb0="00000001" w:csb1="00000000"/>
  </w:font>
  <w:font w:name="Wingdings 2">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 AQAADwAAAGRycy9kb3ducmV2LnhtbE2PQUvDQBCF74L/YRmhN7tpKxJiNgVL06Ng48HjNjsm0d3Z sLtN4793FEEvwzze8OZ75XZ2VkwY4uBJwWqZgUBqvRmoU/DS1Lc5iJg0GW09oYJPjLCtrq9KXRh/ oWecjqkTHEKx0Ar6lMZCytj26HRc+hGJvTcfnE4sQydN0BcOd1aus+xeOj0Qf+j1iLse24/j2SnY 1U0TJozBvuKh3rw/Pd7hflZqcbPKHkAknNPfMXzjMzpUzHTyZzJRWAVcJP1M9tZ5zvL0u8iqlP/p qy9QSwMEFAAAAAgAh07iQGEyFQwzAgAAYwQAAA4AAABkcnMvZTJvRG9jLnhtbK1UzY7TMBC+I/EO lu80aYGqqpquylZFSBW7UkGcXcdpIvlPttukPAC8AScu3Pe5+hx8zk8XLRz2wMUZe8bf+PtmJoub RklyEs5XRmd0PEopEZqbvNKHjH7+tHk1o8QHpnMmjRYZPQtPb5YvXyxqOxcTUxqZC0cAov28thkt Q7DzJPG8FIr5kbFCw1kYp1jA1h2S3LEa6EomkzSdJrVxuXWGC+9xuu6ctEd0zwE0RVFxsTb8qIQO HaoTkgVQ8mVlPV22ry0KwcNdUXgRiMwomIZ2RRLY+7gmywWbHxyzZcX7J7DnPOEJJ8UqjaRXqDUL jBxd9ReUqrgz3hRhxI1KOiKtImAxTp9osyuZFS0XSO3tVXT//2D5x9O9I1We0TdTSjRTqPjlx/fL z4fLr28EZxCotn6OuJ1FZGjemQZtM5x7HEbeTeFU/IIRgR/ynq/yiiYQHi/NJrNZCheHb9gAP3m8 bp0P74VRJBoZdahfKys7bX3oQoeQmE2bTSVlW0OpSZ3R6eu3aXvh6gG41MgRSXSPjVZo9k3PbG/y M4g50/WGt3xTIfmW+XDPHJoBD8a4hDsshTRIYnqLktK4r/86j/GoEbyU1GiujGrMEiXyg0btABgG ww3GfjD0Ud0adOsYY2h5a+KCC3IwC2fUF8zQKuaAi2mOTBkNg3kbugbHDHKxWrVBR+uqQ9ldQOdZ FrZ6Z3lME4X0dnUMELPVOArUqdLrht5rq9TPSWzuP/dt1OO/YfkbUEsDBAoAAAAAAIdO4kAAAAAA AAAAAAAAAAAGAAAAX3JlbHMvUEsDBBQAAAAIAIdO4kCKFGY80QAAAJQBAAALAAAAX3JlbHMvLnJl bHOlkMFqwzAMhu+DvYPRfXGawxijTi+j0GvpHsDYimMaW0Yy2fr28w6DZfS2o36h7xP//vCZFrUi S6RsYNf1oDA78jEHA++X49MLKKk2e7tQRgM3FDiMjw/7My62tiOZYxHVKFkMzLWWV63FzZisdFQw t81EnGxtIwddrLvagHro+2fNvxkwbpjq5A3wyQ+gLrfSzH/YKTomoal2jpKmaYruHlUHtmWO7sg2 4Ru5RrMcsBrwLBoHalnXfgR9X7/7p97TRz7jutV+h4zrj1dvuhy/AFBLAwQUAAAACACHTuJAfubl IPcAAADhAQAAEwAAAFtDb250ZW50X1R5cGVzXS54bWyVkUFOwzAQRfdI3MHyFiVOu0AIJemCtEtA qBxgZE8Si2RseUxob4+TthtEkVjaM/+/J7vcHMZBTBjYOqrkKi+kQNLOWOoq+b7fZQ9ScAQyMDjC Sh6R5aa+vSn3R48sUpq4kn2M/lEp1j2OwLnzSGnSujBCTMfQKQ/6AzpU66K4V9pRRIpZnDtkXTbY wucQxfaQrk8mAQeW4um0OLMqCd4PVkNMpmoi84OSnQl5Si473FvPd0lDql8J8+Q64Jx7SU8TrEHx CiE+w5g0lAmsjPuigFP+d8lsOXLm2tZqzJvATYq94XSxutaOa9c4/d/y7ZK6dKvlg+pvUEsBAhQA FAAAAAgAh07iQH7m5SD3AAAA4QEAABMAAAAAAAAAAQAgAAAAnAQAAFtDb250ZW50X1R5cGVzXS54 bWxQSwECFAAKAAAAAACHTuJAAAAAAAAAAAAAAAAABgAAAAAAAAAAABAAAAB+AwAAX3JlbHMvUEsB AhQAFAAAAAgAh07iQIoUZjzRAAAAlAEAAAsAAAAAAAAAAQAgAAAAogMAAF9yZWxzLy5yZWxzUEsB AhQACgAAAAAAh07iQAAAAAAAAAAAAAAAAAQAAAAAAAAAAAAQAAAAAAAAAGRycy9QSwECFAAUAAAA CACHTuJAs0lY7tAAAAAFAQAADwAAAAAAAAABACAAAAAiAAAAZHJzL2Rvd25yZXYueG1sUEsBAhQA FAAAAAgAh07iQGEyFQwzAgAAYwQAAA4AAAAAAAAAAQAgAAAAHwEAAGRycy9lMm9Eb2MueG1sUEsF BgAAAAAGAAYAWQEAAMQFAAAAAA== ">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 AQAADwAAAGRycy9kb3ducmV2LnhtbE2PQUvDQBCF74L/YRmhN7tpKxJiNgVL06Ng48HjNjsm0d3Z sLtN4793FEEvwzze8OZ75XZ2VkwY4uBJwWqZgUBqvRmoU/DS1Lc5iJg0GW09oYJPjLCtrq9KXRh/ oWecjqkTHEKx0Ar6lMZCytj26HRc+hGJvTcfnE4sQydN0BcOd1aus+xeOj0Qf+j1iLse24/j2SnY 1U0TJozBvuKh3rw/Pd7hflZqcbPKHkAknNPfMXzjMzpUzHTyZzJRWAVcJP1M9tZ5zvL0u8iqlP/p qy9QSwMEFAAAAAgAh07iQDqSjhEzAgAAYwQAAA4AAABkcnMvZTJvRG9jLnhtbK1UzY7TMBC+I/EO lu80aYFVVTVdla2KkCp2pQVxdh2nseQ/2W6T8gDwBpy4cN/n6nPwOWm6aOGwBy7O2DP+xt83M5lf t1qRg/BBWlPQ8SinRBhuS2l2Bf38af1qSkmIzJRMWSMKehSBXi9evpg3biYmtraqFJ4AxIRZ4wpa x+hmWRZ4LTQLI+uEgbOyXrOIrd9lpWcN0LXKJnl+lTXWl85bLkLA6ap30jOifw6grSrJxcryvRYm 9qheKBZBKdTSBbroXltVgsfbqgoiElVQMI3diiSwt2nNFnM223nmasnPT2DPecITTppJg6QXqBWL jOy9/AtKS+5tsFUccauznkinCFiM8yfa3NfMiY4LpA7uInr4f7D84+HOE1kW9A3qbphGxU8/vp9+ Ppx+fSM4g0CNCzPE3TtExvadbdE2w3nAYeLdVl6nLxgR+CHv8SKvaCPh6dJ0Mp3mcHH4hg3ws8fr zof4XlhNklFQj/p1srLDJsQ+dAhJ2YxdS6W6GipDmoJevX6bdxcuHoArgxyJRP/YZMV2256ZbW15 BDFv+94Ijq8lkm9YiHfMoxnwYIxLvMVSKYsk9mxRUlv/9V/nKR41gpeSBs1VUINZokR9MKgdAONg +MHYDobZ6xuLbh1jDB3vTFzwUQ1m5a3+ghlaphxwMcORqaBxMG9i3+CYQS6Wyy5o77zc1f0FdJ5j cWPuHU9pkpDBLfcRYnYaJ4F6Vc66ofe6Kp3nJDX3n/su6vHfsPgNUEsDBAoAAAAAAIdO4kAAAAAA AAAAAAAAAAAGAAAAX3JlbHMvUEsDBBQAAAAIAIdO4kCKFGY80QAAAJQBAAALAAAAX3JlbHMvLnJl bHOlkMFqwzAMhu+DvYPRfXGawxijTi+j0GvpHsDYimMaW0Yy2fr28w6DZfS2o36h7xP//vCZFrUi S6RsYNf1oDA78jEHA++X49MLKKk2e7tQRgM3FDiMjw/7My62tiOZYxHVKFkMzLWWV63FzZisdFQw t81EnGxtIwddrLvagHro+2fNvxkwbpjq5A3wyQ+gLrfSzH/YKTomoal2jpKmaYruHlUHtmWO7sg2 4Ru5RrMcsBrwLBoHalnXfgR9X7/7p97TRz7jutV+h4zrj1dvuhy/AFBLAwQUAAAACACHTuJAfubl IPcAAADhAQAAEwAAAFtDb250ZW50X1R5cGVzXS54bWyVkUFOwzAQRfdI3MHyFiVOu0AIJemCtEtA qBxgZE8Si2RseUxob4+TthtEkVjaM/+/J7vcHMZBTBjYOqrkKi+kQNLOWOoq+b7fZQ9ScAQyMDjC Sh6R5aa+vSn3R48sUpq4kn2M/lEp1j2OwLnzSGnSujBCTMfQKQ/6AzpU66K4V9pRRIpZnDtkXTbY wucQxfaQrk8mAQeW4um0OLMqCd4PVkNMpmoi84OSnQl5Si473FvPd0lDql8J8+Q64Jx7SU8TrEHx CiE+w5g0lAmsjPuigFP+d8lsOXLm2tZqzJvATYq94XSxutaOa9c4/d/y7ZK6dKvlg+pvUEsBAhQA FAAAAAgAh07iQH7m5SD3AAAA4QEAABMAAAAAAAAAAQAgAAAAnAQAAFtDb250ZW50X1R5cGVzXS54 bWxQSwECFAAKAAAAAACHTuJAAAAAAAAAAAAAAAAABgAAAAAAAAAAABAAAAB+AwAAX3JlbHMvUEsB AhQAFAAAAAgAh07iQIoUZjzRAAAAlAEAAAsAAAAAAAAAAQAgAAAAogMAAF9yZWxzLy5yZWxzUEsB AhQACgAAAAAAh07iQAAAAAAAAAAAAAAAAAQAAAAAAAAAAAAQAAAAAAAAAGRycy9QSwECFAAUAAAA CACHTuJAs0lY7tAAAAAFAQAADwAAAAAAAAABACAAAAAiAAAAZHJzL2Rvd25yZXYueG1sUEsBAhQA FAAAAAgAh07iQDqSjhEzAgAAYwQAAA4AAAAAAAAAAQAgAAAAHwEAAGRycy9lMm9Eb2MueG1sUEsF BgAAAAAGAAYAWQEAAMQFAAAAAA== ">
              <v:fill on="f" focussize="0,0"/>
              <v:stroke on="f" weight="0.5pt"/>
              <v:imagedata o:title=""/>
              <o:lock v:ext="edit" aspectratio="f"/>
              <v:textbox inset="0mm,0mm,0mm,0mm" style="mso-fit-shape-to-text:t;">
                <w:txbxContent>
                  <w:p>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jc w:val="center"/>
                          </w:pPr>
                          <w:r>
                            <w:fldChar w:fldCharType="begin"/>
                          </w:r>
                          <w:r>
                            <w:instrText xml:space="preserve"> PAGE   \* MERGEFORMAT </w:instrText>
                          </w:r>
                          <w:r>
                            <w:fldChar w:fldCharType="separate"/>
                          </w:r>
                          <w:r>
                            <w:rPr>
                              <w:lang w:val="zh-CN"/>
                            </w:rP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 AQAADwAAAGRycy9kb3ducmV2LnhtbE2PQUvDQBCF74L/YRmhN7tpKxJiNgVL06Ng48HjNjsm0d3Z sLtN4793FEEvwzze8OZ75XZ2VkwY4uBJwWqZgUBqvRmoU/DS1Lc5iJg0GW09oYJPjLCtrq9KXRh/ oWecjqkTHEKx0Ar6lMZCytj26HRc+hGJvTcfnE4sQydN0BcOd1aus+xeOj0Qf+j1iLse24/j2SnY 1U0TJozBvuKh3rw/Pd7hflZqcbPKHkAknNPfMXzjMzpUzHTyZzJRWAVcJP1M9tZ5zvL0u8iqlP/p qy9QSwMEFAAAAAgAh07iQObM3OczAgAAYwQAAA4AAABkcnMvZTJvRG9jLnhtbK1UzY7TMBC+I/EO lu80aWFXVdV0VbYqQqrYlRbE2XWcJpL/ZLtNygPAG3Diwp3n6nPw2Wm6aOGwBy7O2DP+xt83M5nf dEqSg3C+Mbqg41FOidDclI3eFfTTx/WrKSU+MF0yabQo6FF4erN4+WLe2pmYmNrIUjgCEO1nrS1o HYKdZZnntVDMj4wVGs7KOMUCtm6XlY61QFcym+T5ddYaV1pnuPAep6veSc+I7jmApqoaLlaG75XQ oUd1QrIASr5urKeL9NqqEjzcVZUXgciCgmlIK5LA3sY1W8zZbOeYrRt+fgJ7zhOecFKs0Uh6gVqx wMjeNX9BqYY7400VRtyorCeSFAGLcf5Em4eaWZG4QGpvL6L7/wfLPxzuHWnKgr65okQzhYqfvn87 /fh1+vmV4AwCtdbPEPdgERm6t6ZD2wznHoeRd1c5Fb9gROCHvMeLvKILhMdL08l0msPF4Rs2wM8e r1vnwzthFIlGQR3ql2Rlh40PfegQErNps26kTDWUmrQFvX59lacLFw/ApUaOSKJ/bLRCt+3OzLam PIKYM31veMvXDZJvmA/3zKEZ8GCMS7jDUkmDJOZsUVIb9+Vf5zEeNYKXkhbNVVCNWaJEvteoHQDD YLjB2A6G3qtbg24dYwwtTyYuuCAHs3JGfcYMLWMOuJjmyFTQMJi3oW9wzCAXy2UK2lvX7Or+AjrP srDRD5bHNFFIb5f7ADGTxlGgXpWzbui9VKXznMTm/nOfoh7/DYvfUEsDBAoAAAAAAIdO4kAAAAAA AAAAAAAAAAAGAAAAX3JlbHMvUEsDBBQAAAAIAIdO4kCKFGY80QAAAJQBAAALAAAAX3JlbHMvLnJl bHOlkMFqwzAMhu+DvYPRfXGawxijTi+j0GvpHsDYimMaW0Yy2fr28w6DZfS2o36h7xP//vCZFrUi S6RsYNf1oDA78jEHA++X49MLKKk2e7tQRgM3FDiMjw/7My62tiOZYxHVKFkMzLWWV63FzZisdFQw t81EnGxtIwddrLvagHro+2fNvxkwbpjq5A3wyQ+gLrfSzH/YKTomoal2jpKmaYruHlUHtmWO7sg2 4Ru5RrMcsBrwLBoHalnXfgR9X7/7p97TRz7jutV+h4zrj1dvuhy/AFBLAwQUAAAACACHTuJAfubl IPcAAADhAQAAEwAAAFtDb250ZW50X1R5cGVzXS54bWyVkUFOwzAQRfdI3MHyFiVOu0AIJemCtEtA qBxgZE8Si2RseUxob4+TthtEkVjaM/+/J7vcHMZBTBjYOqrkKi+kQNLOWOoq+b7fZQ9ScAQyMDjC Sh6R5aa+vSn3R48sUpq4kn2M/lEp1j2OwLnzSGnSujBCTMfQKQ/6AzpU66K4V9pRRIpZnDtkXTbY wucQxfaQrk8mAQeW4um0OLMqCd4PVkNMpmoi84OSnQl5Si473FvPd0lDql8J8+Q64Jx7SU8TrEHx CiE+w5g0lAmsjPuigFP+d8lsOXLm2tZqzJvATYq94XSxutaOa9c4/d/y7ZK6dKvlg+pvUEsBAhQA FAAAAAgAh07iQH7m5SD3AAAA4QEAABMAAAAAAAAAAQAgAAAAnAQAAFtDb250ZW50X1R5cGVzXS54 bWxQSwECFAAKAAAAAACHTuJAAAAAAAAAAAAAAAAABgAAAAAAAAAAABAAAAB+AwAAX3JlbHMvUEsB AhQAFAAAAAgAh07iQIoUZjzRAAAAlAEAAAsAAAAAAAAAAQAgAAAAogMAAF9yZWxzLy5yZWxzUEsB AhQACgAAAAAAh07iQAAAAAAAAAAAAAAAAAQAAAAAAAAAAAAQAAAAAAAAAGRycy9QSwECFAAUAAAA CACHTuJAs0lY7tAAAAAFAQAADwAAAAAAAAABACAAAAAiAAAAZHJzL2Rvd25yZXYueG1sUEsBAhQA FAAAAAgAh07iQObM3OczAgAAYwQAAA4AAAAAAAAAAQAgAAAAHwEAAGRycy9lMm9Eb2MueG1sUEsF BgAAAAAGAAYAWQEAAMQFAAAAAA== ">
              <v:fill on="f" focussize="0,0"/>
              <v:stroke on="f" weight="0.5pt"/>
              <v:imagedata o:title=""/>
              <o:lock v:ext="edit" aspectratio="f"/>
              <v:textbox inset="0mm,0mm,0mm,0mm" style="mso-fit-shape-to-text:t;">
                <w:txbxContent>
                  <w:p>
                    <w:pPr>
                      <w:pStyle w:val="19"/>
                      <w:jc w:val="center"/>
                    </w:pPr>
                    <w:r>
                      <w:fldChar w:fldCharType="begin"/>
                    </w:r>
                    <w:r>
                      <w:instrText xml:space="preserve"> PAGE   \* MERGEFORMAT </w:instrText>
                    </w:r>
                    <w:r>
                      <w:fldChar w:fldCharType="separate"/>
                    </w:r>
                    <w:r>
                      <w:rPr>
                        <w:lang w:val="zh-CN"/>
                      </w:rPr>
                      <w:t>20</w:t>
                    </w:r>
                    <w:r>
                      <w:fldChar w:fldCharType="end"/>
                    </w:r>
                  </w:p>
                </w:txbxContent>
              </v:textbox>
            </v:shape>
          </w:pict>
        </mc:Fallback>
      </mc:AlternateContent>
    </w:r>
  </w:p>
  <w:p>
    <w:pPr>
      <w:pStyle w:val="1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jc w:val="both"/>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 AQAADwAAAGRycy9kb3ducmV2LnhtbE2PQUvDQBCF74L/YRmhN7tpKxJiNgVL06Ng48HjNjsm0d3Z sLtN4793FEEvwzze8OZ75XZ2VkwY4uBJwWqZgUBqvRmoU/DS1Lc5iJg0GW09oYJPjLCtrq9KXRh/ oWecjqkTHEKx0Ar6lMZCytj26HRc+hGJvTcfnE4sQydN0BcOd1aus+xeOj0Qf+j1iLse24/j2SnY 1U0TJozBvuKh3rw/Pd7hflZqcbPKHkAknNPfMXzjMzpUzHTyZzJRWAVcJP1M9tZ5zvL0u8iqlP/p qy9QSwMEFAAAAAgAh07iQC5WZn4yAgAAYwQAAA4AAABkcnMvZTJvRG9jLnhtbK1US44TMRDdI3EH y3vSSUaMoiidUZgoCCliRhoQa8ftTlvyT7aT7nAAuAErNuw5V84xz/3JoIHFLNi4y67yK79XVb24 abQiR+GDtCank9GYEmG4LaTZ5/Tzp82bGSUhMlMwZY3I6UkEerN8/WpRu7mY2sqqQngCEBPmtctp FaObZ1ngldAsjKwTBs7Ses0itn6fFZ7VQNcqm47H11ltfeG85SIEnK47J+0R/UsAbVlKLtaWH7Qw sUP1QrEISqGSLtBl+9qyFDzelWUQkaicgmlsVySBvUtrtlyw+d4zV0neP4G95AnPOGkmDZJeoNYs MnLw8i8oLbm3wZZxxK3OOiKtImAxGT/T5qFiTrRcIHVwF9HD/4PlH4/3nsgCnXBFiWEaFT//+H7+ +fv86xvBGQSqXZgj7sEhMjbvbIPg4TzgMPFuSq/TF4wI/JD3dJFXNJHwdGk2nc3GcHH4hg3ws6fr zof4XlhNkpFTj/q1srLjNsQudAhJ2YzdSKXaGipD6pxeX70dtxcuHoArgxyJRPfYZMVm1/TMdrY4 gZi3XW8ExzcSybcsxHvm0Qx4MMYl3mEplUUS21uUVNZ//dd5ikeN4KWkRnPl1GCWKFEfDGoHwDgY fjB2g2EO+taiWycYQ8dbExd8VINZequ/YIZWKQdczHBkymkczNvYNThmkIvVqg06OC/3VXcBnedY 3JoHx1OaJGRwq0OEmK3GSaBOlV439F5bpX5OUnP/uW+jnv4Ny0dQSwMECgAAAAAAh07iQAAAAAAA AAAAAAAAAAYAAABfcmVscy9QSwMEFAAAAAgAh07iQIoUZjzRAAAAlAEAAAsAAABfcmVscy8ucmVs c6WQwWrDMAyG74O9g9F9cZrDGKNOL6PQa+kewNiKYxpbRjLZ+vbzDoNl9LajfqHvE//+8JkWtSJL pGxg1/WgMDvyMQcD75fj0wsoqTZ7u1BGAzcUOIyPD/szLra2I5ljEdUoWQzMtZZXrcXNmKx0VDC3 zUScbG0jB12su9qAeuj7Z82/GTBumOrkDfDJD6Aut9LMf9gpOiahqXaOkqZpiu4eVQe2ZY7uyDbh G7lGsxywGvAsGgdqWdd+BH1fv/un3tNHPuO61X6HjOuPV2+6HL8AUEsDBBQAAAAIAIdO4kB+5uUg 9wAAAOEBAAATAAAAW0NvbnRlbnRfVHlwZXNdLnhtbJWRQU7DMBBF90jcwfIWJU67QAgl6YK0S0Co HGBkTxKLZGx5TGhvj5O2G0SRWNoz/78nu9wcxkFMGNg6quQqL6RA0s5Y6ir5vt9lD1JwBDIwOMJK HpHlpr69KfdHjyxSmriSfYz+USnWPY7AufNIadK6MEJMx9ApD/oDOlTrorhX2lFEilmcO2RdNtjC 5xDF9pCuTyYBB5bi6bQ4syoJ3g9WQ0ymaiLzg5KdCXlKLjvcW893SUOqXwnz5DrgnHtJTxOsQfEK IT7DmDSUCayM+6KAU/53yWw5cuba1mrMm8BNir3hdLG61o5r1zj93/Ltkrp0q+WD6m9QSwECFAAU AAAACACHTuJAfublIPcAAADhAQAAEwAAAAAAAAABACAAAACbBAAAW0NvbnRlbnRfVHlwZXNdLnht bFBLAQIUAAoAAAAAAIdO4kAAAAAAAAAAAAAAAAAGAAAAAAAAAAAAEAAAAH0DAABfcmVscy9QSwEC FAAUAAAACACHTuJAihRmPNEAAACUAQAACwAAAAAAAAABACAAAAChAwAAX3JlbHMvLnJlbHNQSwEC FAAKAAAAAACHTuJAAAAAAAAAAAAAAAAABAAAAAAAAAAAABAAAAAAAAAAZHJzL1BLAQIUABQAAAAI AIdO4kCzSVju0AAAAAUBAAAPAAAAAAAAAAEAIAAAACIAAABkcnMvZG93bnJldi54bWxQSwECFAAU AAAACACHTuJALlZmfjICAABjBAAADgAAAAAAAAABACAAAAAfAQAAZHJzL2Uyb0RvYy54bWxQSwUG AAAAAAYABgBZAQAAwwUAAAAA ">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3</w:t>
                    </w:r>
                    <w:r>
                      <w:fldChar w:fldCharType="end"/>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 AQAADwAAAGRycy9kb3ducmV2LnhtbE2PQUvDQBCF74L/YRmhN7tpKxJiNgVL06Ng48HjNjsm0d3Z sLtN4793FEEvwzze8OZ75XZ2VkwY4uBJwWqZgUBqvRmoU/DS1Lc5iJg0GW09oYJPjLCtrq9KXRh/ oWecjqkTHEKx0Ar6lMZCytj26HRc+hGJvTcfnE4sQydN0BcOd1aus+xeOj0Qf+j1iLse24/j2SnY 1U0TJozBvuKh3rw/Pd7hflZqcbPKHkAknNPfMXzjMzpUzHTyZzJRWAVcJP1M9tZ5zvL0u8iqlP/p qy9QSwMEFAAAAAgAh07iQCMFE50yAgAAYwQAAA4AAABkcnMvZTJvRG9jLnhtbK1UzY7TMBC+I/EO lu80aYFVVTVdla2KkCp2pQVxdh2nseQ/2W6T8gDwBpy4cN/n6nPwOWm6aOGwBy7O2DP+xt83M5lf t1qRg/BBWlPQ8SinRBhuS2l2Bf38af1qSkmIzJRMWSMKehSBXi9evpg3biYmtraqFJ4AxIRZ4wpa x+hmWRZ4LTQLI+uEgbOyXrOIrd9lpWcN0LXKJnl+lTXWl85bLkLA6ap30jOifw6grSrJxcryvRYm 9qheKBZBKdTSBbroXltVgsfbqgoiElVQMI3diiSwt2nNFnM223nmasnPT2DPecITTppJg6QXqBWL jOy9/AtKS+5tsFUccauznkinCFiM8yfa3NfMiY4LpA7uInr4f7D84+HOE1miE95QYphGxU8/vp9+ Ppx+fSM4g0CNCzPE3TtExvadbRE8nAccJt5t5XX6ghGBH/IeL/KKNhKeLk0n02kOF4dv2AA/e7zu fIjvhdUkGQX1qF8nKztsQuxDh5CUzdi1VKqroTKkKejV67d5d+HiAbgyyJFI9I9NVmy37ZnZ1pZH EPO2743g+Foi+YaFeMc8mgEPxrjEWyyVskhizxYltfVf/3We4lEjeClp0FwFNZglStQHg9oBMA6G H4ztYJi9vrHo1jHG0PHOxAUf1WBW3uovmKFlygEXMxyZChoH8yb2DY4Z5GK57IL2zstd3V9A5zkW N+be8ZQmCRncch8hZqdxEqhX5awbeq+r0nlOUnP/ue+iHv8Ni99QSwMECgAAAAAAh07iQAAAAAAA AAAAAAAAAAYAAABfcmVscy9QSwMEFAAAAAgAh07iQIoUZjzRAAAAlAEAAAsAAABfcmVscy8ucmVs c6WQwWrDMAyG74O9g9F9cZrDGKNOL6PQa+kewNiKYxpbRjLZ+vbzDoNl9LajfqHvE//+8JkWtSJL pGxg1/WgMDvyMQcD75fj0wsoqTZ7u1BGAzcUOIyPD/szLra2I5ljEdUoWQzMtZZXrcXNmKx0VDC3 zUScbG0jB12su9qAeuj7Z82/GTBumOrkDfDJD6Aut9LMf9gpOiahqXaOkqZpiu4eVQe2ZY7uyDbh G7lGsxywGvAsGgdqWdd+BH1fv/un3tNHPuO61X6HjOuPV2+6HL8AUEsDBBQAAAAIAIdO4kB+5uUg 9wAAAOEBAAATAAAAW0NvbnRlbnRfVHlwZXNdLnhtbJWRQU7DMBBF90jcwfIWJU67QAgl6YK0S0Co HGBkTxKLZGx5TGhvj5O2G0SRWNoz/78nu9wcxkFMGNg6quQqL6RA0s5Y6ir5vt9lD1JwBDIwOMJK HpHlpr69KfdHjyxSmriSfYz+USnWPY7AufNIadK6MEJMx9ApD/oDOlTrorhX2lFEilmcO2RdNtjC 5xDF9pCuTyYBB5bi6bQ4syoJ3g9WQ0ymaiLzg5KdCXlKLjvcW893SUOqXwnz5DrgnHtJTxOsQfEK IT7DmDSUCayM+6KAU/53yWw5cuba1mrMm8BNir3hdLG61o5r1zj93/Ltkrp0q+WD6m9QSwECFAAU AAAACACHTuJAfublIPcAAADhAQAAEwAAAAAAAAABACAAAACbBAAAW0NvbnRlbnRfVHlwZXNdLnht bFBLAQIUAAoAAAAAAIdO4kAAAAAAAAAAAAAAAAAGAAAAAAAAAAAAEAAAAH0DAABfcmVscy9QSwEC FAAUAAAACACHTuJAihRmPNEAAACUAQAACwAAAAAAAAABACAAAAChAwAAX3JlbHMvLnJlbHNQSwEC FAAKAAAAAACHTuJAAAAAAAAAAAAAAAAABAAAAAAAAAAAABAAAAAAAAAAZHJzL1BLAQIUABQAAAAI AIdO4kCzSVju0AAAAAUBAAAPAAAAAAAAAAEAIAAAACIAAABkcnMvZG93bnJldi54bWxQSwECFAAU AAAACACHTuJAIwUTnTICAABjBAAADgAAAAAAAAABACAAAAAfAQAAZHJzL2Uyb0RvYy54bWxQSwUG AAAAAAYABgBZAQAAwwUAAAAA ">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1</w:t>
                    </w:r>
                    <w:r>
                      <w:fldChar w:fldCharType="end"/>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w:rPr>
        <w:sz w:val="10"/>
      </w:rPr>
      <mc:AlternateContent>
        <mc:Choice Requires="wps">
          <w:drawing>
            <wp:anchor distT="0" distB="0" distL="114300" distR="114300" simplePos="0" relativeHeight="251661312" behindDoc="0" locked="0" layoutInCell="1" allowOverlap="1">
              <wp:simplePos x="0" y="0"/>
              <wp:positionH relativeFrom="margin">
                <wp:posOffset>241300</wp:posOffset>
              </wp:positionH>
              <wp:positionV relativeFrom="paragraph">
                <wp:posOffset>-12700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0" w:lineRule="atLeast"/>
                          </w:pPr>
                          <w:r>
                            <w:rPr>
                              <w:rFonts w:hint="eastAsia"/>
                              <w:b/>
                              <w:i/>
                              <w:color w:val="000000" w:themeColor="text1"/>
                              <w:kern w:val="0"/>
                              <w:sz w:val="18"/>
                              <w:u w:val="single"/>
                              <w:lang w:eastAsia="zh-CN"/>
                              <w14:textFill>
                                <w14:solidFill>
                                  <w14:schemeClr w14:val="tx1"/>
                                </w14:solidFill>
                              </w14:textFill>
                            </w:rPr>
                            <w:t>玉环</w:t>
                          </w:r>
                          <w:r>
                            <w:rPr>
                              <w:rFonts w:hint="eastAsia"/>
                              <w:b/>
                              <w:i/>
                              <w:color w:val="000000" w:themeColor="text1"/>
                              <w:kern w:val="0"/>
                              <w:sz w:val="18"/>
                              <w:u w:val="single"/>
                              <w14:textFill>
                                <w14:solidFill>
                                  <w14:schemeClr w14:val="tx1"/>
                                </w14:solidFill>
                              </w14:textFill>
                            </w:rPr>
                            <w:t xml:space="preserve">市政府采购招标文件                                                            </w:t>
                          </w:r>
                          <w:r>
                            <w:rPr>
                              <w:rFonts w:hint="eastAsia"/>
                              <w:b/>
                              <w:i/>
                              <w:color w:val="000000" w:themeColor="text1"/>
                              <w:spacing w:val="-20"/>
                              <w:kern w:val="0"/>
                              <w:sz w:val="18"/>
                              <w:u w:val="single"/>
                              <w14:textFill>
                                <w14:solidFill>
                                  <w14:schemeClr w14:val="tx1"/>
                                </w14:solidFill>
                              </w14:textFill>
                            </w:rPr>
                            <w:t>第</w:t>
                          </w:r>
                          <w:r>
                            <w:rPr>
                              <w:b/>
                              <w:i/>
                              <w:color w:val="000000" w:themeColor="text1"/>
                              <w:spacing w:val="-20"/>
                              <w:kern w:val="0"/>
                              <w:sz w:val="18"/>
                              <w:u w:val="single"/>
                              <w14:textFill>
                                <w14:solidFill>
                                  <w14:schemeClr w14:val="tx1"/>
                                </w14:solidFill>
                              </w14:textFill>
                            </w:rPr>
                            <w:fldChar w:fldCharType="begin"/>
                          </w:r>
                          <w:r>
                            <w:rPr>
                              <w:b/>
                              <w:i/>
                              <w:color w:val="000000" w:themeColor="text1"/>
                              <w:spacing w:val="-20"/>
                              <w:kern w:val="0"/>
                              <w:sz w:val="18"/>
                              <w:u w:val="single"/>
                              <w14:textFill>
                                <w14:solidFill>
                                  <w14:schemeClr w14:val="tx1"/>
                                </w14:solidFill>
                              </w14:textFill>
                            </w:rPr>
                            <w:instrText xml:space="preserve"> PAGE </w:instrText>
                          </w:r>
                          <w:r>
                            <w:rPr>
                              <w:b/>
                              <w:i/>
                              <w:color w:val="000000" w:themeColor="text1"/>
                              <w:spacing w:val="-20"/>
                              <w:kern w:val="0"/>
                              <w:sz w:val="18"/>
                              <w:u w:val="single"/>
                              <w14:textFill>
                                <w14:solidFill>
                                  <w14:schemeClr w14:val="tx1"/>
                                </w14:solidFill>
                              </w14:textFill>
                            </w:rPr>
                            <w:fldChar w:fldCharType="separate"/>
                          </w:r>
                          <w:r>
                            <w:rPr>
                              <w:b/>
                              <w:i/>
                              <w:color w:val="000000" w:themeColor="text1"/>
                              <w:spacing w:val="-20"/>
                              <w:kern w:val="0"/>
                              <w:sz w:val="18"/>
                              <w:u w:val="single"/>
                              <w14:textFill>
                                <w14:solidFill>
                                  <w14:schemeClr w14:val="tx1"/>
                                </w14:solidFill>
                              </w14:textFill>
                            </w:rPr>
                            <w:t>91</w:t>
                          </w:r>
                          <w:r>
                            <w:rPr>
                              <w:b/>
                              <w:i/>
                              <w:color w:val="000000" w:themeColor="text1"/>
                              <w:spacing w:val="-20"/>
                              <w:kern w:val="0"/>
                              <w:sz w:val="18"/>
                              <w:u w:val="single"/>
                              <w14:textFill>
                                <w14:solidFill>
                                  <w14:schemeClr w14:val="tx1"/>
                                </w14:solidFill>
                              </w14:textFill>
                            </w:rPr>
                            <w:fldChar w:fldCharType="end"/>
                          </w:r>
                          <w:r>
                            <w:rPr>
                              <w:rFonts w:hint="eastAsia"/>
                              <w:b/>
                              <w:i/>
                              <w:color w:val="000000" w:themeColor="text1"/>
                              <w:spacing w:val="-20"/>
                              <w:kern w:val="0"/>
                              <w:sz w:val="18"/>
                              <w:u w:val="single"/>
                              <w14:textFill>
                                <w14:solidFill>
                                  <w14:schemeClr w14:val="tx1"/>
                                </w14:solidFill>
                              </w14:textFill>
                            </w:rPr>
                            <w:t>页共</w:t>
                          </w:r>
                          <w:r>
                            <w:rPr>
                              <w:b/>
                              <w:i/>
                              <w:color w:val="000000" w:themeColor="text1"/>
                              <w:spacing w:val="-20"/>
                              <w:kern w:val="0"/>
                              <w:sz w:val="18"/>
                              <w:u w:val="single"/>
                              <w14:textFill>
                                <w14:solidFill>
                                  <w14:schemeClr w14:val="tx1"/>
                                </w14:solidFill>
                              </w14:textFill>
                            </w:rPr>
                            <w:fldChar w:fldCharType="begin"/>
                          </w:r>
                          <w:r>
                            <w:rPr>
                              <w:b/>
                              <w:i/>
                              <w:color w:val="000000" w:themeColor="text1"/>
                              <w:spacing w:val="-20"/>
                              <w:kern w:val="0"/>
                              <w:sz w:val="18"/>
                              <w:u w:val="single"/>
                              <w14:textFill>
                                <w14:solidFill>
                                  <w14:schemeClr w14:val="tx1"/>
                                </w14:solidFill>
                              </w14:textFill>
                            </w:rPr>
                            <w:instrText xml:space="preserve"> NUMPAGES </w:instrText>
                          </w:r>
                          <w:r>
                            <w:rPr>
                              <w:b/>
                              <w:i/>
                              <w:color w:val="000000" w:themeColor="text1"/>
                              <w:spacing w:val="-20"/>
                              <w:kern w:val="0"/>
                              <w:sz w:val="18"/>
                              <w:u w:val="single"/>
                              <w14:textFill>
                                <w14:solidFill>
                                  <w14:schemeClr w14:val="tx1"/>
                                </w14:solidFill>
                              </w14:textFill>
                            </w:rPr>
                            <w:fldChar w:fldCharType="separate"/>
                          </w:r>
                          <w:r>
                            <w:rPr>
                              <w:b/>
                              <w:i/>
                              <w:color w:val="000000" w:themeColor="text1"/>
                              <w:spacing w:val="-20"/>
                              <w:kern w:val="0"/>
                              <w:sz w:val="18"/>
                              <w:u w:val="single"/>
                              <w14:textFill>
                                <w14:solidFill>
                                  <w14:schemeClr w14:val="tx1"/>
                                </w14:solidFill>
                              </w14:textFill>
                            </w:rPr>
                            <w:t>93</w:t>
                          </w:r>
                          <w:r>
                            <w:rPr>
                              <w:b/>
                              <w:i/>
                              <w:color w:val="000000" w:themeColor="text1"/>
                              <w:spacing w:val="-20"/>
                              <w:kern w:val="0"/>
                              <w:sz w:val="18"/>
                              <w:u w:val="single"/>
                              <w14:textFill>
                                <w14:solidFill>
                                  <w14:schemeClr w14:val="tx1"/>
                                </w14:solidFill>
                              </w14:textFill>
                            </w:rPr>
                            <w:fldChar w:fldCharType="end"/>
                          </w:r>
                          <w:r>
                            <w:rPr>
                              <w:rFonts w:hint="eastAsia"/>
                              <w:b/>
                              <w:i/>
                              <w:color w:val="000000" w:themeColor="text1"/>
                              <w:spacing w:val="-20"/>
                              <w:kern w:val="0"/>
                              <w:sz w:val="18"/>
                              <w:u w:val="single"/>
                              <w14:textFill>
                                <w14:solidFill>
                                  <w14:schemeClr w14:val="tx1"/>
                                </w14:solidFill>
                              </w14:textFill>
                            </w:rP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9pt;margin-top:-1pt;height:144pt;width:144pt;mso-position-horizontal-relative:margin;mso-wrap-style:none;z-index:251661312;mso-width-relative:page;mso-height-relative:page;" filled="f" stroked="f" coordsize="21600,21600" o:gfxdata="UEsDBAoAAAAAAIdO4kAAAAAAAAAAAAAAAAAEAAAAZHJzL1BLAwQUAAAACACHTuJAJVLBV9YAAAAJ AQAADwAAAGRycy9kb3ducmV2LnhtbE2PQU/DMAyF70j8h8hI3LZ0LZqq0nQSE+WIxLoDx6zx2o7G qZKsK/8ec4KTn/Ws5++Vu8WOYkYfBkcKNusEBFLrzECdgmNTr3IQIWoyenSECr4xwK66vyt1YdyN PnA+xE5wCIVCK+hjnAopQ9uj1WHtJiT2zs5bHXn1nTRe3zjcjjJNkq20eiD+0OsJ9z22X4erVbCv m8bPGPz4iW91dnl/ecLXRanHh03yDCLiEv+O4Ref0aFippO7kgliVJDlXCUqWKU82c/SLYuTgjRn IatS/m9Q/QBQSwMEFAAAAAgAh07iQPWxmuctAgAAVwQAAA4AAABkcnMvZTJvRG9jLnhtbK1UzY7T MBC+I/EOlu80bVesqqrpqmxVhFSxKy2Is+s4TST/yXablAeAN+DEhTvP1efYz07SRQuHPXBxxp7x N/6+mcniplWSHIXztdE5nYzGlAjNTVHrfU4/f9q8mVHiA9MFk0aLnJ6EpzfL168WjZ2LqamMLIQj ANF+3ticViHYeZZ5XgnF/MhYoeEsjVMsYOv2WeFYA3Qls+l4fJ01xhXWGS68x+m6c9Ie0b0E0JRl zcXa8IMSOnSoTkgWQMlXtfV0mV5bloKHu7L0IhCZUzANaUUS2Lu4ZssFm+8ds1XN+yewlzzhGSfF ao2kF6g1C4wcXP0XlKq5M96UYcSNyjoiSRGwmIyfafNQMSsSF0jt7UV0//9g+cfjvSN1kdOrKSWa KVT8/OP7+efv869vBGcQqLF+jrgHi8jQvjMt2mY49ziMvNvSqfgFIwI/5D1d5BVtIDxemk1nszFc HL5hA/zs6bp1PrwXRpFo5NShfklWdtz60IUOITGbNptaylRDqUmT0+urt+N04eIBuNTIEUl0j41W aHdtz2xnihOIOdP1hrd8UyP5lvlwzxyaAQ/GuIQ7LKU0SGJ6i5LKuK//Oo/xqBG8lDRorpxqzBIl 8oNG7QAYBsMNxm4w9EHdGnTrBGNoeTJxwQU5mKUz6gtmaBVzwMU0R6achsG8DV2DYwa5WK1SELrN srDVD5ZH6Ciet6tDgIBJ1yhKp0SvFfotVaafjdjQf+5T1NP/YPkIUEsDBAoAAAAAAIdO4kAAAAAA AAAAAAAAAAAGAAAAX3JlbHMvUEsDBBQAAAAIAIdO4kCKFGY80QAAAJQBAAALAAAAX3JlbHMvLnJl bHOlkMFqwzAMhu+DvYPRfXGawxijTi+j0GvpHsDYimMaW0Yy2fr28w6DZfS2o36h7xP//vCZFrUi S6RsYNf1oDA78jEHA++X49MLKKk2e7tQRgM3FDiMjw/7My62tiOZYxHVKFkMzLWWV63FzZisdFQw t81EnGxtIwddrLvagHro+2fNvxkwbpjq5A3wyQ+gLrfSzH/YKTomoal2jpKmaYruHlUHtmWO7sg2 4Ru5RrMcsBrwLBoHalnXfgR9X7/7p97TRz7jutV+h4zrj1dvuhy/AFBLAwQUAAAACACHTuJAfubl IPcAAADhAQAAEwAAAFtDb250ZW50X1R5cGVzXS54bWyVkUFOwzAQRfdI3MHyFiVOu0AIJemCtEtA qBxgZE8Si2RseUxob4+TthtEkVjaM/+/J7vcHMZBTBjYOqrkKi+kQNLOWOoq+b7fZQ9ScAQyMDjC Sh6R5aa+vSn3R48sUpq4kn2M/lEp1j2OwLnzSGnSujBCTMfQKQ/6AzpU66K4V9pRRIpZnDtkXTbY wucQxfaQrk8mAQeW4um0OLMqCd4PVkNMpmoi84OSnQl5Si473FvPd0lDql8J8+Q64Jx7SU8TrEHx CiE+w5g0lAmsjPuigFP+d8lsOXLm2tZqzJvATYq94XSxutaOa9c4/d/y7ZK6dKvlg+pvUEsBAhQA FAAAAAgAh07iQH7m5SD3AAAA4QEAABMAAAAAAAAAAQAgAAAAnAQAAFtDb250ZW50X1R5cGVzXS54 bWxQSwECFAAKAAAAAACHTuJAAAAAAAAAAAAAAAAABgAAAAAAAAAAABAAAAB+AwAAX3JlbHMvUEsB AhQAFAAAAAgAh07iQIoUZjzRAAAAlAEAAAsAAAAAAAAAAQAgAAAAogMAAF9yZWxzLy5yZWxzUEsB AhQACgAAAAAAh07iQAAAAAAAAAAAAAAAAAQAAAAAAAAAAAAQAAAAAAAAAGRycy9QSwECFAAUAAAA CACHTuJAJVLBV9YAAAAJAQAADwAAAAAAAAABACAAAAAiAAAAZHJzL2Rvd25yZXYueG1sUEsBAhQA FAAAAAgAh07iQPWxmuctAgAAVwQAAA4AAAAAAAAAAQAgAAAAJQEAAGRycy9lMm9Eb2MueG1sUEsF BgAAAAAGAAYAWQEAAMQFAAAAAA== ">
              <v:fill on="f" focussize="0,0"/>
              <v:stroke on="f" weight="0.5pt"/>
              <v:imagedata o:title=""/>
              <o:lock v:ext="edit" aspectratio="f"/>
              <v:textbox inset="0mm,0mm,0mm,0mm" style="mso-fit-shape-to-text:t;">
                <w:txbxContent>
                  <w:p>
                    <w:pPr>
                      <w:spacing w:line="20" w:lineRule="atLeast"/>
                    </w:pPr>
                    <w:r>
                      <w:rPr>
                        <w:rFonts w:hint="eastAsia"/>
                        <w:b/>
                        <w:i/>
                        <w:color w:val="000000" w:themeColor="text1"/>
                        <w:kern w:val="0"/>
                        <w:sz w:val="18"/>
                        <w:u w:val="single"/>
                        <w:lang w:eastAsia="zh-CN"/>
                        <w14:textFill>
                          <w14:solidFill>
                            <w14:schemeClr w14:val="tx1"/>
                          </w14:solidFill>
                        </w14:textFill>
                      </w:rPr>
                      <w:t>玉环</w:t>
                    </w:r>
                    <w:r>
                      <w:rPr>
                        <w:rFonts w:hint="eastAsia"/>
                        <w:b/>
                        <w:i/>
                        <w:color w:val="000000" w:themeColor="text1"/>
                        <w:kern w:val="0"/>
                        <w:sz w:val="18"/>
                        <w:u w:val="single"/>
                        <w14:textFill>
                          <w14:solidFill>
                            <w14:schemeClr w14:val="tx1"/>
                          </w14:solidFill>
                        </w14:textFill>
                      </w:rPr>
                      <w:t xml:space="preserve">市政府采购招标文件                                                            </w:t>
                    </w:r>
                    <w:r>
                      <w:rPr>
                        <w:rFonts w:hint="eastAsia"/>
                        <w:b/>
                        <w:i/>
                        <w:color w:val="000000" w:themeColor="text1"/>
                        <w:spacing w:val="-20"/>
                        <w:kern w:val="0"/>
                        <w:sz w:val="18"/>
                        <w:u w:val="single"/>
                        <w14:textFill>
                          <w14:solidFill>
                            <w14:schemeClr w14:val="tx1"/>
                          </w14:solidFill>
                        </w14:textFill>
                      </w:rPr>
                      <w:t>第</w:t>
                    </w:r>
                    <w:r>
                      <w:rPr>
                        <w:b/>
                        <w:i/>
                        <w:color w:val="000000" w:themeColor="text1"/>
                        <w:spacing w:val="-20"/>
                        <w:kern w:val="0"/>
                        <w:sz w:val="18"/>
                        <w:u w:val="single"/>
                        <w14:textFill>
                          <w14:solidFill>
                            <w14:schemeClr w14:val="tx1"/>
                          </w14:solidFill>
                        </w14:textFill>
                      </w:rPr>
                      <w:fldChar w:fldCharType="begin"/>
                    </w:r>
                    <w:r>
                      <w:rPr>
                        <w:b/>
                        <w:i/>
                        <w:color w:val="000000" w:themeColor="text1"/>
                        <w:spacing w:val="-20"/>
                        <w:kern w:val="0"/>
                        <w:sz w:val="18"/>
                        <w:u w:val="single"/>
                        <w14:textFill>
                          <w14:solidFill>
                            <w14:schemeClr w14:val="tx1"/>
                          </w14:solidFill>
                        </w14:textFill>
                      </w:rPr>
                      <w:instrText xml:space="preserve"> PAGE </w:instrText>
                    </w:r>
                    <w:r>
                      <w:rPr>
                        <w:b/>
                        <w:i/>
                        <w:color w:val="000000" w:themeColor="text1"/>
                        <w:spacing w:val="-20"/>
                        <w:kern w:val="0"/>
                        <w:sz w:val="18"/>
                        <w:u w:val="single"/>
                        <w14:textFill>
                          <w14:solidFill>
                            <w14:schemeClr w14:val="tx1"/>
                          </w14:solidFill>
                        </w14:textFill>
                      </w:rPr>
                      <w:fldChar w:fldCharType="separate"/>
                    </w:r>
                    <w:r>
                      <w:rPr>
                        <w:b/>
                        <w:i/>
                        <w:color w:val="000000" w:themeColor="text1"/>
                        <w:spacing w:val="-20"/>
                        <w:kern w:val="0"/>
                        <w:sz w:val="18"/>
                        <w:u w:val="single"/>
                        <w14:textFill>
                          <w14:solidFill>
                            <w14:schemeClr w14:val="tx1"/>
                          </w14:solidFill>
                        </w14:textFill>
                      </w:rPr>
                      <w:t>91</w:t>
                    </w:r>
                    <w:r>
                      <w:rPr>
                        <w:b/>
                        <w:i/>
                        <w:color w:val="000000" w:themeColor="text1"/>
                        <w:spacing w:val="-20"/>
                        <w:kern w:val="0"/>
                        <w:sz w:val="18"/>
                        <w:u w:val="single"/>
                        <w14:textFill>
                          <w14:solidFill>
                            <w14:schemeClr w14:val="tx1"/>
                          </w14:solidFill>
                        </w14:textFill>
                      </w:rPr>
                      <w:fldChar w:fldCharType="end"/>
                    </w:r>
                    <w:r>
                      <w:rPr>
                        <w:rFonts w:hint="eastAsia"/>
                        <w:b/>
                        <w:i/>
                        <w:color w:val="000000" w:themeColor="text1"/>
                        <w:spacing w:val="-20"/>
                        <w:kern w:val="0"/>
                        <w:sz w:val="18"/>
                        <w:u w:val="single"/>
                        <w14:textFill>
                          <w14:solidFill>
                            <w14:schemeClr w14:val="tx1"/>
                          </w14:solidFill>
                        </w14:textFill>
                      </w:rPr>
                      <w:t>页共</w:t>
                    </w:r>
                    <w:r>
                      <w:rPr>
                        <w:b/>
                        <w:i/>
                        <w:color w:val="000000" w:themeColor="text1"/>
                        <w:spacing w:val="-20"/>
                        <w:kern w:val="0"/>
                        <w:sz w:val="18"/>
                        <w:u w:val="single"/>
                        <w14:textFill>
                          <w14:solidFill>
                            <w14:schemeClr w14:val="tx1"/>
                          </w14:solidFill>
                        </w14:textFill>
                      </w:rPr>
                      <w:fldChar w:fldCharType="begin"/>
                    </w:r>
                    <w:r>
                      <w:rPr>
                        <w:b/>
                        <w:i/>
                        <w:color w:val="000000" w:themeColor="text1"/>
                        <w:spacing w:val="-20"/>
                        <w:kern w:val="0"/>
                        <w:sz w:val="18"/>
                        <w:u w:val="single"/>
                        <w14:textFill>
                          <w14:solidFill>
                            <w14:schemeClr w14:val="tx1"/>
                          </w14:solidFill>
                        </w14:textFill>
                      </w:rPr>
                      <w:instrText xml:space="preserve"> NUMPAGES </w:instrText>
                    </w:r>
                    <w:r>
                      <w:rPr>
                        <w:b/>
                        <w:i/>
                        <w:color w:val="000000" w:themeColor="text1"/>
                        <w:spacing w:val="-20"/>
                        <w:kern w:val="0"/>
                        <w:sz w:val="18"/>
                        <w:u w:val="single"/>
                        <w14:textFill>
                          <w14:solidFill>
                            <w14:schemeClr w14:val="tx1"/>
                          </w14:solidFill>
                        </w14:textFill>
                      </w:rPr>
                      <w:fldChar w:fldCharType="separate"/>
                    </w:r>
                    <w:r>
                      <w:rPr>
                        <w:b/>
                        <w:i/>
                        <w:color w:val="000000" w:themeColor="text1"/>
                        <w:spacing w:val="-20"/>
                        <w:kern w:val="0"/>
                        <w:sz w:val="18"/>
                        <w:u w:val="single"/>
                        <w14:textFill>
                          <w14:solidFill>
                            <w14:schemeClr w14:val="tx1"/>
                          </w14:solidFill>
                        </w14:textFill>
                      </w:rPr>
                      <w:t>93</w:t>
                    </w:r>
                    <w:r>
                      <w:rPr>
                        <w:b/>
                        <w:i/>
                        <w:color w:val="000000" w:themeColor="text1"/>
                        <w:spacing w:val="-20"/>
                        <w:kern w:val="0"/>
                        <w:sz w:val="18"/>
                        <w:u w:val="single"/>
                        <w14:textFill>
                          <w14:solidFill>
                            <w14:schemeClr w14:val="tx1"/>
                          </w14:solidFill>
                        </w14:textFill>
                      </w:rPr>
                      <w:fldChar w:fldCharType="end"/>
                    </w:r>
                    <w:r>
                      <w:rPr>
                        <w:rFonts w:hint="eastAsia"/>
                        <w:b/>
                        <w:i/>
                        <w:color w:val="000000" w:themeColor="text1"/>
                        <w:spacing w:val="-20"/>
                        <w:kern w:val="0"/>
                        <w:sz w:val="18"/>
                        <w:u w:val="single"/>
                        <w14:textFill>
                          <w14:solidFill>
                            <w14:schemeClr w14:val="tx1"/>
                          </w14:solidFill>
                        </w14:textFill>
                      </w:rPr>
                      <w:t>页</w:t>
                    </w:r>
                  </w:p>
                </w:txbxContent>
              </v:textbox>
            </v:shape>
          </w:pict>
        </mc:Fallback>
      </mc:AlternateContent>
    </w: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rPr>
                              <w:rFonts w:hint="eastAsia"/>
                            </w:rPr>
                            <w:fldChar w:fldCharType="begin"/>
                          </w:r>
                          <w:r>
                            <w:rPr>
                              <w:rFonts w:hint="eastAsia"/>
                            </w:rPr>
                            <w:instrText xml:space="preserve"> PAGE  \* MERGEFORMAT </w:instrText>
                          </w:r>
                          <w:r>
                            <w:rPr>
                              <w:rFonts w:hint="eastAsia"/>
                            </w:rPr>
                            <w:fldChar w:fldCharType="separate"/>
                          </w:r>
                          <w:r>
                            <w:t>91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 AQAADwAAAGRycy9kb3ducmV2LnhtbE2PQUvDQBCF74L/YRmhN7tpKxJiNgVL06Ng48HjNjsm0d3Z sLtN4793FEEvwzze8OZ75XZ2VkwY4uBJwWqZgUBqvRmoU/DS1Lc5iJg0GW09oYJPjLCtrq9KXRh/ oWecjqkTHEKx0Ar6lMZCytj26HRc+hGJvTcfnE4sQydN0BcOd1aus+xeOj0Qf+j1iLse24/j2SnY 1U0TJozBvuKh3rw/Pd7hflZqcbPKHkAknNPfMXzjMzpUzHTyZzJRWAVcJP1M9tZ5zvL0u8iqlP/p qy9QSwMEFAAAAAgAh07iQF38yactAgAAVwQAAA4AAABkcnMvZTJvRG9jLnhtbK1UzY7TMBC+I/EO lu80aStWVdV0VbYqQqrYlQri7DpOE8l/st0m5QHgDThx4c5z9Tn2c366aOGwBy7O2DP+xt83M1nc NkqSk3C+Mjqj41FKidDc5JU+ZPTzp82bGSU+MJ0zabTI6Fl4ert8/WpR27mYmNLIXDgCEO3ntc1o GYKdJ4nnpVDMj4wVGs7COMUCtu6Q5I7VQFcymaTpTVIbl1tnuPAep+vOSXtE9xJAUxQVF2vDj0ro 0KE6IVkAJV9W1tNl+9qiEDzcF4UXgciMgmloVySBvY9rslyw+cExW1a8fwJ7yROecVKs0kh6hVqz wMjRVX9BqYo7400RRtyopCPSKgIW4/SZNruSWdFygdTeXkX3/w+Wfzw9OFLlGZ1OKdFMoeKXH98v P39ffn0jOINAtfVzxO0sIkPzzjRom+Hc4zDybgqn4heMCPyQ93yVVzSB8HhpNpnNUrg4fMMG+MnT det8eC+MItHIqEP9WlnZaetDFzqExGzabCop2xpKTeqM3kzfpu2FqwfgUiNHJNE9Nlqh2Tc9s73J zyDmTNcb3vJNheRb5sMDc2gGPBjjEu6xFNIgiektSkrjvv7rPMajRvBSUqO5MqoxS5TIDxq1A2AY DDcY+8HQR3Vn0K1jjKHlrYkLLsjBLJxRXzBDq5gDLqY5MmU0DOZd6BocM8jFatUGodssC1u9szxC R/G8XR0DBGx1jaJ0SvRaod/ayvSzERv6z30b9fQ/WD4CUEsDBAoAAAAAAIdO4kAAAAAAAAAAAAAA AAAGAAAAX3JlbHMvUEsDBBQAAAAIAIdO4kCKFGY80QAAAJQBAAALAAAAX3JlbHMvLnJlbHOlkMFq wzAMhu+DvYPRfXGawxijTi+j0GvpHsDYimMaW0Yy2fr28w6DZfS2o36h7xP//vCZFrUiS6RsYNf1 oDA78jEHA++X49MLKKk2e7tQRgM3FDiMjw/7My62tiOZYxHVKFkMzLWWV63FzZisdFQwt81EnGxt IwddrLvagHro+2fNvxkwbpjq5A3wyQ+gLrfSzH/YKTomoal2jpKmaYruHlUHtmWO7sg24Ru5RrMc sBrwLBoHalnXfgR9X7/7p97TRz7jutV+h4zrj1dvuhy/AFBLAwQUAAAACACHTuJAfublIPcAAADh AQAAEwAAAFtDb250ZW50X1R5cGVzXS54bWyVkUFOwzAQRfdI3MHyFiVOu0AIJemCtEtAqBxgZE8S i2RseUxob4+TthtEkVjaM/+/J7vcHMZBTBjYOqrkKi+kQNLOWOoq+b7fZQ9ScAQyMDjCSh6R5aa+ vSn3R48sUpq4kn2M/lEp1j2OwLnzSGnSujBCTMfQKQ/6AzpU66K4V9pRRIpZnDtkXTbYwucQxfaQ rk8mAQeW4um0OLMqCd4PVkNMpmoi84OSnQl5Si473FvPd0lDql8J8+Q64Jx7SU8TrEHxCiE+w5g0 lAmsjPuigFP+d8lsOXLm2tZqzJvATYq94XSxutaOa9c4/d/y7ZK6dKvlg+pvUEsBAhQAFAAAAAgA h07iQH7m5SD3AAAA4QEAABMAAAAAAAAAAQAgAAAAlgQAAFtDb250ZW50X1R5cGVzXS54bWxQSwEC FAAKAAAAAACHTuJAAAAAAAAAAAAAAAAABgAAAAAAAAAAABAAAAB4AwAAX3JlbHMvUEsBAhQAFAAA AAgAh07iQIoUZjzRAAAAlAEAAAsAAAAAAAAAAQAgAAAAnAMAAF9yZWxzLy5yZWxzUEsBAhQACgAA AAAAh07iQAAAAAAAAAAAAAAAAAQAAAAAAAAAAAAQAAAAAAAAAGRycy9QSwECFAAUAAAACACHTuJA s0lY7tAAAAAFAQAADwAAAAAAAAABACAAAAAiAAAAZHJzL2Rvd25yZXYueG1sUEsBAhQAFAAAAAgA h07iQF38yactAgAAVwQAAA4AAAAAAAAAAQAgAAAAHwEAAGRycy9lMm9Eb2MueG1sUEsFBgAAAAAG AAYAWQEAAL4FAAAAAA== ">
              <v:fill on="f" focussize="0,0"/>
              <v:stroke on="f" weight="0.5pt"/>
              <v:imagedata o:title=""/>
              <o:lock v:ext="edit" aspectratio="f"/>
              <v:textbox inset="0mm,0mm,0mm,0mm" style="mso-fit-shape-to-text:t;">
                <w:txbxContent>
                  <w:p>
                    <w:pPr>
                      <w:pStyle w:val="20"/>
                    </w:pPr>
                    <w:r>
                      <w:rPr>
                        <w:rFonts w:hint="eastAsia"/>
                      </w:rPr>
                      <w:fldChar w:fldCharType="begin"/>
                    </w:r>
                    <w:r>
                      <w:rPr>
                        <w:rFonts w:hint="eastAsia"/>
                      </w:rPr>
                      <w:instrText xml:space="preserve"> PAGE  \* MERGEFORMAT </w:instrText>
                    </w:r>
                    <w:r>
                      <w:rPr>
                        <w:rFonts w:hint="eastAsia"/>
                      </w:rPr>
                      <w:fldChar w:fldCharType="separate"/>
                    </w:r>
                    <w:r>
                      <w:t>91</w:t>
                    </w:r>
                    <w:r>
                      <w:rPr>
                        <w:rFonts w:hint="eastAsia"/>
                      </w:rPr>
                      <w:fldChar w:fldCharType="end"/>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236BD6"/>
    <w:multiLevelType w:val="singleLevel"/>
    <w:tmpl w:val="82236BD6"/>
    <w:lvl w:ilvl="0" w:tentative="0">
      <w:start w:val="1"/>
      <w:numFmt w:val="decimal"/>
      <w:suff w:val="nothing"/>
      <w:lvlText w:val="%1、"/>
      <w:lvlJc w:val="left"/>
    </w:lvl>
  </w:abstractNum>
  <w:abstractNum w:abstractNumId="1">
    <w:nsid w:val="AAF7B2CA"/>
    <w:multiLevelType w:val="singleLevel"/>
    <w:tmpl w:val="AAF7B2CA"/>
    <w:lvl w:ilvl="0" w:tentative="0">
      <w:start w:val="1"/>
      <w:numFmt w:val="decimal"/>
      <w:suff w:val="nothing"/>
      <w:lvlText w:val="%1、"/>
      <w:lvlJc w:val="left"/>
    </w:lvl>
  </w:abstractNum>
  <w:abstractNum w:abstractNumId="2">
    <w:nsid w:val="F0EADC9C"/>
    <w:multiLevelType w:val="singleLevel"/>
    <w:tmpl w:val="F0EADC9C"/>
    <w:lvl w:ilvl="0" w:tentative="0">
      <w:start w:val="1"/>
      <w:numFmt w:val="decimal"/>
      <w:suff w:val="space"/>
      <w:lvlText w:val="%1、"/>
      <w:lvlJc w:val="left"/>
    </w:lvl>
  </w:abstractNum>
  <w:abstractNum w:abstractNumId="3">
    <w:nsid w:val="00000011"/>
    <w:multiLevelType w:val="multilevel"/>
    <w:tmpl w:val="00000011"/>
    <w:lvl w:ilvl="0" w:tentative="0">
      <w:start w:val="1"/>
      <w:numFmt w:val="decimal"/>
      <w:lvlText w:val="%1."/>
      <w:lvlJc w:val="left"/>
      <w:pPr>
        <w:tabs>
          <w:tab w:val="left" w:pos="720"/>
        </w:tabs>
        <w:ind w:left="720" w:hanging="720"/>
      </w:pPr>
      <w:rPr>
        <w:rFonts w:hint="default" w:cs="Times New Roman"/>
      </w:rPr>
    </w:lvl>
    <w:lvl w:ilvl="1" w:tentative="0">
      <w:start w:val="1"/>
      <w:numFmt w:val="decimal"/>
      <w:lvlText w:val="%2."/>
      <w:lvlJc w:val="left"/>
      <w:pPr>
        <w:tabs>
          <w:tab w:val="left" w:pos="720"/>
        </w:tabs>
        <w:ind w:left="720" w:hanging="720"/>
      </w:pPr>
      <w:rPr>
        <w:rFonts w:hint="default" w:ascii="Arial (W1)" w:hAnsi="Arial (W1)" w:cs="Times New Roman"/>
        <w:b/>
        <w:i w:val="0"/>
        <w:sz w:val="28"/>
      </w:rPr>
    </w:lvl>
    <w:lvl w:ilvl="2" w:tentative="0">
      <w:start w:val="1"/>
      <w:numFmt w:val="decimal"/>
      <w:lvlText w:val="%1.%3."/>
      <w:lvlJc w:val="left"/>
      <w:pPr>
        <w:tabs>
          <w:tab w:val="left" w:pos="720"/>
        </w:tabs>
        <w:ind w:left="720" w:hanging="720"/>
      </w:pPr>
      <w:rPr>
        <w:rFonts w:hint="default" w:cs="Times New Roman"/>
      </w:rPr>
    </w:lvl>
    <w:lvl w:ilvl="3" w:tentative="0">
      <w:start w:val="1"/>
      <w:numFmt w:val="decimal"/>
      <w:lvlText w:val="%1.%3.%4."/>
      <w:lvlJc w:val="left"/>
      <w:pPr>
        <w:tabs>
          <w:tab w:val="left" w:pos="1728"/>
        </w:tabs>
        <w:ind w:left="1728" w:hanging="648"/>
      </w:pPr>
      <w:rPr>
        <w:rFonts w:hint="default" w:cs="Times New Roman"/>
      </w:rPr>
    </w:lvl>
    <w:lvl w:ilvl="4" w:tentative="0">
      <w:start w:val="1"/>
      <w:numFmt w:val="decimal"/>
      <w:lvlText w:val="%1.%2.%3.%4.%5."/>
      <w:lvlJc w:val="left"/>
      <w:pPr>
        <w:tabs>
          <w:tab w:val="left" w:pos="2520"/>
        </w:tabs>
        <w:ind w:left="2232" w:hanging="792"/>
      </w:pPr>
      <w:rPr>
        <w:rFonts w:hint="default" w:cs="Times New Roman"/>
      </w:rPr>
    </w:lvl>
    <w:lvl w:ilvl="5" w:tentative="0">
      <w:start w:val="1"/>
      <w:numFmt w:val="decimal"/>
      <w:lvlText w:val="%1.%2.%3.%4.%5.%6."/>
      <w:lvlJc w:val="left"/>
      <w:pPr>
        <w:tabs>
          <w:tab w:val="left" w:pos="3240"/>
        </w:tabs>
        <w:ind w:left="2736" w:hanging="936"/>
      </w:pPr>
      <w:rPr>
        <w:rFonts w:hint="default" w:cs="Times New Roman"/>
      </w:rPr>
    </w:lvl>
    <w:lvl w:ilvl="6" w:tentative="0">
      <w:start w:val="1"/>
      <w:numFmt w:val="decimal"/>
      <w:lvlText w:val="%1.%2.%3.%4.%5.%6.%7."/>
      <w:lvlJc w:val="left"/>
      <w:pPr>
        <w:tabs>
          <w:tab w:val="left" w:pos="3600"/>
        </w:tabs>
        <w:ind w:left="3240" w:hanging="1080"/>
      </w:pPr>
      <w:rPr>
        <w:rFonts w:hint="default" w:cs="Times New Roman"/>
      </w:rPr>
    </w:lvl>
    <w:lvl w:ilvl="7" w:tentative="0">
      <w:start w:val="1"/>
      <w:numFmt w:val="decimal"/>
      <w:lvlText w:val="%1.%2.%3.%4.%5.%6.%7.%8."/>
      <w:lvlJc w:val="left"/>
      <w:pPr>
        <w:tabs>
          <w:tab w:val="left" w:pos="4320"/>
        </w:tabs>
        <w:ind w:left="3744" w:hanging="1224"/>
      </w:pPr>
      <w:rPr>
        <w:rFonts w:hint="default" w:cs="Times New Roman"/>
      </w:rPr>
    </w:lvl>
    <w:lvl w:ilvl="8" w:tentative="0">
      <w:start w:val="1"/>
      <w:numFmt w:val="decimal"/>
      <w:lvlText w:val="%1.%2.%3.%4.%5.%6.%7.%8.%9."/>
      <w:lvlJc w:val="left"/>
      <w:pPr>
        <w:tabs>
          <w:tab w:val="left" w:pos="5040"/>
        </w:tabs>
        <w:ind w:left="4320" w:hanging="1440"/>
      </w:pPr>
      <w:rPr>
        <w:rFonts w:hint="default" w:cs="Times New Roman"/>
      </w:rPr>
    </w:lvl>
  </w:abstractNum>
  <w:abstractNum w:abstractNumId="4">
    <w:nsid w:val="1B7930FF"/>
    <w:multiLevelType w:val="multilevel"/>
    <w:tmpl w:val="1B7930F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CA67F3D"/>
    <w:multiLevelType w:val="singleLevel"/>
    <w:tmpl w:val="1CA67F3D"/>
    <w:lvl w:ilvl="0" w:tentative="0">
      <w:start w:val="2"/>
      <w:numFmt w:val="decimal"/>
      <w:suff w:val="space"/>
      <w:lvlText w:val="%1."/>
      <w:lvlJc w:val="left"/>
    </w:lvl>
  </w:abstractNum>
  <w:abstractNum w:abstractNumId="6">
    <w:nsid w:val="3380FA00"/>
    <w:multiLevelType w:val="singleLevel"/>
    <w:tmpl w:val="3380FA00"/>
    <w:lvl w:ilvl="0" w:tentative="0">
      <w:start w:val="1"/>
      <w:numFmt w:val="decimal"/>
      <w:suff w:val="nothing"/>
      <w:lvlText w:val="%1）"/>
      <w:lvlJc w:val="left"/>
    </w:lvl>
  </w:abstractNum>
  <w:abstractNum w:abstractNumId="7">
    <w:nsid w:val="471E06A1"/>
    <w:multiLevelType w:val="singleLevel"/>
    <w:tmpl w:val="471E06A1"/>
    <w:lvl w:ilvl="0" w:tentative="0">
      <w:start w:val="1"/>
      <w:numFmt w:val="japaneseCounting"/>
      <w:pStyle w:val="6"/>
      <w:lvlText w:val="%1、"/>
      <w:lvlJc w:val="left"/>
      <w:pPr>
        <w:tabs>
          <w:tab w:val="left" w:pos="960"/>
        </w:tabs>
        <w:ind w:left="960" w:hanging="600"/>
      </w:pPr>
      <w:rPr>
        <w:rFonts w:hint="eastAsia"/>
        <w:lang w:val="en-US"/>
      </w:rPr>
    </w:lvl>
  </w:abstractNum>
  <w:abstractNum w:abstractNumId="8">
    <w:nsid w:val="6E6F6101"/>
    <w:multiLevelType w:val="multilevel"/>
    <w:tmpl w:val="6E6F6101"/>
    <w:lvl w:ilvl="0" w:tentative="0">
      <w:start w:val="1"/>
      <w:numFmt w:val="decimal"/>
      <w:lvlText w:val="%1."/>
      <w:lvlJc w:val="left"/>
      <w:pPr>
        <w:tabs>
          <w:tab w:val="left" w:pos="420"/>
        </w:tabs>
        <w:ind w:left="420" w:hanging="420"/>
      </w:pPr>
      <w:rPr>
        <w:rFonts w:hint="eastAsia"/>
      </w:rPr>
    </w:lvl>
    <w:lvl w:ilvl="1" w:tentative="0">
      <w:start w:val="1"/>
      <w:numFmt w:val="lowerLetter"/>
      <w:lvlText w:val="%2)"/>
      <w:lvlJc w:val="left"/>
      <w:pPr>
        <w:tabs>
          <w:tab w:val="left" w:pos="-4"/>
        </w:tabs>
        <w:ind w:left="-4" w:hanging="420"/>
      </w:pPr>
    </w:lvl>
    <w:lvl w:ilvl="2" w:tentative="0">
      <w:start w:val="1"/>
      <w:numFmt w:val="lowerRoman"/>
      <w:lvlText w:val="%3."/>
      <w:lvlJc w:val="right"/>
      <w:pPr>
        <w:tabs>
          <w:tab w:val="left" w:pos="416"/>
        </w:tabs>
        <w:ind w:left="416" w:hanging="420"/>
      </w:pPr>
    </w:lvl>
    <w:lvl w:ilvl="3" w:tentative="0">
      <w:start w:val="1"/>
      <w:numFmt w:val="decimal"/>
      <w:lvlText w:val="%4."/>
      <w:lvlJc w:val="left"/>
      <w:pPr>
        <w:tabs>
          <w:tab w:val="left" w:pos="836"/>
        </w:tabs>
        <w:ind w:left="836" w:hanging="420"/>
      </w:pPr>
    </w:lvl>
    <w:lvl w:ilvl="4" w:tentative="0">
      <w:start w:val="1"/>
      <w:numFmt w:val="lowerLetter"/>
      <w:lvlText w:val="%5)"/>
      <w:lvlJc w:val="left"/>
      <w:pPr>
        <w:tabs>
          <w:tab w:val="left" w:pos="1256"/>
        </w:tabs>
        <w:ind w:left="1256" w:hanging="420"/>
      </w:pPr>
    </w:lvl>
    <w:lvl w:ilvl="5" w:tentative="0">
      <w:start w:val="1"/>
      <w:numFmt w:val="lowerRoman"/>
      <w:lvlText w:val="%6."/>
      <w:lvlJc w:val="right"/>
      <w:pPr>
        <w:tabs>
          <w:tab w:val="left" w:pos="1676"/>
        </w:tabs>
        <w:ind w:left="1676" w:hanging="420"/>
      </w:pPr>
    </w:lvl>
    <w:lvl w:ilvl="6" w:tentative="0">
      <w:start w:val="1"/>
      <w:numFmt w:val="decimal"/>
      <w:lvlText w:val="%7."/>
      <w:lvlJc w:val="left"/>
      <w:pPr>
        <w:tabs>
          <w:tab w:val="left" w:pos="2096"/>
        </w:tabs>
        <w:ind w:left="2096" w:hanging="420"/>
      </w:pPr>
    </w:lvl>
    <w:lvl w:ilvl="7" w:tentative="0">
      <w:start w:val="1"/>
      <w:numFmt w:val="lowerLetter"/>
      <w:lvlText w:val="%8)"/>
      <w:lvlJc w:val="left"/>
      <w:pPr>
        <w:tabs>
          <w:tab w:val="left" w:pos="2516"/>
        </w:tabs>
        <w:ind w:left="2516" w:hanging="420"/>
      </w:pPr>
    </w:lvl>
    <w:lvl w:ilvl="8" w:tentative="0">
      <w:start w:val="1"/>
      <w:numFmt w:val="lowerRoman"/>
      <w:lvlText w:val="%9."/>
      <w:lvlJc w:val="right"/>
      <w:pPr>
        <w:tabs>
          <w:tab w:val="left" w:pos="2936"/>
        </w:tabs>
        <w:ind w:left="2936" w:hanging="420"/>
      </w:pPr>
    </w:lvl>
  </w:abstractNum>
  <w:abstractNum w:abstractNumId="9">
    <w:nsid w:val="79E75356"/>
    <w:multiLevelType w:val="multilevel"/>
    <w:tmpl w:val="79E75356"/>
    <w:lvl w:ilvl="0" w:tentative="0">
      <w:start w:val="6"/>
      <w:numFmt w:val="decimal"/>
      <w:lvlText w:val="（%1）"/>
      <w:lvlJc w:val="left"/>
      <w:pPr>
        <w:ind w:left="1200" w:hanging="720"/>
      </w:pPr>
      <w:rPr>
        <w:rFonts w:hint="default" w:cs="Times New Roman"/>
        <w:color w:val="000000"/>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7"/>
  </w:num>
  <w:num w:numId="2">
    <w:abstractNumId w:val="3"/>
  </w:num>
  <w:num w:numId="3">
    <w:abstractNumId w:val="9"/>
  </w:num>
  <w:num w:numId="4">
    <w:abstractNumId w:val="6"/>
  </w:num>
  <w:num w:numId="5">
    <w:abstractNumId w:val="5"/>
  </w:num>
  <w:num w:numId="6">
    <w:abstractNumId w:val="4"/>
  </w:num>
  <w:num w:numId="7">
    <w:abstractNumId w:val="0"/>
  </w:num>
  <w:num w:numId="8">
    <w:abstractNumId w:val="1"/>
  </w:num>
  <w:num w:numId="9">
    <w:abstractNumId w:val="2"/>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RkMWZmMWE5ZDNhMzhiODU2NDRjNDBmYzIwNWZkNDQifQ=="/>
  </w:docVars>
  <w:rsids>
    <w:rsidRoot w:val="00225CDE"/>
    <w:rsid w:val="000016A5"/>
    <w:rsid w:val="00002FCA"/>
    <w:rsid w:val="00003136"/>
    <w:rsid w:val="000068E3"/>
    <w:rsid w:val="00006DC6"/>
    <w:rsid w:val="00007EDE"/>
    <w:rsid w:val="000113CF"/>
    <w:rsid w:val="00012706"/>
    <w:rsid w:val="00014706"/>
    <w:rsid w:val="0002114A"/>
    <w:rsid w:val="000234CC"/>
    <w:rsid w:val="000238C2"/>
    <w:rsid w:val="00024F06"/>
    <w:rsid w:val="000251CD"/>
    <w:rsid w:val="00031AF5"/>
    <w:rsid w:val="00033334"/>
    <w:rsid w:val="00034FCB"/>
    <w:rsid w:val="000443A5"/>
    <w:rsid w:val="000479EA"/>
    <w:rsid w:val="00057F44"/>
    <w:rsid w:val="000618F0"/>
    <w:rsid w:val="00076373"/>
    <w:rsid w:val="00077A92"/>
    <w:rsid w:val="00092528"/>
    <w:rsid w:val="00093886"/>
    <w:rsid w:val="0009771D"/>
    <w:rsid w:val="000A1947"/>
    <w:rsid w:val="000A3E87"/>
    <w:rsid w:val="000A5FE4"/>
    <w:rsid w:val="000A6575"/>
    <w:rsid w:val="000B19F6"/>
    <w:rsid w:val="000B65E4"/>
    <w:rsid w:val="000B736F"/>
    <w:rsid w:val="000C0B10"/>
    <w:rsid w:val="000C5B76"/>
    <w:rsid w:val="000C6D68"/>
    <w:rsid w:val="000D00AD"/>
    <w:rsid w:val="000D4371"/>
    <w:rsid w:val="000E09B4"/>
    <w:rsid w:val="000E308E"/>
    <w:rsid w:val="000E3830"/>
    <w:rsid w:val="000F03DE"/>
    <w:rsid w:val="00100889"/>
    <w:rsid w:val="0010675B"/>
    <w:rsid w:val="00110520"/>
    <w:rsid w:val="00111749"/>
    <w:rsid w:val="00111E1B"/>
    <w:rsid w:val="00113003"/>
    <w:rsid w:val="00116C9D"/>
    <w:rsid w:val="001224C6"/>
    <w:rsid w:val="00122D50"/>
    <w:rsid w:val="00127EF9"/>
    <w:rsid w:val="001318A9"/>
    <w:rsid w:val="00131B16"/>
    <w:rsid w:val="001333FA"/>
    <w:rsid w:val="001346F0"/>
    <w:rsid w:val="0013792F"/>
    <w:rsid w:val="00140EC9"/>
    <w:rsid w:val="00141207"/>
    <w:rsid w:val="00142C82"/>
    <w:rsid w:val="00147C0A"/>
    <w:rsid w:val="001501C0"/>
    <w:rsid w:val="001516AF"/>
    <w:rsid w:val="00153F10"/>
    <w:rsid w:val="001574E8"/>
    <w:rsid w:val="00166951"/>
    <w:rsid w:val="00166D22"/>
    <w:rsid w:val="001671A9"/>
    <w:rsid w:val="001702C7"/>
    <w:rsid w:val="00171C29"/>
    <w:rsid w:val="001771E5"/>
    <w:rsid w:val="001778D7"/>
    <w:rsid w:val="00181F9E"/>
    <w:rsid w:val="001828B1"/>
    <w:rsid w:val="001830C2"/>
    <w:rsid w:val="00190B97"/>
    <w:rsid w:val="001915D0"/>
    <w:rsid w:val="0019183A"/>
    <w:rsid w:val="001952E5"/>
    <w:rsid w:val="00196345"/>
    <w:rsid w:val="00196BAF"/>
    <w:rsid w:val="001A554A"/>
    <w:rsid w:val="001A6152"/>
    <w:rsid w:val="001B322E"/>
    <w:rsid w:val="001B40C9"/>
    <w:rsid w:val="001B6069"/>
    <w:rsid w:val="001B686D"/>
    <w:rsid w:val="001D1DB2"/>
    <w:rsid w:val="001D53D7"/>
    <w:rsid w:val="001D7F0C"/>
    <w:rsid w:val="001E3FF3"/>
    <w:rsid w:val="001E4207"/>
    <w:rsid w:val="001E66E4"/>
    <w:rsid w:val="001E738B"/>
    <w:rsid w:val="001E7B08"/>
    <w:rsid w:val="001E7EDC"/>
    <w:rsid w:val="001F00FE"/>
    <w:rsid w:val="00204B47"/>
    <w:rsid w:val="002116C9"/>
    <w:rsid w:val="00214C50"/>
    <w:rsid w:val="00214D42"/>
    <w:rsid w:val="00217E6D"/>
    <w:rsid w:val="00225CDE"/>
    <w:rsid w:val="00225EE4"/>
    <w:rsid w:val="002272C6"/>
    <w:rsid w:val="0022776B"/>
    <w:rsid w:val="00241EB4"/>
    <w:rsid w:val="00242A2D"/>
    <w:rsid w:val="00247E42"/>
    <w:rsid w:val="002542E8"/>
    <w:rsid w:val="00255016"/>
    <w:rsid w:val="00256CB0"/>
    <w:rsid w:val="00257A80"/>
    <w:rsid w:val="0026109B"/>
    <w:rsid w:val="00262855"/>
    <w:rsid w:val="002635F8"/>
    <w:rsid w:val="00263B66"/>
    <w:rsid w:val="00264884"/>
    <w:rsid w:val="00266056"/>
    <w:rsid w:val="00270EB6"/>
    <w:rsid w:val="00271703"/>
    <w:rsid w:val="0027361F"/>
    <w:rsid w:val="002760D9"/>
    <w:rsid w:val="00276F5C"/>
    <w:rsid w:val="00281334"/>
    <w:rsid w:val="00291659"/>
    <w:rsid w:val="0029625E"/>
    <w:rsid w:val="00296AEA"/>
    <w:rsid w:val="002B360C"/>
    <w:rsid w:val="002B5242"/>
    <w:rsid w:val="002C1F04"/>
    <w:rsid w:val="002C3AF4"/>
    <w:rsid w:val="002D0961"/>
    <w:rsid w:val="002D3351"/>
    <w:rsid w:val="002D3C2B"/>
    <w:rsid w:val="002D4E9E"/>
    <w:rsid w:val="002E0695"/>
    <w:rsid w:val="002E12F2"/>
    <w:rsid w:val="002F14B6"/>
    <w:rsid w:val="002F2E84"/>
    <w:rsid w:val="002F61FA"/>
    <w:rsid w:val="002F67C7"/>
    <w:rsid w:val="00305430"/>
    <w:rsid w:val="0031041F"/>
    <w:rsid w:val="00314627"/>
    <w:rsid w:val="00316251"/>
    <w:rsid w:val="0032065E"/>
    <w:rsid w:val="00321974"/>
    <w:rsid w:val="003261EA"/>
    <w:rsid w:val="0033512A"/>
    <w:rsid w:val="0033564A"/>
    <w:rsid w:val="00336F8A"/>
    <w:rsid w:val="00344561"/>
    <w:rsid w:val="003448C9"/>
    <w:rsid w:val="00344C53"/>
    <w:rsid w:val="003505FE"/>
    <w:rsid w:val="0035233F"/>
    <w:rsid w:val="003525C7"/>
    <w:rsid w:val="00356BE3"/>
    <w:rsid w:val="003625A2"/>
    <w:rsid w:val="003672EE"/>
    <w:rsid w:val="00372507"/>
    <w:rsid w:val="00372E53"/>
    <w:rsid w:val="00374028"/>
    <w:rsid w:val="00374CB0"/>
    <w:rsid w:val="003769A9"/>
    <w:rsid w:val="00376C70"/>
    <w:rsid w:val="00376FED"/>
    <w:rsid w:val="00386D57"/>
    <w:rsid w:val="00387546"/>
    <w:rsid w:val="003915F1"/>
    <w:rsid w:val="00397A50"/>
    <w:rsid w:val="003A1FF4"/>
    <w:rsid w:val="003A53DD"/>
    <w:rsid w:val="003B04B4"/>
    <w:rsid w:val="003B2D83"/>
    <w:rsid w:val="003B6ADC"/>
    <w:rsid w:val="003B7536"/>
    <w:rsid w:val="003C02CC"/>
    <w:rsid w:val="003C050A"/>
    <w:rsid w:val="003C1A4D"/>
    <w:rsid w:val="003C2005"/>
    <w:rsid w:val="003C20A2"/>
    <w:rsid w:val="003D06E7"/>
    <w:rsid w:val="003D22B7"/>
    <w:rsid w:val="003D24FE"/>
    <w:rsid w:val="003D381D"/>
    <w:rsid w:val="003D3BED"/>
    <w:rsid w:val="003D7521"/>
    <w:rsid w:val="003E1D65"/>
    <w:rsid w:val="003E3917"/>
    <w:rsid w:val="003E4624"/>
    <w:rsid w:val="00405E5A"/>
    <w:rsid w:val="00407875"/>
    <w:rsid w:val="0041186B"/>
    <w:rsid w:val="0041416B"/>
    <w:rsid w:val="004147D9"/>
    <w:rsid w:val="00415ED0"/>
    <w:rsid w:val="0042138C"/>
    <w:rsid w:val="00424ECB"/>
    <w:rsid w:val="00436F6E"/>
    <w:rsid w:val="0044089E"/>
    <w:rsid w:val="0044224A"/>
    <w:rsid w:val="00445C66"/>
    <w:rsid w:val="0044720F"/>
    <w:rsid w:val="00450129"/>
    <w:rsid w:val="00452557"/>
    <w:rsid w:val="00453091"/>
    <w:rsid w:val="00456F48"/>
    <w:rsid w:val="0045733E"/>
    <w:rsid w:val="00457B04"/>
    <w:rsid w:val="0046059F"/>
    <w:rsid w:val="004663F2"/>
    <w:rsid w:val="00472730"/>
    <w:rsid w:val="00477906"/>
    <w:rsid w:val="00486945"/>
    <w:rsid w:val="004921ED"/>
    <w:rsid w:val="004932F9"/>
    <w:rsid w:val="004A025E"/>
    <w:rsid w:val="004A2C45"/>
    <w:rsid w:val="004A4ACE"/>
    <w:rsid w:val="004A573D"/>
    <w:rsid w:val="004B0463"/>
    <w:rsid w:val="004B0C7C"/>
    <w:rsid w:val="004C6BF3"/>
    <w:rsid w:val="004C6C06"/>
    <w:rsid w:val="004D0AB5"/>
    <w:rsid w:val="004D4442"/>
    <w:rsid w:val="004D4E7A"/>
    <w:rsid w:val="004E1B0E"/>
    <w:rsid w:val="004E2E89"/>
    <w:rsid w:val="004E3F20"/>
    <w:rsid w:val="004E5268"/>
    <w:rsid w:val="004E6325"/>
    <w:rsid w:val="004F3789"/>
    <w:rsid w:val="004F53F0"/>
    <w:rsid w:val="004F6293"/>
    <w:rsid w:val="004F6578"/>
    <w:rsid w:val="005013DC"/>
    <w:rsid w:val="00501A03"/>
    <w:rsid w:val="005078C0"/>
    <w:rsid w:val="0051052F"/>
    <w:rsid w:val="0051251C"/>
    <w:rsid w:val="00514CCC"/>
    <w:rsid w:val="005256DD"/>
    <w:rsid w:val="0052619C"/>
    <w:rsid w:val="00527BD5"/>
    <w:rsid w:val="00544584"/>
    <w:rsid w:val="00551E5F"/>
    <w:rsid w:val="005568E9"/>
    <w:rsid w:val="0056182D"/>
    <w:rsid w:val="00562B0A"/>
    <w:rsid w:val="005666A4"/>
    <w:rsid w:val="00567EFC"/>
    <w:rsid w:val="00576211"/>
    <w:rsid w:val="0059297C"/>
    <w:rsid w:val="005A3528"/>
    <w:rsid w:val="005A4133"/>
    <w:rsid w:val="005A5FA1"/>
    <w:rsid w:val="005B2CB7"/>
    <w:rsid w:val="005B3546"/>
    <w:rsid w:val="005B4EE2"/>
    <w:rsid w:val="005B4F70"/>
    <w:rsid w:val="005B5F8B"/>
    <w:rsid w:val="005B7068"/>
    <w:rsid w:val="005C22E4"/>
    <w:rsid w:val="005C5283"/>
    <w:rsid w:val="005D0971"/>
    <w:rsid w:val="005D0E2D"/>
    <w:rsid w:val="005D66A5"/>
    <w:rsid w:val="005E440B"/>
    <w:rsid w:val="005E44AE"/>
    <w:rsid w:val="005E488C"/>
    <w:rsid w:val="005F1072"/>
    <w:rsid w:val="005F5F0B"/>
    <w:rsid w:val="005F673A"/>
    <w:rsid w:val="005F6A48"/>
    <w:rsid w:val="005F78C3"/>
    <w:rsid w:val="006118E5"/>
    <w:rsid w:val="00626F3F"/>
    <w:rsid w:val="00627192"/>
    <w:rsid w:val="00627531"/>
    <w:rsid w:val="0063300E"/>
    <w:rsid w:val="0063460E"/>
    <w:rsid w:val="006350F0"/>
    <w:rsid w:val="00637E20"/>
    <w:rsid w:val="00642183"/>
    <w:rsid w:val="00642854"/>
    <w:rsid w:val="006439F3"/>
    <w:rsid w:val="00643F9F"/>
    <w:rsid w:val="00644F81"/>
    <w:rsid w:val="00644FC3"/>
    <w:rsid w:val="00645549"/>
    <w:rsid w:val="00645967"/>
    <w:rsid w:val="00645BD2"/>
    <w:rsid w:val="00646EC2"/>
    <w:rsid w:val="006475F2"/>
    <w:rsid w:val="00647D0C"/>
    <w:rsid w:val="006525B5"/>
    <w:rsid w:val="00653E5D"/>
    <w:rsid w:val="006616BF"/>
    <w:rsid w:val="00661F52"/>
    <w:rsid w:val="006624C3"/>
    <w:rsid w:val="00664A3A"/>
    <w:rsid w:val="00666607"/>
    <w:rsid w:val="006707D6"/>
    <w:rsid w:val="00671A9F"/>
    <w:rsid w:val="0067509C"/>
    <w:rsid w:val="00675B75"/>
    <w:rsid w:val="006817F8"/>
    <w:rsid w:val="00691E55"/>
    <w:rsid w:val="006933A8"/>
    <w:rsid w:val="006946DC"/>
    <w:rsid w:val="00695E5C"/>
    <w:rsid w:val="00697352"/>
    <w:rsid w:val="006A1349"/>
    <w:rsid w:val="006C091D"/>
    <w:rsid w:val="006C27C4"/>
    <w:rsid w:val="006D14F1"/>
    <w:rsid w:val="006D735B"/>
    <w:rsid w:val="006E461B"/>
    <w:rsid w:val="006F1EF4"/>
    <w:rsid w:val="006F1FF3"/>
    <w:rsid w:val="006F2265"/>
    <w:rsid w:val="00700A76"/>
    <w:rsid w:val="00704B4C"/>
    <w:rsid w:val="007106F0"/>
    <w:rsid w:val="0071578B"/>
    <w:rsid w:val="0071679C"/>
    <w:rsid w:val="00717067"/>
    <w:rsid w:val="007172C4"/>
    <w:rsid w:val="00721909"/>
    <w:rsid w:val="00730B4F"/>
    <w:rsid w:val="007313D6"/>
    <w:rsid w:val="007338A0"/>
    <w:rsid w:val="0073498A"/>
    <w:rsid w:val="00735F18"/>
    <w:rsid w:val="0074131D"/>
    <w:rsid w:val="00741407"/>
    <w:rsid w:val="00742509"/>
    <w:rsid w:val="00744D37"/>
    <w:rsid w:val="007500E4"/>
    <w:rsid w:val="00753C4C"/>
    <w:rsid w:val="0075462B"/>
    <w:rsid w:val="00755E00"/>
    <w:rsid w:val="00757233"/>
    <w:rsid w:val="007572EF"/>
    <w:rsid w:val="007630B5"/>
    <w:rsid w:val="00770B44"/>
    <w:rsid w:val="00771A4A"/>
    <w:rsid w:val="0077324E"/>
    <w:rsid w:val="00777A93"/>
    <w:rsid w:val="00782F73"/>
    <w:rsid w:val="00787152"/>
    <w:rsid w:val="00792C96"/>
    <w:rsid w:val="00797397"/>
    <w:rsid w:val="007A209D"/>
    <w:rsid w:val="007A6B99"/>
    <w:rsid w:val="007A6C87"/>
    <w:rsid w:val="007B1D1F"/>
    <w:rsid w:val="007B4161"/>
    <w:rsid w:val="007B5FCD"/>
    <w:rsid w:val="007B689E"/>
    <w:rsid w:val="007C496D"/>
    <w:rsid w:val="007C5DCF"/>
    <w:rsid w:val="007D3256"/>
    <w:rsid w:val="007D54B5"/>
    <w:rsid w:val="007D7293"/>
    <w:rsid w:val="007E10CA"/>
    <w:rsid w:val="007E2766"/>
    <w:rsid w:val="007E2D2C"/>
    <w:rsid w:val="007E53C3"/>
    <w:rsid w:val="007E570D"/>
    <w:rsid w:val="007F3F07"/>
    <w:rsid w:val="007F4149"/>
    <w:rsid w:val="007F5652"/>
    <w:rsid w:val="007F7985"/>
    <w:rsid w:val="00805C31"/>
    <w:rsid w:val="00805C45"/>
    <w:rsid w:val="00812347"/>
    <w:rsid w:val="00813718"/>
    <w:rsid w:val="00814AFC"/>
    <w:rsid w:val="00814C23"/>
    <w:rsid w:val="008158EF"/>
    <w:rsid w:val="0081595C"/>
    <w:rsid w:val="00821977"/>
    <w:rsid w:val="00821BD9"/>
    <w:rsid w:val="0082760B"/>
    <w:rsid w:val="00840672"/>
    <w:rsid w:val="00842103"/>
    <w:rsid w:val="0084380A"/>
    <w:rsid w:val="00846498"/>
    <w:rsid w:val="00851B4B"/>
    <w:rsid w:val="00854DFF"/>
    <w:rsid w:val="00857CA1"/>
    <w:rsid w:val="00862B90"/>
    <w:rsid w:val="00872732"/>
    <w:rsid w:val="0087659D"/>
    <w:rsid w:val="00880016"/>
    <w:rsid w:val="008816FA"/>
    <w:rsid w:val="0088231E"/>
    <w:rsid w:val="008833CA"/>
    <w:rsid w:val="00883647"/>
    <w:rsid w:val="00887312"/>
    <w:rsid w:val="00887555"/>
    <w:rsid w:val="008878C2"/>
    <w:rsid w:val="00892DD5"/>
    <w:rsid w:val="0089321C"/>
    <w:rsid w:val="00893875"/>
    <w:rsid w:val="00894544"/>
    <w:rsid w:val="00895956"/>
    <w:rsid w:val="0089602C"/>
    <w:rsid w:val="008A4C03"/>
    <w:rsid w:val="008A5E57"/>
    <w:rsid w:val="008B3853"/>
    <w:rsid w:val="008B7488"/>
    <w:rsid w:val="008B7C7A"/>
    <w:rsid w:val="008D13CD"/>
    <w:rsid w:val="008D181F"/>
    <w:rsid w:val="008D5A5C"/>
    <w:rsid w:val="008E0533"/>
    <w:rsid w:val="008F1DDA"/>
    <w:rsid w:val="008F3150"/>
    <w:rsid w:val="008F3A7C"/>
    <w:rsid w:val="00900F60"/>
    <w:rsid w:val="0090108D"/>
    <w:rsid w:val="00903A9F"/>
    <w:rsid w:val="00911296"/>
    <w:rsid w:val="00917D80"/>
    <w:rsid w:val="009258CD"/>
    <w:rsid w:val="0092737E"/>
    <w:rsid w:val="00927A95"/>
    <w:rsid w:val="009303C2"/>
    <w:rsid w:val="0093416F"/>
    <w:rsid w:val="009402E6"/>
    <w:rsid w:val="009403EB"/>
    <w:rsid w:val="00943DEF"/>
    <w:rsid w:val="00947F4C"/>
    <w:rsid w:val="00951E23"/>
    <w:rsid w:val="00953824"/>
    <w:rsid w:val="00953CD2"/>
    <w:rsid w:val="00957CE0"/>
    <w:rsid w:val="00960C57"/>
    <w:rsid w:val="0096328A"/>
    <w:rsid w:val="00964F1F"/>
    <w:rsid w:val="009755FF"/>
    <w:rsid w:val="00977516"/>
    <w:rsid w:val="00984B2D"/>
    <w:rsid w:val="00984F88"/>
    <w:rsid w:val="009854D8"/>
    <w:rsid w:val="0098566F"/>
    <w:rsid w:val="00990C56"/>
    <w:rsid w:val="009910EB"/>
    <w:rsid w:val="00997ACF"/>
    <w:rsid w:val="009A15BD"/>
    <w:rsid w:val="009A3520"/>
    <w:rsid w:val="009A4312"/>
    <w:rsid w:val="009A5005"/>
    <w:rsid w:val="009A5812"/>
    <w:rsid w:val="009B16FA"/>
    <w:rsid w:val="009C19EE"/>
    <w:rsid w:val="009C3BDA"/>
    <w:rsid w:val="009C7F30"/>
    <w:rsid w:val="009D1F22"/>
    <w:rsid w:val="009D5772"/>
    <w:rsid w:val="009D5F20"/>
    <w:rsid w:val="009E49FD"/>
    <w:rsid w:val="009E4C25"/>
    <w:rsid w:val="009E75D7"/>
    <w:rsid w:val="009F0131"/>
    <w:rsid w:val="009F0D9E"/>
    <w:rsid w:val="009F2557"/>
    <w:rsid w:val="009F33DA"/>
    <w:rsid w:val="00A1104C"/>
    <w:rsid w:val="00A1264B"/>
    <w:rsid w:val="00A13330"/>
    <w:rsid w:val="00A1730B"/>
    <w:rsid w:val="00A24B38"/>
    <w:rsid w:val="00A256A3"/>
    <w:rsid w:val="00A3344B"/>
    <w:rsid w:val="00A33E4B"/>
    <w:rsid w:val="00A342E2"/>
    <w:rsid w:val="00A360E1"/>
    <w:rsid w:val="00A36573"/>
    <w:rsid w:val="00A3713E"/>
    <w:rsid w:val="00A43C87"/>
    <w:rsid w:val="00A51F7A"/>
    <w:rsid w:val="00A525F7"/>
    <w:rsid w:val="00A53716"/>
    <w:rsid w:val="00A5441D"/>
    <w:rsid w:val="00A6555A"/>
    <w:rsid w:val="00A66FF9"/>
    <w:rsid w:val="00A67200"/>
    <w:rsid w:val="00A677F0"/>
    <w:rsid w:val="00A72B60"/>
    <w:rsid w:val="00A73875"/>
    <w:rsid w:val="00A913AC"/>
    <w:rsid w:val="00A924D4"/>
    <w:rsid w:val="00A93BF9"/>
    <w:rsid w:val="00A946BA"/>
    <w:rsid w:val="00AA2CFD"/>
    <w:rsid w:val="00AA7CEE"/>
    <w:rsid w:val="00AA7D94"/>
    <w:rsid w:val="00AB587B"/>
    <w:rsid w:val="00AB672A"/>
    <w:rsid w:val="00AC3C97"/>
    <w:rsid w:val="00AC6351"/>
    <w:rsid w:val="00AD0BDC"/>
    <w:rsid w:val="00AD6BE3"/>
    <w:rsid w:val="00AE046F"/>
    <w:rsid w:val="00AE24B1"/>
    <w:rsid w:val="00AE492D"/>
    <w:rsid w:val="00AE7F9B"/>
    <w:rsid w:val="00AF3BA8"/>
    <w:rsid w:val="00AF4390"/>
    <w:rsid w:val="00AF49C8"/>
    <w:rsid w:val="00AF61A6"/>
    <w:rsid w:val="00AF7B2C"/>
    <w:rsid w:val="00B00199"/>
    <w:rsid w:val="00B00F2F"/>
    <w:rsid w:val="00B010A1"/>
    <w:rsid w:val="00B03A22"/>
    <w:rsid w:val="00B03AEA"/>
    <w:rsid w:val="00B12781"/>
    <w:rsid w:val="00B1311F"/>
    <w:rsid w:val="00B15193"/>
    <w:rsid w:val="00B25F6A"/>
    <w:rsid w:val="00B26944"/>
    <w:rsid w:val="00B30F4B"/>
    <w:rsid w:val="00B31023"/>
    <w:rsid w:val="00B3255F"/>
    <w:rsid w:val="00B445C7"/>
    <w:rsid w:val="00B47038"/>
    <w:rsid w:val="00B47353"/>
    <w:rsid w:val="00B47BC3"/>
    <w:rsid w:val="00B5291E"/>
    <w:rsid w:val="00B53745"/>
    <w:rsid w:val="00B549F8"/>
    <w:rsid w:val="00B562B5"/>
    <w:rsid w:val="00B62DB0"/>
    <w:rsid w:val="00B6547F"/>
    <w:rsid w:val="00B65F14"/>
    <w:rsid w:val="00B7067C"/>
    <w:rsid w:val="00B725B1"/>
    <w:rsid w:val="00B75202"/>
    <w:rsid w:val="00B81990"/>
    <w:rsid w:val="00B83443"/>
    <w:rsid w:val="00B876B8"/>
    <w:rsid w:val="00B93985"/>
    <w:rsid w:val="00B97748"/>
    <w:rsid w:val="00BA0EFC"/>
    <w:rsid w:val="00BA2139"/>
    <w:rsid w:val="00BA47A9"/>
    <w:rsid w:val="00BA74E1"/>
    <w:rsid w:val="00BB5156"/>
    <w:rsid w:val="00BC0797"/>
    <w:rsid w:val="00BC1289"/>
    <w:rsid w:val="00BC1D9D"/>
    <w:rsid w:val="00BC64BE"/>
    <w:rsid w:val="00BC7CBA"/>
    <w:rsid w:val="00BD09D8"/>
    <w:rsid w:val="00BD74A8"/>
    <w:rsid w:val="00BE0FA1"/>
    <w:rsid w:val="00BE1AF7"/>
    <w:rsid w:val="00BE2957"/>
    <w:rsid w:val="00BE2E9A"/>
    <w:rsid w:val="00BE3750"/>
    <w:rsid w:val="00BE3D54"/>
    <w:rsid w:val="00BE4F52"/>
    <w:rsid w:val="00BE6831"/>
    <w:rsid w:val="00BF5179"/>
    <w:rsid w:val="00BF7DC7"/>
    <w:rsid w:val="00C06BDF"/>
    <w:rsid w:val="00C103B2"/>
    <w:rsid w:val="00C11947"/>
    <w:rsid w:val="00C149CA"/>
    <w:rsid w:val="00C152E9"/>
    <w:rsid w:val="00C20A8F"/>
    <w:rsid w:val="00C2789E"/>
    <w:rsid w:val="00C33FB9"/>
    <w:rsid w:val="00C35111"/>
    <w:rsid w:val="00C45775"/>
    <w:rsid w:val="00C4711F"/>
    <w:rsid w:val="00C5451B"/>
    <w:rsid w:val="00C61009"/>
    <w:rsid w:val="00C622FF"/>
    <w:rsid w:val="00C62AF2"/>
    <w:rsid w:val="00C6410B"/>
    <w:rsid w:val="00C646DE"/>
    <w:rsid w:val="00C64A2E"/>
    <w:rsid w:val="00C65610"/>
    <w:rsid w:val="00C703BF"/>
    <w:rsid w:val="00C737B9"/>
    <w:rsid w:val="00C76268"/>
    <w:rsid w:val="00C8151E"/>
    <w:rsid w:val="00C86637"/>
    <w:rsid w:val="00C86C22"/>
    <w:rsid w:val="00C91468"/>
    <w:rsid w:val="00C94876"/>
    <w:rsid w:val="00C95B77"/>
    <w:rsid w:val="00CA3F62"/>
    <w:rsid w:val="00CC6083"/>
    <w:rsid w:val="00CC6FC0"/>
    <w:rsid w:val="00CD0CE2"/>
    <w:rsid w:val="00CD12E2"/>
    <w:rsid w:val="00CD1B25"/>
    <w:rsid w:val="00CD3829"/>
    <w:rsid w:val="00CD5479"/>
    <w:rsid w:val="00CE252A"/>
    <w:rsid w:val="00CE2A5B"/>
    <w:rsid w:val="00CE47EC"/>
    <w:rsid w:val="00CE6860"/>
    <w:rsid w:val="00CE7AEE"/>
    <w:rsid w:val="00CF00BC"/>
    <w:rsid w:val="00CF14EA"/>
    <w:rsid w:val="00CF1EBD"/>
    <w:rsid w:val="00CF2EB6"/>
    <w:rsid w:val="00CF5A31"/>
    <w:rsid w:val="00CF7383"/>
    <w:rsid w:val="00D05147"/>
    <w:rsid w:val="00D0555E"/>
    <w:rsid w:val="00D074D4"/>
    <w:rsid w:val="00D12B8A"/>
    <w:rsid w:val="00D15074"/>
    <w:rsid w:val="00D378D3"/>
    <w:rsid w:val="00D453D0"/>
    <w:rsid w:val="00D6094A"/>
    <w:rsid w:val="00D61FB4"/>
    <w:rsid w:val="00D6680C"/>
    <w:rsid w:val="00D67704"/>
    <w:rsid w:val="00D71FD4"/>
    <w:rsid w:val="00D75ACD"/>
    <w:rsid w:val="00D821FC"/>
    <w:rsid w:val="00D83417"/>
    <w:rsid w:val="00D873CA"/>
    <w:rsid w:val="00D87F2E"/>
    <w:rsid w:val="00DA09ED"/>
    <w:rsid w:val="00DA1CEE"/>
    <w:rsid w:val="00DA5227"/>
    <w:rsid w:val="00DA5346"/>
    <w:rsid w:val="00DA6155"/>
    <w:rsid w:val="00DB0C32"/>
    <w:rsid w:val="00DB1592"/>
    <w:rsid w:val="00DB7244"/>
    <w:rsid w:val="00DC075A"/>
    <w:rsid w:val="00DC2AA9"/>
    <w:rsid w:val="00DC5836"/>
    <w:rsid w:val="00DD0572"/>
    <w:rsid w:val="00DD0861"/>
    <w:rsid w:val="00DD3A1A"/>
    <w:rsid w:val="00DD4071"/>
    <w:rsid w:val="00DD6107"/>
    <w:rsid w:val="00DE19C9"/>
    <w:rsid w:val="00DF100A"/>
    <w:rsid w:val="00DF3B7F"/>
    <w:rsid w:val="00E0335D"/>
    <w:rsid w:val="00E04C3C"/>
    <w:rsid w:val="00E052FD"/>
    <w:rsid w:val="00E07F6C"/>
    <w:rsid w:val="00E12C79"/>
    <w:rsid w:val="00E209D9"/>
    <w:rsid w:val="00E25875"/>
    <w:rsid w:val="00E3305F"/>
    <w:rsid w:val="00E35240"/>
    <w:rsid w:val="00E40781"/>
    <w:rsid w:val="00E43868"/>
    <w:rsid w:val="00E54603"/>
    <w:rsid w:val="00E563CF"/>
    <w:rsid w:val="00E65B04"/>
    <w:rsid w:val="00E66F3C"/>
    <w:rsid w:val="00E72A61"/>
    <w:rsid w:val="00E735F1"/>
    <w:rsid w:val="00E76500"/>
    <w:rsid w:val="00E7701C"/>
    <w:rsid w:val="00E813E3"/>
    <w:rsid w:val="00E8434C"/>
    <w:rsid w:val="00EA7801"/>
    <w:rsid w:val="00EB009D"/>
    <w:rsid w:val="00EB0E64"/>
    <w:rsid w:val="00EB4D57"/>
    <w:rsid w:val="00EB61F7"/>
    <w:rsid w:val="00EC0C0C"/>
    <w:rsid w:val="00EC3F20"/>
    <w:rsid w:val="00EC51E2"/>
    <w:rsid w:val="00EC65A8"/>
    <w:rsid w:val="00EC69FA"/>
    <w:rsid w:val="00EC6F52"/>
    <w:rsid w:val="00EC74A6"/>
    <w:rsid w:val="00ED544E"/>
    <w:rsid w:val="00ED5D17"/>
    <w:rsid w:val="00ED7569"/>
    <w:rsid w:val="00EF1820"/>
    <w:rsid w:val="00EF291E"/>
    <w:rsid w:val="00EF681C"/>
    <w:rsid w:val="00EF7202"/>
    <w:rsid w:val="00EF7678"/>
    <w:rsid w:val="00F069A9"/>
    <w:rsid w:val="00F06D0B"/>
    <w:rsid w:val="00F07551"/>
    <w:rsid w:val="00F129D0"/>
    <w:rsid w:val="00F13256"/>
    <w:rsid w:val="00F149CB"/>
    <w:rsid w:val="00F26154"/>
    <w:rsid w:val="00F32356"/>
    <w:rsid w:val="00F37745"/>
    <w:rsid w:val="00F47C6D"/>
    <w:rsid w:val="00F55F1E"/>
    <w:rsid w:val="00F6139A"/>
    <w:rsid w:val="00F63E20"/>
    <w:rsid w:val="00F667AF"/>
    <w:rsid w:val="00F707E6"/>
    <w:rsid w:val="00F72390"/>
    <w:rsid w:val="00F726BF"/>
    <w:rsid w:val="00F742F7"/>
    <w:rsid w:val="00F74D10"/>
    <w:rsid w:val="00F80BF4"/>
    <w:rsid w:val="00F822A6"/>
    <w:rsid w:val="00F835DD"/>
    <w:rsid w:val="00F844F7"/>
    <w:rsid w:val="00F8580F"/>
    <w:rsid w:val="00F8743E"/>
    <w:rsid w:val="00FA0F97"/>
    <w:rsid w:val="00FA1381"/>
    <w:rsid w:val="00FA1C99"/>
    <w:rsid w:val="00FA2A40"/>
    <w:rsid w:val="00FB0CFD"/>
    <w:rsid w:val="00FB1CAB"/>
    <w:rsid w:val="00FB2EE4"/>
    <w:rsid w:val="00FB4140"/>
    <w:rsid w:val="00FB6BC3"/>
    <w:rsid w:val="00FC1BC1"/>
    <w:rsid w:val="00FC62E1"/>
    <w:rsid w:val="00FC7949"/>
    <w:rsid w:val="00FD2949"/>
    <w:rsid w:val="00FD301A"/>
    <w:rsid w:val="00FD3450"/>
    <w:rsid w:val="00FE4399"/>
    <w:rsid w:val="00FE4B5B"/>
    <w:rsid w:val="00FE65EB"/>
    <w:rsid w:val="00FF0A72"/>
    <w:rsid w:val="00FF2114"/>
    <w:rsid w:val="031F0BD0"/>
    <w:rsid w:val="04112B87"/>
    <w:rsid w:val="046A5951"/>
    <w:rsid w:val="04CD731B"/>
    <w:rsid w:val="05350EF5"/>
    <w:rsid w:val="0535502B"/>
    <w:rsid w:val="054613B5"/>
    <w:rsid w:val="065245AF"/>
    <w:rsid w:val="07CA43AC"/>
    <w:rsid w:val="08A85570"/>
    <w:rsid w:val="091C4898"/>
    <w:rsid w:val="0A307C97"/>
    <w:rsid w:val="0AD92A42"/>
    <w:rsid w:val="0AE04D27"/>
    <w:rsid w:val="0AF6444C"/>
    <w:rsid w:val="0B6B1123"/>
    <w:rsid w:val="0B89546B"/>
    <w:rsid w:val="0D353973"/>
    <w:rsid w:val="0DE2468A"/>
    <w:rsid w:val="0ECD0C9A"/>
    <w:rsid w:val="0F5170E2"/>
    <w:rsid w:val="0F5712F7"/>
    <w:rsid w:val="0F895230"/>
    <w:rsid w:val="101D4A1F"/>
    <w:rsid w:val="122F6C04"/>
    <w:rsid w:val="14132920"/>
    <w:rsid w:val="14AD16DD"/>
    <w:rsid w:val="15164DFE"/>
    <w:rsid w:val="15B60AF1"/>
    <w:rsid w:val="180E1E1B"/>
    <w:rsid w:val="18260D6B"/>
    <w:rsid w:val="184B196A"/>
    <w:rsid w:val="18A61B38"/>
    <w:rsid w:val="18B3029F"/>
    <w:rsid w:val="193B18C8"/>
    <w:rsid w:val="19A91917"/>
    <w:rsid w:val="1A093C4A"/>
    <w:rsid w:val="1A1D3847"/>
    <w:rsid w:val="1AB737DE"/>
    <w:rsid w:val="1BA0289A"/>
    <w:rsid w:val="1CCB448E"/>
    <w:rsid w:val="1D8F4C7F"/>
    <w:rsid w:val="1DE63703"/>
    <w:rsid w:val="1EED6B21"/>
    <w:rsid w:val="1FDF6CB5"/>
    <w:rsid w:val="21302811"/>
    <w:rsid w:val="2136381D"/>
    <w:rsid w:val="22214D7C"/>
    <w:rsid w:val="22EB45E4"/>
    <w:rsid w:val="23497896"/>
    <w:rsid w:val="247F0D69"/>
    <w:rsid w:val="24CC0D68"/>
    <w:rsid w:val="24EF3606"/>
    <w:rsid w:val="257F739C"/>
    <w:rsid w:val="25E25431"/>
    <w:rsid w:val="26684EB3"/>
    <w:rsid w:val="269F27B0"/>
    <w:rsid w:val="27030BB8"/>
    <w:rsid w:val="2710612C"/>
    <w:rsid w:val="273E1D47"/>
    <w:rsid w:val="27A31663"/>
    <w:rsid w:val="281E44FA"/>
    <w:rsid w:val="28945237"/>
    <w:rsid w:val="291F7024"/>
    <w:rsid w:val="29C25F5F"/>
    <w:rsid w:val="2A6F6A9F"/>
    <w:rsid w:val="2A7E4A67"/>
    <w:rsid w:val="2B48435D"/>
    <w:rsid w:val="2B61640E"/>
    <w:rsid w:val="2B647F5A"/>
    <w:rsid w:val="2B74142C"/>
    <w:rsid w:val="2BD335AA"/>
    <w:rsid w:val="2C4A72FD"/>
    <w:rsid w:val="2C8D16DB"/>
    <w:rsid w:val="2C944318"/>
    <w:rsid w:val="2CC7637F"/>
    <w:rsid w:val="2CEC689D"/>
    <w:rsid w:val="2CFF231F"/>
    <w:rsid w:val="2D091D10"/>
    <w:rsid w:val="2D383255"/>
    <w:rsid w:val="2DBD2A3F"/>
    <w:rsid w:val="2DEA21D2"/>
    <w:rsid w:val="2E227929"/>
    <w:rsid w:val="2E9A0FAB"/>
    <w:rsid w:val="2EE330D8"/>
    <w:rsid w:val="2F373A84"/>
    <w:rsid w:val="2F3D57EC"/>
    <w:rsid w:val="306D60C8"/>
    <w:rsid w:val="310F6B93"/>
    <w:rsid w:val="3124768A"/>
    <w:rsid w:val="3245470D"/>
    <w:rsid w:val="328C1180"/>
    <w:rsid w:val="332E2DC3"/>
    <w:rsid w:val="33D90C83"/>
    <w:rsid w:val="33EB4E73"/>
    <w:rsid w:val="34A423E6"/>
    <w:rsid w:val="35D151C8"/>
    <w:rsid w:val="36413C79"/>
    <w:rsid w:val="3651463D"/>
    <w:rsid w:val="36BF1DD2"/>
    <w:rsid w:val="36CE1E68"/>
    <w:rsid w:val="382745B8"/>
    <w:rsid w:val="38CA351F"/>
    <w:rsid w:val="38EE3222"/>
    <w:rsid w:val="39137BCC"/>
    <w:rsid w:val="39492ECC"/>
    <w:rsid w:val="398B7AF1"/>
    <w:rsid w:val="39B30399"/>
    <w:rsid w:val="3A945BA3"/>
    <w:rsid w:val="3AE371F1"/>
    <w:rsid w:val="3C3B6DA1"/>
    <w:rsid w:val="3CB91A62"/>
    <w:rsid w:val="3F086869"/>
    <w:rsid w:val="3FAD63A0"/>
    <w:rsid w:val="400B4683"/>
    <w:rsid w:val="40217801"/>
    <w:rsid w:val="40B22397"/>
    <w:rsid w:val="41231F77"/>
    <w:rsid w:val="42090620"/>
    <w:rsid w:val="42F600E9"/>
    <w:rsid w:val="43E80C33"/>
    <w:rsid w:val="44931544"/>
    <w:rsid w:val="458727AA"/>
    <w:rsid w:val="46BC37F2"/>
    <w:rsid w:val="47657260"/>
    <w:rsid w:val="47710252"/>
    <w:rsid w:val="47A1125B"/>
    <w:rsid w:val="48866371"/>
    <w:rsid w:val="49A117C5"/>
    <w:rsid w:val="4AD66569"/>
    <w:rsid w:val="4AF96FA1"/>
    <w:rsid w:val="4C8C03B2"/>
    <w:rsid w:val="4CDE6E1A"/>
    <w:rsid w:val="4D1317A4"/>
    <w:rsid w:val="4D1B4A9D"/>
    <w:rsid w:val="4DD101CC"/>
    <w:rsid w:val="4E180C56"/>
    <w:rsid w:val="4E2B34A0"/>
    <w:rsid w:val="4EC06771"/>
    <w:rsid w:val="4F0B668B"/>
    <w:rsid w:val="4F312CDB"/>
    <w:rsid w:val="4F741AFD"/>
    <w:rsid w:val="4FA54C07"/>
    <w:rsid w:val="501A0EFF"/>
    <w:rsid w:val="50A15620"/>
    <w:rsid w:val="512716F5"/>
    <w:rsid w:val="525B269A"/>
    <w:rsid w:val="52B5031E"/>
    <w:rsid w:val="548B196E"/>
    <w:rsid w:val="549827A5"/>
    <w:rsid w:val="556F7546"/>
    <w:rsid w:val="55C71E85"/>
    <w:rsid w:val="56AF6BFF"/>
    <w:rsid w:val="57280BE4"/>
    <w:rsid w:val="58625796"/>
    <w:rsid w:val="5A933D74"/>
    <w:rsid w:val="5B0C2013"/>
    <w:rsid w:val="5B265EB5"/>
    <w:rsid w:val="5B921945"/>
    <w:rsid w:val="5BC562B5"/>
    <w:rsid w:val="5C932D4B"/>
    <w:rsid w:val="5CD01F00"/>
    <w:rsid w:val="5D0132A8"/>
    <w:rsid w:val="5DA52508"/>
    <w:rsid w:val="5DB94F70"/>
    <w:rsid w:val="5DDB48DC"/>
    <w:rsid w:val="5E346645"/>
    <w:rsid w:val="5E5218E8"/>
    <w:rsid w:val="5E9641CF"/>
    <w:rsid w:val="5F0F6EAA"/>
    <w:rsid w:val="5FDC3F39"/>
    <w:rsid w:val="60776170"/>
    <w:rsid w:val="60CE4A57"/>
    <w:rsid w:val="60EC7228"/>
    <w:rsid w:val="610042FE"/>
    <w:rsid w:val="61145093"/>
    <w:rsid w:val="6322494F"/>
    <w:rsid w:val="635554EA"/>
    <w:rsid w:val="638044B2"/>
    <w:rsid w:val="63A831C5"/>
    <w:rsid w:val="63B236ED"/>
    <w:rsid w:val="63B60CD2"/>
    <w:rsid w:val="640514E2"/>
    <w:rsid w:val="64791731"/>
    <w:rsid w:val="65452934"/>
    <w:rsid w:val="65E33EAB"/>
    <w:rsid w:val="66A7796A"/>
    <w:rsid w:val="66AE605A"/>
    <w:rsid w:val="677F245B"/>
    <w:rsid w:val="67850727"/>
    <w:rsid w:val="67947E69"/>
    <w:rsid w:val="67B74339"/>
    <w:rsid w:val="68AB7295"/>
    <w:rsid w:val="696604A3"/>
    <w:rsid w:val="6B053E23"/>
    <w:rsid w:val="6B1C7422"/>
    <w:rsid w:val="6BD62996"/>
    <w:rsid w:val="6BE95552"/>
    <w:rsid w:val="6C881A75"/>
    <w:rsid w:val="6D267305"/>
    <w:rsid w:val="6D6C7DA1"/>
    <w:rsid w:val="6D875AB5"/>
    <w:rsid w:val="6DAA68FF"/>
    <w:rsid w:val="6FCC6D02"/>
    <w:rsid w:val="70021F4B"/>
    <w:rsid w:val="70102EFD"/>
    <w:rsid w:val="7125303F"/>
    <w:rsid w:val="71F2536B"/>
    <w:rsid w:val="72101649"/>
    <w:rsid w:val="73A925A0"/>
    <w:rsid w:val="74117A05"/>
    <w:rsid w:val="7707109B"/>
    <w:rsid w:val="78AC0D3F"/>
    <w:rsid w:val="78E51593"/>
    <w:rsid w:val="7A0C4606"/>
    <w:rsid w:val="7A1A6F8B"/>
    <w:rsid w:val="7A8306D2"/>
    <w:rsid w:val="7B3927AA"/>
    <w:rsid w:val="7BED7A99"/>
    <w:rsid w:val="7C6914E9"/>
    <w:rsid w:val="7C82671B"/>
    <w:rsid w:val="7CA207E3"/>
    <w:rsid w:val="7D0A3F03"/>
    <w:rsid w:val="7DA17154"/>
    <w:rsid w:val="7F72197C"/>
    <w:rsid w:val="7F914AD6"/>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qFormat="1" w:uiPriority="39" w:semiHidden="0" w:name="toc 4"/>
    <w:lsdException w:unhideWhenUsed="0" w:uiPriority="0" w:semiHidden="0" w:name="toc 5"/>
    <w:lsdException w:qFormat="1"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99"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62"/>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60"/>
    <w:qFormat/>
    <w:uiPriority w:val="9"/>
    <w:pPr>
      <w:keepNext/>
      <w:keepLines/>
      <w:spacing w:before="260" w:after="260" w:line="416" w:lineRule="auto"/>
      <w:outlineLvl w:val="1"/>
    </w:pPr>
    <w:rPr>
      <w:rFonts w:ascii="Cambria" w:hAnsi="Cambria"/>
      <w:b/>
      <w:bCs/>
      <w:sz w:val="32"/>
      <w:szCs w:val="32"/>
    </w:rPr>
  </w:style>
  <w:style w:type="paragraph" w:styleId="4">
    <w:name w:val="heading 3"/>
    <w:basedOn w:val="1"/>
    <w:next w:val="1"/>
    <w:qFormat/>
    <w:uiPriority w:val="0"/>
    <w:pPr>
      <w:keepNext/>
      <w:keepLines/>
      <w:spacing w:before="260" w:after="260" w:line="360" w:lineRule="auto"/>
      <w:ind w:firstLine="602" w:firstLineChars="200"/>
      <w:outlineLvl w:val="2"/>
    </w:pPr>
    <w:rPr>
      <w:rFonts w:ascii="仿宋_GB2312" w:eastAsia="仿宋_GB2312"/>
      <w:b/>
      <w:bCs/>
      <w:sz w:val="30"/>
      <w:szCs w:val="20"/>
    </w:rPr>
  </w:style>
  <w:style w:type="paragraph" w:styleId="5">
    <w:name w:val="heading 4"/>
    <w:basedOn w:val="1"/>
    <w:next w:val="1"/>
    <w:link w:val="68"/>
    <w:qFormat/>
    <w:uiPriority w:val="0"/>
    <w:pPr>
      <w:keepNext/>
      <w:keepLines/>
      <w:spacing w:before="280" w:after="290" w:line="376" w:lineRule="auto"/>
      <w:outlineLvl w:val="3"/>
    </w:pPr>
    <w:rPr>
      <w:rFonts w:ascii="Cambria" w:hAnsi="Cambria"/>
      <w:b/>
      <w:bCs/>
      <w:sz w:val="28"/>
      <w:szCs w:val="28"/>
    </w:rPr>
  </w:style>
  <w:style w:type="character" w:default="1" w:styleId="32">
    <w:name w:val="Default Paragraph Font"/>
    <w:semiHidden/>
    <w:qFormat/>
    <w:uiPriority w:val="0"/>
  </w:style>
  <w:style w:type="table" w:default="1" w:styleId="30">
    <w:name w:val="Normal Table"/>
    <w:semiHidden/>
    <w:qFormat/>
    <w:uiPriority w:val="0"/>
    <w:tblPr>
      <w:tblCellMar>
        <w:top w:w="0" w:type="dxa"/>
        <w:left w:w="108" w:type="dxa"/>
        <w:bottom w:w="0" w:type="dxa"/>
        <w:right w:w="108" w:type="dxa"/>
      </w:tblCellMar>
    </w:tblPr>
  </w:style>
  <w:style w:type="paragraph" w:styleId="6">
    <w:name w:val="List Number"/>
    <w:basedOn w:val="1"/>
    <w:qFormat/>
    <w:uiPriority w:val="0"/>
    <w:pPr>
      <w:widowControl/>
      <w:numPr>
        <w:ilvl w:val="0"/>
        <w:numId w:val="1"/>
      </w:numPr>
      <w:tabs>
        <w:tab w:val="left" w:pos="454"/>
        <w:tab w:val="left" w:pos="720"/>
        <w:tab w:val="left" w:pos="899"/>
      </w:tabs>
      <w:spacing w:after="50" w:afterLines="50"/>
      <w:jc w:val="left"/>
    </w:pPr>
    <w:rPr>
      <w:kern w:val="0"/>
      <w:sz w:val="24"/>
      <w:szCs w:val="20"/>
    </w:rPr>
  </w:style>
  <w:style w:type="paragraph" w:styleId="7">
    <w:name w:val="Normal Indent"/>
    <w:basedOn w:val="1"/>
    <w:link w:val="64"/>
    <w:qFormat/>
    <w:uiPriority w:val="0"/>
    <w:pPr>
      <w:ind w:firstLine="420"/>
    </w:pPr>
    <w:rPr>
      <w:szCs w:val="20"/>
    </w:rPr>
  </w:style>
  <w:style w:type="paragraph" w:styleId="8">
    <w:name w:val="caption"/>
    <w:basedOn w:val="1"/>
    <w:next w:val="1"/>
    <w:qFormat/>
    <w:uiPriority w:val="0"/>
    <w:pPr>
      <w:spacing w:before="152" w:after="160"/>
    </w:pPr>
    <w:rPr>
      <w:rFonts w:ascii="Arial" w:hAnsi="Arial" w:eastAsia="黑体" w:cs="Arial"/>
      <w:sz w:val="20"/>
      <w:szCs w:val="20"/>
    </w:rPr>
  </w:style>
  <w:style w:type="paragraph" w:styleId="9">
    <w:name w:val="annotation text"/>
    <w:basedOn w:val="1"/>
    <w:link w:val="66"/>
    <w:qFormat/>
    <w:uiPriority w:val="0"/>
    <w:pPr>
      <w:jc w:val="left"/>
    </w:pPr>
  </w:style>
  <w:style w:type="paragraph" w:styleId="10">
    <w:name w:val="Body Text 3"/>
    <w:basedOn w:val="1"/>
    <w:qFormat/>
    <w:uiPriority w:val="0"/>
    <w:pPr>
      <w:spacing w:after="120"/>
    </w:pPr>
    <w:rPr>
      <w:sz w:val="16"/>
      <w:szCs w:val="16"/>
    </w:rPr>
  </w:style>
  <w:style w:type="paragraph" w:styleId="11">
    <w:name w:val="Body Text"/>
    <w:basedOn w:val="1"/>
    <w:next w:val="12"/>
    <w:qFormat/>
    <w:uiPriority w:val="0"/>
    <w:pPr>
      <w:spacing w:after="120"/>
    </w:pPr>
  </w:style>
  <w:style w:type="paragraph" w:styleId="12">
    <w:name w:val="toc 4"/>
    <w:basedOn w:val="1"/>
    <w:next w:val="1"/>
    <w:unhideWhenUsed/>
    <w:qFormat/>
    <w:uiPriority w:val="39"/>
    <w:pPr>
      <w:ind w:left="1260" w:leftChars="600"/>
    </w:pPr>
  </w:style>
  <w:style w:type="paragraph" w:styleId="13">
    <w:name w:val="Body Text Indent"/>
    <w:basedOn w:val="1"/>
    <w:next w:val="1"/>
    <w:qFormat/>
    <w:uiPriority w:val="0"/>
    <w:pPr>
      <w:tabs>
        <w:tab w:val="left" w:pos="720"/>
        <w:tab w:val="left" w:pos="1260"/>
        <w:tab w:val="left" w:pos="2160"/>
        <w:tab w:val="left" w:pos="2880"/>
        <w:tab w:val="left" w:pos="3600"/>
        <w:tab w:val="left" w:pos="4320"/>
        <w:tab w:val="left" w:pos="5040"/>
        <w:tab w:val="left" w:pos="5760"/>
      </w:tabs>
      <w:autoSpaceDE w:val="0"/>
      <w:autoSpaceDN w:val="0"/>
      <w:adjustRightInd w:val="0"/>
      <w:spacing w:line="360" w:lineRule="auto"/>
      <w:ind w:right="25" w:rightChars="12" w:firstLine="720" w:firstLineChars="300"/>
      <w:jc w:val="left"/>
    </w:pPr>
    <w:rPr>
      <w:rFonts w:ascii="宋体"/>
      <w:color w:val="000000"/>
      <w:kern w:val="0"/>
      <w:sz w:val="24"/>
      <w:szCs w:val="20"/>
    </w:rPr>
  </w:style>
  <w:style w:type="paragraph" w:styleId="14">
    <w:name w:val="List 2"/>
    <w:basedOn w:val="1"/>
    <w:qFormat/>
    <w:uiPriority w:val="0"/>
    <w:pPr>
      <w:ind w:left="100" w:leftChars="200" w:hanging="200" w:hangingChars="200"/>
    </w:pPr>
  </w:style>
  <w:style w:type="paragraph" w:styleId="15">
    <w:name w:val="Plain Text"/>
    <w:basedOn w:val="1"/>
    <w:link w:val="67"/>
    <w:qFormat/>
    <w:uiPriority w:val="0"/>
    <w:rPr>
      <w:rFonts w:ascii="宋体" w:hAnsi="Courier New"/>
    </w:rPr>
  </w:style>
  <w:style w:type="paragraph" w:styleId="16">
    <w:name w:val="Date"/>
    <w:basedOn w:val="1"/>
    <w:next w:val="1"/>
    <w:qFormat/>
    <w:uiPriority w:val="0"/>
    <w:pPr>
      <w:ind w:leftChars="2500"/>
    </w:pPr>
    <w:rPr>
      <w:rFonts w:eastAsia="楷体_GB2312"/>
      <w:sz w:val="32"/>
      <w:szCs w:val="20"/>
    </w:rPr>
  </w:style>
  <w:style w:type="paragraph" w:styleId="17">
    <w:name w:val="Body Text Indent 2"/>
    <w:basedOn w:val="1"/>
    <w:qFormat/>
    <w:uiPriority w:val="0"/>
    <w:pPr>
      <w:spacing w:after="120" w:line="480" w:lineRule="auto"/>
      <w:ind w:left="420" w:leftChars="200"/>
    </w:pPr>
  </w:style>
  <w:style w:type="paragraph" w:styleId="18">
    <w:name w:val="Balloon Text"/>
    <w:basedOn w:val="1"/>
    <w:link w:val="63"/>
    <w:qFormat/>
    <w:uiPriority w:val="0"/>
    <w:rPr>
      <w:sz w:val="18"/>
      <w:szCs w:val="18"/>
    </w:rPr>
  </w:style>
  <w:style w:type="paragraph" w:styleId="19">
    <w:name w:val="footer"/>
    <w:basedOn w:val="1"/>
    <w:link w:val="70"/>
    <w:qFormat/>
    <w:uiPriority w:val="99"/>
    <w:pPr>
      <w:tabs>
        <w:tab w:val="center" w:pos="4153"/>
        <w:tab w:val="right" w:pos="8306"/>
      </w:tabs>
      <w:snapToGrid w:val="0"/>
      <w:jc w:val="left"/>
    </w:pPr>
    <w:rPr>
      <w:sz w:val="18"/>
      <w:szCs w:val="18"/>
    </w:rPr>
  </w:style>
  <w:style w:type="paragraph" w:styleId="20">
    <w:name w:val="header"/>
    <w:basedOn w:val="1"/>
    <w:link w:val="61"/>
    <w:qFormat/>
    <w:uiPriority w:val="0"/>
    <w:pPr>
      <w:pBdr>
        <w:bottom w:val="single" w:color="auto" w:sz="6" w:space="1"/>
      </w:pBdr>
      <w:tabs>
        <w:tab w:val="center" w:pos="4153"/>
        <w:tab w:val="right" w:pos="8306"/>
      </w:tabs>
      <w:snapToGrid w:val="0"/>
      <w:jc w:val="center"/>
    </w:pPr>
    <w:rPr>
      <w:sz w:val="18"/>
      <w:szCs w:val="18"/>
    </w:rPr>
  </w:style>
  <w:style w:type="paragraph" w:styleId="21">
    <w:name w:val="List"/>
    <w:basedOn w:val="1"/>
    <w:qFormat/>
    <w:uiPriority w:val="0"/>
    <w:pPr>
      <w:ind w:left="200" w:hanging="200" w:hangingChars="200"/>
    </w:pPr>
    <w:rPr>
      <w:sz w:val="28"/>
    </w:rPr>
  </w:style>
  <w:style w:type="paragraph" w:styleId="22">
    <w:name w:val="toc 6"/>
    <w:basedOn w:val="1"/>
    <w:next w:val="1"/>
    <w:qFormat/>
    <w:uiPriority w:val="0"/>
    <w:pPr>
      <w:ind w:left="1050"/>
      <w:jc w:val="left"/>
    </w:pPr>
    <w:rPr>
      <w:sz w:val="18"/>
      <w:szCs w:val="18"/>
    </w:rPr>
  </w:style>
  <w:style w:type="paragraph" w:styleId="23">
    <w:name w:val="Body Text Indent 3"/>
    <w:basedOn w:val="1"/>
    <w:link w:val="69"/>
    <w:qFormat/>
    <w:uiPriority w:val="0"/>
    <w:pPr>
      <w:spacing w:after="120"/>
      <w:ind w:left="420" w:leftChars="200"/>
    </w:pPr>
    <w:rPr>
      <w:sz w:val="16"/>
      <w:szCs w:val="16"/>
    </w:rPr>
  </w:style>
  <w:style w:type="paragraph" w:styleId="24">
    <w:name w:val="toc 2"/>
    <w:basedOn w:val="1"/>
    <w:next w:val="1"/>
    <w:qFormat/>
    <w:uiPriority w:val="0"/>
    <w:pPr>
      <w:spacing w:line="360" w:lineRule="auto"/>
      <w:ind w:left="210" w:leftChars="100" w:firstLine="472" w:firstLineChars="196"/>
      <w:jc w:val="left"/>
    </w:pPr>
    <w:rPr>
      <w:rFonts w:ascii="宋体" w:hAnsi="宋体"/>
      <w:b/>
      <w:sz w:val="24"/>
    </w:rPr>
  </w:style>
  <w:style w:type="paragraph" w:styleId="25">
    <w:name w:val="Normal (Web)"/>
    <w:basedOn w:val="1"/>
    <w:qFormat/>
    <w:uiPriority w:val="0"/>
    <w:pPr>
      <w:widowControl/>
      <w:spacing w:before="100" w:beforeAutospacing="1" w:after="100" w:afterAutospacing="1"/>
      <w:jc w:val="left"/>
    </w:pPr>
    <w:rPr>
      <w:rFonts w:hint="eastAsia" w:ascii="宋体" w:hAnsi="宋体"/>
      <w:kern w:val="0"/>
      <w:sz w:val="24"/>
    </w:rPr>
  </w:style>
  <w:style w:type="paragraph" w:styleId="26">
    <w:name w:val="Title"/>
    <w:basedOn w:val="1"/>
    <w:qFormat/>
    <w:uiPriority w:val="99"/>
    <w:pPr>
      <w:spacing w:before="240" w:after="60"/>
      <w:jc w:val="center"/>
      <w:outlineLvl w:val="0"/>
    </w:pPr>
    <w:rPr>
      <w:rFonts w:ascii="Arial" w:hAnsi="Arial" w:cs="Arial"/>
      <w:sz w:val="32"/>
      <w:szCs w:val="32"/>
    </w:rPr>
  </w:style>
  <w:style w:type="paragraph" w:styleId="27">
    <w:name w:val="annotation subject"/>
    <w:basedOn w:val="9"/>
    <w:next w:val="9"/>
    <w:link w:val="65"/>
    <w:qFormat/>
    <w:uiPriority w:val="0"/>
    <w:rPr>
      <w:b/>
      <w:bCs/>
    </w:rPr>
  </w:style>
  <w:style w:type="paragraph" w:styleId="28">
    <w:name w:val="Body Text First Indent"/>
    <w:basedOn w:val="11"/>
    <w:next w:val="22"/>
    <w:qFormat/>
    <w:uiPriority w:val="0"/>
    <w:pPr>
      <w:autoSpaceDE/>
      <w:autoSpaceDN/>
      <w:adjustRightInd/>
      <w:ind w:firstLine="420"/>
      <w:jc w:val="both"/>
    </w:pPr>
    <w:rPr>
      <w:rFonts w:ascii="Times New Roman"/>
      <w:kern w:val="2"/>
      <w:sz w:val="21"/>
      <w:szCs w:val="24"/>
    </w:rPr>
  </w:style>
  <w:style w:type="paragraph" w:styleId="29">
    <w:name w:val="Body Text First Indent 2"/>
    <w:basedOn w:val="13"/>
    <w:qFormat/>
    <w:uiPriority w:val="0"/>
    <w:pPr>
      <w:ind w:firstLine="420"/>
    </w:pPr>
  </w:style>
  <w:style w:type="table" w:styleId="31">
    <w:name w:val="Table Grid"/>
    <w:basedOn w:val="30"/>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page number"/>
    <w:basedOn w:val="32"/>
    <w:qFormat/>
    <w:uiPriority w:val="0"/>
  </w:style>
  <w:style w:type="character" w:styleId="34">
    <w:name w:val="Hyperlink"/>
    <w:qFormat/>
    <w:uiPriority w:val="0"/>
    <w:rPr>
      <w:color w:val="0000FF"/>
      <w:u w:val="single"/>
    </w:rPr>
  </w:style>
  <w:style w:type="character" w:styleId="35">
    <w:name w:val="annotation reference"/>
    <w:qFormat/>
    <w:uiPriority w:val="0"/>
    <w:rPr>
      <w:sz w:val="21"/>
      <w:szCs w:val="21"/>
    </w:rPr>
  </w:style>
  <w:style w:type="paragraph" w:customStyle="1" w:styleId="36">
    <w:name w:val="首行缩进"/>
    <w:basedOn w:val="1"/>
    <w:qFormat/>
    <w:uiPriority w:val="0"/>
    <w:pPr>
      <w:spacing w:line="360" w:lineRule="auto"/>
      <w:ind w:firstLine="480" w:firstLineChars="200"/>
    </w:pPr>
    <w:rPr>
      <w:rFonts w:ascii="Calibri" w:hAnsi="Calibri" w:eastAsia="宋体" w:cs="Times New Roman"/>
      <w:sz w:val="24"/>
      <w:lang w:val="zh-CN"/>
    </w:rPr>
  </w:style>
  <w:style w:type="paragraph" w:customStyle="1" w:styleId="37">
    <w:name w:val="正文_2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8">
    <w:name w:val="img"/>
    <w:basedOn w:val="1"/>
    <w:qFormat/>
    <w:uiPriority w:val="0"/>
    <w:pPr>
      <w:widowControl/>
      <w:spacing w:before="100" w:beforeAutospacing="1" w:after="100" w:afterAutospacing="1"/>
      <w:jc w:val="left"/>
    </w:pPr>
    <w:rPr>
      <w:rFonts w:ascii="宋体" w:hAnsi="宋体" w:cs="宋体"/>
      <w:kern w:val="0"/>
      <w:sz w:val="24"/>
    </w:rPr>
  </w:style>
  <w:style w:type="paragraph" w:customStyle="1" w:styleId="39">
    <w:name w:val="duanluo"/>
    <w:basedOn w:val="24"/>
    <w:next w:val="24"/>
    <w:qFormat/>
    <w:uiPriority w:val="99"/>
    <w:pPr>
      <w:widowControl/>
      <w:spacing w:line="432" w:lineRule="auto"/>
      <w:ind w:left="0" w:leftChars="0" w:firstLine="480" w:firstLineChars="0"/>
    </w:pPr>
    <w:rPr>
      <w:rFonts w:ascii="ˎ̥" w:hAnsi="ˎ̥" w:cs="宋体"/>
      <w:b w:val="0"/>
      <w:color w:val="000000"/>
      <w:kern w:val="0"/>
      <w:sz w:val="21"/>
      <w:szCs w:val="21"/>
    </w:rPr>
  </w:style>
  <w:style w:type="paragraph" w:customStyle="1" w:styleId="40">
    <w:name w:val="正文_6"/>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41">
    <w:name w:val=" Char"/>
    <w:basedOn w:val="1"/>
    <w:qFormat/>
    <w:uiPriority w:val="0"/>
  </w:style>
  <w:style w:type="paragraph" w:customStyle="1" w:styleId="42">
    <w:name w:val="Fließtext"/>
    <w:basedOn w:val="1"/>
    <w:qFormat/>
    <w:uiPriority w:val="0"/>
    <w:pPr>
      <w:overflowPunct w:val="0"/>
      <w:autoSpaceDE w:val="0"/>
      <w:autoSpaceDN w:val="0"/>
      <w:adjustRightInd w:val="0"/>
      <w:textAlignment w:val="baseline"/>
    </w:pPr>
    <w:rPr>
      <w:kern w:val="28"/>
      <w:szCs w:val="20"/>
    </w:rPr>
  </w:style>
  <w:style w:type="paragraph" w:customStyle="1" w:styleId="43">
    <w:name w:val="正文_3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4">
    <w:name w:val="表格文字"/>
    <w:basedOn w:val="1"/>
    <w:next w:val="11"/>
    <w:qFormat/>
    <w:uiPriority w:val="0"/>
    <w:pPr>
      <w:adjustRightInd w:val="0"/>
      <w:spacing w:line="420" w:lineRule="atLeast"/>
      <w:jc w:val="left"/>
      <w:textAlignment w:val="baseline"/>
    </w:pPr>
    <w:rPr>
      <w:rFonts w:ascii="Times New Roman" w:hAnsi="Times New Roman" w:cs="Times New Roman"/>
      <w:kern w:val="0"/>
      <w:szCs w:val="24"/>
    </w:rPr>
  </w:style>
  <w:style w:type="paragraph" w:customStyle="1" w:styleId="45">
    <w:name w:val="列出段落2"/>
    <w:basedOn w:val="1"/>
    <w:qFormat/>
    <w:uiPriority w:val="0"/>
    <w:pPr>
      <w:ind w:firstLine="420" w:firstLineChars="200"/>
    </w:pPr>
    <w:rPr>
      <w:rFonts w:ascii="Calibri" w:hAnsi="Calibri" w:eastAsia="宋体" w:cs="Times New Roman"/>
      <w:szCs w:val="22"/>
    </w:rPr>
  </w:style>
  <w:style w:type="paragraph" w:customStyle="1" w:styleId="46">
    <w:name w:val="列出段落1"/>
    <w:basedOn w:val="1"/>
    <w:qFormat/>
    <w:uiPriority w:val="0"/>
    <w:pPr>
      <w:ind w:firstLine="420" w:firstLineChars="200"/>
    </w:pPr>
    <w:rPr>
      <w:rFonts w:ascii="Calibri" w:hAnsi="Calibri"/>
      <w:kern w:val="0"/>
      <w:szCs w:val="20"/>
    </w:rPr>
  </w:style>
  <w:style w:type="paragraph" w:customStyle="1" w:styleId="47">
    <w:name w:val="No Spacing"/>
    <w:qFormat/>
    <w:uiPriority w:val="99"/>
    <w:pPr>
      <w:adjustRightInd w:val="0"/>
      <w:snapToGrid w:val="0"/>
    </w:pPr>
    <w:rPr>
      <w:rFonts w:ascii="Tahoma" w:hAnsi="Tahoma" w:eastAsia="微软雅黑" w:cs="Times New Roman"/>
      <w:sz w:val="22"/>
      <w:szCs w:val="22"/>
      <w:lang w:val="en-US" w:eastAsia="zh-CN" w:bidi="ar-SA"/>
    </w:rPr>
  </w:style>
  <w:style w:type="paragraph" w:customStyle="1" w:styleId="48">
    <w:name w:val="zw"/>
    <w:basedOn w:val="1"/>
    <w:qFormat/>
    <w:uiPriority w:val="0"/>
    <w:pPr>
      <w:widowControl/>
      <w:spacing w:before="30"/>
      <w:ind w:left="100" w:right="100"/>
    </w:pPr>
    <w:rPr>
      <w:rFonts w:ascii="方正书宋简体" w:hAnsi="宋体" w:eastAsia="方正书宋简体"/>
      <w:color w:val="000000"/>
      <w:kern w:val="0"/>
      <w:szCs w:val="21"/>
    </w:rPr>
  </w:style>
  <w:style w:type="paragraph" w:customStyle="1" w:styleId="49">
    <w:name w:val="默认段落字体 Para Char Char Char Char Char Char Char Char Char1 Char Char Char Char"/>
    <w:basedOn w:val="1"/>
    <w:qFormat/>
    <w:uiPriority w:val="0"/>
    <w:rPr>
      <w:rFonts w:ascii="Tahoma" w:hAnsi="Tahoma"/>
      <w:sz w:val="24"/>
      <w:szCs w:val="20"/>
    </w:rPr>
  </w:style>
  <w:style w:type="paragraph" w:customStyle="1" w:styleId="50">
    <w:name w:val="正文_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1">
    <w:name w:val="正文_1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2">
    <w:name w:val="正文_5"/>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53">
    <w:name w:val="Char"/>
    <w:basedOn w:val="1"/>
    <w:qFormat/>
    <w:uiPriority w:val="0"/>
  </w:style>
  <w:style w:type="paragraph" w:customStyle="1" w:styleId="54">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styleId="55">
    <w:name w:val="List Paragraph"/>
    <w:basedOn w:val="1"/>
    <w:qFormat/>
    <w:uiPriority w:val="34"/>
    <w:pPr>
      <w:ind w:firstLine="420" w:firstLineChars="200"/>
    </w:pPr>
    <w:rPr>
      <w:rFonts w:ascii="Calibri" w:hAnsi="Calibri" w:eastAsia="宋体" w:cs="Times New Roman"/>
      <w:szCs w:val="22"/>
    </w:rPr>
  </w:style>
  <w:style w:type="paragraph" w:customStyle="1" w:styleId="56">
    <w:name w:val="Char Char Char Char Char Char 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57">
    <w:name w:val="无间隔1"/>
    <w:qFormat/>
    <w:uiPriority w:val="0"/>
    <w:pPr>
      <w:adjustRightInd w:val="0"/>
      <w:snapToGrid w:val="0"/>
    </w:pPr>
    <w:rPr>
      <w:rFonts w:ascii="Tahoma" w:hAnsi="Tahoma" w:eastAsia="微软雅黑" w:cs="Times New Roman"/>
      <w:sz w:val="22"/>
      <w:szCs w:val="22"/>
      <w:lang w:val="en-US" w:eastAsia="zh-CN" w:bidi="ar-SA"/>
    </w:rPr>
  </w:style>
  <w:style w:type="paragraph" w:customStyle="1" w:styleId="58">
    <w:name w:val="正文_14"/>
    <w:qFormat/>
    <w:uiPriority w:val="0"/>
    <w:rPr>
      <w:rFonts w:ascii="Times New Roman" w:hAnsi="Times New Roman" w:eastAsia="宋体" w:cs="Times New Roman"/>
      <w:sz w:val="21"/>
      <w:lang w:val="en-US" w:eastAsia="zh-CN" w:bidi="ar-SA"/>
    </w:rPr>
  </w:style>
  <w:style w:type="paragraph" w:customStyle="1" w:styleId="59">
    <w:name w:val="正文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60">
    <w:name w:val="标题 2 Char"/>
    <w:link w:val="3"/>
    <w:qFormat/>
    <w:uiPriority w:val="9"/>
    <w:rPr>
      <w:rFonts w:ascii="Cambria" w:hAnsi="Cambria"/>
      <w:b/>
      <w:bCs/>
      <w:kern w:val="2"/>
      <w:sz w:val="32"/>
      <w:szCs w:val="32"/>
    </w:rPr>
  </w:style>
  <w:style w:type="character" w:customStyle="1" w:styleId="61">
    <w:name w:val="页眉 Char"/>
    <w:link w:val="20"/>
    <w:qFormat/>
    <w:uiPriority w:val="0"/>
    <w:rPr>
      <w:kern w:val="2"/>
      <w:sz w:val="18"/>
      <w:szCs w:val="18"/>
    </w:rPr>
  </w:style>
  <w:style w:type="character" w:customStyle="1" w:styleId="62">
    <w:name w:val="标题 1 Char"/>
    <w:link w:val="2"/>
    <w:qFormat/>
    <w:uiPriority w:val="0"/>
    <w:rPr>
      <w:b/>
      <w:bCs/>
      <w:kern w:val="44"/>
      <w:sz w:val="44"/>
      <w:szCs w:val="44"/>
    </w:rPr>
  </w:style>
  <w:style w:type="character" w:customStyle="1" w:styleId="63">
    <w:name w:val="批注框文本 Char"/>
    <w:link w:val="18"/>
    <w:qFormat/>
    <w:uiPriority w:val="0"/>
    <w:rPr>
      <w:kern w:val="2"/>
      <w:sz w:val="18"/>
      <w:szCs w:val="18"/>
    </w:rPr>
  </w:style>
  <w:style w:type="character" w:customStyle="1" w:styleId="64">
    <w:name w:val="正文缩进 Char"/>
    <w:link w:val="7"/>
    <w:qFormat/>
    <w:locked/>
    <w:uiPriority w:val="0"/>
    <w:rPr>
      <w:kern w:val="2"/>
      <w:sz w:val="21"/>
    </w:rPr>
  </w:style>
  <w:style w:type="character" w:customStyle="1" w:styleId="65">
    <w:name w:val="批注主题 Char"/>
    <w:basedOn w:val="66"/>
    <w:link w:val="27"/>
    <w:qFormat/>
    <w:uiPriority w:val="0"/>
  </w:style>
  <w:style w:type="character" w:customStyle="1" w:styleId="66">
    <w:name w:val="批注文字 Char"/>
    <w:link w:val="9"/>
    <w:qFormat/>
    <w:uiPriority w:val="0"/>
    <w:rPr>
      <w:kern w:val="2"/>
      <w:sz w:val="21"/>
      <w:szCs w:val="24"/>
    </w:rPr>
  </w:style>
  <w:style w:type="character" w:customStyle="1" w:styleId="67">
    <w:name w:val="纯文本 Char"/>
    <w:link w:val="15"/>
    <w:qFormat/>
    <w:uiPriority w:val="0"/>
    <w:rPr>
      <w:rFonts w:ascii="宋体" w:hAnsi="Courier New" w:eastAsia="宋体"/>
      <w:kern w:val="2"/>
      <w:sz w:val="21"/>
      <w:szCs w:val="24"/>
      <w:lang w:val="en-US" w:eastAsia="zh-CN" w:bidi="ar-SA"/>
    </w:rPr>
  </w:style>
  <w:style w:type="character" w:customStyle="1" w:styleId="68">
    <w:name w:val="标题 4 Char"/>
    <w:link w:val="5"/>
    <w:semiHidden/>
    <w:qFormat/>
    <w:uiPriority w:val="0"/>
    <w:rPr>
      <w:rFonts w:ascii="Cambria" w:hAnsi="Cambria" w:eastAsia="宋体" w:cs="Times New Roman"/>
      <w:b/>
      <w:bCs/>
      <w:kern w:val="2"/>
      <w:sz w:val="28"/>
      <w:szCs w:val="28"/>
    </w:rPr>
  </w:style>
  <w:style w:type="character" w:customStyle="1" w:styleId="69">
    <w:name w:val="正文文本缩进 3 Char"/>
    <w:link w:val="23"/>
    <w:qFormat/>
    <w:uiPriority w:val="0"/>
    <w:rPr>
      <w:kern w:val="2"/>
      <w:sz w:val="16"/>
      <w:szCs w:val="16"/>
    </w:rPr>
  </w:style>
  <w:style w:type="character" w:customStyle="1" w:styleId="70">
    <w:name w:val="页脚 Char"/>
    <w:link w:val="19"/>
    <w:qFormat/>
    <w:uiPriority w:val="99"/>
    <w:rPr>
      <w:kern w:val="2"/>
      <w:sz w:val="18"/>
      <w:szCs w:val="18"/>
    </w:rPr>
  </w:style>
  <w:style w:type="paragraph" w:customStyle="1" w:styleId="71">
    <w:name w:val="正文_17"/>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72">
    <w:name w:val="纯文本_0_1"/>
    <w:basedOn w:val="1"/>
    <w:qFormat/>
    <w:uiPriority w:val="0"/>
    <w:pPr>
      <w:widowControl/>
      <w:jc w:val="left"/>
    </w:pPr>
    <w:rPr>
      <w:rFonts w:ascii="宋体" w:hAnsi="Courier New" w:eastAsiaTheme="minorEastAsia" w:cstheme="minorBidi"/>
      <w:szCs w:val="21"/>
    </w:rPr>
  </w:style>
  <w:style w:type="paragraph" w:customStyle="1" w:styleId="73">
    <w:name w:val="a 正文"/>
    <w:basedOn w:val="1"/>
    <w:qFormat/>
    <w:uiPriority w:val="0"/>
    <w:pPr>
      <w:ind w:firstLine="420"/>
    </w:pPr>
    <w:rPr>
      <w:rFonts w:ascii="宋体" w:hAnsi="宋体"/>
    </w:rPr>
  </w:style>
  <w:style w:type="paragraph" w:customStyle="1" w:styleId="74">
    <w:name w:val="正文2"/>
    <w:basedOn w:val="1"/>
    <w:qFormat/>
    <w:uiPriority w:val="0"/>
    <w:pPr>
      <w:spacing w:before="156" w:line="360" w:lineRule="auto"/>
      <w:ind w:firstLine="510" w:firstLineChars="200"/>
    </w:pPr>
    <w:rPr>
      <w:sz w:val="24"/>
      <w:szCs w:val="20"/>
    </w:rPr>
  </w:style>
  <w:style w:type="character" w:customStyle="1" w:styleId="75">
    <w:name w:val="NormalCharacter"/>
    <w:semiHidden/>
    <w:qFormat/>
    <w:uiPriority w:val="0"/>
    <w:rPr>
      <w:rFonts w:ascii="等线" w:hAnsi="等线" w:eastAsia="宋体" w:cs="Times New Roman"/>
      <w:kern w:val="2"/>
      <w:sz w:val="21"/>
      <w:szCs w:val="24"/>
      <w:lang w:val="en-US" w:eastAsia="zh-CN" w:bidi="ar-SA"/>
    </w:rPr>
  </w:style>
  <w:style w:type="character" w:customStyle="1" w:styleId="76">
    <w:name w:val="font21"/>
    <w:basedOn w:val="32"/>
    <w:qFormat/>
    <w:uiPriority w:val="0"/>
    <w:rPr>
      <w:rFonts w:hint="eastAsia" w:ascii="微软雅黑" w:hAnsi="微软雅黑" w:eastAsia="微软雅黑" w:cs="微软雅黑"/>
      <w:color w:val="000000"/>
      <w:sz w:val="24"/>
      <w:szCs w:val="24"/>
      <w:u w:val="none"/>
    </w:rPr>
  </w:style>
  <w:style w:type="character" w:customStyle="1" w:styleId="77">
    <w:name w:val="font81"/>
    <w:basedOn w:val="32"/>
    <w:qFormat/>
    <w:uiPriority w:val="0"/>
    <w:rPr>
      <w:rFonts w:hint="eastAsia" w:ascii="微软雅黑" w:hAnsi="微软雅黑" w:eastAsia="微软雅黑" w:cs="微软雅黑"/>
      <w:color w:val="000000"/>
      <w:sz w:val="24"/>
      <w:szCs w:val="24"/>
      <w:u w:val="none"/>
    </w:rPr>
  </w:style>
  <w:style w:type="character" w:customStyle="1" w:styleId="78">
    <w:name w:val="font71"/>
    <w:basedOn w:val="32"/>
    <w:qFormat/>
    <w:uiPriority w:val="0"/>
    <w:rPr>
      <w:rFonts w:hint="eastAsia" w:ascii="微软雅黑" w:hAnsi="微软雅黑" w:eastAsia="微软雅黑" w:cs="微软雅黑"/>
      <w:color w:val="000000"/>
      <w:sz w:val="24"/>
      <w:szCs w:val="24"/>
      <w:u w:val="none"/>
    </w:rPr>
  </w:style>
  <w:style w:type="character" w:customStyle="1" w:styleId="79">
    <w:name w:val="font151"/>
    <w:basedOn w:val="32"/>
    <w:qFormat/>
    <w:uiPriority w:val="0"/>
    <w:rPr>
      <w:rFonts w:ascii="Arial" w:hAnsi="Arial" w:cs="Arial"/>
      <w:color w:val="000000"/>
      <w:sz w:val="24"/>
      <w:szCs w:val="24"/>
      <w:u w:val="none"/>
    </w:rPr>
  </w:style>
</w:style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media/image1.png" Type="http://schemas.openxmlformats.org/officeDocument/2006/relationships/image"/><Relationship Id="rId11" Target="media/image2.png" Type="http://schemas.openxmlformats.org/officeDocument/2006/relationships/image"/><Relationship Id="rId12" Target="media/image3.png" Type="http://schemas.openxmlformats.org/officeDocument/2006/relationships/image"/><Relationship Id="rId13" Target="media/image4.png" Type="http://schemas.openxmlformats.org/officeDocument/2006/relationships/image"/><Relationship Id="rId14" Target="media/image5.png" Type="http://schemas.openxmlformats.org/officeDocument/2006/relationships/image"/><Relationship Id="rId15" Target="media/image6.png" Type="http://schemas.openxmlformats.org/officeDocument/2006/relationships/image"/><Relationship Id="rId16" Target="media/image7.png" Type="http://schemas.openxmlformats.org/officeDocument/2006/relationships/image"/><Relationship Id="rId17" Target="media/image8.png" Type="http://schemas.openxmlformats.org/officeDocument/2006/relationships/image"/><Relationship Id="rId18" Target="media/image9.png" Type="http://schemas.openxmlformats.org/officeDocument/2006/relationships/image"/><Relationship Id="rId19" Target="media/image10.png" Type="http://schemas.openxmlformats.org/officeDocument/2006/relationships/image"/><Relationship Id="rId2" Target="settings.xml" Type="http://schemas.openxmlformats.org/officeDocument/2006/relationships/settings"/><Relationship Id="rId20" Target="media/image11.png" Type="http://schemas.openxmlformats.org/officeDocument/2006/relationships/image"/><Relationship Id="rId21" Target="media/image12.png" Type="http://schemas.openxmlformats.org/officeDocument/2006/relationships/image"/><Relationship Id="rId22" Target="media/image13.png" Type="http://schemas.openxmlformats.org/officeDocument/2006/relationships/image"/><Relationship Id="rId23" Target="media/image14.png" Type="http://schemas.openxmlformats.org/officeDocument/2006/relationships/image"/><Relationship Id="rId24" Target="media/image15.png" Type="http://schemas.openxmlformats.org/officeDocument/2006/relationships/image"/><Relationship Id="rId25" Target="media/image16.png" Type="http://schemas.openxmlformats.org/officeDocument/2006/relationships/image"/><Relationship Id="rId26" Target="media/image17.png" Type="http://schemas.openxmlformats.org/officeDocument/2006/relationships/image"/><Relationship Id="rId27" Target="media/image18.png" Type="http://schemas.openxmlformats.org/officeDocument/2006/relationships/image"/><Relationship Id="rId28" Target="media/image19.png" Type="http://schemas.openxmlformats.org/officeDocument/2006/relationships/image"/><Relationship Id="rId29" Target="media/image20.png" Type="http://schemas.openxmlformats.org/officeDocument/2006/relationships/image"/><Relationship Id="rId3" Target="header1.xml" Type="http://schemas.openxmlformats.org/officeDocument/2006/relationships/header"/><Relationship Id="rId30" Target="media/image21.png" Type="http://schemas.openxmlformats.org/officeDocument/2006/relationships/image"/><Relationship Id="rId31" Target="media/image22.png" Type="http://schemas.openxmlformats.org/officeDocument/2006/relationships/image"/><Relationship Id="rId32" Target="media/image23.png" Type="http://schemas.openxmlformats.org/officeDocument/2006/relationships/image"/><Relationship Id="rId33" Target="media/image24.png" Type="http://schemas.openxmlformats.org/officeDocument/2006/relationships/image"/><Relationship Id="rId34" Target="media/image25.png" Type="http://schemas.openxmlformats.org/officeDocument/2006/relationships/image"/><Relationship Id="rId35" Target="media/image26.png" Type="http://schemas.openxmlformats.org/officeDocument/2006/relationships/image"/><Relationship Id="rId36" Target="media/image27.png" Type="http://schemas.openxmlformats.org/officeDocument/2006/relationships/image"/><Relationship Id="rId37" Target="media/image28.png" Type="http://schemas.openxmlformats.org/officeDocument/2006/relationships/image"/><Relationship Id="rId38" Target="media/image29.png" Type="http://schemas.openxmlformats.org/officeDocument/2006/relationships/image"/><Relationship Id="rId39" Target="media/image30.png" Type="http://schemas.openxmlformats.org/officeDocument/2006/relationships/image"/><Relationship Id="rId4" Target="header2.xml" Type="http://schemas.openxmlformats.org/officeDocument/2006/relationships/header"/><Relationship Id="rId40" Target="media/image31.png" Type="http://schemas.openxmlformats.org/officeDocument/2006/relationships/image"/><Relationship Id="rId41" Target="media/image32.png" Type="http://schemas.openxmlformats.org/officeDocument/2006/relationships/image"/><Relationship Id="rId42" Target="media/image33.png" Type="http://schemas.openxmlformats.org/officeDocument/2006/relationships/image"/><Relationship Id="rId43" Target="media/image34.png" Type="http://schemas.openxmlformats.org/officeDocument/2006/relationships/image"/><Relationship Id="rId44" Target="media/image35.png" Type="http://schemas.openxmlformats.org/officeDocument/2006/relationships/image"/><Relationship Id="rId45" Target="media/image36.png" Type="http://schemas.openxmlformats.org/officeDocument/2006/relationships/image"/><Relationship Id="rId46" Target="media/image37.png" Type="http://schemas.openxmlformats.org/officeDocument/2006/relationships/image"/><Relationship Id="rId47" Target="media/image38.png" Type="http://schemas.openxmlformats.org/officeDocument/2006/relationships/image"/><Relationship Id="rId48" Target="media/image39.png" Type="http://schemas.openxmlformats.org/officeDocument/2006/relationships/image"/><Relationship Id="rId49" Target="media/image40.png" Type="http://schemas.openxmlformats.org/officeDocument/2006/relationships/image"/><Relationship Id="rId5" Target="footer1.xml" Type="http://schemas.openxmlformats.org/officeDocument/2006/relationships/footer"/><Relationship Id="rId50" Target="media/image41.png" Type="http://schemas.openxmlformats.org/officeDocument/2006/relationships/image"/><Relationship Id="rId51" Target="media/image42.png" Type="http://schemas.openxmlformats.org/officeDocument/2006/relationships/image"/><Relationship Id="rId52" Target="media/image43.png" Type="http://schemas.openxmlformats.org/officeDocument/2006/relationships/image"/><Relationship Id="rId53" Target="media/image44.png" Type="http://schemas.openxmlformats.org/officeDocument/2006/relationships/image"/><Relationship Id="rId54" Target="media/image45.png" Type="http://schemas.openxmlformats.org/officeDocument/2006/relationships/image"/><Relationship Id="rId55" Target="media/image46.png" Type="http://schemas.openxmlformats.org/officeDocument/2006/relationships/image"/><Relationship Id="rId56" Target="media/image47.png" Type="http://schemas.openxmlformats.org/officeDocument/2006/relationships/image"/><Relationship Id="rId57" Target="media/image48.png" Type="http://schemas.openxmlformats.org/officeDocument/2006/relationships/image"/><Relationship Id="rId58" Target="media/image49.png" Type="http://schemas.openxmlformats.org/officeDocument/2006/relationships/image"/><Relationship Id="rId59" Target="media/image50.png" Type="http://schemas.openxmlformats.org/officeDocument/2006/relationships/image"/><Relationship Id="rId6" Target="footer2.xml" Type="http://schemas.openxmlformats.org/officeDocument/2006/relationships/footer"/><Relationship Id="rId60" Target="media/image51.jpeg" Type="http://schemas.openxmlformats.org/officeDocument/2006/relationships/image"/><Relationship Id="rId61" Target="media/image52.jpeg" Type="http://schemas.openxmlformats.org/officeDocument/2006/relationships/image"/><Relationship Id="rId62" Target="media/image53.png" Type="http://schemas.openxmlformats.org/officeDocument/2006/relationships/image"/><Relationship Id="rId63" Target="media/image54.jpeg" Type="http://schemas.openxmlformats.org/officeDocument/2006/relationships/image"/><Relationship Id="rId64" Target="media/image55.png" Type="http://schemas.openxmlformats.org/officeDocument/2006/relationships/image"/><Relationship Id="rId65" Target="../customXml/item1.xml" Type="http://schemas.openxmlformats.org/officeDocument/2006/relationships/customXml"/><Relationship Id="rId66" Target="numbering.xml" Type="http://schemas.openxmlformats.org/officeDocument/2006/relationships/numbering"/><Relationship Id="rId67" Target="fontTable.xml" Type="http://schemas.openxmlformats.org/officeDocument/2006/relationships/fontTable"/><Relationship Id="rId7" Target="header3.xml" Type="http://schemas.openxmlformats.org/officeDocument/2006/relationships/header"/><Relationship Id="rId8" Target="footer3.xml" Type="http://schemas.openxmlformats.org/officeDocument/2006/relationships/footer"/><Relationship Id="rId9" Target="theme/theme1.xml" Type="http://schemas.openxmlformats.org/officeDocument/2006/relationships/theme"/></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MC SYSTEM</Company>
  <Pages>104</Pages>
  <Words>53308</Words>
  <Characters>64754</Characters>
  <Lines>240</Lines>
  <Paragraphs>67</Paragraphs>
  <TotalTime>7</TotalTime>
  <ScaleCrop>false</ScaleCrop>
  <LinksUpToDate>false</LinksUpToDate>
  <CharactersWithSpaces>69108</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2019-06-11T01:46:00Z</dcterms:created>
  <dc:creator>dell</dc:creator>
  <cp:lastModifiedBy>氮气</cp:lastModifiedBy>
  <cp:lastPrinted>2019-06-17T01:54:00Z</cp:lastPrinted>
  <dcterms:modified xsi:type="dcterms:W3CDTF">2022-07-05T07:22:10Z</dcterms:modified>
  <cp:revision>16</cp:revision>
  <dc:title>玉环市政府采购</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A792190C8E8E4872B5820441E1B4FC75</vt:lpwstr>
  </property>
</Properties>
</file>