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7FA79">
      <w:pPr>
        <w:rPr>
          <w:rFonts w:hint="eastAsia"/>
          <w:color w:val="auto"/>
          <w:highlight w:val="none"/>
        </w:rPr>
      </w:pPr>
    </w:p>
    <w:p w14:paraId="769CE100">
      <w:pPr>
        <w:tabs>
          <w:tab w:val="left" w:pos="720"/>
          <w:tab w:val="left" w:pos="1713"/>
          <w:tab w:val="left" w:pos="2160"/>
          <w:tab w:val="left" w:pos="2880"/>
          <w:tab w:val="left" w:pos="3600"/>
          <w:tab w:val="center" w:pos="4198"/>
          <w:tab w:val="left" w:pos="4320"/>
          <w:tab w:val="left" w:pos="5040"/>
          <w:tab w:val="left" w:pos="5760"/>
        </w:tabs>
        <w:autoSpaceDE w:val="0"/>
        <w:autoSpaceDN w:val="0"/>
        <w:adjustRightInd w:val="0"/>
        <w:spacing w:line="240" w:lineRule="atLeast"/>
        <w:ind w:left="540" w:right="924" w:firstLine="355"/>
        <w:jc w:val="left"/>
        <w:rPr>
          <w:rFonts w:hint="eastAsia" w:ascii="宋体"/>
          <w:b/>
          <w:color w:val="auto"/>
          <w:kern w:val="0"/>
          <w:sz w:val="52"/>
          <w:highlight w:val="none"/>
          <w:lang w:eastAsia="zh-CN"/>
        </w:rPr>
      </w:pPr>
      <w:r>
        <w:rPr>
          <w:rFonts w:hint="eastAsia" w:ascii="宋体"/>
          <w:b/>
          <w:color w:val="auto"/>
          <w:kern w:val="0"/>
          <w:sz w:val="52"/>
          <w:highlight w:val="none"/>
          <w:lang w:eastAsia="zh-CN"/>
        </w:rPr>
        <w:tab/>
      </w:r>
      <w:r>
        <w:rPr>
          <w:rFonts w:hint="eastAsia" w:ascii="宋体"/>
          <w:b/>
          <w:color w:val="auto"/>
          <w:kern w:val="0"/>
          <w:sz w:val="52"/>
          <w:highlight w:val="none"/>
          <w:lang w:eastAsia="zh-CN"/>
        </w:rPr>
        <w:tab/>
      </w:r>
    </w:p>
    <w:p w14:paraId="2E6FCA9C">
      <w:pPr>
        <w:tabs>
          <w:tab w:val="left" w:pos="720"/>
          <w:tab w:val="left" w:pos="1713"/>
          <w:tab w:val="left" w:pos="2160"/>
          <w:tab w:val="left" w:pos="2880"/>
          <w:tab w:val="left" w:pos="3600"/>
          <w:tab w:val="center" w:pos="4198"/>
          <w:tab w:val="left" w:pos="4320"/>
          <w:tab w:val="left" w:pos="5040"/>
          <w:tab w:val="left" w:pos="5760"/>
        </w:tabs>
        <w:autoSpaceDE w:val="0"/>
        <w:autoSpaceDN w:val="0"/>
        <w:adjustRightInd w:val="0"/>
        <w:spacing w:line="240" w:lineRule="atLeast"/>
        <w:ind w:left="540" w:right="924" w:firstLine="355"/>
        <w:jc w:val="center"/>
        <w:rPr>
          <w:rFonts w:hint="eastAsia" w:ascii="宋体"/>
          <w:b/>
          <w:color w:val="auto"/>
          <w:kern w:val="0"/>
          <w:sz w:val="52"/>
          <w:highlight w:val="none"/>
        </w:rPr>
      </w:pPr>
      <w:r>
        <w:rPr>
          <w:rFonts w:hint="eastAsia" w:ascii="宋体"/>
          <w:b/>
          <w:color w:val="auto"/>
          <w:kern w:val="0"/>
          <w:sz w:val="52"/>
          <w:highlight w:val="none"/>
        </w:rPr>
        <w:t>玉环市政府采购</w:t>
      </w:r>
    </w:p>
    <w:p w14:paraId="7A27210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竞争性磋商文件</w:t>
      </w:r>
    </w:p>
    <w:p w14:paraId="7724246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auto"/>
          <w:kern w:val="0"/>
          <w:sz w:val="30"/>
          <w:szCs w:val="30"/>
          <w:highlight w:val="none"/>
        </w:rPr>
      </w:pPr>
    </w:p>
    <w:p w14:paraId="3A985EC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hint="eastAsia" w:ascii="宋体" w:hAnsi="宋体" w:eastAsia="宋体" w:cs="宋体"/>
          <w:color w:val="auto"/>
          <w:kern w:val="0"/>
          <w:sz w:val="30"/>
          <w:szCs w:val="30"/>
          <w:highlight w:val="none"/>
          <w:lang w:eastAsia="zh-CN"/>
        </w:rPr>
      </w:pPr>
      <w:r>
        <w:rPr>
          <w:rFonts w:hint="eastAsia" w:ascii="宋体" w:hAnsi="宋体" w:cs="宋体"/>
          <w:color w:val="auto"/>
          <w:kern w:val="0"/>
          <w:sz w:val="30"/>
          <w:szCs w:val="30"/>
          <w:highlight w:val="none"/>
          <w:lang w:eastAsia="zh-CN"/>
        </w:rPr>
        <w:t>TZZY-2025-06</w:t>
      </w:r>
      <w:r>
        <w:rPr>
          <w:rFonts w:hint="eastAsia" w:ascii="宋体" w:hAnsi="宋体" w:cs="宋体"/>
          <w:color w:val="auto"/>
          <w:kern w:val="0"/>
          <w:sz w:val="30"/>
          <w:szCs w:val="30"/>
          <w:highlight w:val="none"/>
          <w:lang w:val="en-US" w:eastAsia="zh-CN"/>
        </w:rPr>
        <w:t>1</w:t>
      </w:r>
    </w:p>
    <w:p w14:paraId="738AD8C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auto"/>
          <w:kern w:val="0"/>
          <w:sz w:val="30"/>
          <w:szCs w:val="30"/>
          <w:highlight w:val="none"/>
        </w:rPr>
      </w:pPr>
    </w:p>
    <w:p w14:paraId="322004F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14:paraId="56BB3969">
      <w:pPr>
        <w:ind w:left="1679" w:leftChars="133" w:hanging="1400" w:hangingChars="5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采购项目：</w:t>
      </w:r>
      <w:r>
        <w:rPr>
          <w:rFonts w:hint="eastAsia" w:ascii="宋体" w:hAnsi="宋体" w:cs="宋体"/>
          <w:color w:val="auto"/>
          <w:sz w:val="28"/>
          <w:szCs w:val="28"/>
          <w:highlight w:val="none"/>
          <w:lang w:eastAsia="zh-CN"/>
        </w:rPr>
        <w:t>2025年玉环市特殊教育学校智慧体育及户外感统设备采购</w:t>
      </w:r>
    </w:p>
    <w:p w14:paraId="65B77C6B">
      <w:pPr>
        <w:ind w:firstLine="280" w:firstLineChars="100"/>
        <w:rPr>
          <w:rFonts w:hint="eastAsia" w:ascii="宋体" w:hAnsi="宋体" w:eastAsia="宋体" w:cs="宋体"/>
          <w:color w:val="auto"/>
          <w:sz w:val="26"/>
          <w:szCs w:val="26"/>
          <w:highlight w:val="none"/>
          <w:lang w:eastAsia="zh-CN"/>
        </w:rPr>
      </w:pPr>
      <w:r>
        <w:rPr>
          <w:rFonts w:hint="eastAsia" w:ascii="宋体" w:hAnsi="宋体" w:eastAsia="宋体" w:cs="宋体"/>
          <w:color w:val="auto"/>
          <w:sz w:val="28"/>
          <w:szCs w:val="28"/>
          <w:highlight w:val="none"/>
        </w:rPr>
        <w:t>采购人：</w:t>
      </w:r>
      <w:r>
        <w:rPr>
          <w:rFonts w:hint="eastAsia" w:ascii="宋体" w:hAnsi="宋体" w:cs="宋体"/>
          <w:color w:val="auto"/>
          <w:sz w:val="28"/>
          <w:szCs w:val="28"/>
          <w:highlight w:val="none"/>
          <w:lang w:eastAsia="zh-CN"/>
        </w:rPr>
        <w:t>玉环市特殊教育学校</w:t>
      </w:r>
    </w:p>
    <w:p w14:paraId="043A97B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14:paraId="3676648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eastAsia="宋体" w:cs="宋体"/>
          <w:color w:val="auto"/>
          <w:kern w:val="0"/>
          <w:sz w:val="30"/>
          <w:szCs w:val="30"/>
          <w:highlight w:val="none"/>
          <w:lang w:val="en-US" w:eastAsia="zh-CN"/>
        </w:rPr>
      </w:pPr>
      <w:r>
        <w:rPr>
          <w:rFonts w:hint="eastAsia" w:ascii="宋体" w:hAnsi="宋体" w:cs="宋体"/>
          <w:color w:val="auto"/>
          <w:kern w:val="0"/>
          <w:sz w:val="30"/>
          <w:szCs w:val="30"/>
          <w:highlight w:val="none"/>
          <w:lang w:val="en-US" w:eastAsia="zh-CN"/>
        </w:rPr>
        <w:t xml:space="preserve"> </w:t>
      </w:r>
    </w:p>
    <w:p w14:paraId="4D31D25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14:paraId="6C204AE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hint="eastAsia" w:ascii="宋体" w:hAnsi="宋体" w:cs="宋体"/>
          <w:color w:val="auto"/>
          <w:kern w:val="0"/>
          <w:sz w:val="30"/>
          <w:szCs w:val="30"/>
          <w:highlight w:val="none"/>
        </w:rPr>
      </w:pPr>
    </w:p>
    <w:p w14:paraId="37A3CE2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cs="宋体"/>
          <w:color w:val="auto"/>
          <w:kern w:val="0"/>
          <w:sz w:val="30"/>
          <w:szCs w:val="30"/>
          <w:highlight w:val="none"/>
        </w:rPr>
      </w:pPr>
    </w:p>
    <w:p w14:paraId="0ADE04A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auto"/>
          <w:kern w:val="0"/>
          <w:sz w:val="30"/>
          <w:szCs w:val="30"/>
          <w:highlight w:val="none"/>
        </w:rPr>
      </w:pPr>
    </w:p>
    <w:p w14:paraId="0A78DFD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auto"/>
          <w:kern w:val="0"/>
          <w:sz w:val="30"/>
          <w:szCs w:val="30"/>
          <w:highlight w:val="none"/>
        </w:rPr>
      </w:pPr>
    </w:p>
    <w:p w14:paraId="2539FF1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olor w:val="auto"/>
          <w:sz w:val="28"/>
          <w:szCs w:val="28"/>
          <w:highlight w:val="none"/>
          <w:lang w:eastAsia="zh-CN"/>
        </w:rPr>
      </w:pPr>
      <w:r>
        <w:rPr>
          <w:rFonts w:hint="eastAsia" w:ascii="宋体" w:hAnsi="宋体"/>
          <w:color w:val="auto"/>
          <w:sz w:val="28"/>
          <w:szCs w:val="28"/>
          <w:highlight w:val="none"/>
          <w:lang w:eastAsia="zh-CN"/>
        </w:rPr>
        <w:t>台州中域工程咨询有限公司</w:t>
      </w:r>
    </w:p>
    <w:p w14:paraId="078D0D4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auto"/>
          <w:kern w:val="0"/>
          <w:sz w:val="28"/>
          <w:szCs w:val="28"/>
          <w:highlight w:val="none"/>
        </w:rPr>
      </w:pPr>
      <w:r>
        <w:rPr>
          <w:rFonts w:hint="eastAsia" w:ascii="宋体" w:hAnsi="宋体"/>
          <w:color w:val="auto"/>
          <w:sz w:val="28"/>
          <w:szCs w:val="28"/>
          <w:highlight w:val="none"/>
          <w:lang w:eastAsia="zh-CN"/>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 xml:space="preserve"> </w:t>
      </w:r>
      <w:r>
        <w:rPr>
          <w:rFonts w:hint="eastAsia" w:ascii="宋体" w:hAnsi="宋体" w:cs="宋体"/>
          <w:color w:val="auto"/>
          <w:kern w:val="0"/>
          <w:sz w:val="28"/>
          <w:szCs w:val="28"/>
          <w:highlight w:val="none"/>
        </w:rPr>
        <w:t xml:space="preserve">年 </w:t>
      </w:r>
      <w:r>
        <w:rPr>
          <w:rFonts w:hint="eastAsia" w:ascii="宋体" w:hAnsi="宋体" w:cs="宋体"/>
          <w:color w:val="auto"/>
          <w:kern w:val="0"/>
          <w:sz w:val="28"/>
          <w:szCs w:val="28"/>
          <w:highlight w:val="none"/>
          <w:lang w:val="en-US" w:eastAsia="zh-CN"/>
        </w:rPr>
        <w:t xml:space="preserve">7 </w:t>
      </w:r>
      <w:r>
        <w:rPr>
          <w:rFonts w:hint="eastAsia" w:ascii="宋体" w:hAnsi="宋体" w:cs="宋体"/>
          <w:color w:val="auto"/>
          <w:kern w:val="0"/>
          <w:sz w:val="28"/>
          <w:szCs w:val="28"/>
          <w:highlight w:val="none"/>
        </w:rPr>
        <w:t xml:space="preserve">月 </w:t>
      </w:r>
    </w:p>
    <w:p w14:paraId="020D9C5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auto"/>
          <w:kern w:val="0"/>
          <w:sz w:val="28"/>
          <w:szCs w:val="28"/>
          <w:highlight w:val="none"/>
        </w:rPr>
      </w:pPr>
    </w:p>
    <w:p w14:paraId="625588F0">
      <w:pPr>
        <w:jc w:val="center"/>
        <w:rPr>
          <w:rFonts w:hint="eastAsia" w:ascii="宋体" w:hAnsi="宋体" w:cs="Arial"/>
          <w:b/>
          <w:bCs/>
          <w:color w:val="auto"/>
          <w:sz w:val="36"/>
          <w:szCs w:val="36"/>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BCACF9D">
      <w:pPr>
        <w:pStyle w:val="11"/>
        <w:rPr>
          <w:rFonts w:hint="eastAsia"/>
          <w:color w:val="auto"/>
          <w:highlight w:val="none"/>
        </w:rPr>
      </w:pPr>
    </w:p>
    <w:p w14:paraId="35916BE3">
      <w:pPr>
        <w:jc w:val="center"/>
        <w:rPr>
          <w:rFonts w:hint="eastAsia" w:ascii="宋体" w:hAnsi="宋体" w:cs="Arial"/>
          <w:b/>
          <w:bCs/>
          <w:color w:val="auto"/>
          <w:sz w:val="36"/>
          <w:szCs w:val="36"/>
          <w:highlight w:val="none"/>
        </w:rPr>
      </w:pPr>
    </w:p>
    <w:p w14:paraId="758F6B1D">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14:paraId="074B02B9">
      <w:pPr>
        <w:spacing w:line="360" w:lineRule="auto"/>
        <w:ind w:left="960"/>
        <w:rPr>
          <w:rFonts w:hint="eastAsia" w:ascii="宋体" w:hAnsi="宋体"/>
          <w:color w:val="auto"/>
          <w:sz w:val="10"/>
          <w:highlight w:val="none"/>
        </w:rPr>
      </w:pPr>
    </w:p>
    <w:p w14:paraId="0EB83E47">
      <w:pPr>
        <w:spacing w:line="360" w:lineRule="auto"/>
        <w:ind w:left="960"/>
        <w:rPr>
          <w:rFonts w:hint="eastAsia" w:ascii="宋体" w:hAnsi="宋体"/>
          <w:color w:val="auto"/>
          <w:sz w:val="10"/>
          <w:highlight w:val="none"/>
        </w:rPr>
      </w:pPr>
    </w:p>
    <w:p w14:paraId="0105D857">
      <w:pPr>
        <w:spacing w:line="360" w:lineRule="auto"/>
        <w:ind w:left="960"/>
        <w:rPr>
          <w:rFonts w:hint="eastAsia" w:ascii="宋体" w:hAnsi="宋体"/>
          <w:color w:val="auto"/>
          <w:sz w:val="10"/>
          <w:highlight w:val="none"/>
        </w:rPr>
      </w:pPr>
    </w:p>
    <w:p w14:paraId="272AC73F">
      <w:pPr>
        <w:spacing w:line="360" w:lineRule="auto"/>
        <w:ind w:left="359" w:leftChars="171" w:firstLine="481" w:firstLineChars="171"/>
        <w:rPr>
          <w:rFonts w:hint="eastAsia" w:ascii="新宋体" w:hAnsi="新宋体"/>
          <w:b/>
          <w:color w:val="auto"/>
          <w:sz w:val="28"/>
          <w:szCs w:val="28"/>
          <w:highlight w:val="none"/>
        </w:rPr>
      </w:pPr>
      <w:r>
        <w:rPr>
          <w:rFonts w:hint="eastAsia" w:ascii="新宋体" w:hAnsi="新宋体" w:eastAsia="新宋体"/>
          <w:b/>
          <w:color w:val="auto"/>
          <w:sz w:val="28"/>
          <w:szCs w:val="28"/>
          <w:highlight w:val="none"/>
        </w:rPr>
        <w:t>一、竞争性</w:t>
      </w:r>
      <w:r>
        <w:rPr>
          <w:rFonts w:ascii="宋体" w:hAnsi="宋体"/>
          <w:b/>
          <w:color w:val="auto"/>
          <w:sz w:val="28"/>
          <w:szCs w:val="28"/>
          <w:highlight w:val="none"/>
        </w:rPr>
        <w:t>磋商</w:t>
      </w:r>
      <w:r>
        <w:rPr>
          <w:rFonts w:hint="eastAsia" w:ascii="宋体" w:hAnsi="宋体"/>
          <w:b/>
          <w:color w:val="auto"/>
          <w:sz w:val="28"/>
          <w:szCs w:val="28"/>
          <w:highlight w:val="none"/>
        </w:rPr>
        <w:t>公告</w:t>
      </w:r>
    </w:p>
    <w:p w14:paraId="3CDCC3A4">
      <w:pPr>
        <w:spacing w:line="360" w:lineRule="auto"/>
        <w:ind w:left="359" w:leftChars="171" w:firstLine="481" w:firstLineChars="171"/>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二、供应商须知</w:t>
      </w:r>
    </w:p>
    <w:p w14:paraId="7AD51A07">
      <w:pPr>
        <w:spacing w:line="360" w:lineRule="auto"/>
        <w:ind w:left="359" w:leftChars="171" w:firstLine="481" w:firstLineChars="171"/>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三、评审办法及评审标准</w:t>
      </w:r>
      <w:r>
        <w:rPr>
          <w:rFonts w:ascii="新宋体" w:hAnsi="新宋体" w:eastAsia="新宋体"/>
          <w:b/>
          <w:color w:val="auto"/>
          <w:sz w:val="28"/>
          <w:szCs w:val="28"/>
          <w:highlight w:val="none"/>
        </w:rPr>
        <w:t xml:space="preserve">  </w:t>
      </w:r>
    </w:p>
    <w:p w14:paraId="5EDBC5D0">
      <w:pPr>
        <w:spacing w:line="360" w:lineRule="auto"/>
        <w:ind w:left="359" w:leftChars="171" w:firstLine="481" w:firstLineChars="171"/>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四、</w:t>
      </w:r>
      <w:r>
        <w:rPr>
          <w:rFonts w:hint="eastAsia" w:ascii="宋体" w:eastAsia="新宋体"/>
          <w:b/>
          <w:color w:val="auto"/>
          <w:kern w:val="0"/>
          <w:sz w:val="28"/>
          <w:szCs w:val="28"/>
          <w:highlight w:val="none"/>
        </w:rPr>
        <w:t>项目需求</w:t>
      </w:r>
    </w:p>
    <w:p w14:paraId="6146E7F5">
      <w:pPr>
        <w:spacing w:line="360" w:lineRule="auto"/>
        <w:ind w:firstLine="703" w:firstLineChars="250"/>
        <w:jc w:val="left"/>
        <w:rPr>
          <w:rFonts w:ascii="新宋体" w:hAnsi="新宋体" w:eastAsia="新宋体"/>
          <w:b/>
          <w:color w:val="auto"/>
          <w:sz w:val="28"/>
          <w:szCs w:val="28"/>
          <w:highlight w:val="none"/>
        </w:rPr>
      </w:pPr>
      <w:r>
        <w:rPr>
          <w:rFonts w:ascii="新宋体" w:hAnsi="新宋体" w:eastAsia="新宋体"/>
          <w:b/>
          <w:color w:val="auto"/>
          <w:sz w:val="28"/>
          <w:szCs w:val="28"/>
          <w:highlight w:val="none"/>
        </w:rPr>
        <w:t xml:space="preserve"> </w:t>
      </w:r>
      <w:r>
        <w:rPr>
          <w:rFonts w:hint="eastAsia" w:ascii="新宋体" w:hAnsi="新宋体" w:eastAsia="新宋体"/>
          <w:b/>
          <w:color w:val="auto"/>
          <w:sz w:val="28"/>
          <w:szCs w:val="28"/>
          <w:highlight w:val="none"/>
        </w:rPr>
        <w:t>五、</w:t>
      </w:r>
      <w:r>
        <w:rPr>
          <w:rFonts w:hint="eastAsia" w:ascii="宋体" w:hAnsi="宋体"/>
          <w:b/>
          <w:color w:val="auto"/>
          <w:sz w:val="28"/>
          <w:szCs w:val="28"/>
          <w:highlight w:val="none"/>
        </w:rPr>
        <w:t>政府采购合同主要条款指引</w:t>
      </w:r>
      <w:r>
        <w:rPr>
          <w:rFonts w:ascii="新宋体" w:hAnsi="新宋体" w:eastAsia="新宋体"/>
          <w:b/>
          <w:color w:val="auto"/>
          <w:sz w:val="28"/>
          <w:szCs w:val="28"/>
          <w:highlight w:val="none"/>
        </w:rPr>
        <w:t xml:space="preserve">       </w:t>
      </w:r>
    </w:p>
    <w:p w14:paraId="5D0DFC6C">
      <w:pPr>
        <w:spacing w:line="360" w:lineRule="auto"/>
        <w:ind w:left="359" w:leftChars="171" w:firstLine="481" w:firstLineChars="171"/>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六、响应文件格式附件</w:t>
      </w:r>
    </w:p>
    <w:p w14:paraId="1081B837">
      <w:pPr>
        <w:spacing w:line="360" w:lineRule="auto"/>
        <w:rPr>
          <w:rFonts w:ascii="宋体" w:hAnsi="宋体"/>
          <w:b/>
          <w:color w:val="auto"/>
          <w:sz w:val="28"/>
          <w:szCs w:val="28"/>
          <w:highlight w:val="none"/>
        </w:rPr>
      </w:pPr>
    </w:p>
    <w:p w14:paraId="4DF921E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auto"/>
          <w:kern w:val="0"/>
          <w:sz w:val="30"/>
          <w:szCs w:val="30"/>
          <w:highlight w:val="none"/>
        </w:rPr>
      </w:pPr>
    </w:p>
    <w:p w14:paraId="09B2126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auto"/>
          <w:kern w:val="0"/>
          <w:sz w:val="30"/>
          <w:szCs w:val="30"/>
          <w:highlight w:val="none"/>
        </w:rPr>
      </w:pPr>
    </w:p>
    <w:p w14:paraId="2F64C04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cs="宋体"/>
          <w:color w:val="auto"/>
          <w:kern w:val="0"/>
          <w:sz w:val="30"/>
          <w:szCs w:val="30"/>
          <w:highlight w:val="none"/>
        </w:rPr>
      </w:pPr>
    </w:p>
    <w:p w14:paraId="326D2E2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auto"/>
          <w:kern w:val="0"/>
          <w:sz w:val="36"/>
          <w:szCs w:val="36"/>
          <w:highlight w:val="none"/>
        </w:rPr>
      </w:pPr>
    </w:p>
    <w:p w14:paraId="72F1ABD1">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auto"/>
          <w:kern w:val="0"/>
          <w:sz w:val="36"/>
          <w:szCs w:val="36"/>
          <w:highlight w:val="none"/>
        </w:rPr>
      </w:pPr>
    </w:p>
    <w:p w14:paraId="71C078FF">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auto"/>
          <w:kern w:val="0"/>
          <w:sz w:val="36"/>
          <w:szCs w:val="36"/>
          <w:highlight w:val="none"/>
        </w:rPr>
      </w:pPr>
    </w:p>
    <w:p w14:paraId="595F6D93">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auto"/>
          <w:kern w:val="0"/>
          <w:sz w:val="36"/>
          <w:szCs w:val="36"/>
          <w:highlight w:val="none"/>
        </w:rPr>
      </w:pPr>
    </w:p>
    <w:p w14:paraId="2144A86B">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auto"/>
          <w:kern w:val="0"/>
          <w:sz w:val="36"/>
          <w:szCs w:val="36"/>
          <w:highlight w:val="none"/>
        </w:rPr>
      </w:pPr>
    </w:p>
    <w:p w14:paraId="45B4F41B">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cs="宋体"/>
          <w:b/>
          <w:color w:val="auto"/>
          <w:kern w:val="0"/>
          <w:sz w:val="36"/>
          <w:szCs w:val="36"/>
          <w:highlight w:val="none"/>
        </w:rPr>
      </w:pPr>
    </w:p>
    <w:p w14:paraId="468118D3">
      <w:pPr>
        <w:tabs>
          <w:tab w:val="left" w:pos="180"/>
          <w:tab w:val="left" w:pos="360"/>
          <w:tab w:val="left" w:pos="540"/>
          <w:tab w:val="left" w:pos="8280"/>
        </w:tabs>
        <w:autoSpaceDE w:val="0"/>
        <w:autoSpaceDN w:val="0"/>
        <w:adjustRightInd w:val="0"/>
        <w:spacing w:line="360" w:lineRule="auto"/>
        <w:ind w:right="23"/>
        <w:rPr>
          <w:rFonts w:hint="eastAsia" w:ascii="宋体" w:hAnsi="宋体" w:cs="宋体"/>
          <w:b/>
          <w:color w:val="auto"/>
          <w:kern w:val="0"/>
          <w:sz w:val="36"/>
          <w:szCs w:val="36"/>
          <w:highlight w:val="none"/>
        </w:rPr>
      </w:pPr>
    </w:p>
    <w:p w14:paraId="2B99B3E2">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sz w:val="36"/>
          <w:szCs w:val="36"/>
          <w:highlight w:val="none"/>
        </w:rPr>
      </w:pPr>
      <w:r>
        <w:rPr>
          <w:rFonts w:hint="eastAsia" w:ascii="宋体" w:hAnsi="宋体"/>
          <w:b/>
          <w:color w:val="auto"/>
          <w:sz w:val="36"/>
          <w:szCs w:val="36"/>
          <w:highlight w:val="none"/>
        </w:rPr>
        <w:t xml:space="preserve">第一章  竞争性磋商公告 </w:t>
      </w:r>
    </w:p>
    <w:p w14:paraId="1B3DECC0">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30"/>
          <w:szCs w:val="30"/>
          <w:highlight w:val="none"/>
        </w:rPr>
        <w:t xml:space="preserve">   </w:t>
      </w:r>
      <w:r>
        <w:rPr>
          <w:rFonts w:hint="eastAsia" w:ascii="宋体" w:hAnsi="宋体" w:cs="宋体"/>
          <w:color w:val="auto"/>
          <w:kern w:val="0"/>
          <w:sz w:val="24"/>
          <w:highlight w:val="none"/>
        </w:rPr>
        <w:t xml:space="preserve"> 根据《中华人民共和国政府采购法》</w:t>
      </w:r>
      <w:r>
        <w:rPr>
          <w:rFonts w:hint="eastAsia" w:ascii="宋体"/>
          <w:color w:val="auto"/>
          <w:kern w:val="0"/>
          <w:sz w:val="24"/>
          <w:highlight w:val="none"/>
        </w:rPr>
        <w:t>、《中华人民共和国政府采购法实施条例》</w:t>
      </w:r>
      <w:r>
        <w:rPr>
          <w:rFonts w:hint="eastAsia" w:ascii="宋体" w:hAnsi="宋体" w:cs="宋体"/>
          <w:color w:val="auto"/>
          <w:kern w:val="0"/>
          <w:sz w:val="24"/>
          <w:highlight w:val="none"/>
        </w:rPr>
        <w:t>、</w:t>
      </w:r>
      <w:r>
        <w:rPr>
          <w:rFonts w:hint="eastAsia" w:ascii="宋体" w:hAnsi="宋体" w:cs="宋体"/>
          <w:color w:val="auto"/>
          <w:sz w:val="24"/>
          <w:highlight w:val="none"/>
        </w:rPr>
        <w:t>《政府采购竞争性磋商采购方式管理暂行办法》等</w:t>
      </w:r>
      <w:r>
        <w:rPr>
          <w:rFonts w:hint="eastAsia" w:ascii="宋体" w:hAnsi="宋体" w:cs="宋体"/>
          <w:color w:val="auto"/>
          <w:kern w:val="0"/>
          <w:sz w:val="24"/>
          <w:highlight w:val="none"/>
        </w:rPr>
        <w:t xml:space="preserve">有关规定, </w:t>
      </w:r>
      <w:r>
        <w:rPr>
          <w:rFonts w:hint="eastAsia" w:ascii="宋体" w:hAnsi="宋体" w:cs="宋体"/>
          <w:color w:val="auto"/>
          <w:kern w:val="0"/>
          <w:sz w:val="24"/>
          <w:highlight w:val="none"/>
          <w:lang w:eastAsia="zh-CN"/>
        </w:rPr>
        <w:t>台州中域工程咨询有限公司</w:t>
      </w:r>
      <w:r>
        <w:rPr>
          <w:rFonts w:hint="eastAsia" w:ascii="宋体" w:hAnsi="宋体" w:cs="宋体"/>
          <w:color w:val="auto"/>
          <w:kern w:val="0"/>
          <w:sz w:val="24"/>
          <w:highlight w:val="none"/>
        </w:rPr>
        <w:t>受采购人</w:t>
      </w:r>
      <w:r>
        <w:rPr>
          <w:rFonts w:hint="eastAsia" w:ascii="宋体" w:hAnsi="宋体" w:cs="宋体"/>
          <w:color w:val="auto"/>
          <w:kern w:val="0"/>
          <w:sz w:val="24"/>
          <w:highlight w:val="none"/>
          <w:lang w:eastAsia="zh-CN"/>
        </w:rPr>
        <w:t>玉环市特殊教育学校</w:t>
      </w:r>
      <w:r>
        <w:rPr>
          <w:rFonts w:hint="eastAsia" w:ascii="宋体" w:hAnsi="宋体" w:cs="宋体"/>
          <w:color w:val="auto"/>
          <w:kern w:val="0"/>
          <w:sz w:val="24"/>
          <w:highlight w:val="none"/>
        </w:rPr>
        <w:t>的委托，现就</w:t>
      </w:r>
      <w:r>
        <w:rPr>
          <w:rFonts w:hint="eastAsia" w:ascii="宋体" w:hAnsi="宋体" w:cs="宋体"/>
          <w:color w:val="auto"/>
          <w:kern w:val="0"/>
          <w:sz w:val="24"/>
          <w:highlight w:val="none"/>
          <w:lang w:eastAsia="zh-CN"/>
        </w:rPr>
        <w:t>2025年玉环市特殊教育学校智慧体育及户外感统设备采购</w:t>
      </w:r>
      <w:r>
        <w:rPr>
          <w:rFonts w:hint="eastAsia" w:ascii="宋体" w:hAnsi="宋体" w:cs="宋体"/>
          <w:color w:val="auto"/>
          <w:kern w:val="0"/>
          <w:sz w:val="24"/>
          <w:highlight w:val="none"/>
        </w:rPr>
        <w:t>进行竞争性磋商采购</w:t>
      </w:r>
      <w:r>
        <w:rPr>
          <w:rFonts w:hint="eastAsia" w:ascii="宋体" w:hAnsi="宋体"/>
          <w:color w:val="auto"/>
          <w:kern w:val="0"/>
          <w:sz w:val="24"/>
          <w:highlight w:val="none"/>
        </w:rPr>
        <w:t>，欢迎</w:t>
      </w:r>
      <w:r>
        <w:rPr>
          <w:rFonts w:hint="eastAsia" w:ascii="宋体" w:hAnsi="宋体"/>
          <w:color w:val="auto"/>
          <w:kern w:val="0"/>
          <w:sz w:val="24"/>
          <w:highlight w:val="none"/>
          <w:lang w:eastAsia="zh-CN"/>
        </w:rPr>
        <w:t>的</w:t>
      </w:r>
      <w:r>
        <w:rPr>
          <w:rFonts w:hint="eastAsia" w:ascii="宋体" w:hAnsi="宋体"/>
          <w:color w:val="auto"/>
          <w:kern w:val="0"/>
          <w:sz w:val="24"/>
          <w:highlight w:val="none"/>
        </w:rPr>
        <w:t>合格</w:t>
      </w:r>
      <w:r>
        <w:rPr>
          <w:rFonts w:hint="eastAsia" w:ascii="宋体" w:hAnsi="宋体"/>
          <w:color w:val="auto"/>
          <w:kern w:val="0"/>
          <w:sz w:val="24"/>
          <w:highlight w:val="none"/>
          <w:lang w:eastAsia="zh-CN"/>
        </w:rPr>
        <w:t>的</w:t>
      </w:r>
      <w:r>
        <w:rPr>
          <w:rFonts w:hint="eastAsia" w:ascii="宋体" w:hAnsi="宋体"/>
          <w:color w:val="auto"/>
          <w:kern w:val="0"/>
          <w:sz w:val="24"/>
          <w:highlight w:val="none"/>
        </w:rPr>
        <w:t>供应商前来磋商。</w:t>
      </w:r>
    </w:p>
    <w:p w14:paraId="575F0018">
      <w:pPr>
        <w:tabs>
          <w:tab w:val="left" w:pos="180"/>
          <w:tab w:val="left" w:pos="360"/>
          <w:tab w:val="left" w:pos="540"/>
          <w:tab w:val="left" w:pos="8280"/>
        </w:tabs>
        <w:autoSpaceDE w:val="0"/>
        <w:autoSpaceDN w:val="0"/>
        <w:adjustRightInd w:val="0"/>
        <w:spacing w:before="100" w:beforeLines="0" w:line="360" w:lineRule="auto"/>
        <w:ind w:right="23"/>
        <w:jc w:val="left"/>
        <w:rPr>
          <w:rFonts w:hint="eastAsia" w:ascii="宋体" w:hAnsi="宋体" w:eastAsia="宋体" w:cs="宋体"/>
          <w:color w:val="auto"/>
          <w:kern w:val="0"/>
          <w:sz w:val="24"/>
          <w:highlight w:val="none"/>
          <w:lang w:eastAsia="zh-CN"/>
        </w:rPr>
      </w:pPr>
      <w:r>
        <w:rPr>
          <w:rFonts w:hint="eastAsia" w:ascii="宋体" w:hAnsi="宋体" w:cs="宋体"/>
          <w:b/>
          <w:color w:val="auto"/>
          <w:kern w:val="0"/>
          <w:sz w:val="24"/>
          <w:highlight w:val="none"/>
        </w:rPr>
        <w:t>一、项目编号：</w:t>
      </w:r>
      <w:r>
        <w:rPr>
          <w:rFonts w:hint="eastAsia" w:ascii="宋体" w:hAnsi="宋体" w:cs="宋体"/>
          <w:b/>
          <w:color w:val="auto"/>
          <w:kern w:val="0"/>
          <w:sz w:val="24"/>
          <w:highlight w:val="none"/>
          <w:lang w:eastAsia="zh-CN"/>
        </w:rPr>
        <w:t>TZZY-2025-061</w:t>
      </w:r>
    </w:p>
    <w:p w14:paraId="65199155">
      <w:pPr>
        <w:tabs>
          <w:tab w:val="left" w:pos="180"/>
          <w:tab w:val="left" w:pos="360"/>
          <w:tab w:val="left" w:pos="540"/>
          <w:tab w:val="left" w:pos="8280"/>
        </w:tabs>
        <w:autoSpaceDE w:val="0"/>
        <w:autoSpaceDN w:val="0"/>
        <w:adjustRightInd w:val="0"/>
        <w:spacing w:before="100" w:beforeLines="0" w:line="360" w:lineRule="auto"/>
        <w:ind w:right="23"/>
        <w:jc w:val="left"/>
        <w:rPr>
          <w:rFonts w:hint="eastAsia" w:ascii="宋体" w:hAnsi="宋体" w:cs="宋体"/>
          <w:color w:val="auto"/>
          <w:sz w:val="24"/>
          <w:highlight w:val="none"/>
        </w:rPr>
      </w:pPr>
      <w:r>
        <w:rPr>
          <w:rFonts w:hint="eastAsia" w:ascii="宋体" w:hAnsi="宋体" w:cs="宋体"/>
          <w:b/>
          <w:color w:val="auto"/>
          <w:kern w:val="0"/>
          <w:sz w:val="24"/>
          <w:highlight w:val="none"/>
        </w:rPr>
        <w:t>二、磋商内容：</w:t>
      </w:r>
      <w:r>
        <w:rPr>
          <w:rFonts w:hint="eastAsia" w:ascii="宋体" w:hAnsi="宋体" w:cs="宋体"/>
          <w:color w:val="auto"/>
          <w:sz w:val="24"/>
          <w:highlight w:val="none"/>
        </w:rPr>
        <w:t xml:space="preserve"> </w:t>
      </w:r>
    </w:p>
    <w:tbl>
      <w:tblPr>
        <w:tblStyle w:val="17"/>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08"/>
        <w:gridCol w:w="1679"/>
        <w:gridCol w:w="762"/>
        <w:gridCol w:w="663"/>
        <w:gridCol w:w="1350"/>
        <w:gridCol w:w="1009"/>
      </w:tblGrid>
      <w:tr w14:paraId="74E9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jc w:val="center"/>
        </w:trPr>
        <w:tc>
          <w:tcPr>
            <w:tcW w:w="885" w:type="dxa"/>
            <w:noWrap w:val="0"/>
            <w:vAlign w:val="center"/>
          </w:tcPr>
          <w:p w14:paraId="66AC8B08">
            <w:pPr>
              <w:tabs>
                <w:tab w:val="left" w:pos="8280"/>
              </w:tabs>
              <w:autoSpaceDE w:val="0"/>
              <w:autoSpaceDN w:val="0"/>
              <w:adjustRightInd w:val="0"/>
              <w:ind w:right="25"/>
              <w:jc w:val="center"/>
              <w:rPr>
                <w:rFonts w:hint="eastAsia" w:ascii="宋体" w:hAnsi="宋体"/>
                <w:b/>
                <w:color w:val="auto"/>
                <w:sz w:val="21"/>
                <w:szCs w:val="21"/>
                <w:highlight w:val="none"/>
              </w:rPr>
            </w:pPr>
            <w:r>
              <w:rPr>
                <w:rFonts w:hint="eastAsia" w:ascii="宋体" w:hAnsi="宋体"/>
                <w:b/>
                <w:color w:val="auto"/>
                <w:sz w:val="21"/>
                <w:szCs w:val="21"/>
                <w:highlight w:val="none"/>
              </w:rPr>
              <w:t>标段号</w:t>
            </w:r>
          </w:p>
        </w:tc>
        <w:tc>
          <w:tcPr>
            <w:tcW w:w="2108" w:type="dxa"/>
            <w:noWrap w:val="0"/>
            <w:vAlign w:val="center"/>
          </w:tcPr>
          <w:p w14:paraId="36405593">
            <w:pPr>
              <w:tabs>
                <w:tab w:val="left" w:pos="8280"/>
              </w:tabs>
              <w:autoSpaceDE w:val="0"/>
              <w:autoSpaceDN w:val="0"/>
              <w:adjustRightInd w:val="0"/>
              <w:ind w:right="25"/>
              <w:jc w:val="center"/>
              <w:rPr>
                <w:rFonts w:hint="eastAsia" w:ascii="宋体" w:hAnsi="宋体"/>
                <w:b/>
                <w:color w:val="auto"/>
                <w:sz w:val="21"/>
                <w:szCs w:val="21"/>
                <w:highlight w:val="none"/>
              </w:rPr>
            </w:pPr>
            <w:r>
              <w:rPr>
                <w:rFonts w:hint="eastAsia" w:ascii="宋体" w:hAnsi="宋体"/>
                <w:b/>
                <w:color w:val="auto"/>
                <w:sz w:val="21"/>
                <w:szCs w:val="21"/>
                <w:highlight w:val="none"/>
              </w:rPr>
              <w:t>项目名称</w:t>
            </w:r>
          </w:p>
        </w:tc>
        <w:tc>
          <w:tcPr>
            <w:tcW w:w="1679" w:type="dxa"/>
            <w:noWrap w:val="0"/>
            <w:vAlign w:val="center"/>
          </w:tcPr>
          <w:p w14:paraId="313C4A9D">
            <w:pPr>
              <w:tabs>
                <w:tab w:val="left" w:pos="8280"/>
              </w:tabs>
              <w:autoSpaceDE w:val="0"/>
              <w:autoSpaceDN w:val="0"/>
              <w:adjustRightInd w:val="0"/>
              <w:ind w:right="25"/>
              <w:jc w:val="center"/>
              <w:rPr>
                <w:rFonts w:ascii="宋体" w:hAnsi="宋体"/>
                <w:b/>
                <w:color w:val="auto"/>
                <w:sz w:val="21"/>
                <w:szCs w:val="21"/>
                <w:highlight w:val="none"/>
              </w:rPr>
            </w:pPr>
            <w:r>
              <w:rPr>
                <w:rFonts w:hint="eastAsia" w:ascii="宋体" w:hAnsi="宋体"/>
                <w:b/>
                <w:color w:val="auto"/>
                <w:sz w:val="21"/>
                <w:szCs w:val="21"/>
                <w:highlight w:val="none"/>
                <w:lang w:val="en-US" w:eastAsia="zh-CN"/>
              </w:rPr>
              <w:t>采购</w:t>
            </w:r>
            <w:r>
              <w:rPr>
                <w:rFonts w:hint="eastAsia" w:ascii="宋体" w:hAnsi="宋体"/>
                <w:b/>
                <w:color w:val="auto"/>
                <w:sz w:val="21"/>
                <w:szCs w:val="21"/>
                <w:highlight w:val="none"/>
              </w:rPr>
              <w:t>内容</w:t>
            </w:r>
          </w:p>
        </w:tc>
        <w:tc>
          <w:tcPr>
            <w:tcW w:w="762" w:type="dxa"/>
            <w:noWrap w:val="0"/>
            <w:vAlign w:val="center"/>
          </w:tcPr>
          <w:p w14:paraId="22607831">
            <w:pPr>
              <w:tabs>
                <w:tab w:val="left" w:pos="8280"/>
              </w:tabs>
              <w:autoSpaceDE w:val="0"/>
              <w:autoSpaceDN w:val="0"/>
              <w:adjustRightInd w:val="0"/>
              <w:ind w:right="25"/>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663" w:type="dxa"/>
            <w:noWrap w:val="0"/>
            <w:vAlign w:val="center"/>
          </w:tcPr>
          <w:p w14:paraId="156CEE9E">
            <w:pPr>
              <w:tabs>
                <w:tab w:val="left" w:pos="8280"/>
              </w:tabs>
              <w:autoSpaceDE w:val="0"/>
              <w:autoSpaceDN w:val="0"/>
              <w:adjustRightInd w:val="0"/>
              <w:ind w:right="25"/>
              <w:jc w:val="center"/>
              <w:rPr>
                <w:rFonts w:ascii="宋体" w:hAnsi="宋体"/>
                <w:b/>
                <w:color w:val="auto"/>
                <w:sz w:val="21"/>
                <w:szCs w:val="21"/>
                <w:highlight w:val="none"/>
              </w:rPr>
            </w:pPr>
            <w:r>
              <w:rPr>
                <w:rFonts w:hint="eastAsia" w:ascii="宋体" w:hAnsi="宋体"/>
                <w:b/>
                <w:color w:val="auto"/>
                <w:sz w:val="21"/>
                <w:szCs w:val="21"/>
                <w:highlight w:val="none"/>
              </w:rPr>
              <w:t>单位</w:t>
            </w:r>
          </w:p>
        </w:tc>
        <w:tc>
          <w:tcPr>
            <w:tcW w:w="1350" w:type="dxa"/>
            <w:noWrap w:val="0"/>
            <w:vAlign w:val="center"/>
          </w:tcPr>
          <w:p w14:paraId="4FAC2D19">
            <w:pPr>
              <w:tabs>
                <w:tab w:val="left" w:pos="8280"/>
              </w:tabs>
              <w:autoSpaceDE w:val="0"/>
              <w:autoSpaceDN w:val="0"/>
              <w:adjustRightInd w:val="0"/>
              <w:ind w:right="25"/>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最高限价（万元）</w:t>
            </w:r>
          </w:p>
        </w:tc>
        <w:tc>
          <w:tcPr>
            <w:tcW w:w="1009" w:type="dxa"/>
            <w:noWrap w:val="0"/>
            <w:vAlign w:val="center"/>
          </w:tcPr>
          <w:p w14:paraId="424FE9E7">
            <w:pPr>
              <w:tabs>
                <w:tab w:val="left" w:pos="8280"/>
              </w:tabs>
              <w:autoSpaceDE w:val="0"/>
              <w:autoSpaceDN w:val="0"/>
              <w:adjustRightInd w:val="0"/>
              <w:ind w:right="25"/>
              <w:jc w:val="center"/>
              <w:rPr>
                <w:rFonts w:hint="eastAsia" w:ascii="宋体" w:hAnsi="宋体"/>
                <w:b/>
                <w:color w:val="auto"/>
                <w:sz w:val="21"/>
                <w:szCs w:val="21"/>
                <w:highlight w:val="none"/>
                <w:lang w:eastAsia="zh-CN"/>
              </w:rPr>
            </w:pPr>
            <w:r>
              <w:rPr>
                <w:rFonts w:hint="eastAsia" w:ascii="宋体" w:hAnsi="宋体"/>
                <w:b/>
                <w:color w:val="auto"/>
                <w:sz w:val="21"/>
                <w:szCs w:val="21"/>
                <w:highlight w:val="none"/>
                <w:lang w:eastAsia="zh-CN"/>
              </w:rPr>
              <w:t>供货期</w:t>
            </w:r>
          </w:p>
        </w:tc>
      </w:tr>
      <w:tr w14:paraId="5406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885" w:type="dxa"/>
            <w:noWrap w:val="0"/>
            <w:vAlign w:val="center"/>
          </w:tcPr>
          <w:p w14:paraId="67F59309">
            <w:pPr>
              <w:tabs>
                <w:tab w:val="left" w:pos="8280"/>
              </w:tabs>
              <w:autoSpaceDE w:val="0"/>
              <w:autoSpaceDN w:val="0"/>
              <w:adjustRightInd w:val="0"/>
              <w:ind w:right="25"/>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w:t>
            </w:r>
          </w:p>
        </w:tc>
        <w:tc>
          <w:tcPr>
            <w:tcW w:w="2108" w:type="dxa"/>
            <w:noWrap w:val="0"/>
            <w:vAlign w:val="center"/>
          </w:tcPr>
          <w:p w14:paraId="48A692E9">
            <w:pPr>
              <w:tabs>
                <w:tab w:val="left" w:pos="8280"/>
              </w:tabs>
              <w:autoSpaceDE w:val="0"/>
              <w:autoSpaceDN w:val="0"/>
              <w:adjustRightInd w:val="0"/>
              <w:ind w:right="25"/>
              <w:jc w:val="center"/>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2025年玉环市特殊教育学校智慧体育及户外感统设备采购</w:t>
            </w:r>
          </w:p>
        </w:tc>
        <w:tc>
          <w:tcPr>
            <w:tcW w:w="1679" w:type="dxa"/>
            <w:noWrap w:val="0"/>
            <w:vAlign w:val="center"/>
          </w:tcPr>
          <w:p w14:paraId="38BA6059">
            <w:pPr>
              <w:tabs>
                <w:tab w:val="left" w:pos="8280"/>
              </w:tabs>
              <w:autoSpaceDE w:val="0"/>
              <w:autoSpaceDN w:val="0"/>
              <w:adjustRightInd w:val="0"/>
              <w:ind w:right="25"/>
              <w:jc w:val="left"/>
              <w:rPr>
                <w:rFonts w:hint="default"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lang w:val="en-US" w:eastAsia="zh-CN"/>
              </w:rPr>
              <w:t>详见第四章招标内容及需求</w:t>
            </w:r>
          </w:p>
        </w:tc>
        <w:tc>
          <w:tcPr>
            <w:tcW w:w="762" w:type="dxa"/>
            <w:noWrap w:val="0"/>
            <w:vAlign w:val="center"/>
          </w:tcPr>
          <w:p w14:paraId="72BDD5DB">
            <w:pPr>
              <w:widowControl/>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663" w:type="dxa"/>
            <w:noWrap w:val="0"/>
            <w:vAlign w:val="center"/>
          </w:tcPr>
          <w:p w14:paraId="24C1796B">
            <w:pPr>
              <w:tabs>
                <w:tab w:val="left" w:pos="8280"/>
              </w:tabs>
              <w:autoSpaceDE w:val="0"/>
              <w:autoSpaceDN w:val="0"/>
              <w:adjustRightInd w:val="0"/>
              <w:ind w:right="25"/>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项</w:t>
            </w:r>
          </w:p>
        </w:tc>
        <w:tc>
          <w:tcPr>
            <w:tcW w:w="1350" w:type="dxa"/>
            <w:noWrap w:val="0"/>
            <w:vAlign w:val="center"/>
          </w:tcPr>
          <w:p w14:paraId="6BE86AAA">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highlight w:val="none"/>
                <w:lang w:val="en-US" w:eastAsia="zh-CN"/>
              </w:rPr>
              <w:t>30.00</w:t>
            </w:r>
          </w:p>
        </w:tc>
        <w:tc>
          <w:tcPr>
            <w:tcW w:w="1009" w:type="dxa"/>
            <w:noWrap w:val="0"/>
            <w:vAlign w:val="center"/>
          </w:tcPr>
          <w:p w14:paraId="5BF09B2E">
            <w:pPr>
              <w:pStyle w:val="4"/>
              <w:ind w:firstLine="210" w:firstLineChars="1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30天</w:t>
            </w:r>
          </w:p>
        </w:tc>
      </w:tr>
    </w:tbl>
    <w:p w14:paraId="0633DDEF">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beforeLines="0" w:line="440" w:lineRule="exact"/>
        <w:ind w:right="23"/>
        <w:jc w:val="left"/>
        <w:textAlignment w:val="auto"/>
        <w:rPr>
          <w:rFonts w:hint="eastAsia" w:ascii="宋体" w:hAnsi="宋体" w:cs="宋体"/>
          <w:b/>
          <w:color w:val="auto"/>
          <w:kern w:val="0"/>
          <w:sz w:val="24"/>
          <w:highlight w:val="none"/>
        </w:rPr>
      </w:pPr>
      <w:r>
        <w:rPr>
          <w:rFonts w:hint="eastAsia" w:ascii="宋体" w:hAnsi="宋体" w:cs="宋体"/>
          <w:b/>
          <w:color w:val="auto"/>
          <w:sz w:val="24"/>
          <w:highlight w:val="none"/>
        </w:rPr>
        <w:t>三、合格磋商供应商的资格条件：</w:t>
      </w:r>
    </w:p>
    <w:p w14:paraId="0A61A8DF">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beforeLines="0" w:line="440" w:lineRule="exact"/>
        <w:ind w:right="23" w:firstLine="480" w:firstLineChars="200"/>
        <w:jc w:val="left"/>
        <w:textAlignment w:val="auto"/>
        <w:rPr>
          <w:rFonts w:hint="eastAsia" w:ascii="宋体" w:hAnsi="宋体" w:eastAsia="宋体"/>
          <w:bCs/>
          <w:color w:val="auto"/>
          <w:sz w:val="24"/>
          <w:highlight w:val="none"/>
          <w:lang w:eastAsia="zh-CN"/>
        </w:rPr>
      </w:pPr>
      <w:r>
        <w:rPr>
          <w:rFonts w:hint="eastAsia" w:ascii="宋体" w:hAnsi="宋体"/>
          <w:bCs/>
          <w:color w:val="auto"/>
          <w:sz w:val="24"/>
          <w:highlight w:val="none"/>
        </w:rPr>
        <w:t>（一）符合《中华人民共和国政府采购法》第二十二条规定的磋商供应商资格条件</w:t>
      </w:r>
      <w:r>
        <w:rPr>
          <w:rFonts w:hint="eastAsia" w:ascii="宋体" w:hAnsi="宋体"/>
          <w:bCs/>
          <w:color w:val="auto"/>
          <w:sz w:val="24"/>
          <w:highlight w:val="none"/>
          <w:lang w:eastAsia="zh-CN"/>
        </w:rPr>
        <w:t>。</w:t>
      </w:r>
    </w:p>
    <w:p w14:paraId="699B002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beforeLines="0" w:line="440" w:lineRule="exact"/>
        <w:ind w:right="23" w:firstLine="480" w:firstLineChars="200"/>
        <w:jc w:val="left"/>
        <w:textAlignment w:val="auto"/>
        <w:rPr>
          <w:rFonts w:hint="eastAsia" w:ascii="宋体" w:hAnsi="宋体"/>
          <w:bCs/>
          <w:color w:val="auto"/>
          <w:sz w:val="24"/>
          <w:highlight w:val="none"/>
          <w:lang w:eastAsia="zh-CN"/>
        </w:rPr>
      </w:pPr>
      <w:r>
        <w:rPr>
          <w:rFonts w:hint="eastAsia" w:ascii="宋体" w:hAnsi="宋体"/>
          <w:bCs/>
          <w:color w:val="auto"/>
          <w:sz w:val="24"/>
          <w:highlight w:val="none"/>
          <w:lang w:eastAsia="zh-CN"/>
        </w:rPr>
        <w:t>（二）未被“信用中国”（www.creditchina.gov.cn)、中国政府采购网（www.ccgp.gov.cn）列入失信被执行人、重大税收违法案件当事人名单、政府采购严重违法失信行为记录名单。</w:t>
      </w:r>
    </w:p>
    <w:p w14:paraId="5D66D373">
      <w:pPr>
        <w:pStyle w:val="21"/>
        <w:rPr>
          <w:rFonts w:hint="eastAsia"/>
          <w:color w:val="auto"/>
          <w:lang w:eastAsia="zh-CN"/>
        </w:rPr>
      </w:pPr>
      <w:r>
        <w:rPr>
          <w:rFonts w:hint="eastAsia" w:ascii="宋体" w:hAnsi="宋体"/>
          <w:bCs/>
          <w:color w:val="auto"/>
          <w:sz w:val="24"/>
          <w:highlight w:val="none"/>
          <w:lang w:eastAsia="zh-CN"/>
        </w:rPr>
        <w:t>（三）落实政府采购政策需满足的资格要求：本项目专门面向中小企业采购，</w:t>
      </w:r>
      <w:r>
        <w:rPr>
          <w:rFonts w:hint="eastAsia" w:ascii="宋体" w:hAnsi="宋体"/>
          <w:bCs/>
          <w:color w:val="auto"/>
          <w:sz w:val="24"/>
          <w:highlight w:val="none"/>
          <w:lang w:val="en-US" w:eastAsia="zh-CN"/>
        </w:rPr>
        <w:t>即货物由中小企业生产且使用该中小企业商号或者注册商标</w:t>
      </w:r>
      <w:r>
        <w:rPr>
          <w:rFonts w:hint="eastAsia" w:ascii="宋体" w:hAnsi="宋体"/>
          <w:bCs/>
          <w:color w:val="auto"/>
          <w:sz w:val="24"/>
          <w:highlight w:val="none"/>
          <w:lang w:eastAsia="zh-CN"/>
        </w:rPr>
        <w:t>。</w:t>
      </w:r>
    </w:p>
    <w:p w14:paraId="5192637F">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beforeLines="0" w:line="440" w:lineRule="exact"/>
        <w:ind w:right="23" w:firstLine="480" w:firstLineChars="200"/>
        <w:jc w:val="left"/>
        <w:textAlignment w:val="auto"/>
        <w:rPr>
          <w:rFonts w:hint="eastAsia" w:ascii="宋体" w:hAnsi="宋体" w:eastAsia="宋体"/>
          <w:bCs/>
          <w:color w:val="auto"/>
          <w:sz w:val="24"/>
          <w:highlight w:val="none"/>
          <w:lang w:eastAsia="zh-CN"/>
        </w:rPr>
      </w:pPr>
      <w:r>
        <w:rPr>
          <w:rFonts w:hint="eastAsia" w:ascii="宋体" w:hAnsi="宋体"/>
          <w:bCs/>
          <w:color w:val="auto"/>
          <w:sz w:val="24"/>
          <w:highlight w:val="none"/>
        </w:rPr>
        <w:t>（</w:t>
      </w:r>
      <w:r>
        <w:rPr>
          <w:rFonts w:hint="eastAsia" w:ascii="宋体" w:hAnsi="宋体"/>
          <w:bCs/>
          <w:color w:val="auto"/>
          <w:sz w:val="24"/>
          <w:highlight w:val="none"/>
          <w:lang w:eastAsia="zh-CN"/>
        </w:rPr>
        <w:t>四</w:t>
      </w:r>
      <w:r>
        <w:rPr>
          <w:rFonts w:hint="eastAsia" w:ascii="宋体" w:hAnsi="宋体"/>
          <w:bCs/>
          <w:color w:val="auto"/>
          <w:sz w:val="24"/>
          <w:highlight w:val="none"/>
        </w:rPr>
        <w:t>）本项目不接受联合体磋商</w:t>
      </w:r>
      <w:r>
        <w:rPr>
          <w:rFonts w:hint="eastAsia" w:ascii="宋体" w:hAnsi="宋体"/>
          <w:bCs/>
          <w:color w:val="auto"/>
          <w:sz w:val="24"/>
          <w:highlight w:val="none"/>
          <w:lang w:eastAsia="zh-CN"/>
        </w:rPr>
        <w:t>。</w:t>
      </w:r>
    </w:p>
    <w:p w14:paraId="65C71C4A">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40" w:lineRule="exact"/>
        <w:ind w:right="23"/>
        <w:jc w:val="left"/>
        <w:textAlignment w:val="auto"/>
        <w:rPr>
          <w:rFonts w:ascii="宋体"/>
          <w:b/>
          <w:color w:val="auto"/>
          <w:sz w:val="24"/>
          <w:highlight w:val="none"/>
        </w:rPr>
      </w:pPr>
      <w:r>
        <w:rPr>
          <w:rFonts w:hint="eastAsia" w:ascii="宋体" w:hAnsi="宋体"/>
          <w:b/>
          <w:color w:val="auto"/>
          <w:sz w:val="24"/>
          <w:highlight w:val="none"/>
        </w:rPr>
        <w:t>四、磋商文件获取的时间</w:t>
      </w:r>
      <w:r>
        <w:rPr>
          <w:rFonts w:hint="eastAsia" w:ascii="宋体" w:hAnsi="宋体" w:eastAsia="宋体"/>
          <w:b/>
          <w:color w:val="auto"/>
          <w:sz w:val="24"/>
          <w:highlight w:val="none"/>
        </w:rPr>
        <w:t>、地址</w:t>
      </w:r>
      <w:r>
        <w:rPr>
          <w:rFonts w:hint="eastAsia" w:ascii="宋体" w:hAnsi="宋体" w:eastAsia="宋体"/>
          <w:b/>
          <w:color w:val="auto"/>
          <w:sz w:val="24"/>
          <w:highlight w:val="none"/>
          <w:lang w:eastAsia="zh-CN"/>
        </w:rPr>
        <w:t>、</w:t>
      </w:r>
      <w:r>
        <w:rPr>
          <w:rFonts w:hint="eastAsia" w:ascii="宋体" w:hAnsi="宋体"/>
          <w:b/>
          <w:color w:val="auto"/>
          <w:sz w:val="24"/>
          <w:highlight w:val="none"/>
        </w:rPr>
        <w:t>方式：</w:t>
      </w:r>
    </w:p>
    <w:p w14:paraId="3E7F7441">
      <w:pPr>
        <w:keepNext w:val="0"/>
        <w:keepLines w:val="0"/>
        <w:pageBreakBefore w:val="0"/>
        <w:widowControl/>
        <w:kinsoku/>
        <w:wordWrap/>
        <w:overflowPunct/>
        <w:topLinePunct w:val="0"/>
        <w:bidi w:val="0"/>
        <w:snapToGrid w:val="0"/>
        <w:spacing w:line="440" w:lineRule="exact"/>
        <w:ind w:firstLine="480" w:firstLineChars="200"/>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1、获取时间：</w:t>
      </w:r>
      <w:r>
        <w:rPr>
          <w:rFonts w:hint="eastAsia" w:ascii="宋体" w:hAnsi="宋体" w:cs="宋体"/>
          <w:b w:val="0"/>
          <w:bCs/>
          <w:color w:val="auto"/>
          <w:sz w:val="24"/>
          <w:highlight w:val="none"/>
          <w:lang w:val="en-US" w:eastAsia="zh-CN"/>
        </w:rPr>
        <w:t>2025</w:t>
      </w:r>
      <w:r>
        <w:rPr>
          <w:rFonts w:hint="eastAsia" w:ascii="宋体" w:hAnsi="宋体" w:cs="宋体"/>
          <w:b w:val="0"/>
          <w:bCs/>
          <w:color w:val="auto"/>
          <w:sz w:val="24"/>
          <w:highlight w:val="none"/>
        </w:rPr>
        <w:t>年</w:t>
      </w:r>
      <w:r>
        <w:rPr>
          <w:rFonts w:hint="eastAsia" w:ascii="宋体" w:hAnsi="宋体" w:cs="宋体"/>
          <w:b w:val="0"/>
          <w:bCs/>
          <w:color w:val="auto"/>
          <w:sz w:val="24"/>
          <w:highlight w:val="none"/>
          <w:lang w:val="en-US" w:eastAsia="zh-CN"/>
        </w:rPr>
        <w:t>7</w:t>
      </w:r>
      <w:r>
        <w:rPr>
          <w:rFonts w:hint="eastAsia" w:ascii="宋体" w:hAnsi="宋体" w:cs="宋体"/>
          <w:b w:val="0"/>
          <w:bCs/>
          <w:color w:val="auto"/>
          <w:sz w:val="24"/>
          <w:highlight w:val="none"/>
        </w:rPr>
        <w:t>月</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日至响应文件</w:t>
      </w:r>
      <w:r>
        <w:rPr>
          <w:rFonts w:hint="eastAsia" w:ascii="宋体" w:hAnsi="宋体" w:cs="宋体"/>
          <w:b w:val="0"/>
          <w:bCs/>
          <w:color w:val="auto"/>
          <w:sz w:val="24"/>
          <w:highlight w:val="none"/>
          <w:lang w:eastAsia="zh-CN"/>
        </w:rPr>
        <w:t>提交（上传）</w:t>
      </w:r>
      <w:r>
        <w:rPr>
          <w:rFonts w:hint="eastAsia" w:ascii="宋体" w:hAnsi="宋体" w:cs="宋体"/>
          <w:b w:val="0"/>
          <w:bCs/>
          <w:color w:val="auto"/>
          <w:sz w:val="24"/>
          <w:highlight w:val="none"/>
        </w:rPr>
        <w:t>截止时间</w:t>
      </w:r>
    </w:p>
    <w:p w14:paraId="17BD4E71">
      <w:pPr>
        <w:keepNext w:val="0"/>
        <w:keepLines w:val="0"/>
        <w:pageBreakBefore w:val="0"/>
        <w:widowControl/>
        <w:kinsoku/>
        <w:wordWrap/>
        <w:overflowPunct/>
        <w:topLinePunct w:val="0"/>
        <w:bidi w:val="0"/>
        <w:snapToGrid w:val="0"/>
        <w:spacing w:line="440" w:lineRule="exact"/>
        <w:ind w:firstLine="480" w:firstLineChars="200"/>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上午：8:30-12:00      下午</w:t>
      </w:r>
      <w:r>
        <w:rPr>
          <w:rFonts w:hint="eastAsia" w:ascii="宋体" w:hAnsi="宋体" w:cs="宋体"/>
          <w:b w:val="0"/>
          <w:bCs/>
          <w:color w:val="auto"/>
          <w:sz w:val="24"/>
          <w:highlight w:val="none"/>
          <w:lang w:val="en-US" w:eastAsia="zh-CN"/>
        </w:rPr>
        <w:t>:</w:t>
      </w:r>
      <w:r>
        <w:rPr>
          <w:rFonts w:hint="eastAsia" w:ascii="宋体" w:hAnsi="宋体" w:cs="宋体"/>
          <w:b w:val="0"/>
          <w:bCs/>
          <w:color w:val="auto"/>
          <w:sz w:val="24"/>
          <w:highlight w:val="none"/>
        </w:rPr>
        <w:t>1</w:t>
      </w: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rPr>
        <w:t>0-1</w:t>
      </w:r>
      <w:r>
        <w:rPr>
          <w:rFonts w:hint="eastAsia" w:ascii="宋体" w:hAnsi="宋体" w:cs="宋体"/>
          <w:b w:val="0"/>
          <w:bCs/>
          <w:color w:val="auto"/>
          <w:sz w:val="24"/>
          <w:highlight w:val="none"/>
          <w:lang w:val="en-US" w:eastAsia="zh-CN"/>
        </w:rPr>
        <w:t>7</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rPr>
        <w:t>0</w:t>
      </w:r>
    </w:p>
    <w:p w14:paraId="69399EE0">
      <w:pPr>
        <w:keepNext w:val="0"/>
        <w:keepLines w:val="0"/>
        <w:pageBreakBefore w:val="0"/>
        <w:widowControl/>
        <w:numPr>
          <w:ilvl w:val="0"/>
          <w:numId w:val="2"/>
        </w:numPr>
        <w:kinsoku/>
        <w:wordWrap/>
        <w:overflowPunct/>
        <w:topLinePunct w:val="0"/>
        <w:bidi w:val="0"/>
        <w:snapToGrid w:val="0"/>
        <w:spacing w:line="440" w:lineRule="exact"/>
        <w:ind w:firstLine="480" w:firstLineChars="200"/>
        <w:jc w:val="left"/>
        <w:textAlignment w:val="auto"/>
        <w:rPr>
          <w:rFonts w:hint="eastAsia" w:ascii="宋体" w:hAnsi="宋体" w:eastAsia="宋体" w:cs="Arial"/>
          <w:color w:val="auto"/>
          <w:sz w:val="24"/>
          <w:highlight w:val="none"/>
          <w:lang w:eastAsia="zh-CN"/>
        </w:rPr>
      </w:pPr>
      <w:r>
        <w:rPr>
          <w:rFonts w:hint="eastAsia" w:ascii="宋体" w:hAnsi="宋体" w:eastAsia="宋体" w:cs="Arial"/>
          <w:color w:val="auto"/>
          <w:sz w:val="24"/>
          <w:highlight w:val="none"/>
        </w:rPr>
        <w:t>获取地址：“政府采购云平台”（</w:t>
      </w:r>
      <w:r>
        <w:rPr>
          <w:rFonts w:hint="eastAsia" w:ascii="宋体" w:hAnsi="宋体" w:eastAsia="宋体" w:cs="Arial"/>
          <w:color w:val="auto"/>
          <w:sz w:val="24"/>
          <w:highlight w:val="none"/>
          <w:lang w:eastAsia="zh-CN"/>
        </w:rPr>
        <w:t>http://zfcg.czt.zj.gov.cn</w:t>
      </w:r>
      <w:r>
        <w:rPr>
          <w:rFonts w:hint="eastAsia" w:ascii="宋体" w:hAnsi="宋体" w:eastAsia="宋体" w:cs="Arial"/>
          <w:color w:val="auto"/>
          <w:sz w:val="24"/>
          <w:highlight w:val="none"/>
        </w:rPr>
        <w:t>）</w:t>
      </w:r>
      <w:r>
        <w:rPr>
          <w:rFonts w:hint="eastAsia" w:ascii="宋体" w:hAnsi="宋体" w:eastAsia="宋体" w:cs="Arial"/>
          <w:color w:val="auto"/>
          <w:sz w:val="24"/>
          <w:highlight w:val="none"/>
          <w:lang w:eastAsia="zh-CN"/>
        </w:rPr>
        <w:t>。</w:t>
      </w:r>
    </w:p>
    <w:p w14:paraId="56A4E0E7">
      <w:pPr>
        <w:keepNext w:val="0"/>
        <w:keepLines w:val="0"/>
        <w:pageBreakBefore w:val="0"/>
        <w:widowControl/>
        <w:numPr>
          <w:ilvl w:val="0"/>
          <w:numId w:val="0"/>
        </w:numPr>
        <w:kinsoku/>
        <w:wordWrap/>
        <w:overflowPunct/>
        <w:topLinePunct w:val="0"/>
        <w:bidi w:val="0"/>
        <w:snapToGrid w:val="0"/>
        <w:spacing w:line="440" w:lineRule="exact"/>
        <w:ind w:firstLine="480" w:firstLineChars="200"/>
        <w:jc w:val="left"/>
        <w:textAlignment w:val="auto"/>
        <w:rPr>
          <w:rFonts w:ascii="宋体" w:hAnsi="宋体" w:eastAsia="宋体" w:cs="Arial"/>
          <w:color w:val="auto"/>
          <w:sz w:val="24"/>
          <w:highlight w:val="none"/>
        </w:rPr>
      </w:pPr>
      <w:r>
        <w:rPr>
          <w:rFonts w:hint="eastAsia" w:ascii="宋体" w:hAnsi="宋体" w:eastAsia="宋体" w:cs="Arial"/>
          <w:color w:val="auto"/>
          <w:sz w:val="24"/>
          <w:highlight w:val="none"/>
        </w:rPr>
        <w:t>3、获取招标文件流程：</w:t>
      </w:r>
    </w:p>
    <w:p w14:paraId="5FB304C4">
      <w:pPr>
        <w:keepNext w:val="0"/>
        <w:keepLines w:val="0"/>
        <w:pageBreakBefore w:val="0"/>
        <w:widowControl/>
        <w:numPr>
          <w:ilvl w:val="0"/>
          <w:numId w:val="0"/>
        </w:numPr>
        <w:kinsoku/>
        <w:wordWrap/>
        <w:overflowPunct/>
        <w:topLinePunct w:val="0"/>
        <w:bidi w:val="0"/>
        <w:snapToGrid w:val="0"/>
        <w:spacing w:line="440" w:lineRule="exact"/>
        <w:ind w:firstLine="480" w:firstLineChars="200"/>
        <w:jc w:val="left"/>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（1）尚未注册浙江政府采购网正式供应商的应先进行注册申请，注册流程详见“浙江政府采购网—网上办事指南—供应商注册申请”，注册申请免费。</w:t>
      </w:r>
    </w:p>
    <w:p w14:paraId="5BAEC8E2">
      <w:pPr>
        <w:keepNext w:val="0"/>
        <w:keepLines w:val="0"/>
        <w:pageBreakBefore w:val="0"/>
        <w:widowControl/>
        <w:numPr>
          <w:ilvl w:val="0"/>
          <w:numId w:val="0"/>
        </w:numPr>
        <w:kinsoku/>
        <w:wordWrap/>
        <w:overflowPunct/>
        <w:topLinePunct w:val="0"/>
        <w:bidi w:val="0"/>
        <w:snapToGrid w:val="0"/>
        <w:spacing w:line="440" w:lineRule="exact"/>
        <w:ind w:firstLine="480" w:firstLineChars="200"/>
        <w:jc w:val="left"/>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2）潜在供应商登录“政府采购云平台”进入“项目采购”应用模块，点击菜单的“申请获取招标文件”，填写获取招标文件的申请信息，点击“下载招标文件”即可获取招标文件（仅需浏览招标文件的供应商可点击“游客，浏览招标文件”直接下载招标文件浏览）。</w:t>
      </w:r>
    </w:p>
    <w:p w14:paraId="3859CCDC">
      <w:pPr>
        <w:keepNext w:val="0"/>
        <w:keepLines w:val="0"/>
        <w:pageBreakBefore w:val="0"/>
        <w:widowControl/>
        <w:numPr>
          <w:ilvl w:val="0"/>
          <w:numId w:val="0"/>
        </w:numPr>
        <w:kinsoku/>
        <w:wordWrap/>
        <w:overflowPunct/>
        <w:topLinePunct w:val="0"/>
        <w:bidi w:val="0"/>
        <w:snapToGrid w:val="0"/>
        <w:spacing w:line="440" w:lineRule="exact"/>
        <w:ind w:firstLine="480" w:firstLineChars="200"/>
        <w:jc w:val="left"/>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（3）潜在供应商获取招标文件时须提交的文件资料：无；</w:t>
      </w:r>
    </w:p>
    <w:p w14:paraId="70D00F66">
      <w:pPr>
        <w:keepNext w:val="0"/>
        <w:keepLines w:val="0"/>
        <w:pageBreakBefore w:val="0"/>
        <w:widowControl/>
        <w:numPr>
          <w:ilvl w:val="0"/>
          <w:numId w:val="0"/>
        </w:numPr>
        <w:kinsoku/>
        <w:wordWrap/>
        <w:overflowPunct/>
        <w:topLinePunct w:val="0"/>
        <w:bidi w:val="0"/>
        <w:snapToGrid w:val="0"/>
        <w:spacing w:line="440" w:lineRule="exact"/>
        <w:ind w:firstLine="480" w:firstLineChars="200"/>
        <w:jc w:val="left"/>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4）采购公告附件里的招标文件仅供阅览使用，供应商只有在“政府采购云平台”完成获取招标文件申请并下载招标文件后才视作依法获取招标文件（法律法规所指的供应商获取招标文件时间以供应商完成获取招标文件申请后下载招标文件的时间为准）。</w:t>
      </w:r>
    </w:p>
    <w:p w14:paraId="52D96F0A">
      <w:pPr>
        <w:keepNext w:val="0"/>
        <w:keepLines w:val="0"/>
        <w:pageBreakBefore w:val="0"/>
        <w:widowControl/>
        <w:numPr>
          <w:ilvl w:val="0"/>
          <w:numId w:val="0"/>
        </w:numPr>
        <w:kinsoku/>
        <w:wordWrap/>
        <w:overflowPunct/>
        <w:topLinePunct w:val="0"/>
        <w:bidi w:val="0"/>
        <w:snapToGrid w:val="0"/>
        <w:spacing w:line="440" w:lineRule="exact"/>
        <w:ind w:firstLine="482" w:firstLineChars="200"/>
        <w:jc w:val="left"/>
        <w:textAlignment w:val="auto"/>
        <w:rPr>
          <w:rFonts w:ascii="宋体" w:hAnsi="宋体" w:eastAsia="宋体" w:cs="Arial"/>
          <w:color w:val="auto"/>
          <w:sz w:val="24"/>
          <w:highlight w:val="none"/>
        </w:rPr>
      </w:pPr>
      <w:r>
        <w:rPr>
          <w:rFonts w:hint="eastAsia" w:ascii="宋体" w:hAnsi="宋体" w:eastAsia="宋体" w:cs="Arial"/>
          <w:b/>
          <w:bCs/>
          <w:color w:val="auto"/>
          <w:sz w:val="24"/>
          <w:highlight w:val="none"/>
        </w:rPr>
        <w:t>注：</w:t>
      </w:r>
      <w:r>
        <w:rPr>
          <w:rFonts w:hint="eastAsia" w:ascii="宋体" w:hAnsi="宋体" w:eastAsia="宋体" w:cs="Arial"/>
          <w:color w:val="auto"/>
          <w:sz w:val="24"/>
          <w:highlight w:val="none"/>
        </w:rPr>
        <w:t>请潜在供应商按上述要求获取招标文件，非通过以上方式获取招标文件的潜在供应商，对招标文件提起质疑投诉的，不予受理。采购代理机构将拒绝接受非通过以上方式获取招标文件的供应商投标文件，由此引起的投标无效责任自负。</w:t>
      </w:r>
    </w:p>
    <w:p w14:paraId="4452617D">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beforeLines="0" w:line="440" w:lineRule="exact"/>
        <w:ind w:right="23"/>
        <w:jc w:val="left"/>
        <w:textAlignment w:val="auto"/>
        <w:rPr>
          <w:rFonts w:ascii="宋体" w:hAnsi="宋体" w:eastAsia="宋体"/>
          <w:b/>
          <w:color w:val="auto"/>
          <w:kern w:val="0"/>
          <w:sz w:val="24"/>
          <w:highlight w:val="none"/>
        </w:rPr>
      </w:pPr>
      <w:r>
        <w:rPr>
          <w:rFonts w:hint="eastAsia" w:ascii="宋体" w:hAnsi="宋体" w:eastAsia="宋体" w:cs="Arial"/>
          <w:b/>
          <w:color w:val="auto"/>
          <w:sz w:val="24"/>
          <w:highlight w:val="none"/>
          <w:lang w:eastAsia="zh-CN"/>
        </w:rPr>
        <w:t>五</w:t>
      </w:r>
      <w:r>
        <w:rPr>
          <w:rFonts w:hint="eastAsia" w:ascii="宋体" w:hAnsi="宋体" w:eastAsia="宋体" w:cs="Arial"/>
          <w:b/>
          <w:color w:val="auto"/>
          <w:sz w:val="24"/>
          <w:highlight w:val="none"/>
        </w:rPr>
        <w:t>、响应文件</w:t>
      </w:r>
      <w:r>
        <w:rPr>
          <w:rFonts w:hint="eastAsia" w:ascii="宋体" w:hAnsi="宋体" w:eastAsia="宋体" w:cs="Arial"/>
          <w:b/>
          <w:color w:val="auto"/>
          <w:sz w:val="24"/>
          <w:highlight w:val="none"/>
          <w:lang w:eastAsia="zh-CN"/>
        </w:rPr>
        <w:t>提交（上传）</w:t>
      </w:r>
      <w:r>
        <w:rPr>
          <w:rFonts w:hint="eastAsia" w:ascii="宋体" w:hAnsi="宋体" w:eastAsia="宋体"/>
          <w:b/>
          <w:color w:val="auto"/>
          <w:kern w:val="0"/>
          <w:sz w:val="24"/>
          <w:highlight w:val="none"/>
        </w:rPr>
        <w:t>截止时间、地点及</w:t>
      </w:r>
      <w:r>
        <w:rPr>
          <w:rFonts w:hint="eastAsia" w:ascii="宋体" w:hAnsi="宋体" w:eastAsia="宋体"/>
          <w:b/>
          <w:color w:val="auto"/>
          <w:kern w:val="0"/>
          <w:sz w:val="24"/>
          <w:highlight w:val="none"/>
          <w:lang w:eastAsia="zh-CN"/>
        </w:rPr>
        <w:t>响应文件开启时间</w:t>
      </w:r>
      <w:r>
        <w:rPr>
          <w:rFonts w:hint="eastAsia" w:ascii="宋体" w:hAnsi="宋体" w:eastAsia="宋体"/>
          <w:b/>
          <w:color w:val="auto"/>
          <w:kern w:val="0"/>
          <w:sz w:val="24"/>
          <w:highlight w:val="none"/>
        </w:rPr>
        <w:t>、地点：</w:t>
      </w:r>
    </w:p>
    <w:p w14:paraId="3B7C7D6A">
      <w:pPr>
        <w:pStyle w:val="22"/>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rPr>
        <w:t>（一）、响应文件</w:t>
      </w:r>
      <w:r>
        <w:rPr>
          <w:rFonts w:hint="eastAsia" w:ascii="宋体" w:hAnsi="宋体" w:eastAsia="宋体" w:cs="Times New Roman"/>
          <w:color w:val="auto"/>
          <w:kern w:val="2"/>
          <w:sz w:val="24"/>
          <w:szCs w:val="24"/>
          <w:highlight w:val="none"/>
          <w:lang w:eastAsia="zh-CN"/>
        </w:rPr>
        <w:t>提交（上传）</w:t>
      </w:r>
      <w:r>
        <w:rPr>
          <w:rFonts w:hint="eastAsia" w:ascii="宋体" w:hAnsi="宋体" w:eastAsia="宋体" w:cs="Times New Roman"/>
          <w:color w:val="auto"/>
          <w:kern w:val="2"/>
          <w:sz w:val="24"/>
          <w:szCs w:val="24"/>
          <w:highlight w:val="none"/>
        </w:rPr>
        <w:t>截止时间：</w:t>
      </w:r>
      <w:r>
        <w:rPr>
          <w:rFonts w:hint="eastAsia" w:ascii="宋体" w:hAnsi="宋体" w:cs="Times New Roman"/>
          <w:color w:val="auto"/>
          <w:kern w:val="2"/>
          <w:sz w:val="24"/>
          <w:szCs w:val="24"/>
          <w:highlight w:val="none"/>
          <w:lang w:eastAsia="zh-CN"/>
        </w:rPr>
        <w:t>2025年7月16日09:30:00</w:t>
      </w:r>
    </w:p>
    <w:p w14:paraId="13A159F5">
      <w:pPr>
        <w:pStyle w:val="22"/>
        <w:keepNext w:val="0"/>
        <w:keepLines w:val="0"/>
        <w:pageBreakBefore w:val="0"/>
        <w:kinsoku/>
        <w:wordWrap/>
        <w:overflowPunct/>
        <w:topLinePunct w:val="0"/>
        <w:bidi w:val="0"/>
        <w:snapToGrid w:val="0"/>
        <w:spacing w:line="440" w:lineRule="exact"/>
        <w:ind w:firstLine="480" w:firstLineChars="200"/>
        <w:textAlignment w:val="auto"/>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（二）、响应文件</w:t>
      </w:r>
      <w:r>
        <w:rPr>
          <w:rFonts w:hint="eastAsia" w:ascii="宋体" w:hAnsi="宋体" w:eastAsia="宋体" w:cs="Times New Roman"/>
          <w:color w:val="auto"/>
          <w:kern w:val="2"/>
          <w:sz w:val="24"/>
          <w:szCs w:val="24"/>
          <w:highlight w:val="none"/>
          <w:lang w:eastAsia="zh-CN"/>
        </w:rPr>
        <w:t>提交（上传）</w:t>
      </w:r>
      <w:r>
        <w:rPr>
          <w:rFonts w:hint="eastAsia" w:ascii="宋体" w:hAnsi="宋体" w:eastAsia="宋体" w:cs="Times New Roman"/>
          <w:color w:val="auto"/>
          <w:kern w:val="2"/>
          <w:sz w:val="24"/>
          <w:szCs w:val="24"/>
          <w:highlight w:val="none"/>
        </w:rPr>
        <w:t>地点：通过“政府采购云平台（www.zcygov.cn）”实行在线投标响应。</w:t>
      </w:r>
    </w:p>
    <w:p w14:paraId="0C3458EF">
      <w:pPr>
        <w:pStyle w:val="22"/>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rPr>
        <w:t>（三）、</w:t>
      </w:r>
      <w:r>
        <w:rPr>
          <w:rFonts w:hint="eastAsia" w:ascii="宋体" w:hAnsi="宋体" w:eastAsia="宋体" w:cs="Times New Roman"/>
          <w:color w:val="auto"/>
          <w:kern w:val="2"/>
          <w:sz w:val="24"/>
          <w:szCs w:val="24"/>
          <w:highlight w:val="none"/>
          <w:lang w:eastAsia="zh-CN"/>
        </w:rPr>
        <w:t>响应文件开启时间</w:t>
      </w:r>
      <w:r>
        <w:rPr>
          <w:rFonts w:hint="eastAsia" w:ascii="宋体" w:hAnsi="宋体" w:eastAsia="宋体" w:cs="Times New Roman"/>
          <w:color w:val="auto"/>
          <w:kern w:val="2"/>
          <w:sz w:val="24"/>
          <w:szCs w:val="24"/>
          <w:highlight w:val="none"/>
        </w:rPr>
        <w:t>：</w:t>
      </w:r>
      <w:r>
        <w:rPr>
          <w:rFonts w:hint="eastAsia" w:ascii="宋体" w:hAnsi="宋体" w:cs="Times New Roman"/>
          <w:color w:val="auto"/>
          <w:kern w:val="2"/>
          <w:sz w:val="24"/>
          <w:szCs w:val="24"/>
          <w:highlight w:val="none"/>
          <w:lang w:eastAsia="zh-CN"/>
        </w:rPr>
        <w:t>2025年7月16日09:30:00</w:t>
      </w:r>
    </w:p>
    <w:p w14:paraId="76CDFFCE">
      <w:pPr>
        <w:pStyle w:val="22"/>
        <w:keepNext w:val="0"/>
        <w:keepLines w:val="0"/>
        <w:pageBreakBefore w:val="0"/>
        <w:kinsoku/>
        <w:wordWrap/>
        <w:overflowPunct/>
        <w:topLinePunct w:val="0"/>
        <w:bidi w:val="0"/>
        <w:snapToGrid w:val="0"/>
        <w:spacing w:line="440" w:lineRule="exact"/>
        <w:ind w:firstLine="480" w:firstLineChars="200"/>
        <w:textAlignment w:val="auto"/>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（四）、</w:t>
      </w:r>
      <w:r>
        <w:rPr>
          <w:rFonts w:hint="eastAsia" w:ascii="宋体" w:hAnsi="宋体" w:eastAsia="宋体" w:cs="Times New Roman"/>
          <w:color w:val="auto"/>
          <w:kern w:val="2"/>
          <w:sz w:val="24"/>
          <w:szCs w:val="24"/>
          <w:highlight w:val="none"/>
          <w:lang w:eastAsia="zh-CN"/>
        </w:rPr>
        <w:t>响应文件开启</w:t>
      </w:r>
      <w:r>
        <w:rPr>
          <w:rFonts w:hint="eastAsia" w:ascii="宋体" w:hAnsi="宋体" w:eastAsia="宋体" w:cs="Times New Roman"/>
          <w:color w:val="auto"/>
          <w:kern w:val="2"/>
          <w:sz w:val="24"/>
          <w:szCs w:val="24"/>
          <w:highlight w:val="none"/>
        </w:rPr>
        <w:t>地点：通过“政府采购云平台（www.zcygov.cn）”实行在线投标响应。</w:t>
      </w:r>
    </w:p>
    <w:p w14:paraId="4043DEF3">
      <w:pPr>
        <w:pStyle w:val="22"/>
        <w:keepNext w:val="0"/>
        <w:keepLines w:val="0"/>
        <w:pageBreakBefore w:val="0"/>
        <w:kinsoku/>
        <w:wordWrap/>
        <w:overflowPunct/>
        <w:topLinePunct w:val="0"/>
        <w:bidi w:val="0"/>
        <w:snapToGrid w:val="0"/>
        <w:spacing w:line="440" w:lineRule="exact"/>
        <w:ind w:firstLine="482" w:firstLineChars="200"/>
        <w:textAlignment w:val="auto"/>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在线投标响应（电子招投标）说明：</w:t>
      </w:r>
    </w:p>
    <w:p w14:paraId="117A55DB">
      <w:pPr>
        <w:pStyle w:val="22"/>
        <w:keepNext w:val="0"/>
        <w:keepLines w:val="0"/>
        <w:pageBreakBefore w:val="0"/>
        <w:kinsoku/>
        <w:wordWrap/>
        <w:overflowPunct/>
        <w:topLinePunct w:val="0"/>
        <w:bidi w:val="0"/>
        <w:snapToGrid w:val="0"/>
        <w:spacing w:line="440" w:lineRule="exact"/>
        <w:ind w:firstLine="480" w:firstLineChars="200"/>
        <w:textAlignment w:val="auto"/>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1、本项目通过“政府采购云平台（www.zcygov.cn）”实行在线投标响应（电子招投标），供应商应先安装“政采云电子交易客户端”（请自行前往“浙江政府采购网-下载专区-电子交易客户端”进行下载），并按照本项目招标文件和“政府采购云平台”的要求</w:t>
      </w:r>
      <w:r>
        <w:rPr>
          <w:rFonts w:hint="eastAsia" w:ascii="宋体" w:hAnsi="宋体" w:eastAsia="宋体" w:cs="Times New Roman"/>
          <w:color w:val="auto"/>
          <w:kern w:val="2"/>
          <w:sz w:val="24"/>
          <w:szCs w:val="24"/>
          <w:highlight w:val="none"/>
          <w:lang w:eastAsia="zh-CN"/>
        </w:rPr>
        <w:t>服务</w:t>
      </w:r>
      <w:r>
        <w:rPr>
          <w:rFonts w:hint="eastAsia" w:ascii="宋体" w:hAnsi="宋体" w:eastAsia="宋体" w:cs="Times New Roman"/>
          <w:color w:val="auto"/>
          <w:kern w:val="2"/>
          <w:sz w:val="24"/>
          <w:szCs w:val="24"/>
          <w:highlight w:val="none"/>
        </w:rPr>
        <w:t>、加密并递交投标文件。电子投标具体操作流程详见《供应商项目采购-电子招投标操作指南》，供应商在使用系统参与在线投标时如遇平台技术问题，可致电咨询400-881-7190。</w:t>
      </w:r>
    </w:p>
    <w:p w14:paraId="4E28F088">
      <w:pPr>
        <w:pStyle w:val="22"/>
        <w:keepNext w:val="0"/>
        <w:keepLines w:val="0"/>
        <w:pageBreakBefore w:val="0"/>
        <w:kinsoku/>
        <w:wordWrap/>
        <w:overflowPunct/>
        <w:topLinePunct w:val="0"/>
        <w:bidi w:val="0"/>
        <w:snapToGrid w:val="0"/>
        <w:spacing w:line="440" w:lineRule="exact"/>
        <w:ind w:firstLine="480" w:firstLineChars="200"/>
        <w:textAlignment w:val="auto"/>
        <w:rPr>
          <w:rFonts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rPr>
        <w:t>2、为确保网上操作合法、有效和安全，确保在电子投标过程中能够对相关数据电文进行加密和使用电子签章，潜在供应商应当在投标截止时间前，完成电子交易平台上的CA数字证书办理。（申领流程请自行前往“浙江政府采购网-下载专区-电子交易客户端-</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hint="eastAsia" w:ascii="宋体" w:hAnsi="宋体" w:eastAsia="宋体" w:cs="Times New Roman"/>
          <w:color w:val="auto"/>
          <w:kern w:val="2"/>
          <w:sz w:val="24"/>
          <w:szCs w:val="24"/>
          <w:highlight w:val="none"/>
        </w:rPr>
        <w:t>CA驱动和申领流程</w:t>
      </w:r>
      <w:r>
        <w:rPr>
          <w:rFonts w:hint="eastAsia" w:ascii="宋体" w:hAnsi="宋体" w:eastAsia="宋体" w:cs="Times New Roman"/>
          <w:color w:val="auto"/>
          <w:kern w:val="2"/>
          <w:sz w:val="24"/>
          <w:szCs w:val="24"/>
          <w:highlight w:val="none"/>
        </w:rPr>
        <w:fldChar w:fldCharType="end"/>
      </w:r>
      <w:r>
        <w:rPr>
          <w:rFonts w:hint="eastAsia" w:ascii="宋体" w:hAnsi="宋体" w:eastAsia="宋体" w:cs="Times New Roman"/>
          <w:color w:val="auto"/>
          <w:kern w:val="2"/>
          <w:sz w:val="24"/>
          <w:szCs w:val="24"/>
          <w:highlight w:val="none"/>
        </w:rPr>
        <w:t>”进行查阅）。完成CA数字证书办理预计一周左右，建议各投标人抓紧时间办理。</w:t>
      </w:r>
    </w:p>
    <w:p w14:paraId="2D0F46A1">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eastAsia="宋体" w:cs="Arial"/>
          <w:color w:val="auto"/>
          <w:sz w:val="24"/>
          <w:highlight w:val="none"/>
        </w:rPr>
      </w:pPr>
      <w:r>
        <w:rPr>
          <w:rFonts w:hint="eastAsia" w:ascii="宋体" w:hAnsi="宋体" w:eastAsia="宋体" w:cs="Arial"/>
          <w:color w:val="auto"/>
          <w:sz w:val="24"/>
          <w:highlight w:val="none"/>
        </w:rPr>
        <w:t>3、</w:t>
      </w:r>
      <w:r>
        <w:rPr>
          <w:rFonts w:hint="eastAsia" w:ascii="宋体" w:hAnsi="宋体"/>
          <w:color w:val="auto"/>
          <w:sz w:val="24"/>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r>
        <w:rPr>
          <w:rFonts w:hint="eastAsia" w:ascii="宋体" w:hAnsi="宋体" w:eastAsia="宋体" w:cs="Arial"/>
          <w:color w:val="auto"/>
          <w:sz w:val="24"/>
          <w:highlight w:val="none"/>
        </w:rPr>
        <w:t>。</w:t>
      </w:r>
    </w:p>
    <w:p w14:paraId="2C459B6E">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eastAsia="宋体" w:cs="Arial"/>
          <w:color w:val="auto"/>
          <w:sz w:val="24"/>
          <w:highlight w:val="none"/>
        </w:rPr>
      </w:pPr>
      <w:r>
        <w:rPr>
          <w:rFonts w:hint="eastAsia" w:ascii="宋体" w:hAnsi="宋体" w:eastAsia="宋体" w:cs="Arial"/>
          <w:color w:val="auto"/>
          <w:sz w:val="24"/>
          <w:highlight w:val="none"/>
        </w:rPr>
        <w:t>4、投标供应商在“政府采购云平台”完成“电子加密投标文件”的上传递交后，还可以（EMS邮寄或顺丰邮寄形式）在投标截止时间前递交以介质（U盘）存储的数据电文形式的“备份投标文件”一份，“备份投标文件”应当密封包装并在包装上注明投标项目名称、投标单位名称、“备份投标文件”、“开标时启封”字样并加盖公章。</w:t>
      </w:r>
    </w:p>
    <w:p w14:paraId="06170825">
      <w:pPr>
        <w:keepNext w:val="0"/>
        <w:keepLines w:val="0"/>
        <w:pageBreakBefore w:val="0"/>
        <w:kinsoku/>
        <w:wordWrap/>
        <w:overflowPunct/>
        <w:topLinePunct w:val="0"/>
        <w:bidi w:val="0"/>
        <w:snapToGrid w:val="0"/>
        <w:spacing w:line="440" w:lineRule="exact"/>
        <w:ind w:firstLine="480" w:firstLineChars="200"/>
        <w:textAlignment w:val="auto"/>
        <w:rPr>
          <w:rFonts w:eastAsia="宋体"/>
          <w:color w:val="auto"/>
          <w:highlight w:val="none"/>
        </w:rPr>
      </w:pPr>
      <w:r>
        <w:rPr>
          <w:rFonts w:hint="eastAsia" w:ascii="宋体" w:hAnsi="宋体" w:eastAsia="宋体" w:cs="Arial"/>
          <w:color w:val="auto"/>
          <w:sz w:val="24"/>
          <w:highlight w:val="none"/>
        </w:rPr>
        <w:t>5、通过“政府采购云平台”上传递交的“电子加密投标文件”无法按时解密，投标供应商递交了备份投标文件的，则以备份投标文件为依据，否则视为投标文件撤回。通过“政府采购云平台”上传递交的“电子加密投标文件”已按时解密的，“备份投标文件”自动失效。投标供应商仅递交备份投标文件的，其投标无效。</w:t>
      </w:r>
    </w:p>
    <w:p w14:paraId="51849D3B">
      <w:pPr>
        <w:keepNext w:val="0"/>
        <w:keepLines w:val="0"/>
        <w:pageBreakBefore w:val="0"/>
        <w:kinsoku/>
        <w:wordWrap/>
        <w:overflowPunct/>
        <w:topLinePunct w:val="0"/>
        <w:bidi w:val="0"/>
        <w:snapToGrid w:val="0"/>
        <w:spacing w:line="440" w:lineRule="exact"/>
        <w:ind w:firstLine="482" w:firstLineChars="200"/>
        <w:textAlignment w:val="auto"/>
        <w:rPr>
          <w:rFonts w:ascii="宋体" w:hAnsi="宋体" w:eastAsia="宋体" w:cs="Arial"/>
          <w:b/>
          <w:color w:val="auto"/>
          <w:sz w:val="24"/>
          <w:highlight w:val="none"/>
        </w:rPr>
      </w:pPr>
      <w:r>
        <w:rPr>
          <w:rFonts w:hint="eastAsia" w:ascii="宋体" w:hAnsi="宋体" w:eastAsia="宋体" w:cs="Arial"/>
          <w:b/>
          <w:color w:val="auto"/>
          <w:sz w:val="24"/>
          <w:highlight w:val="none"/>
          <w:lang w:eastAsia="zh-CN"/>
        </w:rPr>
        <w:t>六</w:t>
      </w:r>
      <w:r>
        <w:rPr>
          <w:rFonts w:ascii="宋体" w:hAnsi="宋体" w:eastAsia="宋体" w:cs="Arial"/>
          <w:b/>
          <w:color w:val="auto"/>
          <w:sz w:val="24"/>
          <w:highlight w:val="none"/>
        </w:rPr>
        <w:t>、投标人信用信息查询渠道及截止时点、信用信息查询记录和证据留存的具体方式、信用信息的使用规则</w:t>
      </w:r>
      <w:r>
        <w:rPr>
          <w:rFonts w:hint="eastAsia" w:ascii="宋体" w:hAnsi="宋体" w:eastAsia="宋体" w:cs="Arial"/>
          <w:b/>
          <w:color w:val="auto"/>
          <w:sz w:val="24"/>
          <w:highlight w:val="none"/>
        </w:rPr>
        <w:t>：</w:t>
      </w:r>
    </w:p>
    <w:p w14:paraId="4E5EA7A9">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eastAsia="宋体" w:cs="Arial"/>
          <w:color w:val="auto"/>
          <w:sz w:val="24"/>
          <w:highlight w:val="none"/>
        </w:rPr>
      </w:pPr>
      <w:r>
        <w:rPr>
          <w:rFonts w:hint="eastAsia" w:ascii="宋体" w:hAnsi="宋体" w:eastAsia="宋体" w:cs="Arial"/>
          <w:color w:val="auto"/>
          <w:sz w:val="24"/>
          <w:highlight w:val="none"/>
        </w:rPr>
        <w:t>1、查询渠道：国家企业信用信息公示系统（http://www.gsxt.gov.cn/index.html）。</w:t>
      </w:r>
    </w:p>
    <w:p w14:paraId="6494E506">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eastAsia="宋体" w:cs="Arial"/>
          <w:b/>
          <w:bCs/>
          <w:color w:val="auto"/>
          <w:sz w:val="24"/>
          <w:highlight w:val="none"/>
          <w:shd w:val="clear" w:color="FFFFFF" w:fill="D9D9D9"/>
        </w:rPr>
      </w:pPr>
      <w:r>
        <w:rPr>
          <w:rFonts w:hint="eastAsia" w:ascii="宋体" w:hAnsi="宋体" w:eastAsia="宋体" w:cs="Arial"/>
          <w:color w:val="auto"/>
          <w:sz w:val="24"/>
          <w:highlight w:val="none"/>
        </w:rPr>
        <w:t>2、截止时点：开标后评标前。</w:t>
      </w:r>
    </w:p>
    <w:p w14:paraId="599C9248">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eastAsia="宋体" w:cs="Arial"/>
          <w:color w:val="auto"/>
          <w:sz w:val="24"/>
          <w:highlight w:val="none"/>
        </w:rPr>
      </w:pPr>
      <w:r>
        <w:rPr>
          <w:rFonts w:hint="eastAsia" w:ascii="宋体" w:hAnsi="宋体" w:eastAsia="宋体" w:cs="Arial"/>
          <w:color w:val="auto"/>
          <w:sz w:val="24"/>
          <w:highlight w:val="none"/>
        </w:rPr>
        <w:t>3、</w:t>
      </w:r>
      <w:r>
        <w:rPr>
          <w:rFonts w:ascii="宋体" w:hAnsi="宋体" w:eastAsia="宋体" w:cs="Arial"/>
          <w:color w:val="auto"/>
          <w:sz w:val="24"/>
          <w:highlight w:val="none"/>
        </w:rPr>
        <w:t>信用信息查询记录和证据留存的具体方式</w:t>
      </w:r>
      <w:r>
        <w:rPr>
          <w:rFonts w:hint="eastAsia" w:ascii="宋体" w:hAnsi="宋体" w:eastAsia="宋体" w:cs="Arial"/>
          <w:color w:val="auto"/>
          <w:sz w:val="24"/>
          <w:highlight w:val="none"/>
        </w:rPr>
        <w:t>：由采购组织机构在规定查询时间内打印信用信息查询记录并归入项目档案。</w:t>
      </w:r>
    </w:p>
    <w:p w14:paraId="4735DBB2">
      <w:pPr>
        <w:keepNext w:val="0"/>
        <w:keepLines w:val="0"/>
        <w:pageBreakBefore w:val="0"/>
        <w:kinsoku/>
        <w:wordWrap/>
        <w:overflowPunct/>
        <w:topLinePunct w:val="0"/>
        <w:bidi w:val="0"/>
        <w:snapToGrid w:val="0"/>
        <w:spacing w:line="440" w:lineRule="exact"/>
        <w:ind w:firstLine="480" w:firstLineChars="200"/>
        <w:textAlignment w:val="auto"/>
        <w:rPr>
          <w:rFonts w:ascii="宋体" w:hAnsi="宋体" w:eastAsia="宋体" w:cs="Arial"/>
          <w:color w:val="auto"/>
          <w:sz w:val="24"/>
          <w:highlight w:val="none"/>
        </w:rPr>
      </w:pPr>
      <w:r>
        <w:rPr>
          <w:rFonts w:hint="eastAsia" w:ascii="宋体" w:hAnsi="宋体" w:eastAsia="宋体" w:cs="Arial"/>
          <w:color w:val="auto"/>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ascii="宋体" w:hAnsi="宋体" w:eastAsia="宋体" w:cs="Arial"/>
          <w:color w:val="auto"/>
          <w:sz w:val="24"/>
          <w:highlight w:val="none"/>
        </w:rPr>
        <w:t>将被</w:t>
      </w:r>
      <w:r>
        <w:rPr>
          <w:rFonts w:hint="eastAsia" w:ascii="宋体" w:hAnsi="宋体" w:eastAsia="宋体" w:cs="Arial"/>
          <w:color w:val="auto"/>
          <w:sz w:val="24"/>
          <w:highlight w:val="none"/>
        </w:rPr>
        <w:t>拒绝其参与政府采购活动。</w:t>
      </w:r>
    </w:p>
    <w:p w14:paraId="49BCF810">
      <w:pPr>
        <w:keepNext w:val="0"/>
        <w:keepLines w:val="0"/>
        <w:pageBreakBefore w:val="0"/>
        <w:kinsoku/>
        <w:wordWrap/>
        <w:overflowPunct/>
        <w:topLinePunct w:val="0"/>
        <w:bidi w:val="0"/>
        <w:snapToGrid w:val="0"/>
        <w:spacing w:line="440" w:lineRule="exact"/>
        <w:ind w:firstLine="482" w:firstLineChars="200"/>
        <w:textAlignment w:val="auto"/>
        <w:rPr>
          <w:rFonts w:hint="eastAsia" w:ascii="宋体" w:hAnsi="宋体" w:cs="Arial"/>
          <w:color w:val="auto"/>
          <w:sz w:val="24"/>
          <w:highlight w:val="none"/>
        </w:rPr>
      </w:pPr>
      <w:r>
        <w:rPr>
          <w:rFonts w:hint="eastAsia" w:ascii="宋体" w:hAnsi="宋体" w:eastAsia="宋体" w:cs="Arial"/>
          <w:b/>
          <w:bCs/>
          <w:color w:val="auto"/>
          <w:sz w:val="24"/>
          <w:highlight w:val="none"/>
          <w:lang w:eastAsia="zh-CN"/>
        </w:rPr>
        <w:t>七</w:t>
      </w:r>
      <w:r>
        <w:rPr>
          <w:rFonts w:ascii="宋体" w:hAnsi="宋体" w:eastAsia="宋体" w:cs="Arial"/>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14:paraId="1A22DE37">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1、本项目公告期限自本公告发布之日起</w:t>
      </w:r>
      <w:r>
        <w:rPr>
          <w:rFonts w:hint="eastAsia" w:ascii="宋体" w:hAnsi="宋体" w:cs="Arial"/>
          <w:color w:val="auto"/>
          <w:sz w:val="24"/>
          <w:highlight w:val="none"/>
          <w:lang w:val="en-US" w:eastAsia="zh-CN"/>
        </w:rPr>
        <w:t>3</w:t>
      </w:r>
      <w:r>
        <w:rPr>
          <w:rFonts w:hint="eastAsia" w:ascii="宋体" w:hAnsi="宋体" w:eastAsia="宋体" w:cs="Arial"/>
          <w:color w:val="auto"/>
          <w:sz w:val="24"/>
          <w:highlight w:val="none"/>
        </w:rPr>
        <w:t>个工作日。</w:t>
      </w:r>
    </w:p>
    <w:p w14:paraId="35633DA2">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2、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5D3452B">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lang w:val="en-US" w:eastAsia="zh-CN"/>
        </w:rPr>
        <w:t>3</w:t>
      </w:r>
      <w:r>
        <w:rPr>
          <w:rFonts w:hint="eastAsia" w:ascii="宋体" w:hAnsi="宋体" w:eastAsia="宋体" w:cs="Arial"/>
          <w:color w:val="auto"/>
          <w:sz w:val="24"/>
          <w:highlight w:val="none"/>
        </w:rPr>
        <w:t>、潜在供应商应当按照规定方式获取采购文件，未按照规定方式获取采购文件的，不得对采购文件提起质疑投诉。质疑函范本、投诉书范本请到浙江政府采购网下载专区下载。</w:t>
      </w:r>
    </w:p>
    <w:p w14:paraId="013B9545">
      <w:pPr>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b/>
          <w:color w:val="auto"/>
          <w:kern w:val="0"/>
          <w:sz w:val="24"/>
          <w:highlight w:val="none"/>
          <w:lang w:eastAsia="zh-CN"/>
        </w:rPr>
      </w:pPr>
      <w:r>
        <w:rPr>
          <w:rFonts w:hint="eastAsia" w:ascii="宋体" w:hAnsi="宋体" w:eastAsia="宋体" w:cs="Arial"/>
          <w:color w:val="auto"/>
          <w:sz w:val="24"/>
          <w:highlight w:val="none"/>
          <w:lang w:val="en-US" w:eastAsia="zh-CN"/>
        </w:rPr>
        <w:t>4</w:t>
      </w:r>
      <w:r>
        <w:rPr>
          <w:rFonts w:hint="eastAsia" w:ascii="宋体" w:hAnsi="宋体" w:eastAsia="宋体" w:cs="Arial"/>
          <w:color w:val="auto"/>
          <w:sz w:val="24"/>
          <w:highlight w:val="none"/>
        </w:rPr>
        <w:t>、本项目所有公告发布网站：“浙江省政府采购网”</w:t>
      </w:r>
      <w:r>
        <w:rPr>
          <w:rFonts w:hint="eastAsia" w:ascii="宋体" w:hAnsi="宋体" w:eastAsia="宋体" w:cs="Arial"/>
          <w:color w:val="auto"/>
          <w:sz w:val="18"/>
          <w:szCs w:val="18"/>
          <w:highlight w:val="none"/>
        </w:rPr>
        <w:t>（</w:t>
      </w:r>
      <w:r>
        <w:rPr>
          <w:rFonts w:hint="eastAsia" w:ascii="宋体" w:hAnsi="宋体" w:eastAsia="宋体" w:cs="Arial"/>
          <w:color w:val="auto"/>
          <w:sz w:val="18"/>
          <w:szCs w:val="18"/>
          <w:highlight w:val="none"/>
          <w:lang w:eastAsia="zh-CN"/>
        </w:rPr>
        <w:t>https://zfcg.czt.zj.gov.cn/</w:t>
      </w:r>
      <w:r>
        <w:rPr>
          <w:rFonts w:hint="eastAsia" w:ascii="宋体" w:hAnsi="宋体" w:eastAsia="宋体" w:cs="Arial"/>
          <w:color w:val="auto"/>
          <w:sz w:val="18"/>
          <w:szCs w:val="18"/>
          <w:highlight w:val="none"/>
        </w:rPr>
        <w:t>）。</w:t>
      </w:r>
    </w:p>
    <w:p w14:paraId="0DF5CE94">
      <w:pPr>
        <w:keepNext w:val="0"/>
        <w:keepLines w:val="0"/>
        <w:pageBreakBefore w:val="0"/>
        <w:widowControl/>
        <w:kinsoku/>
        <w:wordWrap/>
        <w:overflowPunct/>
        <w:topLinePunct w:val="0"/>
        <w:bidi w:val="0"/>
        <w:snapToGrid w:val="0"/>
        <w:spacing w:line="440" w:lineRule="exact"/>
        <w:jc w:val="left"/>
        <w:textAlignment w:val="auto"/>
        <w:rPr>
          <w:rFonts w:ascii="宋体" w:hAnsi="宋体" w:cs="宋体"/>
          <w:color w:val="auto"/>
          <w:kern w:val="0"/>
          <w:sz w:val="24"/>
          <w:highlight w:val="none"/>
        </w:rPr>
      </w:pPr>
      <w:r>
        <w:rPr>
          <w:rFonts w:hint="eastAsia" w:ascii="宋体" w:hAnsi="宋体" w:cs="宋体"/>
          <w:b/>
          <w:color w:val="auto"/>
          <w:kern w:val="0"/>
          <w:sz w:val="24"/>
          <w:highlight w:val="none"/>
          <w:lang w:eastAsia="zh-CN"/>
        </w:rPr>
        <w:t>八</w:t>
      </w:r>
      <w:r>
        <w:rPr>
          <w:rFonts w:hint="eastAsia" w:ascii="宋体" w:hAnsi="宋体" w:cs="宋体"/>
          <w:b/>
          <w:color w:val="auto"/>
          <w:kern w:val="0"/>
          <w:sz w:val="24"/>
          <w:highlight w:val="none"/>
        </w:rPr>
        <w:t>、磋商保证金：无。</w:t>
      </w:r>
    </w:p>
    <w:p w14:paraId="001008D2">
      <w:pPr>
        <w:keepNext w:val="0"/>
        <w:keepLines w:val="0"/>
        <w:pageBreakBefore w:val="0"/>
        <w:kinsoku/>
        <w:wordWrap/>
        <w:overflowPunct/>
        <w:topLinePunct w:val="0"/>
        <w:bidi w:val="0"/>
        <w:spacing w:line="440" w:lineRule="exact"/>
        <w:textAlignment w:val="auto"/>
        <w:rPr>
          <w:rFonts w:ascii="宋体"/>
          <w:b/>
          <w:color w:val="auto"/>
          <w:sz w:val="24"/>
          <w:highlight w:val="none"/>
        </w:rPr>
      </w:pPr>
      <w:r>
        <w:rPr>
          <w:rFonts w:hint="eastAsia" w:ascii="宋体" w:hAnsi="宋体"/>
          <w:b/>
          <w:color w:val="auto"/>
          <w:sz w:val="24"/>
          <w:highlight w:val="none"/>
          <w:lang w:eastAsia="zh-CN"/>
        </w:rPr>
        <w:t>九、</w:t>
      </w:r>
      <w:r>
        <w:rPr>
          <w:rFonts w:hint="eastAsia" w:ascii="宋体" w:hAnsi="宋体"/>
          <w:b/>
          <w:color w:val="auto"/>
          <w:sz w:val="24"/>
          <w:highlight w:val="none"/>
        </w:rPr>
        <w:t>联系方式：</w:t>
      </w:r>
    </w:p>
    <w:p w14:paraId="54ED402B">
      <w:pPr>
        <w:keepNext w:val="0"/>
        <w:keepLines w:val="0"/>
        <w:pageBreakBefore w:val="0"/>
        <w:kinsoku/>
        <w:wordWrap/>
        <w:overflowPunct/>
        <w:topLinePunct w:val="0"/>
        <w:bidi w:val="0"/>
        <w:spacing w:line="440" w:lineRule="exact"/>
        <w:ind w:firstLine="472" w:firstLineChars="196"/>
        <w:textAlignment w:val="auto"/>
        <w:rPr>
          <w:rFonts w:hint="eastAsia" w:ascii="宋体" w:eastAsia="宋体"/>
          <w:b/>
          <w:color w:val="auto"/>
          <w:sz w:val="24"/>
          <w:highlight w:val="none"/>
          <w:lang w:eastAsia="zh-CN"/>
        </w:rPr>
      </w:pPr>
      <w:r>
        <w:rPr>
          <w:rFonts w:hint="eastAsia" w:ascii="宋体" w:hAnsi="宋体"/>
          <w:b/>
          <w:color w:val="auto"/>
          <w:sz w:val="24"/>
          <w:highlight w:val="none"/>
        </w:rPr>
        <w:t>（一）采购代理机构：</w:t>
      </w:r>
      <w:r>
        <w:rPr>
          <w:rFonts w:hint="eastAsia" w:ascii="宋体" w:hAnsi="宋体"/>
          <w:b/>
          <w:color w:val="auto"/>
          <w:sz w:val="24"/>
          <w:highlight w:val="none"/>
          <w:lang w:eastAsia="zh-CN"/>
        </w:rPr>
        <w:t>台州中域工程咨询有限公司</w:t>
      </w:r>
    </w:p>
    <w:p w14:paraId="5BF82295">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eastAsia="宋体" w:cs="Arial"/>
          <w:color w:val="auto"/>
          <w:sz w:val="24"/>
          <w:highlight w:val="none"/>
          <w:lang w:eastAsia="zh-CN"/>
        </w:rPr>
      </w:pPr>
      <w:r>
        <w:rPr>
          <w:rFonts w:hint="eastAsia" w:ascii="宋体" w:hAnsi="宋体" w:cs="Arial"/>
          <w:color w:val="auto"/>
          <w:sz w:val="24"/>
          <w:highlight w:val="none"/>
        </w:rPr>
        <w:t>项目联系人：</w:t>
      </w:r>
      <w:r>
        <w:rPr>
          <w:rFonts w:hint="eastAsia" w:ascii="宋体" w:hAnsi="宋体" w:cs="Arial"/>
          <w:color w:val="auto"/>
          <w:sz w:val="24"/>
          <w:highlight w:val="none"/>
          <w:lang w:eastAsia="zh-CN"/>
        </w:rPr>
        <w:t>朱先生</w:t>
      </w:r>
    </w:p>
    <w:p w14:paraId="0436F71B">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hAnsi="宋体" w:eastAsia="宋体" w:cs="Arial"/>
          <w:color w:val="auto"/>
          <w:sz w:val="24"/>
          <w:highlight w:val="none"/>
          <w:lang w:eastAsia="zh-CN"/>
        </w:rPr>
      </w:pPr>
      <w:r>
        <w:rPr>
          <w:rFonts w:hint="eastAsia" w:ascii="宋体" w:hAnsi="宋体" w:cs="Arial"/>
          <w:color w:val="auto"/>
          <w:sz w:val="24"/>
          <w:highlight w:val="none"/>
        </w:rPr>
        <w:t>联系电话：</w:t>
      </w:r>
      <w:r>
        <w:rPr>
          <w:rFonts w:hint="eastAsia" w:ascii="宋体" w:hAnsi="宋体" w:cs="Arial"/>
          <w:color w:val="auto"/>
          <w:sz w:val="24"/>
          <w:highlight w:val="none"/>
          <w:lang w:eastAsia="zh-CN"/>
        </w:rPr>
        <w:t>15967082890</w:t>
      </w:r>
    </w:p>
    <w:p w14:paraId="7F5C2C67">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eastAsia="宋体" w:cs="Arial"/>
          <w:color w:val="auto"/>
          <w:sz w:val="24"/>
          <w:highlight w:val="none"/>
          <w:lang w:eastAsia="zh-CN"/>
        </w:rPr>
      </w:pPr>
      <w:r>
        <w:rPr>
          <w:rFonts w:hint="eastAsia" w:ascii="宋体" w:hAnsi="宋体" w:cs="Arial"/>
          <w:color w:val="auto"/>
          <w:sz w:val="24"/>
          <w:highlight w:val="none"/>
        </w:rPr>
        <w:t>地址：</w:t>
      </w:r>
      <w:r>
        <w:rPr>
          <w:rFonts w:hint="eastAsia" w:ascii="宋体" w:hAnsi="宋体"/>
          <w:color w:val="auto"/>
          <w:sz w:val="24"/>
          <w:highlight w:val="none"/>
          <w:lang w:eastAsia="zh-CN"/>
        </w:rPr>
        <w:t>玉环市玉城街道广陵南路129号4楼</w:t>
      </w:r>
    </w:p>
    <w:p w14:paraId="6BA98624">
      <w:pPr>
        <w:keepNext w:val="0"/>
        <w:keepLines w:val="0"/>
        <w:pageBreakBefore w:val="0"/>
        <w:kinsoku/>
        <w:wordWrap/>
        <w:overflowPunct/>
        <w:topLinePunct w:val="0"/>
        <w:bidi w:val="0"/>
        <w:snapToGrid w:val="0"/>
        <w:spacing w:line="440" w:lineRule="exact"/>
        <w:ind w:firstLine="602" w:firstLineChars="250"/>
        <w:textAlignment w:val="auto"/>
        <w:rPr>
          <w:rFonts w:hint="eastAsia" w:ascii="宋体" w:eastAsia="宋体" w:cs="Arial"/>
          <w:color w:val="auto"/>
          <w:sz w:val="24"/>
          <w:highlight w:val="none"/>
          <w:lang w:eastAsia="zh-CN"/>
        </w:rPr>
      </w:pPr>
      <w:r>
        <w:rPr>
          <w:rFonts w:hint="eastAsia" w:ascii="宋体" w:hAnsi="宋体"/>
          <w:b/>
          <w:color w:val="auto"/>
          <w:sz w:val="24"/>
          <w:highlight w:val="none"/>
        </w:rPr>
        <w:t>（二）采购人</w:t>
      </w:r>
      <w:r>
        <w:rPr>
          <w:rFonts w:hint="eastAsia" w:ascii="宋体" w:hAnsi="宋体" w:cs="Arial"/>
          <w:color w:val="auto"/>
          <w:sz w:val="24"/>
          <w:highlight w:val="none"/>
        </w:rPr>
        <w:t>：</w:t>
      </w:r>
      <w:r>
        <w:rPr>
          <w:rFonts w:hint="eastAsia" w:ascii="宋体" w:hAnsi="宋体"/>
          <w:b/>
          <w:color w:val="auto"/>
          <w:sz w:val="24"/>
          <w:highlight w:val="none"/>
          <w:lang w:eastAsia="zh-CN"/>
        </w:rPr>
        <w:t>玉环市特殊教育学校</w:t>
      </w:r>
    </w:p>
    <w:p w14:paraId="4D8176D4">
      <w:pPr>
        <w:keepNext w:val="0"/>
        <w:keepLines w:val="0"/>
        <w:pageBreakBefore w:val="0"/>
        <w:kinsoku/>
        <w:wordWrap/>
        <w:overflowPunct/>
        <w:topLinePunct w:val="0"/>
        <w:bidi w:val="0"/>
        <w:snapToGrid w:val="0"/>
        <w:spacing w:line="440" w:lineRule="exact"/>
        <w:ind w:firstLine="600" w:firstLineChars="25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联系人：</w:t>
      </w:r>
      <w:r>
        <w:rPr>
          <w:rFonts w:hint="eastAsia" w:ascii="宋体" w:hAnsi="宋体" w:cs="Times New Roman"/>
          <w:color w:val="auto"/>
          <w:sz w:val="24"/>
          <w:highlight w:val="none"/>
          <w:lang w:val="en-US" w:eastAsia="zh-CN"/>
        </w:rPr>
        <w:t>余老师</w:t>
      </w:r>
    </w:p>
    <w:p w14:paraId="6C5E9EB0">
      <w:pPr>
        <w:keepNext w:val="0"/>
        <w:keepLines w:val="0"/>
        <w:pageBreakBefore w:val="0"/>
        <w:kinsoku/>
        <w:wordWrap/>
        <w:overflowPunct/>
        <w:topLinePunct w:val="0"/>
        <w:bidi w:val="0"/>
        <w:snapToGrid w:val="0"/>
        <w:spacing w:line="440" w:lineRule="exact"/>
        <w:ind w:firstLine="600" w:firstLineChars="25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联系电话：</w:t>
      </w:r>
      <w:r>
        <w:rPr>
          <w:rFonts w:hint="eastAsia" w:ascii="宋体" w:hAnsi="宋体" w:cs="宋体"/>
          <w:color w:val="auto"/>
          <w:kern w:val="0"/>
          <w:sz w:val="24"/>
        </w:rPr>
        <w:t>13566838853</w:t>
      </w:r>
    </w:p>
    <w:p w14:paraId="344D7888">
      <w:pPr>
        <w:keepNext w:val="0"/>
        <w:keepLines w:val="0"/>
        <w:pageBreakBefore w:val="0"/>
        <w:kinsoku/>
        <w:wordWrap/>
        <w:overflowPunct/>
        <w:topLinePunct w:val="0"/>
        <w:bidi w:val="0"/>
        <w:snapToGrid w:val="0"/>
        <w:spacing w:line="440" w:lineRule="exact"/>
        <w:ind w:firstLine="600" w:firstLineChars="250"/>
        <w:textAlignment w:val="auto"/>
        <w:rPr>
          <w:rFonts w:hint="eastAsia" w:ascii="宋体" w:cs="Arial"/>
          <w:color w:val="auto"/>
          <w:sz w:val="24"/>
          <w:highlight w:val="none"/>
        </w:rPr>
      </w:pPr>
      <w:r>
        <w:rPr>
          <w:rFonts w:hint="eastAsia" w:ascii="宋体" w:hAnsi="宋体" w:cs="Arial"/>
          <w:color w:val="auto"/>
          <w:sz w:val="24"/>
          <w:highlight w:val="none"/>
        </w:rPr>
        <w:t>地址：</w:t>
      </w:r>
      <w:r>
        <w:rPr>
          <w:rFonts w:hint="eastAsia" w:ascii="宋体" w:hAnsi="宋体" w:cs="Arial"/>
          <w:color w:val="auto"/>
          <w:sz w:val="24"/>
          <w:highlight w:val="none"/>
          <w:lang w:eastAsia="zh-CN"/>
        </w:rPr>
        <w:t>玉环市楚门镇昌业路1号</w:t>
      </w:r>
    </w:p>
    <w:p w14:paraId="6A14A93B">
      <w:pPr>
        <w:keepNext w:val="0"/>
        <w:keepLines w:val="0"/>
        <w:pageBreakBefore w:val="0"/>
        <w:kinsoku/>
        <w:wordWrap/>
        <w:overflowPunct/>
        <w:topLinePunct w:val="0"/>
        <w:bidi w:val="0"/>
        <w:spacing w:line="440" w:lineRule="exact"/>
        <w:ind w:firstLine="472" w:firstLineChars="196"/>
        <w:textAlignment w:val="auto"/>
        <w:rPr>
          <w:rFonts w:ascii="宋体" w:hAnsi="宋体" w:eastAsia="宋体"/>
          <w:b/>
          <w:color w:val="auto"/>
          <w:sz w:val="24"/>
          <w:highlight w:val="none"/>
        </w:rPr>
      </w:pPr>
      <w:r>
        <w:rPr>
          <w:rFonts w:hint="eastAsia" w:ascii="宋体" w:hAnsi="宋体" w:eastAsia="宋体"/>
          <w:b/>
          <w:color w:val="auto"/>
          <w:sz w:val="24"/>
          <w:highlight w:val="none"/>
        </w:rPr>
        <w:t>（三）同级政府采购监督管理部门</w:t>
      </w:r>
    </w:p>
    <w:p w14:paraId="44E6EDF9">
      <w:pPr>
        <w:keepNext w:val="0"/>
        <w:keepLines w:val="0"/>
        <w:pageBreakBefore w:val="0"/>
        <w:widowControl/>
        <w:kinsoku/>
        <w:wordWrap/>
        <w:overflowPunct/>
        <w:topLinePunct w:val="0"/>
        <w:bidi w:val="0"/>
        <w:spacing w:before="60" w:beforeLines="0" w:after="60" w:afterLines="0" w:line="440" w:lineRule="exact"/>
        <w:ind w:left="60" w:right="60" w:firstLine="540"/>
        <w:jc w:val="left"/>
        <w:textAlignment w:val="auto"/>
        <w:rPr>
          <w:rFonts w:ascii="宋体" w:hAnsi="宋体" w:eastAsia="宋体" w:cs="Arial"/>
          <w:color w:val="auto"/>
          <w:sz w:val="24"/>
          <w:highlight w:val="none"/>
        </w:rPr>
      </w:pPr>
      <w:r>
        <w:rPr>
          <w:rFonts w:hint="eastAsia" w:ascii="宋体" w:hAnsi="宋体" w:eastAsia="宋体" w:cs="Arial"/>
          <w:color w:val="auto"/>
          <w:sz w:val="24"/>
          <w:highlight w:val="none"/>
        </w:rPr>
        <w:t>名称：玉环市财政局政府采购监督管理科</w:t>
      </w:r>
    </w:p>
    <w:p w14:paraId="6BCCB42E">
      <w:pPr>
        <w:keepNext w:val="0"/>
        <w:keepLines w:val="0"/>
        <w:pageBreakBefore w:val="0"/>
        <w:widowControl/>
        <w:kinsoku/>
        <w:wordWrap/>
        <w:overflowPunct/>
        <w:topLinePunct w:val="0"/>
        <w:bidi w:val="0"/>
        <w:spacing w:before="60" w:beforeLines="0" w:after="60" w:afterLines="0" w:line="440" w:lineRule="exact"/>
        <w:ind w:left="60" w:right="60" w:firstLine="540"/>
        <w:jc w:val="left"/>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联系人：</w:t>
      </w:r>
      <w:r>
        <w:rPr>
          <w:rFonts w:hint="eastAsia" w:ascii="宋体" w:hAnsi="宋体" w:cs="Arial"/>
          <w:color w:val="auto"/>
          <w:sz w:val="24"/>
          <w:highlight w:val="none"/>
          <w:lang w:eastAsia="zh-CN"/>
        </w:rPr>
        <w:t>李科长</w:t>
      </w:r>
      <w:r>
        <w:rPr>
          <w:rFonts w:hint="eastAsia" w:ascii="宋体" w:hAnsi="宋体" w:eastAsia="宋体" w:cs="Arial"/>
          <w:color w:val="auto"/>
          <w:sz w:val="24"/>
          <w:highlight w:val="none"/>
        </w:rPr>
        <w:t xml:space="preserve">   监督投诉电话：0576-87250185   传真：0576-87250185</w:t>
      </w:r>
    </w:p>
    <w:p w14:paraId="4DE7E9DB">
      <w:pPr>
        <w:keepNext w:val="0"/>
        <w:keepLines w:val="0"/>
        <w:pageBreakBefore w:val="0"/>
        <w:widowControl/>
        <w:kinsoku/>
        <w:wordWrap/>
        <w:overflowPunct/>
        <w:topLinePunct w:val="0"/>
        <w:bidi w:val="0"/>
        <w:spacing w:before="60" w:beforeLines="0" w:after="60" w:afterLines="0" w:line="440" w:lineRule="exact"/>
        <w:ind w:left="60" w:right="60" w:firstLine="540"/>
        <w:jc w:val="left"/>
        <w:textAlignment w:val="auto"/>
        <w:rPr>
          <w:rFonts w:hint="eastAsia" w:ascii="宋体" w:hAnsi="宋体"/>
          <w:color w:val="auto"/>
          <w:kern w:val="0"/>
          <w:sz w:val="24"/>
          <w:highlight w:val="none"/>
        </w:rPr>
      </w:pPr>
      <w:r>
        <w:rPr>
          <w:rFonts w:hint="eastAsia" w:ascii="宋体" w:hAnsi="宋体" w:eastAsia="宋体" w:cs="Arial"/>
          <w:color w:val="auto"/>
          <w:sz w:val="24"/>
          <w:highlight w:val="none"/>
        </w:rPr>
        <w:t>地址：</w:t>
      </w:r>
      <w:r>
        <w:rPr>
          <w:rFonts w:hint="eastAsia" w:ascii="宋体" w:hAnsi="宋体" w:eastAsia="宋体" w:cs="Arial"/>
          <w:color w:val="auto"/>
          <w:sz w:val="24"/>
          <w:highlight w:val="none"/>
          <w:lang w:eastAsia="zh-CN"/>
        </w:rPr>
        <w:t>玉环市广陵路130号财政大楼5楼</w:t>
      </w:r>
      <w:r>
        <w:rPr>
          <w:rFonts w:ascii="宋体" w:hAnsi="宋体"/>
          <w:color w:val="auto"/>
          <w:kern w:val="0"/>
          <w:sz w:val="24"/>
          <w:highlight w:val="none"/>
        </w:rPr>
        <w:t xml:space="preserve">            </w:t>
      </w:r>
      <w:r>
        <w:rPr>
          <w:rFonts w:hint="eastAsia" w:ascii="宋体" w:hAnsi="宋体"/>
          <w:color w:val="auto"/>
          <w:kern w:val="0"/>
          <w:sz w:val="24"/>
          <w:highlight w:val="none"/>
        </w:rPr>
        <w:t xml:space="preserve">        </w:t>
      </w:r>
    </w:p>
    <w:p w14:paraId="46E1388E">
      <w:pPr>
        <w:spacing w:line="360" w:lineRule="auto"/>
        <w:jc w:val="center"/>
        <w:rPr>
          <w:rFonts w:hint="eastAsia" w:ascii="宋体" w:hAnsi="宋体"/>
          <w:b/>
          <w:color w:val="auto"/>
          <w:sz w:val="36"/>
          <w:szCs w:val="36"/>
          <w:highlight w:val="none"/>
        </w:rPr>
      </w:pPr>
      <w:r>
        <w:rPr>
          <w:rFonts w:hint="eastAsia" w:ascii="宋体" w:hAnsi="宋体"/>
          <w:color w:val="auto"/>
          <w:kern w:val="0"/>
          <w:sz w:val="24"/>
          <w:highlight w:val="none"/>
        </w:rPr>
        <w:br w:type="column"/>
      </w:r>
      <w:r>
        <w:rPr>
          <w:rFonts w:hint="eastAsia" w:ascii="宋体" w:hAnsi="宋体"/>
          <w:b/>
          <w:color w:val="auto"/>
          <w:sz w:val="36"/>
          <w:szCs w:val="36"/>
          <w:highlight w:val="none"/>
        </w:rPr>
        <w:t>第二章  供应商须知</w:t>
      </w:r>
    </w:p>
    <w:p w14:paraId="409F8CE7">
      <w:pPr>
        <w:spacing w:line="360" w:lineRule="auto"/>
        <w:jc w:val="center"/>
        <w:rPr>
          <w:rFonts w:ascii="宋体" w:hAnsi="宋体"/>
          <w:b/>
          <w:color w:val="auto"/>
          <w:sz w:val="24"/>
          <w:highlight w:val="none"/>
        </w:rPr>
      </w:pPr>
      <w:r>
        <w:rPr>
          <w:rFonts w:hint="eastAsia" w:ascii="宋体" w:hAnsi="宋体"/>
          <w:b/>
          <w:color w:val="auto"/>
          <w:sz w:val="24"/>
          <w:highlight w:val="none"/>
        </w:rPr>
        <w:t>前附表</w:t>
      </w:r>
    </w:p>
    <w:tbl>
      <w:tblPr>
        <w:tblStyle w:val="1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34AB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noWrap w:val="0"/>
            <w:vAlign w:val="center"/>
          </w:tcPr>
          <w:p w14:paraId="02F1ED4F">
            <w:pPr>
              <w:spacing w:line="360" w:lineRule="auto"/>
              <w:jc w:val="center"/>
              <w:rPr>
                <w:rFonts w:ascii="宋体" w:cs="宋体"/>
                <w:color w:val="auto"/>
                <w:sz w:val="24"/>
                <w:szCs w:val="24"/>
                <w:highlight w:val="none"/>
              </w:rPr>
            </w:pPr>
            <w:r>
              <w:rPr>
                <w:rFonts w:hint="eastAsia" w:ascii="宋体" w:hAnsi="宋体" w:cs="宋体"/>
                <w:color w:val="auto"/>
                <w:sz w:val="24"/>
                <w:szCs w:val="24"/>
                <w:highlight w:val="none"/>
              </w:rPr>
              <w:t>序号</w:t>
            </w:r>
          </w:p>
        </w:tc>
        <w:tc>
          <w:tcPr>
            <w:tcW w:w="1880" w:type="dxa"/>
            <w:noWrap w:val="0"/>
            <w:vAlign w:val="center"/>
          </w:tcPr>
          <w:p w14:paraId="2665F87C">
            <w:pPr>
              <w:spacing w:line="360" w:lineRule="auto"/>
              <w:jc w:val="center"/>
              <w:rPr>
                <w:rFonts w:ascii="宋体" w:cs="宋体"/>
                <w:color w:val="auto"/>
                <w:sz w:val="24"/>
                <w:szCs w:val="24"/>
                <w:highlight w:val="none"/>
              </w:rPr>
            </w:pPr>
            <w:r>
              <w:rPr>
                <w:rFonts w:hint="eastAsia" w:ascii="宋体" w:hAnsi="宋体" w:cs="宋体"/>
                <w:color w:val="auto"/>
                <w:sz w:val="24"/>
                <w:szCs w:val="24"/>
                <w:highlight w:val="none"/>
              </w:rPr>
              <w:t>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目</w:t>
            </w:r>
          </w:p>
        </w:tc>
        <w:tc>
          <w:tcPr>
            <w:tcW w:w="6203" w:type="dxa"/>
            <w:noWrap w:val="0"/>
            <w:vAlign w:val="center"/>
          </w:tcPr>
          <w:p w14:paraId="619E47D6">
            <w:pPr>
              <w:spacing w:line="360" w:lineRule="auto"/>
              <w:jc w:val="center"/>
              <w:rPr>
                <w:rFonts w:ascii="宋体" w:cs="宋体"/>
                <w:color w:val="auto"/>
                <w:sz w:val="24"/>
                <w:szCs w:val="24"/>
                <w:highlight w:val="none"/>
              </w:rPr>
            </w:pPr>
            <w:r>
              <w:rPr>
                <w:rFonts w:hint="eastAsia" w:ascii="宋体" w:hAnsi="宋体" w:cs="宋体"/>
                <w:color w:val="auto"/>
                <w:sz w:val="24"/>
                <w:szCs w:val="24"/>
                <w:highlight w:val="none"/>
              </w:rPr>
              <w:t>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容</w:t>
            </w:r>
          </w:p>
        </w:tc>
      </w:tr>
      <w:tr w14:paraId="5E11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noWrap w:val="0"/>
            <w:vAlign w:val="center"/>
          </w:tcPr>
          <w:p w14:paraId="4BC4C5DD">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1</w:t>
            </w:r>
          </w:p>
        </w:tc>
        <w:tc>
          <w:tcPr>
            <w:tcW w:w="1880" w:type="dxa"/>
            <w:noWrap w:val="0"/>
            <w:vAlign w:val="center"/>
          </w:tcPr>
          <w:p w14:paraId="393F48E3">
            <w:pPr>
              <w:spacing w:line="360" w:lineRule="auto"/>
              <w:jc w:val="center"/>
              <w:rPr>
                <w:rFonts w:ascii="宋体" w:cs="宋体"/>
                <w:color w:val="auto"/>
                <w:sz w:val="24"/>
                <w:szCs w:val="24"/>
                <w:highlight w:val="none"/>
              </w:rPr>
            </w:pPr>
            <w:r>
              <w:rPr>
                <w:rFonts w:hint="eastAsia" w:ascii="宋体" w:hAnsi="宋体" w:cs="宋体"/>
                <w:color w:val="auto"/>
                <w:sz w:val="24"/>
                <w:szCs w:val="24"/>
                <w:highlight w:val="none"/>
              </w:rPr>
              <w:t>供应商特定资格要求</w:t>
            </w:r>
          </w:p>
        </w:tc>
        <w:tc>
          <w:tcPr>
            <w:tcW w:w="6203" w:type="dxa"/>
            <w:noWrap w:val="0"/>
            <w:vAlign w:val="center"/>
          </w:tcPr>
          <w:p w14:paraId="52DF23B0">
            <w:pPr>
              <w:spacing w:line="360" w:lineRule="auto"/>
              <w:rPr>
                <w:rFonts w:ascii="宋体" w:cs="宋体"/>
                <w:color w:val="auto"/>
                <w:sz w:val="24"/>
                <w:szCs w:val="24"/>
                <w:highlight w:val="none"/>
              </w:rPr>
            </w:pPr>
            <w:r>
              <w:rPr>
                <w:rFonts w:hint="eastAsia" w:ascii="宋体" w:hAnsi="宋体" w:cs="宋体"/>
                <w:color w:val="auto"/>
                <w:sz w:val="24"/>
                <w:szCs w:val="24"/>
                <w:highlight w:val="none"/>
              </w:rPr>
              <w:t>符合竞争性磋商公告资格要求的供应商</w:t>
            </w:r>
          </w:p>
        </w:tc>
      </w:tr>
      <w:tr w14:paraId="5D4B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049E40E1">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2</w:t>
            </w:r>
          </w:p>
        </w:tc>
        <w:tc>
          <w:tcPr>
            <w:tcW w:w="1880" w:type="dxa"/>
            <w:noWrap w:val="0"/>
            <w:vAlign w:val="center"/>
          </w:tcPr>
          <w:p w14:paraId="39995EC8">
            <w:pPr>
              <w:spacing w:line="360" w:lineRule="auto"/>
              <w:jc w:val="center"/>
              <w:rPr>
                <w:rFonts w:ascii="宋体" w:cs="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6203" w:type="dxa"/>
            <w:noWrap w:val="0"/>
            <w:vAlign w:val="center"/>
          </w:tcPr>
          <w:p w14:paraId="3CA8C506">
            <w:pPr>
              <w:pStyle w:val="9"/>
              <w:spacing w:line="360" w:lineRule="auto"/>
              <w:rPr>
                <w:rFonts w:ascii="宋体" w:cs="宋体"/>
                <w:color w:val="auto"/>
                <w:sz w:val="24"/>
                <w:szCs w:val="24"/>
                <w:highlight w:val="none"/>
              </w:rPr>
            </w:pPr>
            <w:r>
              <w:rPr>
                <w:rFonts w:hint="eastAsia" w:ascii="宋体" w:hAnsi="宋体" w:eastAsia="宋体" w:cs="宋体"/>
                <w:color w:val="auto"/>
                <w:sz w:val="24"/>
                <w:szCs w:val="24"/>
                <w:highlight w:val="none"/>
              </w:rPr>
              <w:t>各供应商请自行踏勘。</w:t>
            </w:r>
          </w:p>
        </w:tc>
      </w:tr>
      <w:tr w14:paraId="5120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66233A75">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3</w:t>
            </w:r>
          </w:p>
        </w:tc>
        <w:tc>
          <w:tcPr>
            <w:tcW w:w="1880" w:type="dxa"/>
            <w:noWrap w:val="0"/>
            <w:vAlign w:val="center"/>
          </w:tcPr>
          <w:p w14:paraId="00B45F3C">
            <w:pPr>
              <w:spacing w:line="360" w:lineRule="auto"/>
              <w:jc w:val="center"/>
              <w:rPr>
                <w:rFonts w:ascii="宋体" w:cs="宋体"/>
                <w:color w:val="auto"/>
                <w:sz w:val="24"/>
                <w:szCs w:val="24"/>
                <w:highlight w:val="none"/>
              </w:rPr>
            </w:pPr>
            <w:r>
              <w:rPr>
                <w:rFonts w:hint="eastAsia" w:ascii="宋体" w:hAnsi="宋体" w:cs="宋体"/>
                <w:color w:val="auto"/>
                <w:sz w:val="24"/>
                <w:szCs w:val="24"/>
                <w:highlight w:val="none"/>
              </w:rPr>
              <w:t>磋商响应文件组成</w:t>
            </w:r>
          </w:p>
        </w:tc>
        <w:tc>
          <w:tcPr>
            <w:tcW w:w="6203" w:type="dxa"/>
            <w:noWrap w:val="0"/>
            <w:vAlign w:val="center"/>
          </w:tcPr>
          <w:p w14:paraId="04CF35A4">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rPr>
              <w:t>完整的《</w:t>
            </w:r>
            <w:r>
              <w:rPr>
                <w:rFonts w:hint="eastAsia" w:ascii="宋体" w:hAnsi="宋体" w:cs="宋体"/>
                <w:color w:val="auto"/>
                <w:sz w:val="24"/>
                <w:szCs w:val="24"/>
                <w:highlight w:val="none"/>
              </w:rPr>
              <w:t>磋商响应文件</w:t>
            </w:r>
            <w:r>
              <w:rPr>
                <w:rFonts w:ascii="宋体" w:hAnsi="宋体" w:cs="宋体"/>
                <w:color w:val="auto"/>
                <w:sz w:val="24"/>
                <w:szCs w:val="24"/>
                <w:highlight w:val="none"/>
              </w:rPr>
              <w:t>》由</w:t>
            </w:r>
            <w:r>
              <w:rPr>
                <w:rFonts w:hint="eastAsia" w:ascii="宋体" w:hAnsi="宋体" w:cs="宋体"/>
                <w:color w:val="auto"/>
                <w:sz w:val="24"/>
                <w:szCs w:val="24"/>
                <w:highlight w:val="none"/>
              </w:rPr>
              <w:t>“资格证明文件”、</w:t>
            </w:r>
            <w:r>
              <w:rPr>
                <w:rFonts w:ascii="宋体" w:hAnsi="宋体" w:cs="宋体"/>
                <w:color w:val="auto"/>
                <w:sz w:val="24"/>
                <w:szCs w:val="24"/>
                <w:highlight w:val="none"/>
              </w:rPr>
              <w:t>“报价文件”</w:t>
            </w:r>
            <w:r>
              <w:rPr>
                <w:rFonts w:hint="eastAsia" w:ascii="宋体" w:hAnsi="宋体" w:cs="宋体"/>
                <w:color w:val="auto"/>
                <w:sz w:val="24"/>
                <w:szCs w:val="24"/>
                <w:highlight w:val="none"/>
              </w:rPr>
              <w:t>和</w:t>
            </w:r>
            <w:r>
              <w:rPr>
                <w:rFonts w:ascii="宋体" w:hAnsi="宋体" w:cs="宋体"/>
                <w:color w:val="auto"/>
                <w:sz w:val="24"/>
                <w:szCs w:val="24"/>
                <w:highlight w:val="none"/>
              </w:rPr>
              <w:t>“</w:t>
            </w:r>
            <w:r>
              <w:rPr>
                <w:rFonts w:hint="eastAsia" w:ascii="宋体" w:hAnsi="宋体" w:cs="宋体"/>
                <w:color w:val="auto"/>
                <w:sz w:val="24"/>
                <w:szCs w:val="24"/>
                <w:highlight w:val="none"/>
              </w:rPr>
              <w:t>商务</w:t>
            </w:r>
            <w:r>
              <w:rPr>
                <w:rFonts w:ascii="宋体" w:hAnsi="宋体" w:cs="宋体"/>
                <w:color w:val="auto"/>
                <w:sz w:val="24"/>
                <w:szCs w:val="24"/>
                <w:highlight w:val="none"/>
              </w:rPr>
              <w:t>技术文件”</w:t>
            </w:r>
            <w:r>
              <w:rPr>
                <w:rFonts w:hint="eastAsia" w:ascii="宋体" w:hAnsi="宋体" w:cs="宋体"/>
                <w:color w:val="auto"/>
                <w:sz w:val="24"/>
                <w:szCs w:val="24"/>
                <w:highlight w:val="none"/>
              </w:rPr>
              <w:t>三</w:t>
            </w:r>
            <w:r>
              <w:rPr>
                <w:rFonts w:ascii="宋体" w:hAnsi="宋体" w:cs="宋体"/>
                <w:color w:val="auto"/>
                <w:sz w:val="24"/>
                <w:szCs w:val="24"/>
                <w:highlight w:val="none"/>
              </w:rPr>
              <w:t>个部分组成。</w:t>
            </w:r>
          </w:p>
        </w:tc>
      </w:tr>
      <w:tr w14:paraId="1663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6DF4057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880" w:type="dxa"/>
            <w:noWrap w:val="0"/>
            <w:vAlign w:val="center"/>
          </w:tcPr>
          <w:p w14:paraId="214A1D3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磋商响应文件的编制</w:t>
            </w:r>
          </w:p>
        </w:tc>
        <w:tc>
          <w:tcPr>
            <w:tcW w:w="6203" w:type="dxa"/>
            <w:noWrap w:val="0"/>
            <w:vAlign w:val="center"/>
          </w:tcPr>
          <w:p w14:paraId="0A2156F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供应商应先安装“政采云电子交易客户端”，并按照本磋商文件和“政府采购云平台”的要求，通过“政采云电子交易客户端”编制并加密磋商响应文件。</w:t>
            </w:r>
          </w:p>
        </w:tc>
      </w:tr>
      <w:tr w14:paraId="773C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7FDC507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880" w:type="dxa"/>
            <w:noWrap w:val="0"/>
            <w:vAlign w:val="center"/>
          </w:tcPr>
          <w:p w14:paraId="3AB81EE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磋商响应文件的签章</w:t>
            </w:r>
          </w:p>
        </w:tc>
        <w:tc>
          <w:tcPr>
            <w:tcW w:w="6203" w:type="dxa"/>
            <w:noWrap w:val="0"/>
            <w:vAlign w:val="center"/>
          </w:tcPr>
          <w:p w14:paraId="5BACD11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电子签章。</w:t>
            </w:r>
          </w:p>
        </w:tc>
      </w:tr>
      <w:tr w14:paraId="7681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74F42187">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880" w:type="dxa"/>
            <w:noWrap w:val="0"/>
            <w:vAlign w:val="center"/>
          </w:tcPr>
          <w:p w14:paraId="3D0AAEE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磋商响应文件的形式</w:t>
            </w:r>
          </w:p>
        </w:tc>
        <w:tc>
          <w:tcPr>
            <w:tcW w:w="6203" w:type="dxa"/>
            <w:noWrap w:val="0"/>
            <w:vAlign w:val="center"/>
          </w:tcPr>
          <w:p w14:paraId="3864607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电子磋商响应文件（包括“电子加密磋商响应文件”和“备份磋商响应文件”，在磋商响应文件编制完成后同时生成）；</w:t>
            </w:r>
          </w:p>
          <w:p w14:paraId="6595A75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（1）“电子加密磋商响应文件”是指通过“政采云电子交易客户端”完成磋商响应文件编制后生成并加密的数据电文形式的磋商响应文件。</w:t>
            </w:r>
          </w:p>
          <w:p w14:paraId="4A813BB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（2）“备份磋商响应文件”是指与“电子加密磋商响应文件”同时生成的数据电文形式的电子文件（备份标书），其他方式编制的备份磋商响应文件视为无效备份磋商响应文件。</w:t>
            </w:r>
          </w:p>
        </w:tc>
      </w:tr>
      <w:tr w14:paraId="1104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74430C6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880" w:type="dxa"/>
            <w:noWrap w:val="0"/>
            <w:vAlign w:val="center"/>
          </w:tcPr>
          <w:p w14:paraId="44B9B4D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磋商响应文件份数</w:t>
            </w:r>
          </w:p>
        </w:tc>
        <w:tc>
          <w:tcPr>
            <w:tcW w:w="6203" w:type="dxa"/>
            <w:noWrap w:val="0"/>
            <w:vAlign w:val="center"/>
          </w:tcPr>
          <w:p w14:paraId="75023F5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（1）“电子加密磋商响应文件”：在线上传递交、一份。</w:t>
            </w:r>
          </w:p>
          <w:p w14:paraId="2C1384F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（2）“备份磋商响应文件”：密封包装后（EMS邮寄或顺丰邮寄形式）投标截止时间前递交、一份（邮寄地址：</w:t>
            </w:r>
            <w:r>
              <w:rPr>
                <w:rFonts w:hint="eastAsia" w:ascii="宋体" w:hAnsi="宋体" w:cs="宋体"/>
                <w:color w:val="auto"/>
                <w:sz w:val="24"/>
                <w:szCs w:val="24"/>
                <w:highlight w:val="none"/>
                <w:lang w:eastAsia="zh-CN"/>
              </w:rPr>
              <w:t>玉环市广陵南路129号4楼</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台州中域工程咨询有限公司</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朱先生</w:t>
            </w:r>
            <w:r>
              <w:rPr>
                <w:rFonts w:hint="eastAsia" w:ascii="宋体" w:hAnsi="宋体" w:cs="宋体"/>
                <w:color w:val="auto"/>
                <w:sz w:val="24"/>
                <w:szCs w:val="24"/>
                <w:highlight w:val="none"/>
              </w:rPr>
              <w:t>收）。</w:t>
            </w:r>
          </w:p>
        </w:tc>
      </w:tr>
      <w:tr w14:paraId="7BC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2C284BD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880" w:type="dxa"/>
            <w:noWrap w:val="0"/>
            <w:vAlign w:val="center"/>
          </w:tcPr>
          <w:p w14:paraId="2C22DC6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磋商响应文件的上传和递交</w:t>
            </w:r>
          </w:p>
        </w:tc>
        <w:tc>
          <w:tcPr>
            <w:tcW w:w="6203" w:type="dxa"/>
            <w:noWrap w:val="0"/>
            <w:vAlign w:val="center"/>
          </w:tcPr>
          <w:p w14:paraId="3A50811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（1）“电子加密磋商响应文件”的上传、递交：</w:t>
            </w:r>
          </w:p>
          <w:p w14:paraId="0526BEC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a.投标供应商应在投标截止时间前将“电子加密磋商响应文件”成功上传递交至“政府采购云平台”，否则投标无效。</w:t>
            </w:r>
          </w:p>
          <w:p w14:paraId="42E47D8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b.“电子加密磋商响应文件”成功上传递交后，供应商可自行打印磋商响应文件接收回执。</w:t>
            </w:r>
          </w:p>
          <w:p w14:paraId="1F8E85B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（2）“备份磋商响应文件”的密封包装、递交：</w:t>
            </w:r>
          </w:p>
          <w:p w14:paraId="0E6CA40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a.投标供应商在“政府采购云平台”完成“电子加密磋商响应文件”的上传递交后，还可以（EMS邮寄或顺丰邮寄形式）在投标截止时间前递交以介质（U盘）存储的 “备份磋商响应文件”（一份）到</w:t>
            </w:r>
            <w:r>
              <w:rPr>
                <w:rFonts w:hint="eastAsia" w:ascii="宋体" w:hAnsi="宋体" w:cs="宋体"/>
                <w:color w:val="auto"/>
                <w:sz w:val="24"/>
                <w:szCs w:val="24"/>
                <w:highlight w:val="none"/>
                <w:lang w:eastAsia="zh-CN"/>
              </w:rPr>
              <w:t>台州中域工程咨询有限公司</w:t>
            </w: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玉环市玉城街道广陵南路129号4楼</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朱先生</w:t>
            </w:r>
            <w:r>
              <w:rPr>
                <w:rFonts w:hint="eastAsia" w:ascii="宋体" w:hAnsi="宋体" w:cs="宋体"/>
                <w:color w:val="auto"/>
                <w:sz w:val="24"/>
                <w:szCs w:val="24"/>
                <w:highlight w:val="none"/>
                <w:lang w:val="en-US" w:eastAsia="zh-CN"/>
              </w:rPr>
              <w:t xml:space="preserve"> 15967082890</w:t>
            </w:r>
            <w:r>
              <w:rPr>
                <w:rFonts w:hint="eastAsia" w:ascii="宋体" w:hAnsi="宋体" w:cs="宋体"/>
                <w:color w:val="auto"/>
                <w:sz w:val="24"/>
                <w:szCs w:val="24"/>
                <w:highlight w:val="none"/>
              </w:rPr>
              <w:t>）；</w:t>
            </w:r>
          </w:p>
          <w:p w14:paraId="72181A5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b.“备份磋商响应文件”应当密封包装，并在包装上标注投标项目名称、投标单位名称并加盖公章。没有密封包装或者逾期邮寄送达的“备份磋商响应文件”将不予接收；</w:t>
            </w:r>
          </w:p>
          <w:p w14:paraId="7055763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c.通过“政府采购云平台”成功上传递交的“电子加密磋商响应文件”已按时解密的，“备份磋商响应文件”自动失效。投标截止时间前，投标供应商仅递交了“备份磋商响应文件”而未将“电子加密磋商响应文件”成功上传至“政府采购云平台”的，投标无效。</w:t>
            </w:r>
          </w:p>
        </w:tc>
      </w:tr>
      <w:tr w14:paraId="553A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3D05A67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880" w:type="dxa"/>
            <w:noWrap w:val="0"/>
            <w:vAlign w:val="center"/>
          </w:tcPr>
          <w:p w14:paraId="4D69F191">
            <w:pPr>
              <w:spacing w:line="360" w:lineRule="auto"/>
              <w:rPr>
                <w:rFonts w:hint="eastAsia" w:ascii="宋体" w:hAnsi="宋体" w:cs="宋体"/>
                <w:b/>
                <w:bCs/>
                <w:color w:val="auto"/>
                <w:sz w:val="24"/>
                <w:szCs w:val="24"/>
                <w:highlight w:val="none"/>
                <w:lang w:bidi="ar"/>
              </w:rPr>
            </w:pPr>
            <w:r>
              <w:rPr>
                <w:rFonts w:hint="eastAsia" w:ascii="宋体" w:hAnsi="宋体" w:cs="宋体"/>
                <w:color w:val="auto"/>
                <w:sz w:val="24"/>
                <w:szCs w:val="24"/>
                <w:highlight w:val="none"/>
              </w:rPr>
              <w:t>电子加密磋商响应文件的解密和异常情况处理</w:t>
            </w:r>
          </w:p>
        </w:tc>
        <w:tc>
          <w:tcPr>
            <w:tcW w:w="6203" w:type="dxa"/>
            <w:noWrap w:val="0"/>
            <w:vAlign w:val="center"/>
          </w:tcPr>
          <w:p w14:paraId="532B378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（1）开标后，采购组织机构将向各投标供应商发出“电子加密磋商响应文件”的解密通知，各投标供应商代表应当在接到解密通知后30分钟内自行完成“电子加密磋商响应文件”的在线解密。</w:t>
            </w:r>
          </w:p>
          <w:p w14:paraId="09814AA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通过“政府采购云平台”成功上传递交的“电子加密磋商响应文件”无法按时解密，投标供应商如按规定递交了“备份磋商响应文件”的，以“备份磋商响应文件”为依据（由采购组织机构按“政府采购云平台”操作规范将“备份磋商响应文件”上传至“政府采购云平台”，上传成功后，“电子加密磋商响应文件”自动失效），否则视为磋商响应文件撤回。</w:t>
            </w:r>
          </w:p>
          <w:p w14:paraId="179F1DE3">
            <w:pPr>
              <w:snapToGrid w:val="0"/>
              <w:spacing w:line="400" w:lineRule="exact"/>
              <w:ind w:left="17" w:right="199" w:rightChars="95" w:hanging="19" w:hangingChars="8"/>
              <w:rPr>
                <w:rFonts w:hint="eastAsia" w:ascii="宋体" w:hAnsi="宋体" w:cs="宋体"/>
                <w:color w:val="auto"/>
                <w:sz w:val="24"/>
                <w:szCs w:val="24"/>
                <w:highlight w:val="none"/>
              </w:rPr>
            </w:pPr>
            <w:r>
              <w:rPr>
                <w:rFonts w:hint="eastAsia" w:ascii="宋体" w:hAnsi="宋体" w:cs="宋体"/>
                <w:color w:val="auto"/>
                <w:sz w:val="24"/>
                <w:szCs w:val="24"/>
                <w:highlight w:val="none"/>
              </w:rPr>
              <w:t>（3）投标截止时间前，投标供应商仅递交了“备份磋商响应文件”而未将电子加密磋商响应文件上传至“政府采购云平台”的，投标无效。</w:t>
            </w:r>
          </w:p>
          <w:p w14:paraId="55B78145">
            <w:pPr>
              <w:snapToGrid w:val="0"/>
              <w:spacing w:line="400" w:lineRule="exact"/>
              <w:ind w:left="17" w:right="199" w:rightChars="95" w:hanging="19" w:hangingChars="8"/>
              <w:rPr>
                <w:rFonts w:hint="eastAsia" w:ascii="宋体" w:hAnsi="宋体" w:cs="宋体"/>
                <w:color w:val="auto"/>
                <w:sz w:val="24"/>
                <w:szCs w:val="24"/>
                <w:highlight w:val="none"/>
              </w:rPr>
            </w:pPr>
            <w:r>
              <w:rPr>
                <w:rFonts w:hint="eastAsia" w:ascii="宋体" w:hAnsi="宋体" w:cs="宋体"/>
                <w:color w:val="auto"/>
                <w:sz w:val="24"/>
                <w:szCs w:val="24"/>
                <w:highlight w:val="none"/>
              </w:rPr>
              <w:t>2、投标截止后，在投标有效期内，供应商不能撤销磋商文件</w:t>
            </w:r>
          </w:p>
          <w:p w14:paraId="5561A05C">
            <w:pPr>
              <w:snapToGrid w:val="0"/>
              <w:spacing w:line="400" w:lineRule="exact"/>
              <w:ind w:left="17" w:right="199" w:rightChars="95" w:hanging="19" w:hangingChars="8"/>
              <w:rPr>
                <w:rFonts w:hint="eastAsia" w:ascii="宋体" w:hAnsi="宋体" w:cs="宋体"/>
                <w:color w:val="auto"/>
                <w:sz w:val="24"/>
                <w:szCs w:val="24"/>
                <w:highlight w:val="none"/>
              </w:rPr>
            </w:pPr>
            <w:r>
              <w:rPr>
                <w:rFonts w:hint="eastAsia" w:ascii="宋体" w:hAnsi="宋体" w:cs="宋体"/>
                <w:color w:val="auto"/>
                <w:sz w:val="24"/>
                <w:szCs w:val="24"/>
                <w:highlight w:val="none"/>
              </w:rPr>
              <w:t>3、中标后，供应商拒绝签订合同的，采购人可以按照评审报告推荐的中标候选人名单排序，确定下一候选人为中标供应商，也可以重新开展政府采购活动。</w:t>
            </w:r>
          </w:p>
          <w:p w14:paraId="63D0930F">
            <w:pPr>
              <w:snapToGrid w:val="0"/>
              <w:spacing w:line="400" w:lineRule="exact"/>
              <w:ind w:left="17" w:right="199" w:rightChars="95" w:hanging="19" w:hangingChars="8"/>
              <w:rPr>
                <w:rFonts w:hint="eastAsia" w:ascii="宋体" w:hAnsi="宋体" w:cs="宋体"/>
                <w:color w:val="auto"/>
                <w:sz w:val="24"/>
                <w:szCs w:val="24"/>
                <w:highlight w:val="none"/>
              </w:rPr>
            </w:pPr>
            <w:r>
              <w:rPr>
                <w:rFonts w:hint="eastAsia" w:ascii="宋体" w:hAnsi="宋体" w:cs="宋体"/>
                <w:color w:val="auto"/>
                <w:sz w:val="24"/>
                <w:szCs w:val="24"/>
                <w:highlight w:val="none"/>
              </w:rPr>
              <w:t>4、存在下列行为的，招标代理机构将其失信行为上报政府采购主管部门，由主管部门按有关规定对其违法失信行为记录进行公开：</w:t>
            </w:r>
          </w:p>
          <w:p w14:paraId="69E6BF3E">
            <w:pPr>
              <w:snapToGrid w:val="0"/>
              <w:spacing w:line="400" w:lineRule="exact"/>
              <w:ind w:left="17" w:right="199" w:rightChars="95" w:hanging="19" w:hangingChars="8"/>
              <w:rPr>
                <w:rFonts w:hint="eastAsia" w:ascii="宋体" w:hAnsi="宋体" w:cs="宋体"/>
                <w:color w:val="auto"/>
                <w:sz w:val="24"/>
                <w:szCs w:val="24"/>
                <w:highlight w:val="none"/>
              </w:rPr>
            </w:pPr>
            <w:r>
              <w:rPr>
                <w:rFonts w:hint="eastAsia" w:ascii="宋体" w:hAnsi="宋体" w:cs="宋体"/>
                <w:color w:val="auto"/>
                <w:sz w:val="24"/>
                <w:szCs w:val="24"/>
                <w:highlight w:val="none"/>
              </w:rPr>
              <w:t>（1）中标或者成交后，拒绝签订政府采购合同的；</w:t>
            </w:r>
          </w:p>
          <w:p w14:paraId="52DEA48E">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（2）投标有效期内撤销磋商文件的</w:t>
            </w:r>
            <w:r>
              <w:rPr>
                <w:rFonts w:hint="eastAsia" w:ascii="宋体" w:hAnsi="宋体" w:cs="宋体"/>
                <w:color w:val="auto"/>
                <w:sz w:val="24"/>
                <w:szCs w:val="24"/>
                <w:highlight w:val="none"/>
                <w:lang w:eastAsia="zh-CN"/>
              </w:rPr>
              <w:t>。</w:t>
            </w:r>
          </w:p>
        </w:tc>
      </w:tr>
      <w:tr w14:paraId="0B8E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1C57303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880" w:type="dxa"/>
            <w:noWrap w:val="0"/>
            <w:vAlign w:val="center"/>
          </w:tcPr>
          <w:p w14:paraId="724F8C5C">
            <w:pPr>
              <w:spacing w:line="360" w:lineRule="auto"/>
              <w:jc w:val="center"/>
              <w:rPr>
                <w:rFonts w:ascii="宋体" w:cs="宋体"/>
                <w:color w:val="auto"/>
                <w:sz w:val="24"/>
                <w:szCs w:val="24"/>
                <w:highlight w:val="none"/>
              </w:rPr>
            </w:pPr>
            <w:r>
              <w:rPr>
                <w:rFonts w:hint="eastAsia" w:ascii="宋体" w:hAnsi="宋体" w:cs="宋体"/>
                <w:color w:val="auto"/>
                <w:sz w:val="24"/>
                <w:szCs w:val="24"/>
                <w:highlight w:val="none"/>
              </w:rPr>
              <w:t>磋商响应文件有效期</w:t>
            </w:r>
          </w:p>
        </w:tc>
        <w:tc>
          <w:tcPr>
            <w:tcW w:w="6203" w:type="dxa"/>
            <w:noWrap w:val="0"/>
            <w:vAlign w:val="center"/>
          </w:tcPr>
          <w:p w14:paraId="0CEE46B5">
            <w:pPr>
              <w:spacing w:line="360" w:lineRule="auto"/>
              <w:rPr>
                <w:rFonts w:ascii="宋体" w:cs="宋体"/>
                <w:color w:val="auto"/>
                <w:sz w:val="24"/>
                <w:szCs w:val="24"/>
                <w:highlight w:val="none"/>
              </w:rPr>
            </w:pPr>
            <w:r>
              <w:rPr>
                <w:rFonts w:hint="eastAsia" w:ascii="宋体" w:hAnsi="宋体" w:cs="宋体"/>
                <w:color w:val="auto"/>
                <w:sz w:val="24"/>
                <w:szCs w:val="24"/>
                <w:highlight w:val="none"/>
              </w:rPr>
              <w:t>磋商响应有效期为磋商后90天，磋商响应</w:t>
            </w:r>
            <w:r>
              <w:rPr>
                <w:rFonts w:hint="eastAsia" w:ascii="宋体" w:hAnsi="宋体" w:cs="宋体"/>
                <w:color w:val="auto"/>
                <w:kern w:val="0"/>
                <w:sz w:val="24"/>
                <w:szCs w:val="24"/>
                <w:highlight w:val="none"/>
              </w:rPr>
              <w:t>有效期从提交</w:t>
            </w:r>
            <w:r>
              <w:rPr>
                <w:rFonts w:hint="eastAsia" w:ascii="宋体" w:hAnsi="宋体" w:cs="宋体"/>
                <w:color w:val="auto"/>
                <w:sz w:val="24"/>
                <w:szCs w:val="24"/>
                <w:highlight w:val="none"/>
              </w:rPr>
              <w:t>磋商响应</w:t>
            </w:r>
            <w:r>
              <w:rPr>
                <w:rFonts w:hint="eastAsia" w:ascii="宋体" w:hAnsi="宋体" w:cs="宋体"/>
                <w:color w:val="auto"/>
                <w:kern w:val="0"/>
                <w:sz w:val="24"/>
                <w:szCs w:val="24"/>
                <w:highlight w:val="none"/>
              </w:rPr>
              <w:t>文件的截止之日起算。</w:t>
            </w:r>
          </w:p>
        </w:tc>
      </w:tr>
      <w:tr w14:paraId="467D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185C10AF">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880" w:type="dxa"/>
            <w:noWrap w:val="0"/>
            <w:vAlign w:val="center"/>
          </w:tcPr>
          <w:p w14:paraId="37F478D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磋商响应文件递交</w:t>
            </w:r>
          </w:p>
        </w:tc>
        <w:tc>
          <w:tcPr>
            <w:tcW w:w="6203" w:type="dxa"/>
            <w:noWrap w:val="0"/>
            <w:vAlign w:val="center"/>
          </w:tcPr>
          <w:p w14:paraId="656ECD69">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详见竞争性磋商公告</w:t>
            </w:r>
          </w:p>
        </w:tc>
      </w:tr>
      <w:tr w14:paraId="005D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noWrap w:val="0"/>
            <w:vAlign w:val="center"/>
          </w:tcPr>
          <w:p w14:paraId="359EF49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1880" w:type="dxa"/>
            <w:noWrap w:val="0"/>
            <w:vAlign w:val="center"/>
          </w:tcPr>
          <w:p w14:paraId="300E830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响应文件开启时间</w:t>
            </w:r>
            <w:r>
              <w:rPr>
                <w:rFonts w:hint="eastAsia" w:ascii="宋体" w:hAnsi="宋体" w:eastAsia="宋体" w:cs="宋体"/>
                <w:color w:val="auto"/>
                <w:sz w:val="24"/>
                <w:szCs w:val="24"/>
                <w:highlight w:val="none"/>
              </w:rPr>
              <w:t>及地点</w:t>
            </w:r>
          </w:p>
        </w:tc>
        <w:tc>
          <w:tcPr>
            <w:tcW w:w="6203" w:type="dxa"/>
            <w:noWrap w:val="0"/>
            <w:vAlign w:val="center"/>
          </w:tcPr>
          <w:p w14:paraId="4EA873F5">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详见竞争性磋商公告</w:t>
            </w:r>
          </w:p>
        </w:tc>
      </w:tr>
      <w:tr w14:paraId="350F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40" w:type="dxa"/>
            <w:noWrap w:val="0"/>
            <w:vAlign w:val="center"/>
          </w:tcPr>
          <w:p w14:paraId="5BB04474">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1880" w:type="dxa"/>
            <w:noWrap w:val="0"/>
            <w:vAlign w:val="center"/>
          </w:tcPr>
          <w:p w14:paraId="5225E832">
            <w:pPr>
              <w:spacing w:line="360" w:lineRule="auto"/>
              <w:jc w:val="center"/>
              <w:rPr>
                <w:rFonts w:hint="eastAsia" w:ascii="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tc>
        <w:tc>
          <w:tcPr>
            <w:tcW w:w="6203" w:type="dxa"/>
            <w:noWrap w:val="0"/>
            <w:vAlign w:val="center"/>
          </w:tcPr>
          <w:p w14:paraId="12D7B55A">
            <w:pPr>
              <w:spacing w:line="360" w:lineRule="auto"/>
              <w:rPr>
                <w:rFonts w:hint="eastAsia" w:ascii="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本项目不设磋商</w:t>
            </w:r>
            <w:r>
              <w:rPr>
                <w:rFonts w:hint="eastAsia" w:ascii="宋体" w:hAnsi="宋体" w:eastAsia="宋体" w:cs="宋体"/>
                <w:b/>
                <w:bCs/>
                <w:color w:val="auto"/>
                <w:sz w:val="24"/>
                <w:szCs w:val="24"/>
                <w:highlight w:val="none"/>
              </w:rPr>
              <w:t>保证金</w:t>
            </w:r>
          </w:p>
        </w:tc>
      </w:tr>
      <w:tr w14:paraId="0BEC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noWrap w:val="0"/>
            <w:vAlign w:val="center"/>
          </w:tcPr>
          <w:p w14:paraId="76D5663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w:t>
            </w:r>
          </w:p>
        </w:tc>
        <w:tc>
          <w:tcPr>
            <w:tcW w:w="1880" w:type="dxa"/>
            <w:noWrap w:val="0"/>
            <w:vAlign w:val="center"/>
          </w:tcPr>
          <w:p w14:paraId="07E747D0">
            <w:pPr>
              <w:spacing w:line="360" w:lineRule="auto"/>
              <w:jc w:val="center"/>
              <w:rPr>
                <w:rFonts w:hint="eastAsia" w:asci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6203" w:type="dxa"/>
            <w:noWrap w:val="0"/>
            <w:vAlign w:val="center"/>
          </w:tcPr>
          <w:p w14:paraId="028CC999">
            <w:pPr>
              <w:pStyle w:val="12"/>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供应商在签订合同前须交纳本项目履约保证金</w:t>
            </w:r>
            <w:r>
              <w:rPr>
                <w:rFonts w:hint="eastAsia" w:ascii="宋体" w:hAnsi="宋体" w:eastAsia="宋体" w:cs="宋体"/>
                <w:color w:val="auto"/>
                <w:sz w:val="24"/>
                <w:szCs w:val="24"/>
                <w:highlight w:val="none"/>
                <w:lang w:eastAsia="zh-CN"/>
              </w:rPr>
              <w:t>，金额</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%（履约保证金应采用保函方式，若不能办理保函的，以转帐形式解入采购人指定的帐户）</w:t>
            </w:r>
            <w:r>
              <w:rPr>
                <w:rFonts w:hint="eastAsia" w:ascii="宋体" w:hAnsi="宋体" w:eastAsia="宋体" w:cs="宋体"/>
                <w:color w:val="auto"/>
                <w:sz w:val="24"/>
                <w:szCs w:val="24"/>
                <w:highlight w:val="none"/>
                <w:lang w:eastAsia="zh-CN"/>
              </w:rPr>
              <w:t>。</w:t>
            </w:r>
          </w:p>
          <w:p w14:paraId="66DEFB85">
            <w:pPr>
              <w:pStyle w:val="12"/>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lang w:eastAsia="zh-CN"/>
              </w:rPr>
              <w:t>在本项目服务期结束后不计息退还。</w:t>
            </w:r>
          </w:p>
        </w:tc>
      </w:tr>
      <w:tr w14:paraId="6DA5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noWrap w:val="0"/>
            <w:vAlign w:val="center"/>
          </w:tcPr>
          <w:p w14:paraId="764B097A">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1880" w:type="dxa"/>
            <w:noWrap w:val="0"/>
            <w:vAlign w:val="center"/>
          </w:tcPr>
          <w:p w14:paraId="4E6E9A59">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w:t>
            </w:r>
          </w:p>
          <w:p w14:paraId="2254C31A">
            <w:pPr>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扶持政策</w:t>
            </w:r>
          </w:p>
        </w:tc>
        <w:tc>
          <w:tcPr>
            <w:tcW w:w="6203" w:type="dxa"/>
            <w:noWrap w:val="0"/>
            <w:vAlign w:val="center"/>
          </w:tcPr>
          <w:p w14:paraId="2B6669F5">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1、本项目整体专门面向中小企业采购。</w:t>
            </w:r>
          </w:p>
          <w:p w14:paraId="47C46668">
            <w:pPr>
              <w:spacing w:line="360" w:lineRule="auto"/>
              <w:jc w:val="left"/>
              <w:rPr>
                <w:rFonts w:hint="eastAsia"/>
                <w:color w:val="auto"/>
                <w:kern w:val="2"/>
                <w:sz w:val="24"/>
                <w:szCs w:val="24"/>
                <w:highlight w:val="none"/>
                <w:lang w:val="en-US" w:eastAsia="zh-CN" w:bidi="ar-SA"/>
              </w:rPr>
            </w:pPr>
            <w:r>
              <w:rPr>
                <w:rFonts w:hint="eastAsia" w:ascii="宋体" w:hAnsi="宋体" w:eastAsia="宋体" w:cs="宋体"/>
                <w:color w:val="auto"/>
                <w:sz w:val="24"/>
                <w:szCs w:val="24"/>
                <w:highlight w:val="none"/>
              </w:rPr>
              <w:t>2、对节能、环保产品优先采购。</w:t>
            </w:r>
          </w:p>
        </w:tc>
      </w:tr>
      <w:tr w14:paraId="0504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0" w:type="dxa"/>
            <w:noWrap w:val="0"/>
            <w:vAlign w:val="center"/>
          </w:tcPr>
          <w:p w14:paraId="25ADA69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880" w:type="dxa"/>
            <w:noWrap w:val="0"/>
            <w:vAlign w:val="center"/>
          </w:tcPr>
          <w:p w14:paraId="352E7E3B">
            <w:pPr>
              <w:spacing w:line="360" w:lineRule="auto"/>
              <w:jc w:val="center"/>
              <w:rPr>
                <w:rFonts w:hint="eastAsia" w:ascii="宋体" w:hAnsi="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投标文件备案</w:t>
            </w:r>
          </w:p>
        </w:tc>
        <w:tc>
          <w:tcPr>
            <w:tcW w:w="6203" w:type="dxa"/>
            <w:noWrap w:val="0"/>
            <w:vAlign w:val="center"/>
          </w:tcPr>
          <w:p w14:paraId="53BDF12E">
            <w:pPr>
              <w:spacing w:line="360" w:lineRule="auto"/>
              <w:jc w:val="left"/>
              <w:rPr>
                <w:rFonts w:hint="eastAsia"/>
                <w:color w:val="auto"/>
                <w:kern w:val="2"/>
                <w:sz w:val="24"/>
                <w:szCs w:val="24"/>
                <w:highlight w:val="none"/>
                <w:lang w:val="en-US" w:eastAsia="zh-CN" w:bidi="ar-SA"/>
              </w:rPr>
            </w:pPr>
            <w:r>
              <w:rPr>
                <w:rFonts w:hint="eastAsia" w:ascii="宋体" w:hAnsi="宋体" w:eastAsia="宋体" w:cs="宋体"/>
                <w:color w:val="auto"/>
                <w:sz w:val="24"/>
                <w:szCs w:val="24"/>
                <w:highlight w:val="none"/>
              </w:rPr>
              <w:t>中标单位需在中标确认后7个工作日内，邮寄1套纸质投标文件至招标代理机构。</w:t>
            </w:r>
          </w:p>
        </w:tc>
      </w:tr>
      <w:tr w14:paraId="4D39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0" w:type="dxa"/>
            <w:noWrap w:val="0"/>
            <w:vAlign w:val="center"/>
          </w:tcPr>
          <w:p w14:paraId="7D0D5732">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rPr>
              <w:t>17</w:t>
            </w:r>
          </w:p>
        </w:tc>
        <w:tc>
          <w:tcPr>
            <w:tcW w:w="1880" w:type="dxa"/>
            <w:noWrap w:val="0"/>
            <w:vAlign w:val="center"/>
          </w:tcPr>
          <w:p w14:paraId="6D1A3B49">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lang w:val="zh-CN"/>
              </w:rPr>
              <w:t>实质性条款</w:t>
            </w:r>
          </w:p>
        </w:tc>
        <w:tc>
          <w:tcPr>
            <w:tcW w:w="6203" w:type="dxa"/>
            <w:noWrap w:val="0"/>
            <w:vAlign w:val="center"/>
          </w:tcPr>
          <w:p w14:paraId="766D9B45">
            <w:pPr>
              <w:autoSpaceDE w:val="0"/>
              <w:autoSpaceDN w:val="0"/>
              <w:adjustRightInd w:val="0"/>
              <w:spacing w:line="360" w:lineRule="auto"/>
              <w:rPr>
                <w:rFonts w:hint="eastAsia" w:ascii="宋体" w:hAnsi="宋体" w:cs="宋体"/>
                <w:color w:val="auto"/>
                <w:sz w:val="24"/>
                <w:szCs w:val="24"/>
                <w:highlight w:val="none"/>
              </w:rPr>
            </w:pPr>
            <w:r>
              <w:rPr>
                <w:rFonts w:hint="eastAsia"/>
                <w:color w:val="auto"/>
                <w:sz w:val="24"/>
              </w:rPr>
              <w:t>带“▲”的条款是实质性条款，磋商响应文件须作出实质性响应，否则作无效投标处理。</w:t>
            </w:r>
          </w:p>
        </w:tc>
      </w:tr>
      <w:tr w14:paraId="2E76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0" w:type="dxa"/>
            <w:noWrap w:val="0"/>
            <w:vAlign w:val="center"/>
          </w:tcPr>
          <w:p w14:paraId="762145A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1880" w:type="dxa"/>
            <w:noWrap w:val="0"/>
            <w:vAlign w:val="center"/>
          </w:tcPr>
          <w:p w14:paraId="2FCA4582">
            <w:pPr>
              <w:autoSpaceDE w:val="0"/>
              <w:autoSpaceDN w:val="0"/>
              <w:adjustRightInd w:val="0"/>
              <w:spacing w:line="360" w:lineRule="auto"/>
              <w:jc w:val="center"/>
              <w:rPr>
                <w:rFonts w:ascii="宋体" w:cs="宋体"/>
                <w:color w:val="auto"/>
                <w:kern w:val="2"/>
                <w:sz w:val="24"/>
                <w:szCs w:val="24"/>
                <w:highlight w:val="none"/>
                <w:lang w:val="zh-CN" w:eastAsia="zh-CN" w:bidi="ar-SA"/>
              </w:rPr>
            </w:pPr>
            <w:r>
              <w:rPr>
                <w:rFonts w:hint="eastAsia" w:ascii="宋体" w:hAnsi="宋体" w:cs="宋体"/>
                <w:color w:val="auto"/>
                <w:sz w:val="24"/>
                <w:szCs w:val="24"/>
                <w:highlight w:val="none"/>
              </w:rPr>
              <w:t>解释权</w:t>
            </w:r>
          </w:p>
        </w:tc>
        <w:tc>
          <w:tcPr>
            <w:tcW w:w="6203" w:type="dxa"/>
            <w:noWrap w:val="0"/>
            <w:vAlign w:val="center"/>
          </w:tcPr>
          <w:p w14:paraId="65533A4B">
            <w:pPr>
              <w:autoSpaceDE w:val="0"/>
              <w:autoSpaceDN w:val="0"/>
              <w:adjustRightInd w:val="0"/>
              <w:spacing w:line="360" w:lineRule="auto"/>
              <w:rPr>
                <w:rFonts w:ascii="宋体" w:cs="宋体"/>
                <w:color w:val="auto"/>
                <w:kern w:val="2"/>
                <w:sz w:val="24"/>
                <w:szCs w:val="24"/>
                <w:highlight w:val="none"/>
                <w:lang w:val="en-US" w:eastAsia="zh-CN" w:bidi="ar-SA"/>
              </w:rPr>
            </w:pPr>
            <w:r>
              <w:rPr>
                <w:rFonts w:hint="eastAsia" w:ascii="宋体" w:hAnsi="宋体" w:cs="宋体"/>
                <w:color w:val="auto"/>
                <w:sz w:val="24"/>
                <w:szCs w:val="24"/>
                <w:highlight w:val="none"/>
              </w:rPr>
              <w:t>本磋商文件解释权属于采购人和</w:t>
            </w:r>
            <w:r>
              <w:rPr>
                <w:rFonts w:hint="eastAsia" w:ascii="宋体" w:hAnsi="宋体" w:cs="Arial"/>
                <w:color w:val="auto"/>
                <w:sz w:val="24"/>
                <w:szCs w:val="24"/>
                <w:highlight w:val="none"/>
              </w:rPr>
              <w:t>采购代理机构</w:t>
            </w:r>
          </w:p>
        </w:tc>
      </w:tr>
      <w:tr w14:paraId="6314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vMerge w:val="restart"/>
            <w:noWrap w:val="0"/>
            <w:vAlign w:val="center"/>
          </w:tcPr>
          <w:p w14:paraId="1E5D16C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w:t>
            </w:r>
          </w:p>
        </w:tc>
        <w:tc>
          <w:tcPr>
            <w:tcW w:w="1880" w:type="dxa"/>
            <w:vMerge w:val="restart"/>
            <w:noWrap w:val="0"/>
            <w:vAlign w:val="center"/>
          </w:tcPr>
          <w:p w14:paraId="21EFF0BD">
            <w:pPr>
              <w:autoSpaceDE w:val="0"/>
              <w:autoSpaceDN w:val="0"/>
              <w:adjustRightIn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注意事项</w:t>
            </w:r>
          </w:p>
        </w:tc>
        <w:tc>
          <w:tcPr>
            <w:tcW w:w="6203" w:type="dxa"/>
            <w:noWrap w:val="0"/>
            <w:vAlign w:val="center"/>
          </w:tcPr>
          <w:p w14:paraId="4B276A48">
            <w:pPr>
              <w:autoSpaceDE w:val="0"/>
              <w:autoSpaceDN w:val="0"/>
              <w:adjustRightIn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获取磋商文件时应填写正确的电子邮箱</w:t>
            </w:r>
            <w:r>
              <w:rPr>
                <w:rFonts w:hint="eastAsia" w:ascii="宋体" w:hAnsi="宋体" w:cs="宋体"/>
                <w:color w:val="auto"/>
                <w:sz w:val="24"/>
                <w:szCs w:val="24"/>
                <w:highlight w:val="none"/>
              </w:rPr>
              <w:t>（开标时文件传输均发至此邮箱）</w:t>
            </w:r>
          </w:p>
        </w:tc>
      </w:tr>
      <w:tr w14:paraId="0F38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vMerge w:val="continue"/>
            <w:noWrap w:val="0"/>
            <w:vAlign w:val="center"/>
          </w:tcPr>
          <w:p w14:paraId="46BA0ECF">
            <w:pPr>
              <w:spacing w:line="360" w:lineRule="auto"/>
              <w:jc w:val="center"/>
              <w:rPr>
                <w:rFonts w:hint="eastAsia" w:ascii="宋体" w:hAnsi="宋体" w:cs="宋体"/>
                <w:color w:val="auto"/>
                <w:sz w:val="24"/>
                <w:szCs w:val="24"/>
                <w:highlight w:val="none"/>
              </w:rPr>
            </w:pPr>
          </w:p>
        </w:tc>
        <w:tc>
          <w:tcPr>
            <w:tcW w:w="1880" w:type="dxa"/>
            <w:vMerge w:val="continue"/>
            <w:noWrap w:val="0"/>
            <w:vAlign w:val="center"/>
          </w:tcPr>
          <w:p w14:paraId="265DA0D6">
            <w:pPr>
              <w:autoSpaceDE w:val="0"/>
              <w:autoSpaceDN w:val="0"/>
              <w:adjustRightInd w:val="0"/>
              <w:spacing w:line="360" w:lineRule="auto"/>
              <w:jc w:val="center"/>
              <w:rPr>
                <w:rFonts w:hint="eastAsia" w:ascii="宋体" w:hAnsi="宋体" w:cs="宋体"/>
                <w:color w:val="auto"/>
                <w:sz w:val="24"/>
                <w:szCs w:val="24"/>
                <w:highlight w:val="none"/>
                <w:lang w:val="zh-CN"/>
              </w:rPr>
            </w:pPr>
          </w:p>
        </w:tc>
        <w:tc>
          <w:tcPr>
            <w:tcW w:w="6203" w:type="dxa"/>
            <w:noWrap w:val="0"/>
            <w:vAlign w:val="center"/>
          </w:tcPr>
          <w:p w14:paraId="2C9EA732">
            <w:pPr>
              <w:spacing w:line="400" w:lineRule="exact"/>
              <w:ind w:left="17" w:right="199" w:rightChars="95" w:hanging="19" w:hangingChars="8"/>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1.请务必确保磋商文件制作客户端为最新版本，旧版本可能导致磋商文件解密失败。</w:t>
            </w:r>
          </w:p>
          <w:p w14:paraId="4ADED853">
            <w:pPr>
              <w:spacing w:line="400" w:lineRule="exact"/>
              <w:ind w:left="17" w:right="199" w:rightChars="95" w:hanging="19" w:hangingChars="8"/>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2.请务必确保磋商文件制作时所用的 CA 锁与磋商文件解密时的 CA 锁为同一把，否则可能导致磋商文件解密失败。</w:t>
            </w:r>
          </w:p>
        </w:tc>
      </w:tr>
    </w:tbl>
    <w:p w14:paraId="36E7B772">
      <w:pPr>
        <w:pStyle w:val="11"/>
        <w:snapToGrid w:val="0"/>
        <w:spacing w:before="120" w:beforeLines="0" w:after="120" w:afterLines="0" w:line="360" w:lineRule="auto"/>
        <w:jc w:val="left"/>
        <w:rPr>
          <w:rFonts w:hint="eastAsia" w:hAnsi="宋体"/>
          <w:b/>
          <w:color w:val="auto"/>
          <w:sz w:val="24"/>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heme="minorEastAsia" w:hAnsiTheme="minorEastAsia" w:eastAsiaTheme="minorEastAsia"/>
          <w:b/>
          <w:color w:val="auto"/>
          <w:sz w:val="24"/>
          <w:highlight w:val="none"/>
        </w:rPr>
        <w:t>“特别说明：为优化政府采购营商环境，缓解供应商资金难题，政府采购已推广应用“政采贷”、“政采保”等服务，供应商可以银行保函、保险公司保单、融资担保公司保函、银行转账（或电汇）等方式缴纳至采购人指定账户。”</w:t>
      </w:r>
    </w:p>
    <w:p w14:paraId="017899B7">
      <w:pPr>
        <w:pStyle w:val="11"/>
        <w:snapToGrid w:val="0"/>
        <w:spacing w:before="120" w:beforeLines="0" w:after="120" w:afterLines="0" w:line="360" w:lineRule="auto"/>
        <w:jc w:val="left"/>
        <w:rPr>
          <w:rFonts w:hint="eastAsia" w:hAnsi="宋体"/>
          <w:b/>
          <w:color w:val="auto"/>
          <w:sz w:val="24"/>
          <w:highlight w:val="none"/>
        </w:rPr>
      </w:pPr>
      <w:r>
        <w:rPr>
          <w:rFonts w:hint="eastAsia" w:hAnsi="宋体"/>
          <w:b/>
          <w:color w:val="auto"/>
          <w:sz w:val="24"/>
          <w:highlight w:val="none"/>
        </w:rPr>
        <w:t>一 、总  则</w:t>
      </w:r>
    </w:p>
    <w:p w14:paraId="4FDF8994">
      <w:pPr>
        <w:pStyle w:val="11"/>
        <w:snapToGrid w:val="0"/>
        <w:spacing w:before="120" w:beforeLines="0" w:after="120" w:afterLines="0" w:line="360" w:lineRule="auto"/>
        <w:ind w:firstLine="361" w:firstLineChars="150"/>
        <w:jc w:val="left"/>
        <w:rPr>
          <w:rFonts w:hAnsi="宋体"/>
          <w:b/>
          <w:color w:val="auto"/>
          <w:sz w:val="24"/>
          <w:highlight w:val="none"/>
        </w:rPr>
      </w:pPr>
      <w:r>
        <w:rPr>
          <w:rFonts w:hint="eastAsia" w:hAnsi="宋体"/>
          <w:b/>
          <w:color w:val="auto"/>
          <w:sz w:val="24"/>
          <w:highlight w:val="none"/>
        </w:rPr>
        <w:t>（一）</w:t>
      </w:r>
      <w:r>
        <w:rPr>
          <w:rFonts w:hAnsi="宋体"/>
          <w:b/>
          <w:color w:val="auto"/>
          <w:sz w:val="24"/>
          <w:highlight w:val="none"/>
        </w:rPr>
        <w:t xml:space="preserve"> 适用范围</w:t>
      </w:r>
    </w:p>
    <w:p w14:paraId="3F933E62">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w:t>
      </w:r>
      <w:r>
        <w:rPr>
          <w:rFonts w:hint="eastAsia" w:ascii="宋体" w:hAnsi="宋体"/>
          <w:bCs/>
          <w:color w:val="auto"/>
          <w:sz w:val="24"/>
          <w:highlight w:val="none"/>
        </w:rPr>
        <w:t>磋商文件</w:t>
      </w:r>
      <w:r>
        <w:rPr>
          <w:rFonts w:hint="eastAsia" w:ascii="宋体" w:hAnsi="宋体"/>
          <w:color w:val="auto"/>
          <w:sz w:val="24"/>
          <w:highlight w:val="none"/>
        </w:rPr>
        <w:t>适用于</w:t>
      </w:r>
      <w:r>
        <w:rPr>
          <w:rFonts w:hint="eastAsia" w:ascii="宋体" w:hAnsi="宋体"/>
          <w:bCs/>
          <w:color w:val="auto"/>
          <w:sz w:val="24"/>
          <w:highlight w:val="none"/>
        </w:rPr>
        <w:t>本次</w:t>
      </w:r>
      <w:r>
        <w:rPr>
          <w:rFonts w:hint="eastAsia" w:ascii="宋体" w:hAnsi="宋体"/>
          <w:color w:val="auto"/>
          <w:sz w:val="24"/>
          <w:highlight w:val="none"/>
        </w:rPr>
        <w:t>项目的磋商、</w:t>
      </w:r>
      <w:r>
        <w:rPr>
          <w:rFonts w:hint="eastAsia" w:ascii="宋体" w:hAnsi="宋体"/>
          <w:bCs/>
          <w:color w:val="auto"/>
          <w:sz w:val="24"/>
          <w:highlight w:val="none"/>
        </w:rPr>
        <w:t>评审、确定成交供应商</w:t>
      </w:r>
      <w:r>
        <w:rPr>
          <w:rFonts w:hint="eastAsia" w:ascii="宋体" w:hAnsi="宋体"/>
          <w:color w:val="auto"/>
          <w:sz w:val="24"/>
          <w:highlight w:val="none"/>
        </w:rPr>
        <w:t>、验收、合同履约、付款等行为（法律、法规另有规定的，从其规定）。</w:t>
      </w:r>
    </w:p>
    <w:p w14:paraId="241EE78F">
      <w:pPr>
        <w:snapToGrid w:val="0"/>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（二）定义</w:t>
      </w:r>
    </w:p>
    <w:p w14:paraId="2005B5B6">
      <w:pPr>
        <w:pStyle w:val="5"/>
        <w:keepNext w:val="0"/>
        <w:keepLines w:val="0"/>
        <w:tabs>
          <w:tab w:val="left" w:pos="0"/>
          <w:tab w:val="left" w:pos="851"/>
        </w:tabs>
        <w:autoSpaceDE w:val="0"/>
        <w:autoSpaceDN w:val="0"/>
        <w:adjustRightInd w:val="0"/>
        <w:snapToGrid w:val="0"/>
        <w:spacing w:before="0" w:beforeLines="0" w:after="0" w:afterLines="0"/>
        <w:ind w:firstLine="566" w:firstLineChars="236"/>
        <w:jc w:val="left"/>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1、</w:t>
      </w:r>
      <w:r>
        <w:rPr>
          <w:rFonts w:hint="eastAsia" w:ascii="宋体" w:hAnsi="宋体" w:eastAsia="宋体"/>
          <w:b w:val="0"/>
          <w:bCs w:val="0"/>
          <w:color w:val="auto"/>
          <w:sz w:val="24"/>
          <w:szCs w:val="24"/>
          <w:highlight w:val="none"/>
          <w:lang w:val="zh-CN"/>
        </w:rPr>
        <w:t>“采购组织机构”指采购人委托组织磋商的采购代理机构。</w:t>
      </w:r>
    </w:p>
    <w:p w14:paraId="08483037">
      <w:pPr>
        <w:snapToGrid w:val="0"/>
        <w:spacing w:line="360" w:lineRule="auto"/>
        <w:ind w:firstLine="566" w:firstLineChars="236"/>
        <w:rPr>
          <w:rFonts w:ascii="宋体" w:hAnsi="宋体"/>
          <w:color w:val="auto"/>
          <w:sz w:val="24"/>
          <w:highlight w:val="none"/>
        </w:rPr>
      </w:pPr>
      <w:r>
        <w:rPr>
          <w:rFonts w:hint="eastAsia" w:ascii="宋体" w:hAnsi="宋体"/>
          <w:color w:val="auto"/>
          <w:sz w:val="24"/>
          <w:highlight w:val="none"/>
        </w:rPr>
        <w:t>2、采购人：是指委托采购代理机构采购本次项目的国家机关、事业单位和团体组织。</w:t>
      </w:r>
    </w:p>
    <w:p w14:paraId="1F690FE9">
      <w:pPr>
        <w:snapToGrid w:val="0"/>
        <w:spacing w:line="360" w:lineRule="auto"/>
        <w:ind w:firstLine="566" w:firstLineChars="236"/>
        <w:rPr>
          <w:rFonts w:hint="eastAsia" w:ascii="宋体" w:hAnsi="宋体"/>
          <w:color w:val="auto"/>
          <w:sz w:val="24"/>
          <w:highlight w:val="none"/>
        </w:rPr>
      </w:pPr>
    </w:p>
    <w:p w14:paraId="662616B0">
      <w:pPr>
        <w:snapToGrid w:val="0"/>
        <w:spacing w:line="360" w:lineRule="auto"/>
        <w:ind w:left="424" w:leftChars="202" w:firstLine="141" w:firstLineChars="59"/>
        <w:jc w:val="left"/>
        <w:rPr>
          <w:rFonts w:hint="eastAsia" w:ascii="宋体" w:hAnsi="宋体"/>
          <w:color w:val="auto"/>
          <w:sz w:val="24"/>
          <w:highlight w:val="none"/>
        </w:rPr>
      </w:pPr>
      <w:r>
        <w:rPr>
          <w:rFonts w:hint="eastAsia" w:ascii="宋体" w:hAnsi="宋体"/>
          <w:color w:val="auto"/>
          <w:sz w:val="24"/>
          <w:highlight w:val="none"/>
        </w:rPr>
        <w:t>3、磋商供应商：是指向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p>
    <w:p w14:paraId="43BA58AE">
      <w:pPr>
        <w:snapToGrid w:val="0"/>
        <w:spacing w:line="360" w:lineRule="auto"/>
        <w:ind w:left="424" w:leftChars="202" w:firstLine="143"/>
        <w:jc w:val="left"/>
        <w:rPr>
          <w:rFonts w:hint="eastAsia" w:ascii="宋体" w:hAnsi="宋体"/>
          <w:color w:val="auto"/>
          <w:sz w:val="24"/>
          <w:highlight w:val="none"/>
        </w:rPr>
      </w:pPr>
      <w:r>
        <w:rPr>
          <w:rFonts w:hint="eastAsia" w:ascii="宋体" w:hAnsi="宋体"/>
          <w:color w:val="auto"/>
          <w:sz w:val="24"/>
          <w:highlight w:val="none"/>
        </w:rPr>
        <w:t>4、货物：是指各种形态和种类的物品，包括原材料、燃料、设备、产品等。</w:t>
      </w:r>
    </w:p>
    <w:p w14:paraId="3A2C1BCF">
      <w:pPr>
        <w:snapToGrid w:val="0"/>
        <w:spacing w:line="360" w:lineRule="auto"/>
        <w:ind w:firstLine="566" w:firstLineChars="236"/>
        <w:jc w:val="left"/>
        <w:rPr>
          <w:rFonts w:ascii="宋体" w:hAnsi="宋体"/>
          <w:b/>
          <w:color w:val="auto"/>
          <w:sz w:val="24"/>
          <w:highlight w:val="none"/>
        </w:rPr>
      </w:pPr>
      <w:r>
        <w:rPr>
          <w:rFonts w:hint="eastAsia" w:ascii="宋体" w:hAnsi="宋体"/>
          <w:color w:val="auto"/>
          <w:sz w:val="24"/>
          <w:highlight w:val="none"/>
        </w:rPr>
        <w:t>5、服务：是指除货物和工程以外的政府采购</w:t>
      </w:r>
      <w:r>
        <w:rPr>
          <w:rFonts w:ascii="宋体" w:hAnsi="宋体"/>
          <w:color w:val="auto"/>
          <w:sz w:val="24"/>
          <w:highlight w:val="none"/>
        </w:rPr>
        <w:t>对象，包括各类专业服务、信息网络开发服务、金融保险服务、运输服务，以及维修与维护服务等。</w:t>
      </w:r>
    </w:p>
    <w:p w14:paraId="0C5445EE">
      <w:pPr>
        <w:snapToGrid w:val="0"/>
        <w:spacing w:line="360" w:lineRule="auto"/>
        <w:ind w:firstLine="566" w:firstLineChars="236"/>
        <w:jc w:val="left"/>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“书面形式”包括信函、传真等。</w:t>
      </w:r>
    </w:p>
    <w:p w14:paraId="20D1A8E2">
      <w:pPr>
        <w:snapToGrid w:val="0"/>
        <w:spacing w:before="156" w:beforeLines="50"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（三）磋商费用</w:t>
      </w:r>
    </w:p>
    <w:p w14:paraId="4D21AEB3">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不论磋商结果如何，供应商均应自行承担所有与磋商有关的全部费用（</w:t>
      </w:r>
      <w:r>
        <w:rPr>
          <w:rFonts w:hint="eastAsia" w:ascii="宋体" w:hAnsi="宋体"/>
          <w:bCs/>
          <w:color w:val="auto"/>
          <w:sz w:val="24"/>
          <w:highlight w:val="none"/>
        </w:rPr>
        <w:t>磋商文件</w:t>
      </w:r>
      <w:r>
        <w:rPr>
          <w:rFonts w:hint="eastAsia" w:ascii="宋体" w:hAnsi="宋体"/>
          <w:color w:val="auto"/>
          <w:sz w:val="24"/>
          <w:highlight w:val="none"/>
        </w:rPr>
        <w:t>有相关规定除外）。</w:t>
      </w:r>
    </w:p>
    <w:p w14:paraId="65D5C174">
      <w:pPr>
        <w:pStyle w:val="11"/>
        <w:snapToGrid w:val="0"/>
        <w:spacing w:line="360" w:lineRule="auto"/>
        <w:ind w:left="2" w:leftChars="1" w:firstLine="482" w:firstLineChars="200"/>
        <w:rPr>
          <w:rFonts w:hint="eastAsia" w:hAnsi="宋体"/>
          <w:b/>
          <w:color w:val="auto"/>
          <w:sz w:val="24"/>
          <w:highlight w:val="none"/>
        </w:rPr>
      </w:pPr>
      <w:r>
        <w:rPr>
          <w:rFonts w:hint="eastAsia" w:hAnsi="宋体"/>
          <w:b/>
          <w:color w:val="auto"/>
          <w:sz w:val="24"/>
          <w:highlight w:val="none"/>
        </w:rPr>
        <w:t>（四）特别说明</w:t>
      </w:r>
    </w:p>
    <w:p w14:paraId="6320E72A">
      <w:pPr>
        <w:pStyle w:val="11"/>
        <w:snapToGrid w:val="0"/>
        <w:spacing w:line="360" w:lineRule="auto"/>
        <w:ind w:left="2" w:leftChars="1" w:firstLine="480" w:firstLineChars="200"/>
        <w:rPr>
          <w:rFonts w:hAnsi="宋体"/>
          <w:color w:val="auto"/>
          <w:sz w:val="24"/>
          <w:highlight w:val="none"/>
        </w:rPr>
      </w:pPr>
      <w:r>
        <w:rPr>
          <w:rFonts w:hint="eastAsia" w:hAnsi="宋体"/>
          <w:color w:val="auto"/>
          <w:sz w:val="24"/>
          <w:highlight w:val="none"/>
        </w:rPr>
        <w:t>1、供应商</w:t>
      </w:r>
      <w:r>
        <w:rPr>
          <w:rFonts w:hAnsi="宋体"/>
          <w:color w:val="auto"/>
          <w:sz w:val="24"/>
          <w:highlight w:val="none"/>
        </w:rPr>
        <w:t>磋商所使用的资格、信誉、荣誉、业绩与企业认证必须为本法人所拥有。</w:t>
      </w:r>
      <w:r>
        <w:rPr>
          <w:rFonts w:hint="eastAsia" w:hAnsi="宋体"/>
          <w:color w:val="auto"/>
          <w:sz w:val="24"/>
          <w:highlight w:val="none"/>
        </w:rPr>
        <w:t>供应商</w:t>
      </w:r>
      <w:r>
        <w:rPr>
          <w:rFonts w:hAnsi="宋体"/>
          <w:color w:val="auto"/>
          <w:sz w:val="24"/>
          <w:highlight w:val="none"/>
        </w:rPr>
        <w:t>磋商所使用的采购项目实施人员必须为本法人员工（</w:t>
      </w:r>
      <w:r>
        <w:rPr>
          <w:rFonts w:hint="eastAsia" w:hAnsi="宋体"/>
          <w:color w:val="auto"/>
          <w:sz w:val="24"/>
          <w:highlight w:val="none"/>
        </w:rPr>
        <w:t>指</w:t>
      </w:r>
      <w:r>
        <w:rPr>
          <w:rFonts w:hAnsi="宋体"/>
          <w:color w:val="auto"/>
          <w:sz w:val="24"/>
          <w:highlight w:val="none"/>
        </w:rPr>
        <w:t>必须为本法人或控股公司正式员工）。</w:t>
      </w:r>
    </w:p>
    <w:p w14:paraId="7CBB0D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hAnsi="宋体"/>
          <w:color w:val="auto"/>
          <w:sz w:val="24"/>
          <w:highlight w:val="none"/>
        </w:rPr>
        <w:t>、供应商所标产品除</w:t>
      </w:r>
      <w:r>
        <w:rPr>
          <w:rFonts w:hint="eastAsia" w:ascii="宋体" w:hAnsi="宋体"/>
          <w:bCs/>
          <w:color w:val="auto"/>
          <w:sz w:val="24"/>
          <w:highlight w:val="none"/>
        </w:rPr>
        <w:t>磋商文件</w:t>
      </w:r>
      <w:r>
        <w:rPr>
          <w:rFonts w:hint="eastAsia" w:hAnsi="宋体"/>
          <w:color w:val="auto"/>
          <w:sz w:val="24"/>
          <w:highlight w:val="none"/>
        </w:rPr>
        <w:t>中明确规定要求“提供官网截图或相应检测报告的证明材料”以外，所有技术参数描述均以</w:t>
      </w:r>
      <w:r>
        <w:rPr>
          <w:rFonts w:hint="eastAsia" w:ascii="宋体" w:hAnsi="宋体"/>
          <w:color w:val="auto"/>
          <w:sz w:val="24"/>
          <w:highlight w:val="none"/>
        </w:rPr>
        <w:t>磋商响应文件</w:t>
      </w:r>
      <w:r>
        <w:rPr>
          <w:rFonts w:hint="eastAsia" w:hAnsi="宋体"/>
          <w:color w:val="auto"/>
          <w:sz w:val="24"/>
          <w:highlight w:val="none"/>
        </w:rPr>
        <w:t>为准。</w:t>
      </w:r>
      <w:r>
        <w:rPr>
          <w:rFonts w:hint="eastAsia" w:hAnsi="宋体"/>
          <w:b/>
          <w:color w:val="auto"/>
          <w:sz w:val="24"/>
          <w:highlight w:val="none"/>
        </w:rPr>
        <w:t>磋商供应商对所标产品技术参数的真实性承担法律责任。</w:t>
      </w:r>
      <w:r>
        <w:rPr>
          <w:rFonts w:hint="eastAsia" w:hAnsi="宋体"/>
          <w:color w:val="auto"/>
          <w:sz w:val="24"/>
          <w:highlight w:val="none"/>
        </w:rPr>
        <w:t>项目</w:t>
      </w:r>
      <w:r>
        <w:rPr>
          <w:rFonts w:hint="eastAsia" w:ascii="宋体" w:hAnsi="宋体"/>
          <w:bCs/>
          <w:color w:val="auto"/>
          <w:sz w:val="24"/>
          <w:highlight w:val="none"/>
        </w:rPr>
        <w:t>磋商</w:t>
      </w:r>
      <w:r>
        <w:rPr>
          <w:rFonts w:hint="eastAsia" w:hAnsi="宋体"/>
          <w:color w:val="auto"/>
          <w:sz w:val="24"/>
          <w:highlight w:val="none"/>
        </w:rPr>
        <w:t>结束后、质疑期限内，如有质疑供应商认为成交供应商所标产品、</w:t>
      </w:r>
      <w:r>
        <w:rPr>
          <w:rFonts w:hint="eastAsia" w:ascii="宋体" w:hAnsi="宋体"/>
          <w:color w:val="auto"/>
          <w:sz w:val="24"/>
          <w:highlight w:val="none"/>
        </w:rPr>
        <w:t>磋商响应文件</w:t>
      </w:r>
      <w:r>
        <w:rPr>
          <w:rFonts w:hint="eastAsia" w:hAnsi="宋体"/>
          <w:color w:val="auto"/>
          <w:sz w:val="24"/>
          <w:highlight w:val="none"/>
        </w:rPr>
        <w:t>技术参数与</w:t>
      </w:r>
      <w:r>
        <w:rPr>
          <w:rFonts w:hint="eastAsia" w:hAnsi="宋体"/>
          <w:color w:val="auto"/>
          <w:sz w:val="24"/>
          <w:highlight w:val="none"/>
          <w:lang w:val="en-US" w:eastAsia="zh-CN"/>
        </w:rPr>
        <w:t>项目</w:t>
      </w:r>
      <w:r>
        <w:rPr>
          <w:rFonts w:hint="eastAsia" w:hAnsi="宋体"/>
          <w:color w:val="auto"/>
          <w:sz w:val="24"/>
          <w:highlight w:val="none"/>
        </w:rPr>
        <w:t>需求存在重大偏离、错误、甚至造假的情况，应提供具体有效的证明材料（如为货物采购）。</w:t>
      </w:r>
    </w:p>
    <w:p w14:paraId="42195988">
      <w:pPr>
        <w:pStyle w:val="24"/>
        <w:snapToGrid w:val="0"/>
        <w:spacing w:line="360" w:lineRule="auto"/>
        <w:ind w:firstLineChars="0"/>
        <w:rPr>
          <w:rFonts w:hint="eastAsia" w:ascii="宋体" w:hAnsi="宋体"/>
          <w:color w:val="auto"/>
          <w:sz w:val="24"/>
          <w:szCs w:val="24"/>
          <w:highlight w:val="none"/>
        </w:rPr>
      </w:pPr>
      <w:r>
        <w:rPr>
          <w:rFonts w:hint="eastAsia" w:ascii="宋体" w:hAnsi="宋体"/>
          <w:color w:val="auto"/>
          <w:sz w:val="24"/>
          <w:szCs w:val="24"/>
          <w:highlight w:val="none"/>
        </w:rPr>
        <w:t>3、供应商</w:t>
      </w:r>
      <w:r>
        <w:rPr>
          <w:rFonts w:ascii="宋体" w:hAnsi="宋体"/>
          <w:color w:val="auto"/>
          <w:sz w:val="24"/>
          <w:szCs w:val="24"/>
          <w:highlight w:val="none"/>
        </w:rPr>
        <w:t>在</w:t>
      </w:r>
      <w:r>
        <w:rPr>
          <w:rFonts w:hint="eastAsia" w:ascii="宋体" w:hAnsi="宋体"/>
          <w:bCs/>
          <w:color w:val="auto"/>
          <w:sz w:val="24"/>
          <w:szCs w:val="24"/>
          <w:highlight w:val="none"/>
        </w:rPr>
        <w:t>磋商</w:t>
      </w:r>
      <w:r>
        <w:rPr>
          <w:rFonts w:ascii="宋体" w:hAnsi="宋体"/>
          <w:color w:val="auto"/>
          <w:sz w:val="24"/>
          <w:szCs w:val="24"/>
          <w:highlight w:val="none"/>
        </w:rPr>
        <w:t>活动中提供任何虚假材料</w:t>
      </w:r>
      <w:r>
        <w:rPr>
          <w:rFonts w:hint="eastAsia" w:ascii="宋体" w:hAnsi="宋体"/>
          <w:color w:val="auto"/>
          <w:sz w:val="24"/>
          <w:szCs w:val="24"/>
          <w:highlight w:val="none"/>
        </w:rPr>
        <w:t>,</w:t>
      </w:r>
      <w:r>
        <w:rPr>
          <w:rFonts w:ascii="宋体" w:hAnsi="宋体"/>
          <w:color w:val="auto"/>
          <w:sz w:val="24"/>
          <w:szCs w:val="24"/>
          <w:highlight w:val="none"/>
        </w:rPr>
        <w:t>其</w:t>
      </w:r>
      <w:r>
        <w:rPr>
          <w:rFonts w:hint="eastAsia" w:ascii="宋体" w:hAnsi="宋体"/>
          <w:color w:val="auto"/>
          <w:sz w:val="24"/>
          <w:szCs w:val="24"/>
          <w:highlight w:val="none"/>
        </w:rPr>
        <w:t>响应</w:t>
      </w:r>
      <w:r>
        <w:rPr>
          <w:rFonts w:ascii="宋体" w:hAnsi="宋体"/>
          <w:color w:val="auto"/>
          <w:sz w:val="24"/>
          <w:szCs w:val="24"/>
          <w:highlight w:val="none"/>
        </w:rPr>
        <w:t>无效，并报监管部门查处；</w:t>
      </w:r>
      <w:r>
        <w:rPr>
          <w:rFonts w:hint="eastAsia" w:ascii="宋体" w:hAnsi="宋体"/>
          <w:color w:val="auto"/>
          <w:sz w:val="24"/>
          <w:szCs w:val="24"/>
          <w:highlight w:val="none"/>
        </w:rPr>
        <w:t>成交</w:t>
      </w:r>
      <w:r>
        <w:rPr>
          <w:rFonts w:ascii="宋体" w:hAnsi="宋体"/>
          <w:color w:val="auto"/>
          <w:sz w:val="24"/>
          <w:szCs w:val="24"/>
          <w:highlight w:val="none"/>
        </w:rPr>
        <w:t>后发现的,成交人须依照根据《中华人民共和国政府采购法》第七十七条第一款第一项之规定</w:t>
      </w:r>
      <w:r>
        <w:rPr>
          <w:rFonts w:hint="eastAsia" w:ascii="宋体" w:hAnsi="宋体"/>
          <w:color w:val="auto"/>
          <w:sz w:val="24"/>
          <w:szCs w:val="24"/>
          <w:highlight w:val="none"/>
        </w:rPr>
        <w:t>，</w:t>
      </w:r>
      <w:r>
        <w:rPr>
          <w:rFonts w:ascii="宋体" w:hAnsi="宋体"/>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auto"/>
          <w:sz w:val="24"/>
          <w:szCs w:val="24"/>
          <w:highlight w:val="none"/>
        </w:rPr>
        <w:t>。</w:t>
      </w:r>
    </w:p>
    <w:p w14:paraId="2DE1D6AF">
      <w:pPr>
        <w:pStyle w:val="24"/>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65C28015">
      <w:pPr>
        <w:pStyle w:val="24"/>
        <w:snapToGrid w:val="0"/>
        <w:spacing w:line="360" w:lineRule="auto"/>
        <w:ind w:firstLineChars="0"/>
        <w:rPr>
          <w:rFonts w:hint="eastAsia" w:ascii="宋体" w:hAnsi="宋体"/>
          <w:color w:val="auto"/>
          <w:sz w:val="24"/>
          <w:szCs w:val="24"/>
          <w:highlight w:val="none"/>
        </w:rPr>
      </w:pPr>
      <w:r>
        <w:rPr>
          <w:rFonts w:hint="eastAsia" w:ascii="宋体" w:hAnsi="宋体"/>
          <w:color w:val="auto"/>
          <w:sz w:val="24"/>
          <w:szCs w:val="24"/>
          <w:highlight w:val="none"/>
        </w:rPr>
        <w:t>5、为采购项目提供整体设计、规范编制或者项目管理、监理、检测等服务的供应商，不得再参加该采购项目的其他采购活动。</w:t>
      </w:r>
    </w:p>
    <w:p w14:paraId="5E2D70F1">
      <w:pPr>
        <w:pStyle w:val="24"/>
        <w:snapToGrid w:val="0"/>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6、磋商响应文件格式中的表格式样可以根据项目差别做适当调整,但应当保持表格样式基本形态不变。</w:t>
      </w:r>
    </w:p>
    <w:p w14:paraId="7AA4D0BB">
      <w:pPr>
        <w:pStyle w:val="5"/>
        <w:keepNext w:val="0"/>
        <w:keepLines w:val="0"/>
        <w:tabs>
          <w:tab w:val="left" w:pos="851"/>
        </w:tabs>
        <w:autoSpaceDE w:val="0"/>
        <w:autoSpaceDN w:val="0"/>
        <w:adjustRightInd w:val="0"/>
        <w:snapToGrid w:val="0"/>
        <w:spacing w:before="0" w:beforeLines="0" w:after="0" w:afterLines="0"/>
        <w:ind w:firstLine="48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7、单位负责人为同一人或者存在直接控股、管理关系的不同供应商，不得参加同一合同项下的政府采购活动。</w:t>
      </w:r>
    </w:p>
    <w:p w14:paraId="3BF55467">
      <w:pPr>
        <w:pStyle w:val="5"/>
        <w:keepNext w:val="0"/>
        <w:keepLines w:val="0"/>
        <w:tabs>
          <w:tab w:val="left" w:pos="851"/>
        </w:tabs>
        <w:autoSpaceDE w:val="0"/>
        <w:autoSpaceDN w:val="0"/>
        <w:adjustRightInd w:val="0"/>
        <w:snapToGrid w:val="0"/>
        <w:spacing w:before="0" w:beforeLines="0" w:after="0" w:afterLines="0"/>
        <w:ind w:firstLine="480"/>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8、本项目不允许分包。</w:t>
      </w:r>
    </w:p>
    <w:p w14:paraId="7E96360A">
      <w:pPr>
        <w:numPr>
          <w:ilvl w:val="0"/>
          <w:numId w:val="0"/>
        </w:numPr>
        <w:autoSpaceDE w:val="0"/>
        <w:autoSpaceDN w:val="0"/>
        <w:adjustRightInd w:val="0"/>
        <w:spacing w:line="360" w:lineRule="auto"/>
        <w:ind w:firstLine="480" w:firstLineChars="200"/>
        <w:rPr>
          <w:rFonts w:hint="eastAsia" w:ascii="宋体" w:hAnsi="宋体" w:eastAsia="宋体" w:cs="Times New Roman"/>
          <w:b w:val="0"/>
          <w:bCs w:val="0"/>
          <w:color w:val="auto"/>
          <w:kern w:val="2"/>
          <w:sz w:val="24"/>
          <w:szCs w:val="24"/>
          <w:highlight w:val="none"/>
          <w:lang w:val="zh-CN" w:eastAsia="zh-CN" w:bidi="ar-SA"/>
        </w:rPr>
      </w:pPr>
      <w:r>
        <w:rPr>
          <w:rFonts w:hint="default" w:ascii="宋体" w:hAnsi="宋体" w:eastAsia="宋体" w:cs="Times New Roman"/>
          <w:b w:val="0"/>
          <w:bCs w:val="0"/>
          <w:color w:val="auto"/>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9、</w:t>
      </w:r>
      <w:r>
        <w:rPr>
          <w:rFonts w:hint="eastAsia" w:ascii="宋体" w:hAnsi="宋体" w:eastAsia="宋体" w:cs="Times New Roman"/>
          <w:b w:val="0"/>
          <w:bCs w:val="0"/>
          <w:color w:val="auto"/>
          <w:kern w:val="2"/>
          <w:sz w:val="24"/>
          <w:szCs w:val="24"/>
          <w:highlight w:val="none"/>
          <w:lang w:val="zh-CN" w:eastAsia="zh-CN" w:bidi="ar-SA"/>
        </w:rPr>
        <w:t>政府采购政策及优惠：</w:t>
      </w:r>
    </w:p>
    <w:p w14:paraId="423F1147">
      <w:pPr>
        <w:numPr>
          <w:ilvl w:val="0"/>
          <w:numId w:val="0"/>
        </w:numPr>
        <w:autoSpaceDE w:val="0"/>
        <w:autoSpaceDN w:val="0"/>
        <w:adjustRightInd w:val="0"/>
        <w:spacing w:line="360" w:lineRule="auto"/>
        <w:ind w:firstLine="480" w:firstLineChars="200"/>
        <w:rPr>
          <w:rFonts w:hint="eastAsia" w:ascii="宋体" w:hAnsi="宋体" w:eastAsia="宋体" w:cs="Times New Roman"/>
          <w:b w:val="0"/>
          <w:bCs w:val="0"/>
          <w:color w:val="auto"/>
          <w:kern w:val="2"/>
          <w:sz w:val="24"/>
          <w:szCs w:val="24"/>
          <w:highlight w:val="none"/>
          <w:lang w:val="zh-CN" w:eastAsia="zh-CN" w:bidi="ar-SA"/>
        </w:rPr>
      </w:pPr>
      <w:r>
        <w:rPr>
          <w:rFonts w:hint="eastAsia" w:ascii="宋体" w:hAnsi="宋体" w:eastAsia="宋体" w:cs="Times New Roman"/>
          <w:b w:val="0"/>
          <w:bCs w:val="0"/>
          <w:color w:val="auto"/>
          <w:kern w:val="2"/>
          <w:sz w:val="24"/>
          <w:szCs w:val="24"/>
          <w:highlight w:val="none"/>
          <w:lang w:val="zh-CN" w:eastAsia="zh-CN" w:bidi="ar-SA"/>
        </w:rPr>
        <w:t>（1）本次采购专门面向中小企业。</w:t>
      </w:r>
    </w:p>
    <w:p w14:paraId="57ACC8A7">
      <w:pPr>
        <w:autoSpaceDE w:val="0"/>
        <w:autoSpaceDN w:val="0"/>
        <w:adjustRightInd w:val="0"/>
        <w:spacing w:line="360" w:lineRule="auto"/>
        <w:ind w:firstLine="482"/>
        <w:rPr>
          <w:rFonts w:hint="eastAsia" w:ascii="宋体" w:hAnsi="宋体" w:eastAsia="宋体" w:cs="Times New Roman"/>
          <w:b w:val="0"/>
          <w:bCs w:val="0"/>
          <w:color w:val="auto"/>
          <w:kern w:val="2"/>
          <w:sz w:val="24"/>
          <w:szCs w:val="24"/>
          <w:highlight w:val="none"/>
          <w:lang w:val="zh-CN" w:eastAsia="zh-CN" w:bidi="ar-SA"/>
        </w:rPr>
      </w:pPr>
      <w:r>
        <w:rPr>
          <w:rFonts w:hint="eastAsia" w:ascii="宋体" w:hAnsi="宋体" w:eastAsia="宋体" w:cs="Times New Roman"/>
          <w:b w:val="0"/>
          <w:bCs w:val="0"/>
          <w:color w:val="auto"/>
          <w:kern w:val="2"/>
          <w:sz w:val="24"/>
          <w:szCs w:val="24"/>
          <w:highlight w:val="none"/>
          <w:lang w:val="zh-CN" w:eastAsia="zh-CN" w:bidi="ar-SA"/>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A6C3FE2">
      <w:pPr>
        <w:autoSpaceDE w:val="0"/>
        <w:autoSpaceDN w:val="0"/>
        <w:adjustRightInd w:val="0"/>
        <w:spacing w:line="360" w:lineRule="auto"/>
        <w:ind w:firstLine="482"/>
        <w:rPr>
          <w:rFonts w:hint="eastAsia" w:ascii="宋体" w:hAnsi="宋体" w:eastAsia="宋体" w:cs="Times New Roman"/>
          <w:b w:val="0"/>
          <w:bCs w:val="0"/>
          <w:color w:val="auto"/>
          <w:kern w:val="2"/>
          <w:sz w:val="24"/>
          <w:szCs w:val="24"/>
          <w:highlight w:val="none"/>
          <w:lang w:val="zh-CN" w:eastAsia="zh-CN" w:bidi="ar-SA"/>
        </w:rPr>
      </w:pPr>
      <w:r>
        <w:rPr>
          <w:rFonts w:hint="eastAsia" w:ascii="宋体" w:hAnsi="宋体" w:eastAsia="宋体" w:cs="Times New Roman"/>
          <w:b w:val="0"/>
          <w:bCs w:val="0"/>
          <w:color w:val="auto"/>
          <w:kern w:val="2"/>
          <w:sz w:val="24"/>
          <w:szCs w:val="24"/>
          <w:highlight w:val="none"/>
          <w:lang w:val="zh-CN" w:eastAsia="zh-CN" w:bidi="ar-SA"/>
        </w:rPr>
        <w:t>（</w:t>
      </w:r>
      <w:r>
        <w:rPr>
          <w:rFonts w:hint="eastAsia" w:ascii="宋体" w:hAnsi="宋体" w:eastAsia="宋体" w:cs="Times New Roman"/>
          <w:b w:val="0"/>
          <w:bCs w:val="0"/>
          <w:color w:val="auto"/>
          <w:kern w:val="2"/>
          <w:sz w:val="24"/>
          <w:szCs w:val="24"/>
          <w:highlight w:val="none"/>
          <w:lang w:val="en-US" w:eastAsia="zh-CN" w:bidi="ar-SA"/>
        </w:rPr>
        <w:t>3</w:t>
      </w:r>
      <w:r>
        <w:rPr>
          <w:rFonts w:hint="eastAsia" w:ascii="宋体" w:hAnsi="宋体" w:eastAsia="宋体" w:cs="Times New Roman"/>
          <w:b w:val="0"/>
          <w:bCs w:val="0"/>
          <w:color w:val="auto"/>
          <w:kern w:val="2"/>
          <w:sz w:val="24"/>
          <w:szCs w:val="24"/>
          <w:highlight w:val="none"/>
          <w:lang w:val="zh-CN" w:eastAsia="zh-CN" w:bidi="ar-SA"/>
        </w:rPr>
        <w:t>）符合小微企业划分标准的个体工商户，视同小微企业。</w:t>
      </w:r>
    </w:p>
    <w:p w14:paraId="69488B03">
      <w:pPr>
        <w:autoSpaceDE w:val="0"/>
        <w:autoSpaceDN w:val="0"/>
        <w:adjustRightInd w:val="0"/>
        <w:spacing w:line="360" w:lineRule="auto"/>
        <w:ind w:firstLine="482"/>
        <w:rPr>
          <w:rFonts w:hint="eastAsia" w:ascii="宋体" w:hAnsi="宋体" w:eastAsia="宋体" w:cs="Times New Roman"/>
          <w:b w:val="0"/>
          <w:bCs w:val="0"/>
          <w:color w:val="auto"/>
          <w:kern w:val="2"/>
          <w:sz w:val="24"/>
          <w:szCs w:val="24"/>
          <w:highlight w:val="none"/>
          <w:lang w:val="zh-CN" w:eastAsia="zh-CN" w:bidi="ar-SA"/>
        </w:rPr>
      </w:pPr>
      <w:r>
        <w:rPr>
          <w:rFonts w:hint="eastAsia" w:ascii="宋体" w:hAnsi="宋体" w:eastAsia="宋体" w:cs="Times New Roman"/>
          <w:b w:val="0"/>
          <w:bCs w:val="0"/>
          <w:color w:val="auto"/>
          <w:kern w:val="2"/>
          <w:sz w:val="24"/>
          <w:szCs w:val="24"/>
          <w:highlight w:val="none"/>
          <w:lang w:val="zh-CN" w:eastAsia="zh-CN" w:bidi="ar-SA"/>
        </w:rPr>
        <w:t>（</w:t>
      </w:r>
      <w:r>
        <w:rPr>
          <w:rFonts w:hint="eastAsia" w:ascii="宋体" w:hAnsi="宋体" w:eastAsia="宋体" w:cs="Times New Roman"/>
          <w:b w:val="0"/>
          <w:bCs w:val="0"/>
          <w:color w:val="auto"/>
          <w:kern w:val="2"/>
          <w:sz w:val="24"/>
          <w:szCs w:val="24"/>
          <w:highlight w:val="none"/>
          <w:lang w:val="en-US" w:eastAsia="zh-CN" w:bidi="ar-SA"/>
        </w:rPr>
        <w:t>4</w:t>
      </w:r>
      <w:r>
        <w:rPr>
          <w:rFonts w:hint="eastAsia" w:ascii="宋体" w:hAnsi="宋体" w:eastAsia="宋体" w:cs="Times New Roman"/>
          <w:b w:val="0"/>
          <w:bCs w:val="0"/>
          <w:color w:val="auto"/>
          <w:kern w:val="2"/>
          <w:sz w:val="24"/>
          <w:szCs w:val="24"/>
          <w:highlight w:val="none"/>
          <w:lang w:val="zh-CN" w:eastAsia="zh-CN" w:bidi="ar-SA"/>
        </w:rPr>
        <w:t>）残疾人福利性单位视同小微企业，参加政府采购活动时，应当提供《残疾人福利性单位声明函》。</w:t>
      </w:r>
    </w:p>
    <w:p w14:paraId="59BF0C62">
      <w:pPr>
        <w:autoSpaceDE w:val="0"/>
        <w:autoSpaceDN w:val="0"/>
        <w:adjustRightInd w:val="0"/>
        <w:spacing w:line="360" w:lineRule="auto"/>
        <w:ind w:firstLine="482"/>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zh-CN" w:eastAsia="zh-CN" w:bidi="ar-SA"/>
        </w:rPr>
        <w:t>（</w:t>
      </w:r>
      <w:r>
        <w:rPr>
          <w:rFonts w:hint="eastAsia" w:ascii="宋体" w:hAnsi="宋体" w:eastAsia="宋体" w:cs="Times New Roman"/>
          <w:b w:val="0"/>
          <w:bCs w:val="0"/>
          <w:color w:val="auto"/>
          <w:kern w:val="2"/>
          <w:sz w:val="24"/>
          <w:szCs w:val="24"/>
          <w:highlight w:val="none"/>
          <w:lang w:val="en-US" w:eastAsia="zh-CN" w:bidi="ar-SA"/>
        </w:rPr>
        <w:t>5</w:t>
      </w:r>
      <w:r>
        <w:rPr>
          <w:rFonts w:hint="eastAsia" w:ascii="宋体" w:hAnsi="宋体" w:eastAsia="宋体" w:cs="Times New Roman"/>
          <w:b w:val="0"/>
          <w:bCs w:val="0"/>
          <w:color w:val="auto"/>
          <w:kern w:val="2"/>
          <w:sz w:val="24"/>
          <w:szCs w:val="24"/>
          <w:highlight w:val="none"/>
          <w:lang w:val="zh-CN" w:eastAsia="zh-CN" w:bidi="ar-SA"/>
        </w:rPr>
        <w:t>）监狱企业视同小微企业，参加政府采购活动时，应当出具省级以上监狱管理局、戒毒管理局（含新疆生产建设兵团）提供的属于监狱企业的证明文件。</w:t>
      </w:r>
    </w:p>
    <w:p w14:paraId="193D136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hint="eastAsia" w:ascii="宋体" w:hAnsi="宋体"/>
          <w:b/>
          <w:color w:val="auto"/>
          <w:kern w:val="0"/>
          <w:sz w:val="24"/>
          <w:highlight w:val="none"/>
        </w:rPr>
      </w:pPr>
      <w:r>
        <w:rPr>
          <w:rFonts w:hint="eastAsia" w:ascii="宋体" w:hAnsi="宋体"/>
          <w:b/>
          <w:color w:val="auto"/>
          <w:kern w:val="0"/>
          <w:sz w:val="24"/>
          <w:highlight w:val="none"/>
        </w:rPr>
        <w:t>二、磋商</w:t>
      </w:r>
      <w:r>
        <w:rPr>
          <w:rFonts w:ascii="宋体" w:hAnsi="宋体"/>
          <w:b/>
          <w:color w:val="auto"/>
          <w:kern w:val="0"/>
          <w:sz w:val="24"/>
          <w:highlight w:val="none"/>
        </w:rPr>
        <w:t>响应</w:t>
      </w:r>
      <w:r>
        <w:rPr>
          <w:rFonts w:hint="eastAsia" w:ascii="宋体" w:hAnsi="宋体"/>
          <w:b/>
          <w:color w:val="auto"/>
          <w:kern w:val="0"/>
          <w:sz w:val="24"/>
          <w:highlight w:val="none"/>
        </w:rPr>
        <w:t>文件</w:t>
      </w:r>
    </w:p>
    <w:p w14:paraId="72EC354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354" w:firstLineChars="147"/>
        <w:jc w:val="left"/>
        <w:rPr>
          <w:rFonts w:hint="eastAsia" w:ascii="宋体" w:hAnsi="宋体"/>
          <w:b/>
          <w:color w:val="auto"/>
          <w:kern w:val="0"/>
          <w:sz w:val="24"/>
          <w:highlight w:val="none"/>
        </w:rPr>
      </w:pPr>
      <w:r>
        <w:rPr>
          <w:rFonts w:hint="eastAsia" w:ascii="宋体" w:hAnsi="宋体"/>
          <w:b/>
          <w:color w:val="auto"/>
          <w:kern w:val="0"/>
          <w:sz w:val="24"/>
          <w:highlight w:val="none"/>
        </w:rPr>
        <w:t>（一）磋商</w:t>
      </w:r>
      <w:r>
        <w:rPr>
          <w:rFonts w:ascii="宋体" w:hAnsi="宋体"/>
          <w:b/>
          <w:color w:val="auto"/>
          <w:kern w:val="0"/>
          <w:sz w:val="24"/>
          <w:highlight w:val="none"/>
        </w:rPr>
        <w:t>响应文件的</w:t>
      </w:r>
      <w:r>
        <w:rPr>
          <w:rFonts w:hint="eastAsia" w:ascii="宋体" w:hAnsi="宋体"/>
          <w:b/>
          <w:color w:val="auto"/>
          <w:kern w:val="0"/>
          <w:sz w:val="24"/>
          <w:highlight w:val="none"/>
        </w:rPr>
        <w:t>组成</w:t>
      </w:r>
    </w:p>
    <w:p w14:paraId="0659BF7E">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宋体"/>
          <w:color w:val="auto"/>
          <w:kern w:val="0"/>
          <w:sz w:val="24"/>
          <w:highlight w:val="none"/>
        </w:rPr>
        <w:t>供应商应仔细阅读磋商文件的所有内容，按磋商文件的要求，详细编制磋商响应文件</w:t>
      </w:r>
      <w:r>
        <w:rPr>
          <w:rFonts w:hAnsi="宋体"/>
          <w:color w:val="auto"/>
          <w:sz w:val="24"/>
          <w:highlight w:val="none"/>
        </w:rPr>
        <w:t>。</w:t>
      </w:r>
      <w:r>
        <w:rPr>
          <w:rFonts w:hint="eastAsia" w:ascii="宋体" w:hAnsi="宋体"/>
          <w:color w:val="auto"/>
          <w:kern w:val="0"/>
          <w:sz w:val="24"/>
          <w:highlight w:val="none"/>
          <w:lang w:val="zh-CN"/>
        </w:rPr>
        <w:t>【特别提示：如有要求提供资料原件的，原件另行包装，并与磋商响应文件一起提交，磋商响应截止时间后所有原件不予接收。资料原件也可以用与原件相符的公证原件替代】</w:t>
      </w:r>
    </w:p>
    <w:p w14:paraId="09ECD22A">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1、资格证明内容的组成：</w:t>
      </w:r>
    </w:p>
    <w:p w14:paraId="46C55E23">
      <w:pPr>
        <w:pStyle w:val="14"/>
        <w:ind w:left="0" w:leftChars="0" w:firstLine="470"/>
        <w:rPr>
          <w:rStyle w:val="20"/>
          <w:b w:val="0"/>
          <w:color w:val="auto"/>
          <w:highlight w:val="none"/>
          <w:u w:val="none"/>
        </w:rPr>
      </w:pPr>
      <w:r>
        <w:rPr>
          <w:rStyle w:val="20"/>
          <w:rFonts w:hint="eastAsia"/>
          <w:b w:val="0"/>
          <w:color w:val="auto"/>
          <w:highlight w:val="none"/>
          <w:u w:val="none"/>
        </w:rPr>
        <w:t>（1）磋商声明书</w:t>
      </w:r>
    </w:p>
    <w:p w14:paraId="45AA4DFF">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（2）授权委托书（法定代表人亲自办理磋商响应事宜的，则无需提交)；</w:t>
      </w:r>
    </w:p>
    <w:p w14:paraId="249350C5">
      <w:pPr>
        <w:widowControl/>
        <w:spacing w:line="360" w:lineRule="auto"/>
        <w:ind w:right="60"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320181BC">
      <w:pPr>
        <w:widowControl/>
        <w:spacing w:line="360" w:lineRule="auto"/>
        <w:ind w:right="60" w:firstLine="480" w:firstLineChars="200"/>
        <w:jc w:val="left"/>
        <w:outlineLvl w:val="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）依法缴纳税收和社会保障资金的相关材料；</w:t>
      </w:r>
    </w:p>
    <w:p w14:paraId="5AAC8C9A">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具备履行合同所必需的设备和专业技术能力的证明材料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rPr>
        <w:t>根据项目性质提供</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F5CA160">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提供采购公告中符合供应商特定条件的有效相关证书复印件（投标供应商特定条件中有要求的必须提供）（若有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如中小企业声明函</w:t>
      </w:r>
      <w:r>
        <w:rPr>
          <w:rFonts w:hint="eastAsia" w:ascii="宋体" w:hAnsi="宋体" w:cs="宋体"/>
          <w:color w:val="auto"/>
          <w:sz w:val="24"/>
          <w:highlight w:val="none"/>
        </w:rPr>
        <w:t>），以及评标时需要说明的其他资料。</w:t>
      </w:r>
    </w:p>
    <w:p w14:paraId="19EF5B3A">
      <w:pPr>
        <w:snapToGrid w:val="0"/>
        <w:spacing w:line="360" w:lineRule="auto"/>
        <w:ind w:firstLine="482" w:firstLineChars="200"/>
        <w:rPr>
          <w:rFonts w:ascii="宋体" w:hAnsi="宋体" w:cs="宋体"/>
          <w:color w:val="auto"/>
          <w:sz w:val="24"/>
          <w:highlight w:val="none"/>
          <w:u w:val="single"/>
        </w:rPr>
      </w:pPr>
      <w:r>
        <w:rPr>
          <w:rFonts w:hint="eastAsia" w:ascii="宋体" w:hAnsi="宋体"/>
          <w:b/>
          <w:color w:val="auto"/>
          <w:sz w:val="24"/>
          <w:highlight w:val="none"/>
        </w:rPr>
        <w:t>2、商务与技术内容的组成：</w:t>
      </w:r>
    </w:p>
    <w:p w14:paraId="3254902A">
      <w:pPr>
        <w:widowControl/>
        <w:spacing w:line="360" w:lineRule="auto"/>
        <w:ind w:right="60" w:firstLine="480" w:firstLineChars="200"/>
        <w:jc w:val="left"/>
        <w:outlineLvl w:val="0"/>
        <w:rPr>
          <w:rFonts w:hint="eastAsia" w:ascii="宋体" w:hAnsi="宋体" w:cs="宋体"/>
          <w:color w:val="auto"/>
          <w:sz w:val="24"/>
          <w:highlight w:val="none"/>
          <w:lang w:val="zh-CN"/>
        </w:rPr>
      </w:pPr>
      <w:r>
        <w:rPr>
          <w:rFonts w:hint="eastAsia" w:ascii="宋体" w:hAnsi="宋体" w:cs="宋体"/>
          <w:color w:val="auto"/>
          <w:sz w:val="24"/>
          <w:highlight w:val="none"/>
        </w:rPr>
        <w:t>按照</w:t>
      </w:r>
      <w:r>
        <w:rPr>
          <w:rFonts w:hint="eastAsia" w:ascii="宋体" w:hAnsi="宋体" w:cs="宋体"/>
          <w:color w:val="auto"/>
          <w:sz w:val="24"/>
          <w:highlight w:val="none"/>
          <w:lang w:val="zh-CN"/>
        </w:rPr>
        <w:t>商务与技术评分细则要求制作。</w:t>
      </w:r>
    </w:p>
    <w:p w14:paraId="538BBAD5">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3、报价内容的组成</w:t>
      </w:r>
    </w:p>
    <w:p w14:paraId="1C163A79">
      <w:pPr>
        <w:pageBreakBefore w:val="0"/>
        <w:kinsoku/>
        <w:wordWrap/>
        <w:overflowPunct/>
        <w:topLinePunct w:val="0"/>
        <w:autoSpaceDE w:val="0"/>
        <w:autoSpaceDN w:val="0"/>
        <w:bidi w:val="0"/>
        <w:adjustRightInd w:val="0"/>
        <w:spacing w:line="400" w:lineRule="exact"/>
        <w:ind w:right="199" w:rightChars="95" w:firstLine="480" w:firstLineChars="200"/>
        <w:rPr>
          <w:rFonts w:hint="eastAsia" w:ascii="宋体" w:hAnsi="宋体" w:eastAsia="宋体"/>
          <w:color w:val="auto"/>
          <w:kern w:val="0"/>
          <w:sz w:val="24"/>
          <w:highlight w:val="none"/>
          <w:shd w:val="clear" w:color="auto" w:fill="auto"/>
        </w:rPr>
      </w:pPr>
      <w:r>
        <w:rPr>
          <w:rFonts w:hint="eastAsia" w:ascii="宋体" w:hAnsi="宋体" w:eastAsia="宋体"/>
          <w:color w:val="auto"/>
          <w:kern w:val="0"/>
          <w:sz w:val="24"/>
          <w:highlight w:val="none"/>
          <w:shd w:val="clear" w:color="auto" w:fill="auto"/>
        </w:rPr>
        <w:t>（1）报价内容由首次报价一览表、报价明细表，以及供应商认为其他需要说明的内容组成。</w:t>
      </w:r>
    </w:p>
    <w:p w14:paraId="0A191D8D">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lang w:val="en-US" w:eastAsia="zh-CN"/>
        </w:rPr>
        <w:t>3.1、本项目投标报价应包含应包括设备、标准附件、备品备件、专用工具、包装、运输、装卸、保险、税金、货到就位以及安装、调试、培训、保修等一切税金和费用，包括因采购本项目所需服务产生的全部费用和税费、合理利润以及采购文件未提及但完成本项目所需服务必不可少的费用。</w:t>
      </w:r>
    </w:p>
    <w:p w14:paraId="5246B7C3">
      <w:pPr>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3.2、</w:t>
      </w:r>
      <w:r>
        <w:rPr>
          <w:rFonts w:hint="eastAsia" w:ascii="宋体" w:hAnsi="宋体"/>
          <w:color w:val="auto"/>
          <w:kern w:val="0"/>
          <w:sz w:val="24"/>
          <w:highlight w:val="none"/>
        </w:rPr>
        <w:t>政府采购优惠政策相关资料、产品适用政府采购政策情况表（如有）。</w:t>
      </w:r>
    </w:p>
    <w:p w14:paraId="6B580631">
      <w:pPr>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lang w:val="en-US" w:eastAsia="zh-CN"/>
        </w:rPr>
        <w:t>3.3、</w:t>
      </w:r>
      <w:r>
        <w:rPr>
          <w:rFonts w:hint="eastAsia" w:ascii="宋体" w:hAnsi="宋体"/>
          <w:color w:val="auto"/>
          <w:kern w:val="0"/>
          <w:sz w:val="24"/>
          <w:highlight w:val="none"/>
        </w:rPr>
        <w:t>相关报价表需打印或用不</w:t>
      </w:r>
      <w:r>
        <w:rPr>
          <w:rFonts w:hint="eastAsia" w:ascii="宋体" w:hAnsi="宋体"/>
          <w:color w:val="auto"/>
          <w:kern w:val="0"/>
          <w:sz w:val="24"/>
          <w:highlight w:val="none"/>
          <w:lang w:eastAsia="zh-CN"/>
        </w:rPr>
        <w:t>褪</w:t>
      </w:r>
      <w:r>
        <w:rPr>
          <w:rFonts w:hint="eastAsia" w:ascii="宋体" w:hAnsi="宋体"/>
          <w:color w:val="auto"/>
          <w:kern w:val="0"/>
          <w:sz w:val="24"/>
          <w:highlight w:val="none"/>
        </w:rPr>
        <w:t>色的墨水填写， 磋商响应报价表不得涂改和增删，如有错漏必须修改，修改处须由同一签署人签字或盖章。由于字迹模糊或表达不清引起的后果由供应商负责。</w:t>
      </w:r>
    </w:p>
    <w:p w14:paraId="4EC96693">
      <w:pPr>
        <w:snapToGrid w:val="0"/>
        <w:spacing w:line="360" w:lineRule="auto"/>
        <w:ind w:firstLine="480" w:firstLineChars="200"/>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3.4、最终报价是磋商响应文件的有效组成部分。</w:t>
      </w:r>
    </w:p>
    <w:p w14:paraId="0D123F05">
      <w:pPr>
        <w:snapToGrid w:val="0"/>
        <w:spacing w:line="360" w:lineRule="auto"/>
        <w:ind w:firstLine="480" w:firstLineChars="200"/>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3.5、</w:t>
      </w:r>
      <w:r>
        <w:rPr>
          <w:rFonts w:ascii="宋体" w:hAnsi="宋体" w:eastAsia="宋体"/>
          <w:color w:val="auto"/>
          <w:sz w:val="24"/>
        </w:rPr>
        <w:t>报价</w:t>
      </w:r>
      <w:r>
        <w:rPr>
          <w:rFonts w:hint="eastAsia" w:ascii="宋体" w:hAnsi="宋体" w:eastAsia="宋体"/>
          <w:color w:val="auto"/>
          <w:sz w:val="24"/>
          <w:lang w:eastAsia="zh-CN"/>
        </w:rPr>
        <w:t>有关表格</w:t>
      </w:r>
      <w:r>
        <w:rPr>
          <w:rFonts w:ascii="宋体" w:hAnsi="宋体"/>
          <w:color w:val="auto"/>
          <w:sz w:val="24"/>
        </w:rPr>
        <w:t>应按</w:t>
      </w:r>
      <w:r>
        <w:rPr>
          <w:rFonts w:hint="eastAsia" w:ascii="宋体" w:hAnsi="宋体"/>
          <w:color w:val="auto"/>
          <w:sz w:val="24"/>
        </w:rPr>
        <w:t>磋商采购</w:t>
      </w:r>
      <w:r>
        <w:rPr>
          <w:rFonts w:ascii="宋体" w:hAnsi="宋体"/>
          <w:color w:val="auto"/>
          <w:sz w:val="24"/>
        </w:rPr>
        <w:t>文件中相关附表格式填写</w:t>
      </w:r>
      <w:r>
        <w:rPr>
          <w:rFonts w:hint="eastAsia" w:ascii="宋体" w:hAnsi="宋体"/>
          <w:color w:val="auto"/>
          <w:sz w:val="24"/>
          <w:lang w:eastAsia="zh-CN"/>
        </w:rPr>
        <w:t>。</w:t>
      </w:r>
    </w:p>
    <w:p w14:paraId="6588E4C2">
      <w:pPr>
        <w:pStyle w:val="5"/>
        <w:spacing w:line="400" w:lineRule="exact"/>
        <w:ind w:firstLine="48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（二）磋商响应文件的制作、封装及递交要求</w:t>
      </w:r>
    </w:p>
    <w:p w14:paraId="08404C8B">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kern w:val="0"/>
          <w:sz w:val="24"/>
          <w:highlight w:val="none"/>
        </w:rPr>
        <w:t>磋商响应</w:t>
      </w:r>
      <w:r>
        <w:rPr>
          <w:rFonts w:hint="eastAsia" w:ascii="宋体" w:hAnsi="宋体"/>
          <w:b/>
          <w:bCs/>
          <w:color w:val="auto"/>
          <w:sz w:val="24"/>
          <w:highlight w:val="none"/>
        </w:rPr>
        <w:t>文件的制作要求</w:t>
      </w:r>
    </w:p>
    <w:p w14:paraId="2241F809">
      <w:pPr>
        <w:autoSpaceDE w:val="0"/>
        <w:autoSpaceDN w:val="0"/>
        <w:adjustRightInd w:val="0"/>
        <w:spacing w:line="360" w:lineRule="auto"/>
        <w:ind w:firstLine="480"/>
        <w:rPr>
          <w:rFonts w:ascii="宋体" w:hAnsi="宋体"/>
          <w:color w:val="auto"/>
          <w:kern w:val="0"/>
          <w:sz w:val="24"/>
          <w:highlight w:val="none"/>
        </w:rPr>
      </w:pPr>
      <w:r>
        <w:rPr>
          <w:rFonts w:hint="eastAsia" w:ascii="宋体" w:hAnsi="宋体"/>
          <w:color w:val="auto"/>
          <w:sz w:val="24"/>
          <w:highlight w:val="none"/>
        </w:rPr>
        <w:t>（1）磋商人应按照磋商文件组成内容及项目需求制作磋商响应文件，</w:t>
      </w:r>
      <w:r>
        <w:rPr>
          <w:rFonts w:hint="eastAsia" w:ascii="宋体" w:hAnsi="宋体"/>
          <w:color w:val="auto"/>
          <w:kern w:val="0"/>
          <w:sz w:val="24"/>
          <w:highlight w:val="none"/>
        </w:rPr>
        <w:t>不按磋商采购文件要求制作磋商响应文件的将视情处理（拒收、扣分等），由此产生的责任由磋商人自行承担。</w:t>
      </w:r>
    </w:p>
    <w:p w14:paraId="1193308D">
      <w:pPr>
        <w:autoSpaceDE w:val="0"/>
        <w:autoSpaceDN w:val="0"/>
        <w:adjustRightInd w:val="0"/>
        <w:spacing w:line="360" w:lineRule="auto"/>
        <w:ind w:firstLine="480" w:firstLineChars="200"/>
        <w:rPr>
          <w:rFonts w:ascii="宋体" w:hAnsi="宋体"/>
          <w:color w:val="auto"/>
          <w:kern w:val="0"/>
          <w:sz w:val="24"/>
          <w:highlight w:val="none"/>
          <w:lang w:val="zh-CN"/>
        </w:rPr>
      </w:pPr>
      <w:r>
        <w:rPr>
          <w:rFonts w:hint="eastAsia" w:ascii="宋体" w:hAnsi="宋体"/>
          <w:color w:val="auto"/>
          <w:sz w:val="24"/>
          <w:highlight w:val="none"/>
        </w:rPr>
        <w:t>（2）磋商人应对所提供的全部资料的真实性承担法律责任，磋商响应</w:t>
      </w:r>
      <w:r>
        <w:rPr>
          <w:rFonts w:hint="eastAsia" w:ascii="宋体" w:hAnsi="宋体"/>
          <w:color w:val="auto"/>
          <w:kern w:val="0"/>
          <w:sz w:val="24"/>
          <w:highlight w:val="none"/>
          <w:lang w:val="zh-CN"/>
        </w:rPr>
        <w:t>文件内容中有要求盖章或签字的地方必须加盖磋商人的公章以及法定代表人或全权代表的盖章或签字。</w:t>
      </w:r>
    </w:p>
    <w:p w14:paraId="71DFAC0D">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3</w:t>
      </w:r>
      <w:r>
        <w:rPr>
          <w:rFonts w:hint="eastAsia" w:ascii="宋体" w:hAnsi="宋体"/>
          <w:color w:val="auto"/>
          <w:kern w:val="0"/>
          <w:sz w:val="24"/>
          <w:highlight w:val="none"/>
          <w:lang w:val="zh-CN"/>
        </w:rPr>
        <w:t>）磋商响应</w:t>
      </w:r>
      <w:r>
        <w:rPr>
          <w:rFonts w:ascii="宋体" w:hAnsi="宋体"/>
          <w:color w:val="auto"/>
          <w:sz w:val="24"/>
          <w:highlight w:val="none"/>
        </w:rPr>
        <w:t>文件以及</w:t>
      </w:r>
      <w:r>
        <w:rPr>
          <w:rFonts w:hint="eastAsia" w:ascii="宋体" w:hAnsi="宋体"/>
          <w:color w:val="auto"/>
          <w:sz w:val="24"/>
          <w:highlight w:val="none"/>
        </w:rPr>
        <w:t>磋商供应商</w:t>
      </w:r>
      <w:r>
        <w:rPr>
          <w:rFonts w:ascii="宋体" w:hAnsi="宋体"/>
          <w:color w:val="auto"/>
          <w:sz w:val="24"/>
          <w:highlight w:val="none"/>
        </w:rPr>
        <w:t>与</w:t>
      </w:r>
      <w:r>
        <w:rPr>
          <w:rFonts w:hint="eastAsia" w:ascii="宋体" w:hAnsi="宋体"/>
          <w:color w:val="auto"/>
          <w:sz w:val="24"/>
          <w:highlight w:val="none"/>
        </w:rPr>
        <w:t>采购组织机构</w:t>
      </w:r>
      <w:r>
        <w:rPr>
          <w:rFonts w:ascii="宋体" w:hAnsi="宋体"/>
          <w:color w:val="auto"/>
          <w:sz w:val="24"/>
          <w:highlight w:val="none"/>
        </w:rPr>
        <w:t>就有关</w:t>
      </w:r>
      <w:r>
        <w:rPr>
          <w:rFonts w:hint="eastAsia" w:ascii="宋体" w:hAnsi="宋体"/>
          <w:color w:val="auto"/>
          <w:sz w:val="24"/>
          <w:highlight w:val="none"/>
        </w:rPr>
        <w:t>磋商响应</w:t>
      </w:r>
      <w:r>
        <w:rPr>
          <w:rFonts w:ascii="宋体" w:hAnsi="宋体"/>
          <w:color w:val="auto"/>
          <w:sz w:val="24"/>
          <w:highlight w:val="none"/>
        </w:rPr>
        <w:t>事宜的所有来往函电，均应以中文汉语书写。除</w:t>
      </w:r>
      <w:r>
        <w:rPr>
          <w:rFonts w:hint="eastAsia" w:ascii="宋体" w:hAnsi="宋体"/>
          <w:color w:val="auto"/>
          <w:sz w:val="24"/>
          <w:highlight w:val="none"/>
        </w:rPr>
        <w:t>签字</w:t>
      </w:r>
      <w:r>
        <w:rPr>
          <w:rFonts w:ascii="宋体" w:hAnsi="宋体"/>
          <w:color w:val="auto"/>
          <w:sz w:val="24"/>
          <w:highlight w:val="none"/>
        </w:rPr>
        <w:t>、盖章、专用名称等特殊情形外，以中文汉语以外的文字表述的</w:t>
      </w:r>
      <w:r>
        <w:rPr>
          <w:rFonts w:hint="eastAsia" w:ascii="宋体" w:hAnsi="宋体"/>
          <w:color w:val="auto"/>
          <w:sz w:val="24"/>
          <w:highlight w:val="none"/>
        </w:rPr>
        <w:t>磋商</w:t>
      </w:r>
      <w:r>
        <w:rPr>
          <w:rFonts w:ascii="宋体" w:hAnsi="宋体"/>
          <w:color w:val="auto"/>
          <w:sz w:val="24"/>
          <w:highlight w:val="none"/>
        </w:rPr>
        <w:t>响应文件视同未提供。</w:t>
      </w:r>
    </w:p>
    <w:p w14:paraId="5E25A48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（4）磋商</w:t>
      </w:r>
      <w:r>
        <w:rPr>
          <w:rFonts w:ascii="宋体" w:hAnsi="宋体"/>
          <w:color w:val="auto"/>
          <w:sz w:val="24"/>
          <w:highlight w:val="none"/>
        </w:rPr>
        <w:t>计量单位，</w:t>
      </w:r>
      <w:r>
        <w:rPr>
          <w:rFonts w:hint="eastAsia" w:ascii="宋体" w:hAnsi="宋体"/>
          <w:color w:val="auto"/>
          <w:sz w:val="24"/>
          <w:highlight w:val="none"/>
        </w:rPr>
        <w:t>磋商</w:t>
      </w:r>
      <w:r>
        <w:rPr>
          <w:rFonts w:ascii="宋体" w:hAnsi="宋体"/>
          <w:color w:val="auto"/>
          <w:sz w:val="24"/>
          <w:highlight w:val="none"/>
        </w:rPr>
        <w:t>文件已有明确规定的，使用</w:t>
      </w:r>
      <w:r>
        <w:rPr>
          <w:rFonts w:hint="eastAsia" w:ascii="宋体" w:hAnsi="宋体"/>
          <w:color w:val="auto"/>
          <w:sz w:val="24"/>
          <w:highlight w:val="none"/>
        </w:rPr>
        <w:t>磋商</w:t>
      </w:r>
      <w:r>
        <w:rPr>
          <w:rFonts w:ascii="宋体" w:hAnsi="宋体"/>
          <w:color w:val="auto"/>
          <w:sz w:val="24"/>
          <w:highlight w:val="none"/>
        </w:rPr>
        <w:t>文件规定的计量单位；</w:t>
      </w:r>
      <w:r>
        <w:rPr>
          <w:rFonts w:hint="eastAsia" w:ascii="宋体" w:hAnsi="宋体"/>
          <w:color w:val="auto"/>
          <w:sz w:val="24"/>
          <w:highlight w:val="none"/>
        </w:rPr>
        <w:t>磋商</w:t>
      </w:r>
      <w:r>
        <w:rPr>
          <w:rFonts w:ascii="宋体" w:hAnsi="宋体"/>
          <w:color w:val="auto"/>
          <w:sz w:val="24"/>
          <w:highlight w:val="none"/>
        </w:rPr>
        <w:t>文件没有规定的，应采用中华人民共和国法定计量单位（货币单位：人民币元）。</w:t>
      </w:r>
    </w:p>
    <w:p w14:paraId="13B1C0F0">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若</w:t>
      </w:r>
      <w:r>
        <w:rPr>
          <w:rFonts w:hint="eastAsia" w:ascii="宋体" w:hAnsi="宋体"/>
          <w:color w:val="auto"/>
          <w:sz w:val="24"/>
          <w:highlight w:val="none"/>
        </w:rPr>
        <w:t>供应商</w:t>
      </w:r>
      <w:r>
        <w:rPr>
          <w:rFonts w:ascii="宋体" w:hAnsi="宋体"/>
          <w:color w:val="auto"/>
          <w:sz w:val="24"/>
          <w:highlight w:val="none"/>
        </w:rPr>
        <w:t>不按</w:t>
      </w:r>
      <w:r>
        <w:rPr>
          <w:rFonts w:hint="eastAsia" w:ascii="宋体" w:hAnsi="宋体"/>
          <w:color w:val="auto"/>
          <w:sz w:val="24"/>
          <w:highlight w:val="none"/>
        </w:rPr>
        <w:t>磋商</w:t>
      </w:r>
      <w:r>
        <w:rPr>
          <w:rFonts w:ascii="宋体" w:hAnsi="宋体"/>
          <w:color w:val="auto"/>
          <w:sz w:val="24"/>
          <w:highlight w:val="none"/>
        </w:rPr>
        <w:t>文件的要求提供资格审查材料，其风险由</w:t>
      </w:r>
      <w:r>
        <w:rPr>
          <w:rFonts w:hint="eastAsia" w:ascii="宋体" w:hAnsi="宋体"/>
          <w:color w:val="auto"/>
          <w:sz w:val="24"/>
          <w:highlight w:val="none"/>
        </w:rPr>
        <w:t>供应商</w:t>
      </w:r>
      <w:r>
        <w:rPr>
          <w:rFonts w:ascii="宋体" w:hAnsi="宋体"/>
          <w:color w:val="auto"/>
          <w:sz w:val="24"/>
          <w:highlight w:val="none"/>
        </w:rPr>
        <w:t>自行承担。</w:t>
      </w:r>
    </w:p>
    <w:p w14:paraId="3A0EAF4E">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kern w:val="0"/>
          <w:sz w:val="24"/>
          <w:highlight w:val="none"/>
        </w:rPr>
        <w:t>（6）</w:t>
      </w:r>
      <w:r>
        <w:rPr>
          <w:rFonts w:hint="eastAsia" w:ascii="宋体" w:hAnsi="宋体"/>
          <w:color w:val="auto"/>
          <w:sz w:val="24"/>
          <w:highlight w:val="none"/>
        </w:rPr>
        <w:t>与本次磋商无关的内容请不要制作在内，确保磋商文件有针对性、简洁明了。</w:t>
      </w:r>
    </w:p>
    <w:p w14:paraId="5C0B9AEA">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2、磋商响应文件的</w:t>
      </w:r>
      <w:r>
        <w:rPr>
          <w:rFonts w:hint="eastAsia" w:ascii="宋体" w:hAnsi="宋体" w:cs="宋体"/>
          <w:b/>
          <w:color w:val="auto"/>
          <w:sz w:val="24"/>
          <w:highlight w:val="none"/>
        </w:rPr>
        <w:t>签署及规定</w:t>
      </w:r>
    </w:p>
    <w:p w14:paraId="5EA4A06D">
      <w:pPr>
        <w:autoSpaceDE w:val="0"/>
        <w:autoSpaceDN w:val="0"/>
        <w:adjustRightInd w:val="0"/>
        <w:spacing w:line="360" w:lineRule="auto"/>
        <w:ind w:firstLine="480"/>
        <w:rPr>
          <w:rFonts w:hint="eastAsia" w:ascii="宋体" w:hAnsi="宋体"/>
          <w:color w:val="auto"/>
          <w:kern w:val="0"/>
          <w:sz w:val="24"/>
          <w:highlight w:val="none"/>
        </w:rPr>
      </w:pPr>
      <w:r>
        <w:rPr>
          <w:rFonts w:hint="eastAsia" w:ascii="宋体" w:hAnsi="宋体"/>
          <w:color w:val="auto"/>
          <w:kern w:val="0"/>
          <w:sz w:val="24"/>
          <w:highlight w:val="none"/>
        </w:rPr>
        <w:t>（1）供应商应按本须知的相关要求准备磋商响应文件，注明 “项目编号”、“项目名称”、“资格文件”或“商务技术文件”或“报价文件”、 “磋商供应商”、“时间”等字样。</w:t>
      </w:r>
    </w:p>
    <w:p w14:paraId="6485619D">
      <w:pPr>
        <w:autoSpaceDE w:val="0"/>
        <w:autoSpaceDN w:val="0"/>
        <w:adjustRightInd w:val="0"/>
        <w:spacing w:line="360" w:lineRule="auto"/>
        <w:ind w:firstLine="480"/>
        <w:rPr>
          <w:rFonts w:hint="eastAsia" w:ascii="宋体" w:hAnsi="宋体"/>
          <w:color w:val="auto"/>
          <w:kern w:val="0"/>
          <w:sz w:val="24"/>
          <w:highlight w:val="none"/>
        </w:rPr>
      </w:pPr>
      <w:r>
        <w:rPr>
          <w:rFonts w:hint="eastAsia" w:ascii="宋体" w:hAnsi="宋体"/>
          <w:color w:val="auto"/>
          <w:kern w:val="0"/>
          <w:sz w:val="24"/>
          <w:highlight w:val="none"/>
        </w:rPr>
        <w:t>（2）磋商响应文件封面和内部有要求盖章或签字的地方必须加盖磋商供应商的单位公章（或CA电子公章）以及法定代表人或全权代表（CA电子签章或签字）。</w:t>
      </w:r>
    </w:p>
    <w:p w14:paraId="7CF16607">
      <w:pPr>
        <w:autoSpaceDE w:val="0"/>
        <w:autoSpaceDN w:val="0"/>
        <w:adjustRightInd w:val="0"/>
        <w:spacing w:line="360" w:lineRule="auto"/>
        <w:ind w:firstLine="480"/>
        <w:rPr>
          <w:rFonts w:hint="eastAsia" w:ascii="宋体" w:hAnsi="宋体"/>
          <w:color w:val="auto"/>
          <w:kern w:val="0"/>
          <w:sz w:val="24"/>
          <w:highlight w:val="none"/>
        </w:rPr>
      </w:pPr>
      <w:r>
        <w:rPr>
          <w:rFonts w:hint="eastAsia" w:ascii="宋体" w:hAnsi="宋体"/>
          <w:color w:val="auto"/>
          <w:kern w:val="0"/>
          <w:sz w:val="24"/>
          <w:highlight w:val="none"/>
        </w:rPr>
        <w:t>（3）电子磋商响应文件：按政采云平台供应商项目采购-电子招投标操作指南及本磋商文件要求提交。</w:t>
      </w:r>
    </w:p>
    <w:p w14:paraId="026B853B">
      <w:pPr>
        <w:pageBreakBefore w:val="0"/>
        <w:kinsoku/>
        <w:wordWrap/>
        <w:overflowPunct/>
        <w:topLinePunct w:val="0"/>
        <w:autoSpaceDE w:val="0"/>
        <w:autoSpaceDN w:val="0"/>
        <w:bidi w:val="0"/>
        <w:adjustRightInd w:val="0"/>
        <w:spacing w:line="360" w:lineRule="auto"/>
        <w:ind w:firstLine="480"/>
        <w:textAlignment w:val="auto"/>
        <w:rPr>
          <w:rFonts w:hint="eastAsia" w:ascii="宋体" w:hAnsi="宋体"/>
          <w:color w:val="auto"/>
          <w:kern w:val="0"/>
          <w:sz w:val="24"/>
          <w:highlight w:val="none"/>
        </w:rPr>
      </w:pPr>
      <w:r>
        <w:rPr>
          <w:rFonts w:hint="eastAsia" w:ascii="宋体" w:hAnsi="宋体"/>
          <w:color w:val="auto"/>
          <w:kern w:val="0"/>
          <w:sz w:val="24"/>
          <w:highlight w:val="none"/>
        </w:rPr>
        <w:t>（4）介质存储的数据电文形式的备份电子磋商响应文件：U盘1份，独立密封封装。</w:t>
      </w:r>
    </w:p>
    <w:p w14:paraId="57CA348B">
      <w:pPr>
        <w:pageBreakBefore w:val="0"/>
        <w:kinsoku/>
        <w:wordWrap/>
        <w:overflowPunct/>
        <w:topLinePunct w:val="0"/>
        <w:autoSpaceDE w:val="0"/>
        <w:autoSpaceDN w:val="0"/>
        <w:bidi w:val="0"/>
        <w:adjustRightInd w:val="0"/>
        <w:spacing w:line="360" w:lineRule="auto"/>
        <w:ind w:firstLine="480"/>
        <w:textAlignment w:val="auto"/>
        <w:rPr>
          <w:rFonts w:hint="eastAsia" w:ascii="宋体" w:hAnsi="宋体"/>
          <w:color w:val="auto"/>
          <w:kern w:val="0"/>
          <w:sz w:val="24"/>
          <w:highlight w:val="none"/>
        </w:rPr>
      </w:pPr>
      <w:r>
        <w:rPr>
          <w:rFonts w:hint="eastAsia" w:ascii="宋体" w:hAnsi="宋体"/>
          <w:color w:val="auto"/>
          <w:kern w:val="0"/>
          <w:sz w:val="24"/>
          <w:highlight w:val="none"/>
        </w:rPr>
        <w:t>（5）磋商响应文件不得涂改，若有修改错漏处，须加盖单位公章（或CA电子公章）或者法定代表人或授权委托人签字（或CA电子签章）。磋商响应文件因字迹潦草或表达不清所引起的后果由磋商供应商负责。</w:t>
      </w:r>
    </w:p>
    <w:p w14:paraId="2CBA326E">
      <w:pPr>
        <w:pageBreakBefore w:val="0"/>
        <w:kinsoku/>
        <w:wordWrap/>
        <w:overflowPunct/>
        <w:topLinePunct w:val="0"/>
        <w:autoSpaceDE w:val="0"/>
        <w:autoSpaceDN w:val="0"/>
        <w:bidi w:val="0"/>
        <w:adjustRightInd w:val="0"/>
        <w:spacing w:line="360" w:lineRule="auto"/>
        <w:ind w:firstLine="480"/>
        <w:textAlignment w:val="auto"/>
        <w:rPr>
          <w:rFonts w:ascii="宋体" w:hAnsi="宋体"/>
          <w:b/>
          <w:bCs/>
          <w:color w:val="auto"/>
          <w:sz w:val="24"/>
          <w:highlight w:val="none"/>
        </w:rPr>
      </w:pPr>
      <w:r>
        <w:rPr>
          <w:rFonts w:hint="eastAsia" w:ascii="宋体" w:hAnsi="宋体"/>
          <w:b/>
          <w:bCs/>
          <w:color w:val="auto"/>
          <w:kern w:val="0"/>
          <w:sz w:val="24"/>
          <w:highlight w:val="none"/>
        </w:rPr>
        <w:t>3、</w:t>
      </w:r>
      <w:r>
        <w:rPr>
          <w:rFonts w:hint="eastAsia" w:ascii="宋体" w:hAnsi="宋体"/>
          <w:b/>
          <w:bCs/>
          <w:color w:val="auto"/>
          <w:sz w:val="24"/>
          <w:highlight w:val="none"/>
        </w:rPr>
        <w:t>磋商响应文件的递交要求</w:t>
      </w:r>
    </w:p>
    <w:p w14:paraId="3A300E20">
      <w:pPr>
        <w:pageBreakBefore w:val="0"/>
        <w:tabs>
          <w:tab w:val="left" w:pos="1898"/>
        </w:tabs>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（1）▲在投标截止时间前，磋商供应商应按磋商文件规定的时间、形式上传电子磋商响应文件至政采云平台采购项目中。在投标截止时间后上传提交磋商响应文件的，将被政采云平台拒绝。</w:t>
      </w:r>
    </w:p>
    <w:p w14:paraId="77740626">
      <w:pPr>
        <w:pageBreakBefore w:val="0"/>
        <w:tabs>
          <w:tab w:val="left" w:pos="1898"/>
        </w:tabs>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（2）采购代理机构工作人员将做好介质存储的数据电文形式备份电子磋商响应文件签收手续，明确电子磋商响应文件的提交时间、磋商响应文件的份数、提交人等信息。</w:t>
      </w:r>
    </w:p>
    <w:p w14:paraId="11D9B91C">
      <w:pPr>
        <w:pageBreakBefore w:val="0"/>
        <w:tabs>
          <w:tab w:val="left" w:pos="1898"/>
        </w:tabs>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（3）因密封不严、标记不明而造成过早启封、失密等情况，采购代理机构概不负责。</w:t>
      </w:r>
    </w:p>
    <w:p w14:paraId="0582C5EC">
      <w:pPr>
        <w:pageBreakBefore w:val="0"/>
        <w:tabs>
          <w:tab w:val="left" w:pos="1898"/>
        </w:tabs>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（4）如因故推迟磋商响应文件提交截止时间的，招标采购单位和磋商供应商的权利和义务将受到新的截止时间约束。</w:t>
      </w:r>
    </w:p>
    <w:p w14:paraId="07934A97">
      <w:pPr>
        <w:pageBreakBefore w:val="0"/>
        <w:tabs>
          <w:tab w:val="left" w:pos="1898"/>
        </w:tabs>
        <w:kinsoku/>
        <w:wordWrap/>
        <w:overflowPunct/>
        <w:topLinePunct w:val="0"/>
        <w:autoSpaceDE w:val="0"/>
        <w:autoSpaceDN w:val="0"/>
        <w:bidi w:val="0"/>
        <w:adjustRightInd w:val="0"/>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（5）已提交磋商响应文件的供应商，在提交最后报价之前，可以根据磋商情况退出磋商。</w:t>
      </w:r>
    </w:p>
    <w:p w14:paraId="36BEF6DA">
      <w:pPr>
        <w:pStyle w:val="5"/>
        <w:pageBreakBefore w:val="0"/>
        <w:kinsoku/>
        <w:wordWrap/>
        <w:overflowPunct/>
        <w:topLinePunct w:val="0"/>
        <w:bidi w:val="0"/>
        <w:spacing w:line="360" w:lineRule="auto"/>
        <w:ind w:firstLine="482"/>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（三）磋商响应文件的有效期</w:t>
      </w:r>
    </w:p>
    <w:p w14:paraId="1C71509C">
      <w:pPr>
        <w:pStyle w:val="7"/>
        <w:pageBreakBefore w:val="0"/>
        <w:widowControl w:val="0"/>
        <w:numPr>
          <w:ilvl w:val="0"/>
          <w:numId w:val="0"/>
        </w:numPr>
        <w:tabs>
          <w:tab w:val="left" w:pos="0"/>
          <w:tab w:val="left" w:pos="720"/>
          <w:tab w:val="left" w:pos="899"/>
          <w:tab w:val="left" w:pos="960"/>
          <w:tab w:val="left" w:pos="1200"/>
        </w:tabs>
        <w:kinsoku/>
        <w:wordWrap/>
        <w:overflowPunct/>
        <w:topLinePunct w:val="0"/>
        <w:bidi w:val="0"/>
        <w:snapToGrid w:val="0"/>
        <w:spacing w:after="156" w:afterLines="0" w:line="360" w:lineRule="auto"/>
        <w:ind w:firstLine="480" w:firstLineChars="200"/>
        <w:textAlignment w:val="auto"/>
        <w:rPr>
          <w:rFonts w:hint="eastAsia" w:ascii="宋体" w:hAnsi="宋体" w:eastAsia="宋体" w:cs="Times New Roman"/>
          <w:color w:val="auto"/>
          <w:kern w:val="0"/>
          <w:sz w:val="24"/>
          <w:szCs w:val="24"/>
          <w:highlight w:val="none"/>
          <w:lang w:val="en-GB"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GB" w:eastAsia="zh-CN" w:bidi="ar-SA"/>
        </w:rPr>
        <w:t>自磋商响应截止日起90天磋商响应文件应保持有效。有效期不足的磋商响应文件将被拒绝。</w:t>
      </w:r>
    </w:p>
    <w:p w14:paraId="22592B87">
      <w:pPr>
        <w:pStyle w:val="7"/>
        <w:pageBreakBefore w:val="0"/>
        <w:widowControl w:val="0"/>
        <w:numPr>
          <w:ilvl w:val="0"/>
          <w:numId w:val="0"/>
        </w:numPr>
        <w:tabs>
          <w:tab w:val="left" w:pos="0"/>
          <w:tab w:val="left" w:pos="720"/>
          <w:tab w:val="left" w:pos="899"/>
          <w:tab w:val="left" w:pos="960"/>
          <w:tab w:val="left" w:pos="1200"/>
        </w:tabs>
        <w:kinsoku/>
        <w:wordWrap/>
        <w:overflowPunct/>
        <w:topLinePunct w:val="0"/>
        <w:bidi w:val="0"/>
        <w:snapToGrid w:val="0"/>
        <w:spacing w:after="156" w:afterLines="0" w:line="360" w:lineRule="auto"/>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2、在特殊情况下，采购人可与磋商供应商协商延长磋商响应文件的有效期，这种要求和答复均以书面形式进行。</w:t>
      </w:r>
    </w:p>
    <w:p w14:paraId="54AEF2C5">
      <w:pPr>
        <w:pStyle w:val="7"/>
        <w:pageBreakBefore w:val="0"/>
        <w:widowControl w:val="0"/>
        <w:numPr>
          <w:ilvl w:val="0"/>
          <w:numId w:val="0"/>
        </w:numPr>
        <w:tabs>
          <w:tab w:val="left" w:pos="0"/>
          <w:tab w:val="left" w:pos="720"/>
          <w:tab w:val="left" w:pos="899"/>
          <w:tab w:val="left" w:pos="960"/>
          <w:tab w:val="left" w:pos="1200"/>
        </w:tabs>
        <w:kinsoku/>
        <w:wordWrap/>
        <w:overflowPunct/>
        <w:topLinePunct w:val="0"/>
        <w:bidi w:val="0"/>
        <w:snapToGrid w:val="0"/>
        <w:spacing w:after="156" w:afterLines="0" w:line="360" w:lineRule="auto"/>
        <w:ind w:firstLine="480" w:firstLineChars="200"/>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3.成交供应商的磋商响应文件自磋商之日起至合同履行完毕均应保持有效。</w:t>
      </w:r>
    </w:p>
    <w:p w14:paraId="194DE850">
      <w:pPr>
        <w:pStyle w:val="2"/>
        <w:pageBreakBefore w:val="0"/>
        <w:kinsoku/>
        <w:wordWrap/>
        <w:overflowPunct/>
        <w:topLinePunct w:val="0"/>
        <w:bidi w:val="0"/>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三、磋商</w:t>
      </w:r>
    </w:p>
    <w:p w14:paraId="24C7DDE4">
      <w:pPr>
        <w:pStyle w:val="5"/>
        <w:pageBreakBefore w:val="0"/>
        <w:kinsoku/>
        <w:wordWrap/>
        <w:overflowPunct/>
        <w:topLinePunct w:val="0"/>
        <w:bidi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（一）磋商程序</w:t>
      </w:r>
    </w:p>
    <w:p w14:paraId="23CDCEBE">
      <w:pPr>
        <w:pageBreakBefore w:val="0"/>
        <w:kinsoku/>
        <w:wordWrap/>
        <w:overflowPunct/>
        <w:topLinePunct w:val="0"/>
        <w:bidi w:val="0"/>
        <w:spacing w:line="360" w:lineRule="auto"/>
        <w:ind w:firstLine="456" w:firstLineChars="19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 开标程序</w:t>
      </w:r>
    </w:p>
    <w:p w14:paraId="3E178147">
      <w:pPr>
        <w:pageBreakBefore w:val="0"/>
        <w:numPr>
          <w:ilvl w:val="0"/>
          <w:numId w:val="3"/>
          <w:numberingChange w:id="0" w:author="lenovo" w:date="2021-11-09T18:47:00Z" w:original="%1:1:0:）"/>
        </w:numPr>
        <w:kinsoku/>
        <w:wordWrap/>
        <w:overflowPunct/>
        <w:topLinePunct w:val="0"/>
        <w:bidi w:val="0"/>
        <w:spacing w:line="360" w:lineRule="auto"/>
        <w:ind w:firstLine="456" w:firstLineChars="19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到开标时间后，供应商登录政采云平台，用“项目采购-开标评标”功能对电子磋商响应文件进行在线解密。在线解密电子磋商文件时间为开标时间起半个小时内；</w:t>
      </w:r>
    </w:p>
    <w:p w14:paraId="0B3D4A77">
      <w:pPr>
        <w:pageBreakBefore w:val="0"/>
        <w:numPr>
          <w:ilvl w:val="0"/>
          <w:numId w:val="3"/>
          <w:numberingChange w:id="1" w:author="lenovo" w:date="2021-11-09T18:47:00Z" w:original="%1:2:0:）"/>
        </w:numPr>
        <w:kinsoku/>
        <w:wordWrap/>
        <w:overflowPunct/>
        <w:topLinePunct w:val="0"/>
        <w:bidi w:val="0"/>
        <w:spacing w:line="360" w:lineRule="auto"/>
        <w:ind w:firstLine="456" w:firstLineChars="190"/>
        <w:textAlignment w:val="auto"/>
        <w:rPr>
          <w:rFonts w:hint="eastAsia" w:ascii="宋体" w:hAnsi="宋体" w:cs="宋体"/>
          <w:color w:val="auto"/>
          <w:kern w:val="0"/>
          <w:sz w:val="24"/>
          <w:highlight w:val="none"/>
        </w:rPr>
      </w:pPr>
      <w:r>
        <w:rPr>
          <w:rFonts w:hint="eastAsia" w:ascii="宋体" w:hAnsi="宋体" w:cs="宋体"/>
          <w:bCs/>
          <w:color w:val="auto"/>
          <w:sz w:val="24"/>
          <w:highlight w:val="none"/>
        </w:rPr>
        <w:t>开标结束后，采购人或采购代理机构依法对供应商的资格进行审查。</w:t>
      </w:r>
    </w:p>
    <w:p w14:paraId="7A9EA2F7">
      <w:pPr>
        <w:pageBreakBefore w:val="0"/>
        <w:kinsoku/>
        <w:wordWrap/>
        <w:overflowPunct/>
        <w:topLinePunct w:val="0"/>
        <w:bidi w:val="0"/>
        <w:spacing w:line="360" w:lineRule="auto"/>
        <w:ind w:firstLine="456" w:firstLineChars="19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2、通过资格审查视作具备磋商资格，审查不合格的磋商响应文件将不进入后续详细评审。</w:t>
      </w:r>
    </w:p>
    <w:p w14:paraId="66D80BF0">
      <w:pPr>
        <w:pageBreakBefore w:val="0"/>
        <w:kinsoku/>
        <w:wordWrap/>
        <w:overflowPunct/>
        <w:topLinePunct w:val="0"/>
        <w:bidi w:val="0"/>
        <w:spacing w:line="360" w:lineRule="auto"/>
        <w:ind w:firstLine="456" w:firstLineChars="19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 磋商小组根据磋商文件的规定，对磋商响应文件的有效性、完整性和对磋商文件的响应程度进行审查，以确定其是否对磋商文件作出了实质性响应。实质上没有响应磋商文件要求的磋商响应文件将被否决。</w:t>
      </w:r>
    </w:p>
    <w:p w14:paraId="09256753">
      <w:pPr>
        <w:pageBreakBefore w:val="0"/>
        <w:kinsoku/>
        <w:wordWrap/>
        <w:overflowPunct/>
        <w:topLinePunct w:val="0"/>
        <w:bidi w:val="0"/>
        <w:spacing w:line="360" w:lineRule="auto"/>
        <w:ind w:firstLine="456" w:firstLineChars="190"/>
        <w:textAlignment w:val="auto"/>
        <w:rPr>
          <w:rFonts w:hint="eastAsia" w:ascii="宋体" w:hAnsi="宋体" w:cs="宋体"/>
          <w:color w:val="auto"/>
          <w:sz w:val="24"/>
          <w:highlight w:val="none"/>
        </w:rPr>
      </w:pPr>
      <w:r>
        <w:rPr>
          <w:rFonts w:hint="eastAsia" w:ascii="宋体" w:hAnsi="宋体" w:cs="宋体"/>
          <w:color w:val="auto"/>
          <w:kern w:val="0"/>
          <w:sz w:val="24"/>
          <w:highlight w:val="none"/>
        </w:rPr>
        <w:t>4、 评审过程中磋商供应商有义务对磋商小组提出就磋商响应文件中含义不明确、同类问题表述不</w:t>
      </w:r>
      <w:r>
        <w:rPr>
          <w:rFonts w:hint="eastAsia" w:ascii="宋体" w:hAnsi="宋体" w:cs="宋体"/>
          <w:color w:val="auto"/>
          <w:sz w:val="24"/>
          <w:highlight w:val="none"/>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14:paraId="0AB3B178">
      <w:pPr>
        <w:pageBreakBefore w:val="0"/>
        <w:kinsoku/>
        <w:wordWrap/>
        <w:overflowPunct/>
        <w:topLinePunct w:val="0"/>
        <w:bidi w:val="0"/>
        <w:spacing w:line="360" w:lineRule="auto"/>
        <w:ind w:firstLine="456" w:firstLineChars="19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 </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rPr>
        <w:t>经澄清后，若偏差仍存在，且不可接受，磋商供应商则被认为是“没有实质性响应竞争性磋商文件要求”，其磋商不进入下一步评审</w:t>
      </w:r>
      <w:r>
        <w:rPr>
          <w:rFonts w:hint="eastAsia" w:ascii="宋体" w:hAnsi="宋体" w:cs="宋体"/>
          <w:color w:val="auto"/>
          <w:sz w:val="24"/>
          <w:highlight w:val="none"/>
        </w:rPr>
        <w:t>。</w:t>
      </w:r>
    </w:p>
    <w:p w14:paraId="76924F04">
      <w:pPr>
        <w:pageBreakBefore w:val="0"/>
        <w:kinsoku/>
        <w:wordWrap/>
        <w:overflowPunct/>
        <w:topLinePunct w:val="0"/>
        <w:bidi w:val="0"/>
        <w:spacing w:line="360" w:lineRule="auto"/>
        <w:ind w:firstLine="456" w:firstLineChars="190"/>
        <w:textAlignment w:val="auto"/>
        <w:rPr>
          <w:rFonts w:hint="eastAsia" w:ascii="宋体" w:hAnsi="宋体" w:cs="宋体"/>
          <w:color w:val="auto"/>
          <w:sz w:val="24"/>
          <w:highlight w:val="none"/>
        </w:rPr>
      </w:pPr>
      <w:r>
        <w:rPr>
          <w:rFonts w:hint="eastAsia" w:ascii="宋体" w:hAnsi="宋体" w:cs="宋体"/>
          <w:color w:val="auto"/>
          <w:sz w:val="24"/>
          <w:highlight w:val="none"/>
        </w:rPr>
        <w:t>6、磋商小组所有成员将遵循“公开、公平、公正”的原则，采用相同的程序和标准。</w:t>
      </w:r>
      <w:r>
        <w:rPr>
          <w:rFonts w:hint="eastAsia" w:ascii="宋体" w:hAnsi="宋体" w:cs="宋体"/>
          <w:b/>
          <w:color w:val="auto"/>
          <w:sz w:val="24"/>
          <w:highlight w:val="none"/>
        </w:rPr>
        <w:t>如有必要</w:t>
      </w:r>
      <w:r>
        <w:rPr>
          <w:rFonts w:hint="eastAsia" w:ascii="宋体" w:hAnsi="宋体" w:cs="宋体"/>
          <w:color w:val="auto"/>
          <w:sz w:val="24"/>
          <w:highlight w:val="none"/>
        </w:rPr>
        <w:t>，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14:paraId="7F1AB560">
      <w:pPr>
        <w:pageBreakBefore w:val="0"/>
        <w:kinsoku/>
        <w:wordWrap/>
        <w:overflowPunct/>
        <w:topLinePunct w:val="0"/>
        <w:bidi w:val="0"/>
        <w:spacing w:line="360" w:lineRule="auto"/>
        <w:ind w:firstLine="456" w:firstLineChars="190"/>
        <w:textAlignment w:val="auto"/>
        <w:rPr>
          <w:rFonts w:hint="eastAsia" w:ascii="宋体" w:hAnsi="宋体" w:cs="宋体"/>
          <w:color w:val="auto"/>
          <w:sz w:val="24"/>
          <w:highlight w:val="none"/>
        </w:rPr>
      </w:pPr>
      <w:r>
        <w:rPr>
          <w:rFonts w:hint="eastAsia" w:ascii="宋体" w:hAnsi="宋体" w:cs="宋体"/>
          <w:color w:val="auto"/>
          <w:sz w:val="24"/>
          <w:highlight w:val="none"/>
        </w:rPr>
        <w:t>7、在磋商过程中，磋商小组可以根据磋商文件和磋商情况实质性变动</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697A6C29">
      <w:pPr>
        <w:pageBreakBefore w:val="0"/>
        <w:kinsoku/>
        <w:wordWrap/>
        <w:overflowPunct/>
        <w:topLinePunct w:val="0"/>
        <w:bidi w:val="0"/>
        <w:spacing w:line="360" w:lineRule="auto"/>
        <w:ind w:firstLine="456" w:firstLineChars="190"/>
        <w:textAlignment w:val="auto"/>
        <w:rPr>
          <w:rFonts w:hint="eastAsia" w:ascii="宋体" w:hAnsi="宋体" w:cs="宋体"/>
          <w:color w:val="auto"/>
          <w:sz w:val="24"/>
          <w:highlight w:val="none"/>
        </w:rPr>
      </w:pPr>
      <w:r>
        <w:rPr>
          <w:rFonts w:hint="eastAsia" w:ascii="宋体" w:hAnsi="宋体" w:cs="宋体"/>
          <w:color w:val="auto"/>
          <w:sz w:val="24"/>
          <w:highlight w:val="none"/>
        </w:rPr>
        <w:t>8、在磋商过程中，磋商供应商不得向磋商小组成员询问磋商情况，不得进行旨在影响磋商结果的活动，否则将取消其磋商资格。</w:t>
      </w:r>
    </w:p>
    <w:p w14:paraId="00C33150">
      <w:pPr>
        <w:pageBreakBefore w:val="0"/>
        <w:kinsoku/>
        <w:wordWrap/>
        <w:overflowPunct/>
        <w:topLinePunct w:val="0"/>
        <w:bidi w:val="0"/>
        <w:spacing w:line="360" w:lineRule="auto"/>
        <w:ind w:firstLine="456" w:firstLineChars="190"/>
        <w:textAlignment w:val="auto"/>
        <w:rPr>
          <w:rFonts w:hint="eastAsia" w:ascii="宋体" w:hAnsi="宋体" w:cs="宋体"/>
          <w:color w:val="auto"/>
          <w:sz w:val="24"/>
          <w:highlight w:val="none"/>
        </w:rPr>
      </w:pPr>
      <w:r>
        <w:rPr>
          <w:rFonts w:hint="eastAsia" w:ascii="宋体" w:hAnsi="宋体" w:cs="宋体"/>
          <w:color w:val="auto"/>
          <w:sz w:val="24"/>
          <w:highlight w:val="none"/>
        </w:rPr>
        <w:t>9、在磋商过程中，磋商小组成员不得与磋商供应商私下交换意见，在竞争性磋商结束后，凡与磋商情况有接触的人不得将磋商情况扩散出磋商小组成员外。</w:t>
      </w:r>
    </w:p>
    <w:p w14:paraId="21CB786B">
      <w:pPr>
        <w:pageBreakBefore w:val="0"/>
        <w:kinsoku/>
        <w:wordWrap/>
        <w:overflowPunct/>
        <w:topLinePunct w:val="0"/>
        <w:bidi w:val="0"/>
        <w:spacing w:line="360" w:lineRule="auto"/>
        <w:ind w:firstLine="458" w:firstLineChars="190"/>
        <w:textAlignment w:val="auto"/>
        <w:rPr>
          <w:rFonts w:hint="eastAsia" w:ascii="宋体" w:hAnsi="宋体" w:cs="宋体"/>
          <w:color w:val="auto"/>
          <w:sz w:val="24"/>
          <w:highlight w:val="none"/>
        </w:rPr>
      </w:pPr>
      <w:r>
        <w:rPr>
          <w:rFonts w:hint="eastAsia" w:ascii="宋体" w:hAnsi="宋体" w:cs="宋体"/>
          <w:b/>
          <w:bCs/>
          <w:color w:val="auto"/>
          <w:sz w:val="24"/>
          <w:highlight w:val="none"/>
        </w:rPr>
        <w:t>10、磋商结束后，磋商小组将要求磋商供应商在规定的时间内，统一进行最后报价，最后报价不得高于</w:t>
      </w:r>
      <w:r>
        <w:rPr>
          <w:rFonts w:hint="eastAsia" w:ascii="宋体" w:hAnsi="宋体" w:cs="宋体"/>
          <w:b/>
          <w:bCs/>
          <w:color w:val="auto"/>
          <w:sz w:val="24"/>
          <w:highlight w:val="none"/>
          <w:lang w:eastAsia="zh-CN"/>
        </w:rPr>
        <w:t>首轮</w:t>
      </w:r>
      <w:r>
        <w:rPr>
          <w:rFonts w:hint="eastAsia" w:ascii="宋体" w:hAnsi="宋体" w:cs="宋体"/>
          <w:b/>
          <w:bCs/>
          <w:color w:val="auto"/>
          <w:sz w:val="24"/>
          <w:highlight w:val="none"/>
        </w:rPr>
        <w:t>报价</w:t>
      </w:r>
      <w:r>
        <w:rPr>
          <w:rFonts w:hint="eastAsia" w:ascii="宋体" w:hAnsi="宋体" w:cs="宋体"/>
          <w:b/>
          <w:bCs/>
          <w:color w:val="auto"/>
          <w:sz w:val="24"/>
          <w:highlight w:val="none"/>
          <w:lang w:eastAsia="zh-CN"/>
        </w:rPr>
        <w:t>，否则将终止磋商</w:t>
      </w:r>
      <w:r>
        <w:rPr>
          <w:rFonts w:hint="eastAsia" w:ascii="宋体" w:hAnsi="宋体" w:cs="宋体"/>
          <w:b/>
          <w:bCs/>
          <w:color w:val="auto"/>
          <w:sz w:val="24"/>
          <w:highlight w:val="none"/>
        </w:rPr>
        <w:t>。</w:t>
      </w:r>
    </w:p>
    <w:p w14:paraId="1DDD9871">
      <w:pPr>
        <w:pageBreakBefore w:val="0"/>
        <w:kinsoku/>
        <w:wordWrap/>
        <w:overflowPunct/>
        <w:topLinePunct w:val="0"/>
        <w:bidi w:val="0"/>
        <w:spacing w:line="360" w:lineRule="auto"/>
        <w:ind w:firstLine="456" w:firstLineChars="190"/>
        <w:textAlignment w:val="auto"/>
        <w:rPr>
          <w:rFonts w:hint="eastAsia" w:ascii="宋体" w:hAnsi="宋体" w:cs="宋体"/>
          <w:color w:val="auto"/>
          <w:sz w:val="24"/>
          <w:highlight w:val="none"/>
        </w:rPr>
      </w:pPr>
      <w:r>
        <w:rPr>
          <w:rFonts w:hint="eastAsia" w:ascii="宋体" w:hAnsi="宋体" w:cs="宋体"/>
          <w:color w:val="auto"/>
          <w:sz w:val="24"/>
          <w:highlight w:val="none"/>
        </w:rPr>
        <w:t>11、宣布评分结果以及最终报价</w:t>
      </w:r>
    </w:p>
    <w:p w14:paraId="4A3A5303">
      <w:pPr>
        <w:pageBreakBefore w:val="0"/>
        <w:kinsoku/>
        <w:wordWrap/>
        <w:overflowPunct/>
        <w:topLinePunct w:val="0"/>
        <w:bidi w:val="0"/>
        <w:spacing w:line="360" w:lineRule="auto"/>
        <w:ind w:firstLine="456" w:firstLineChars="190"/>
        <w:textAlignment w:val="auto"/>
        <w:rPr>
          <w:rFonts w:hint="eastAsia" w:ascii="宋体" w:hAnsi="宋体" w:cs="宋体"/>
          <w:color w:val="auto"/>
          <w:sz w:val="24"/>
          <w:highlight w:val="none"/>
        </w:rPr>
      </w:pPr>
      <w:r>
        <w:rPr>
          <w:rFonts w:hint="eastAsia" w:ascii="宋体" w:hAnsi="宋体" w:cs="宋体"/>
          <w:color w:val="auto"/>
          <w:sz w:val="24"/>
          <w:highlight w:val="none"/>
        </w:rPr>
        <w:t>宣布评分结果以及最终报价在政采云电子招投标开标及评审程序中进行。</w:t>
      </w:r>
    </w:p>
    <w:p w14:paraId="2E5447C2">
      <w:pPr>
        <w:pStyle w:val="5"/>
        <w:pageBreakBefore w:val="0"/>
        <w:kinsoku/>
        <w:wordWrap/>
        <w:overflowPunct/>
        <w:topLinePunct w:val="0"/>
        <w:bidi w:val="0"/>
        <w:spacing w:line="360" w:lineRule="auto"/>
        <w:ind w:firstLine="482"/>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（二）澄清问题的形式</w:t>
      </w:r>
    </w:p>
    <w:p w14:paraId="7AD874D0">
      <w:pPr>
        <w:pageBreakBefore w:val="0"/>
        <w:kinsoku/>
        <w:wordWrap/>
        <w:overflowPunct/>
        <w:topLinePunct w:val="0"/>
        <w:bidi w:val="0"/>
        <w:snapToGrid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磋商供应商的澄清、说明或者补正应当采用书面形式，并加盖公章，或者由法定代理人或其授权的代表签字，并不得超出磋商响应文件的范围或者改变磋商响应文件的实质性内容。</w:t>
      </w:r>
    </w:p>
    <w:p w14:paraId="57C9EA7F">
      <w:pPr>
        <w:pStyle w:val="5"/>
        <w:pageBreakBefore w:val="0"/>
        <w:kinsoku/>
        <w:wordWrap/>
        <w:overflowPunct/>
        <w:topLinePunct w:val="0"/>
        <w:bidi w:val="0"/>
        <w:spacing w:line="360" w:lineRule="auto"/>
        <w:ind w:firstLine="482"/>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（三）错误修正</w:t>
      </w:r>
    </w:p>
    <w:p w14:paraId="0EEBCA51">
      <w:pPr>
        <w:pStyle w:val="15"/>
        <w:pageBreakBefore w:val="0"/>
        <w:kinsoku/>
        <w:wordWrap/>
        <w:overflowPunct/>
        <w:topLinePunct w:val="0"/>
        <w:bidi w:val="0"/>
        <w:spacing w:before="0" w:beforeLines="0" w:beforeAutospacing="0" w:after="0" w:afterLines="0" w:afterAutospacing="0" w:line="360" w:lineRule="auto"/>
        <w:ind w:firstLine="480" w:firstLineChars="200"/>
        <w:jc w:val="both"/>
        <w:textAlignment w:val="auto"/>
        <w:rPr>
          <w:rFonts w:hint="default"/>
          <w:color w:val="auto"/>
          <w:highlight w:val="none"/>
        </w:rPr>
      </w:pPr>
      <w:r>
        <w:rPr>
          <w:color w:val="auto"/>
          <w:highlight w:val="none"/>
        </w:rPr>
        <w:t>磋商响应文件报价出现前后不一致的，除</w:t>
      </w:r>
      <w:r>
        <w:rPr>
          <w:bCs/>
          <w:color w:val="auto"/>
          <w:highlight w:val="none"/>
        </w:rPr>
        <w:t>磋商采购文件</w:t>
      </w:r>
      <w:r>
        <w:rPr>
          <w:color w:val="auto"/>
          <w:highlight w:val="none"/>
        </w:rPr>
        <w:t>另有规定外，按照下列规定修正：</w:t>
      </w:r>
    </w:p>
    <w:p w14:paraId="3F468D77">
      <w:pPr>
        <w:pStyle w:val="15"/>
        <w:pageBreakBefore w:val="0"/>
        <w:kinsoku/>
        <w:wordWrap/>
        <w:overflowPunct/>
        <w:topLinePunct w:val="0"/>
        <w:bidi w:val="0"/>
        <w:spacing w:before="0" w:beforeLines="0" w:beforeAutospacing="0" w:after="0" w:afterLines="0" w:afterAutospacing="0" w:line="360" w:lineRule="auto"/>
        <w:jc w:val="both"/>
        <w:textAlignment w:val="auto"/>
        <w:rPr>
          <w:rFonts w:hint="default"/>
          <w:color w:val="auto"/>
          <w:highlight w:val="none"/>
        </w:rPr>
      </w:pPr>
      <w:r>
        <w:rPr>
          <w:color w:val="auto"/>
          <w:highlight w:val="none"/>
        </w:rPr>
        <w:t>　　1、磋商响应文件中首次报价一览表</w:t>
      </w:r>
      <w:r>
        <w:rPr>
          <w:rFonts w:hint="eastAsia"/>
          <w:color w:val="auto"/>
          <w:highlight w:val="none"/>
          <w:lang w:eastAsia="zh-CN"/>
        </w:rPr>
        <w:t>金额</w:t>
      </w:r>
      <w:r>
        <w:rPr>
          <w:color w:val="auto"/>
          <w:highlight w:val="none"/>
        </w:rPr>
        <w:t>与磋商响应文件中</w:t>
      </w:r>
      <w:r>
        <w:rPr>
          <w:rFonts w:hint="eastAsia"/>
          <w:color w:val="auto"/>
          <w:highlight w:val="none"/>
          <w:lang w:eastAsia="zh-CN"/>
        </w:rPr>
        <w:t>报价明细表金额</w:t>
      </w:r>
      <w:r>
        <w:rPr>
          <w:color w:val="auto"/>
          <w:highlight w:val="none"/>
        </w:rPr>
        <w:t>不一致的，以首次报价一览表为准；</w:t>
      </w:r>
    </w:p>
    <w:p w14:paraId="759C4761">
      <w:pPr>
        <w:pStyle w:val="15"/>
        <w:pageBreakBefore w:val="0"/>
        <w:kinsoku/>
        <w:wordWrap/>
        <w:overflowPunct/>
        <w:topLinePunct w:val="0"/>
        <w:bidi w:val="0"/>
        <w:spacing w:before="0" w:beforeLines="0" w:beforeAutospacing="0" w:after="0" w:afterLines="0" w:afterAutospacing="0" w:line="360" w:lineRule="auto"/>
        <w:jc w:val="both"/>
        <w:textAlignment w:val="auto"/>
        <w:rPr>
          <w:rFonts w:hint="default"/>
          <w:color w:val="auto"/>
          <w:highlight w:val="none"/>
        </w:rPr>
      </w:pPr>
      <w:r>
        <w:rPr>
          <w:color w:val="auto"/>
          <w:highlight w:val="none"/>
        </w:rPr>
        <w:t>　　2、大写金额和小写金额不一致的，以大写金额为准；</w:t>
      </w:r>
    </w:p>
    <w:p w14:paraId="0A08AFD2">
      <w:pPr>
        <w:pStyle w:val="15"/>
        <w:pageBreakBefore w:val="0"/>
        <w:kinsoku/>
        <w:wordWrap/>
        <w:overflowPunct/>
        <w:topLinePunct w:val="0"/>
        <w:bidi w:val="0"/>
        <w:spacing w:before="0" w:beforeLines="0" w:beforeAutospacing="0" w:after="0" w:afterLines="0" w:afterAutospacing="0" w:line="360" w:lineRule="auto"/>
        <w:jc w:val="both"/>
        <w:textAlignment w:val="auto"/>
        <w:rPr>
          <w:rFonts w:hint="default"/>
          <w:color w:val="auto"/>
          <w:highlight w:val="none"/>
        </w:rPr>
      </w:pPr>
      <w:r>
        <w:rPr>
          <w:color w:val="auto"/>
          <w:highlight w:val="none"/>
        </w:rPr>
        <w:t>　　3、单价金额小数点或者百分比有明显错位的，以首次报价一览表的总价为准，并修改单价；</w:t>
      </w:r>
    </w:p>
    <w:p w14:paraId="531154B5">
      <w:pPr>
        <w:pStyle w:val="15"/>
        <w:pageBreakBefore w:val="0"/>
        <w:kinsoku/>
        <w:wordWrap/>
        <w:overflowPunct/>
        <w:topLinePunct w:val="0"/>
        <w:bidi w:val="0"/>
        <w:spacing w:before="0" w:beforeLines="0" w:beforeAutospacing="0" w:after="0" w:afterLines="0" w:afterAutospacing="0" w:line="360" w:lineRule="auto"/>
        <w:jc w:val="both"/>
        <w:textAlignment w:val="auto"/>
        <w:rPr>
          <w:rFonts w:hint="default"/>
          <w:color w:val="auto"/>
          <w:highlight w:val="none"/>
        </w:rPr>
      </w:pPr>
      <w:r>
        <w:rPr>
          <w:color w:val="auto"/>
          <w:highlight w:val="none"/>
        </w:rPr>
        <w:t>　　4、总价金额与按单价汇总金额不一致的，以单价金额计算结果为准。</w:t>
      </w:r>
    </w:p>
    <w:p w14:paraId="10D806F0">
      <w:pPr>
        <w:pStyle w:val="15"/>
        <w:pageBreakBefore w:val="0"/>
        <w:kinsoku/>
        <w:wordWrap/>
        <w:overflowPunct/>
        <w:topLinePunct w:val="0"/>
        <w:bidi w:val="0"/>
        <w:spacing w:before="0" w:beforeLines="0" w:beforeAutospacing="0" w:after="0" w:afterLines="0" w:afterAutospacing="0" w:line="360" w:lineRule="auto"/>
        <w:ind w:firstLine="480"/>
        <w:jc w:val="both"/>
        <w:textAlignment w:val="auto"/>
        <w:rPr>
          <w:color w:val="auto"/>
          <w:highlight w:val="none"/>
        </w:rPr>
      </w:pPr>
      <w:r>
        <w:rPr>
          <w:color w:val="auto"/>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4AEC281E">
      <w:pPr>
        <w:pStyle w:val="5"/>
        <w:pageBreakBefore w:val="0"/>
        <w:kinsoku/>
        <w:wordWrap/>
        <w:overflowPunct/>
        <w:topLinePunct w:val="0"/>
        <w:bidi w:val="0"/>
        <w:spacing w:line="360" w:lineRule="auto"/>
        <w:ind w:firstLine="482"/>
        <w:textAlignment w:val="auto"/>
        <w:rPr>
          <w:rFonts w:hint="eastAsia"/>
          <w:color w:val="auto"/>
          <w:highlight w:val="none"/>
        </w:rPr>
      </w:pPr>
      <w:r>
        <w:rPr>
          <w:rFonts w:ascii="宋体" w:hAnsi="宋体" w:eastAsia="宋体"/>
          <w:color w:val="auto"/>
          <w:sz w:val="24"/>
          <w:szCs w:val="24"/>
          <w:highlight w:val="none"/>
        </w:rPr>
        <w:t>（四）</w:t>
      </w:r>
      <w:r>
        <w:rPr>
          <w:rFonts w:hint="eastAsia" w:ascii="宋体" w:hAnsi="宋体" w:eastAsia="宋体" w:cs="Times New Roman"/>
          <w:b w:val="0"/>
          <w:bCs w:val="0"/>
          <w:color w:val="auto"/>
          <w:kern w:val="0"/>
          <w:sz w:val="24"/>
          <w:szCs w:val="24"/>
          <w:highlight w:val="none"/>
          <w:lang w:val="en-US" w:eastAsia="zh-CN" w:bidi="ar-SA"/>
        </w:rPr>
        <w:t>对供应商的磋商响应文件出现下列情形之一的，作无效处理：</w:t>
      </w:r>
    </w:p>
    <w:p w14:paraId="7C34F4D0">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（1）在资格审查时，如发现下列情形之一的，磋商响应文件将被视为无效：</w:t>
      </w:r>
    </w:p>
    <w:p w14:paraId="16FFB72B">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①资格证明文件不全的，或者不符合磋商文件标明的资格要求的；</w:t>
      </w:r>
    </w:p>
    <w:p w14:paraId="58E9F68F">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②未按要求提供供应商法定代表人（负责人）或其授权代理人的有效身份证明的。</w:t>
      </w:r>
    </w:p>
    <w:p w14:paraId="59415A27">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（2）在符合性审查和商务评审时，如发现下列情形之一的，磋商响应文件将被视为无效：</w:t>
      </w:r>
    </w:p>
    <w:p w14:paraId="55064351">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①磋商响应文件的密封、签署、盖章不符合磋商文件要求的；</w:t>
      </w:r>
    </w:p>
    <w:p w14:paraId="52EAA20A">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②不响应磋商文件实质性条款的；</w:t>
      </w:r>
    </w:p>
    <w:p w14:paraId="3DA881DB">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③仅提供备份磋商响应文件的；</w:t>
      </w:r>
    </w:p>
    <w:p w14:paraId="3AE414D9">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④电子磋商响应文件解密失败，且未在规定时间内提交备份磋商响应文件的；</w:t>
      </w:r>
    </w:p>
    <w:p w14:paraId="0707D2E9">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⑤电子磋商响应文件解密失败，虽然在规定时间内提交了备份磋商响应文件，但是备份磋商响应文件无法导入或者无法读取或者不符合本磋商文件和电子交易平台要求的；</w:t>
      </w:r>
    </w:p>
    <w:p w14:paraId="1EFE13EF">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⑥不同供应商的磋商响应文件IP地址（或MAC地址、硬件号（硬盘号））相同的；</w:t>
      </w:r>
    </w:p>
    <w:p w14:paraId="1BC02636">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⑦磋商响应文件关键字迹模糊辨认不清的（磋商小组一致认为难以确认）；</w:t>
      </w:r>
    </w:p>
    <w:p w14:paraId="26A62AFA">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⑧磋商文件规定的其他实质性要求（磋商小组一致认定）的；</w:t>
      </w:r>
    </w:p>
    <w:p w14:paraId="4012C94B">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⑨磋商响应文件载明的磋商有效期、付款方式、服务期等商务条款不能满足磋商文件要求的；</w:t>
      </w:r>
    </w:p>
    <w:p w14:paraId="4A4DC4A5">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⑩磋商响应文件附有采购人不能接受的条件的。</w:t>
      </w:r>
    </w:p>
    <w:p w14:paraId="35C9DB67">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⑪提供虚假资料的；</w:t>
      </w:r>
    </w:p>
    <w:p w14:paraId="67E0F799">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 xml:space="preserve">⑫法律、法规、规章及省级以上规范性文件等规定的其他情形。 </w:t>
      </w:r>
    </w:p>
    <w:p w14:paraId="601C2301">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（3）在技术评审时，如发现下列情形之一的，磋商响应文件将被视为无效：</w:t>
      </w:r>
    </w:p>
    <w:p w14:paraId="117141A6">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①未提供或未如实提供投标的技术参数，或者响应文件标明的响应或偏离与事实不符或虚假投标的；</w:t>
      </w:r>
    </w:p>
    <w:p w14:paraId="0A5FD9F2">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②明显不符合磋商文件要求的技术需求和标注、规格型号、质量标准，或者与磋商文件中标有“▲”的技术指标、主要功能项目发生实质性偏离的；</w:t>
      </w:r>
    </w:p>
    <w:p w14:paraId="0D532326">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③与其他参加本次供应商的响应文件（技术文件）的文字表述内容相同连续20行以上或者差错相同2处以上的；</w:t>
      </w:r>
    </w:p>
    <w:p w14:paraId="79A6C1DE">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④未提供服务/货物/工程清单或所提供的清单主要项目（如数量、单位等）不全或低于磋商文件要求响应的；</w:t>
      </w:r>
    </w:p>
    <w:p w14:paraId="10AC1C4C">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⑤技术方案不明确，存在一个或一个以上备选（替代）方案的；</w:t>
      </w:r>
    </w:p>
    <w:p w14:paraId="5F2F64C1">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（4）在报价评审时，如发现下列情形之一的，磋商响应文件将被视为无效：</w:t>
      </w:r>
    </w:p>
    <w:p w14:paraId="573B0A77">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①未按磋商文件标明的要求报价的；</w:t>
      </w:r>
    </w:p>
    <w:p w14:paraId="6B177BE5">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②报价超出本项目最高限价的；</w:t>
      </w:r>
    </w:p>
    <w:p w14:paraId="55B6BF78">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③供应商提交两份或两份以上内容不同的报价文件，或在一份报价文件中对同一采购项目有两个或两个以上报价的；</w:t>
      </w:r>
    </w:p>
    <w:p w14:paraId="01FD2632">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④擅自改变采购人提供的清单，或未提供竞争性磋商文件要求的采购清单，影响磋商正常进行的；</w:t>
      </w:r>
    </w:p>
    <w:p w14:paraId="2B971D7E">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⑤供应商拒绝修正不平衡报价，或拒绝提供报价分析说明和证明材料的；</w:t>
      </w:r>
    </w:p>
    <w:p w14:paraId="43BC5B17">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⑥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响应的。</w:t>
      </w:r>
    </w:p>
    <w:p w14:paraId="0FFF73D3">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⑦未提交最后报价的。</w:t>
      </w:r>
    </w:p>
    <w:p w14:paraId="308071D3">
      <w:pPr>
        <w:pStyle w:val="15"/>
        <w:spacing w:before="0" w:beforeLines="0" w:beforeAutospacing="0" w:after="0" w:afterLines="0" w:afterAutospacing="0" w:line="400" w:lineRule="exact"/>
        <w:ind w:firstLine="600" w:firstLineChars="250"/>
        <w:jc w:val="both"/>
        <w:rPr>
          <w:rFonts w:hint="eastAsia"/>
          <w:color w:val="auto"/>
          <w:highlight w:val="none"/>
        </w:rPr>
      </w:pP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五</w:t>
      </w:r>
      <w:r>
        <w:rPr>
          <w:rFonts w:ascii="宋体" w:hAnsi="宋体" w:eastAsia="宋体"/>
          <w:color w:val="auto"/>
          <w:sz w:val="24"/>
          <w:szCs w:val="24"/>
          <w:highlight w:val="none"/>
        </w:rPr>
        <w:t>）</w:t>
      </w:r>
      <w:r>
        <w:rPr>
          <w:rFonts w:hint="eastAsia"/>
          <w:color w:val="auto"/>
          <w:highlight w:val="none"/>
        </w:rPr>
        <w:t>违法磋商响应行为：</w:t>
      </w:r>
    </w:p>
    <w:p w14:paraId="64BA084F">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lang w:val="en-US" w:eastAsia="zh-CN"/>
        </w:rPr>
        <w:t>1、</w:t>
      </w:r>
      <w:r>
        <w:rPr>
          <w:rFonts w:hint="eastAsia"/>
          <w:color w:val="auto"/>
          <w:highlight w:val="none"/>
        </w:rPr>
        <w:t>在磋商过程中，磋商小组发现供应商有下列情形之一的，作磋商响应无效：</w:t>
      </w:r>
    </w:p>
    <w:p w14:paraId="13EBA913">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（1）属于同一集团、协会、商会等组织成员的供应商按照该组织要求协同磋商响应；</w:t>
      </w:r>
    </w:p>
    <w:p w14:paraId="641602DD">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（2）不同供应商的磋商响应文件由同一单位或者个人编制；</w:t>
      </w:r>
    </w:p>
    <w:p w14:paraId="0305D8C5">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（3）不同供应商委托同一单位或者个人办理磋商响应事宜；</w:t>
      </w:r>
    </w:p>
    <w:p w14:paraId="114E5C69">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（4）不同供应商的磋商响应文件载明的项目管理成员为同一人；</w:t>
      </w:r>
    </w:p>
    <w:p w14:paraId="18BFFD27">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（5）不同供应商的磋商响应文件异常一致或者磋商报价呈规律性差异；</w:t>
      </w:r>
    </w:p>
    <w:p w14:paraId="52D30E98">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（6）不同供应商的磋商响应文件相互混装；</w:t>
      </w:r>
    </w:p>
    <w:p w14:paraId="2C1250E7">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（7）使用伪造、变造的行政许可证件；</w:t>
      </w:r>
    </w:p>
    <w:p w14:paraId="4C74F1F7">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（8）提供虚假的财务状况或者业绩；</w:t>
      </w:r>
    </w:p>
    <w:p w14:paraId="6F80D37D">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（9）提供虚假的项目负责人或者主要技术人员简历、劳动关系证明；</w:t>
      </w:r>
    </w:p>
    <w:p w14:paraId="03FBE8F7">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（10）提供虚假的信用状况；</w:t>
      </w:r>
    </w:p>
    <w:p w14:paraId="06BBEFE2">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（11）其他弄虚作假的行为。</w:t>
      </w:r>
    </w:p>
    <w:p w14:paraId="1D187CA7">
      <w:pPr>
        <w:pStyle w:val="15"/>
        <w:spacing w:before="0" w:beforeLines="0" w:beforeAutospacing="0" w:after="0" w:afterLines="0" w:afterAutospacing="0" w:line="400" w:lineRule="exact"/>
        <w:ind w:firstLine="420" w:firstLineChars="0"/>
        <w:jc w:val="both"/>
        <w:rPr>
          <w:rFonts w:hint="eastAsia"/>
          <w:color w:val="auto"/>
          <w:highlight w:val="none"/>
        </w:rPr>
      </w:pPr>
      <w:r>
        <w:rPr>
          <w:rFonts w:hint="eastAsia"/>
          <w:color w:val="auto"/>
          <w:highlight w:val="none"/>
          <w:lang w:val="en-US" w:eastAsia="zh-CN"/>
        </w:rPr>
        <w:t>2、</w:t>
      </w:r>
      <w:r>
        <w:rPr>
          <w:rFonts w:hint="eastAsia"/>
          <w:color w:val="auto"/>
          <w:highlight w:val="none"/>
        </w:rPr>
        <w:t>在磋商过程中，磋商供应商不得向磋商小组成员询问磋商情况，不得进行旨在影响磋商结果的活动，否则将取消其磋商资格。</w:t>
      </w:r>
    </w:p>
    <w:p w14:paraId="15E22961">
      <w:pPr>
        <w:pStyle w:val="15"/>
        <w:spacing w:before="0" w:beforeLines="0" w:beforeAutospacing="0" w:after="0" w:afterLines="0" w:afterAutospacing="0" w:line="400" w:lineRule="exact"/>
        <w:ind w:firstLine="420" w:firstLineChars="0"/>
        <w:jc w:val="both"/>
        <w:rPr>
          <w:rFonts w:hint="eastAsia"/>
          <w:color w:val="auto"/>
          <w:highlight w:val="none"/>
        </w:rPr>
      </w:pPr>
      <w:r>
        <w:rPr>
          <w:rFonts w:hint="eastAsia"/>
          <w:color w:val="auto"/>
          <w:highlight w:val="none"/>
          <w:lang w:val="en-US" w:eastAsia="zh-CN"/>
        </w:rPr>
        <w:t>3、</w:t>
      </w:r>
      <w:r>
        <w:rPr>
          <w:rFonts w:hint="eastAsia"/>
          <w:color w:val="auto"/>
          <w:highlight w:val="none"/>
        </w:rPr>
        <w:t>在磋商过程中，磋商小组成员不得与磋商供应商私下交换意见，不得透露与磋商有关的其他供应商的技术资料、价格和其他信息。在磋商结束后，凡与磋商情况有接触的人不得将磋商情况扩散出磋商小组成员外。</w:t>
      </w:r>
    </w:p>
    <w:p w14:paraId="3028D8B0">
      <w:pPr>
        <w:pStyle w:val="15"/>
        <w:spacing w:before="0" w:beforeLines="0" w:beforeAutospacing="0" w:after="0" w:afterLines="0" w:afterAutospacing="0" w:line="400" w:lineRule="exact"/>
        <w:ind w:firstLine="420" w:firstLineChars="0"/>
        <w:jc w:val="both"/>
        <w:rPr>
          <w:rFonts w:hint="eastAsia"/>
          <w:color w:val="auto"/>
          <w:highlight w:val="none"/>
        </w:rPr>
      </w:pPr>
      <w:r>
        <w:rPr>
          <w:rFonts w:hint="eastAsia"/>
          <w:color w:val="auto"/>
          <w:highlight w:val="none"/>
          <w:lang w:val="en-US" w:eastAsia="zh-CN"/>
        </w:rPr>
        <w:t>4、</w:t>
      </w:r>
      <w:r>
        <w:rPr>
          <w:rFonts w:hint="eastAsia"/>
          <w:color w:val="auto"/>
          <w:highlight w:val="none"/>
        </w:rPr>
        <w:t>出现下列情形之一的，应予废标：</w:t>
      </w:r>
    </w:p>
    <w:p w14:paraId="3D8E8C02">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（1）符合条件的供应商或者对磋商文件实质性条款完全响应的供应商不足三家的（特殊情况经审批同意的除外）；</w:t>
      </w:r>
    </w:p>
    <w:p w14:paraId="42E4F805">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（2）出现影响采购公正的违法、违规行为的；</w:t>
      </w:r>
    </w:p>
    <w:p w14:paraId="2DF17A6C">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（3）供应商的报价超过了采购预算，采购人不能支付的；</w:t>
      </w:r>
    </w:p>
    <w:p w14:paraId="6FFE4A8A">
      <w:pPr>
        <w:pStyle w:val="15"/>
        <w:spacing w:before="0" w:beforeLines="0" w:beforeAutospacing="0" w:after="0" w:afterLines="0" w:afterAutospacing="0" w:line="400" w:lineRule="exact"/>
        <w:ind w:firstLine="600" w:firstLineChars="250"/>
        <w:jc w:val="both"/>
        <w:rPr>
          <w:rFonts w:hint="eastAsia"/>
          <w:color w:val="auto"/>
          <w:highlight w:val="none"/>
        </w:rPr>
      </w:pPr>
      <w:r>
        <w:rPr>
          <w:rFonts w:hint="eastAsia"/>
          <w:color w:val="auto"/>
          <w:highlight w:val="none"/>
        </w:rPr>
        <w:t>（4）磋商小组发现磋商文件存在歧义、重大缺陷导致评标工作无法进行，或者磋商文件内容违反国家有关强制性规定的；</w:t>
      </w:r>
    </w:p>
    <w:p w14:paraId="2E5921B6">
      <w:pPr>
        <w:pStyle w:val="15"/>
        <w:spacing w:before="0" w:beforeLines="0" w:beforeAutospacing="0" w:after="0" w:afterLines="0" w:afterAutospacing="0" w:line="400" w:lineRule="exact"/>
        <w:ind w:firstLine="600" w:firstLineChars="250"/>
        <w:jc w:val="both"/>
        <w:rPr>
          <w:color w:val="auto"/>
          <w:highlight w:val="none"/>
        </w:rPr>
      </w:pPr>
      <w:r>
        <w:rPr>
          <w:rFonts w:hint="eastAsia"/>
          <w:color w:val="auto"/>
          <w:highlight w:val="none"/>
        </w:rPr>
        <w:t>（5）因重大变故，采购任务取消的。</w:t>
      </w:r>
    </w:p>
    <w:p w14:paraId="4D8378BB">
      <w:pPr>
        <w:pStyle w:val="15"/>
        <w:spacing w:before="0" w:beforeLines="0" w:beforeAutospacing="0" w:after="0" w:afterLines="0" w:afterAutospacing="0" w:line="400" w:lineRule="exact"/>
        <w:ind w:firstLine="600" w:firstLineChars="250"/>
        <w:jc w:val="both"/>
        <w:rPr>
          <w:color w:val="auto"/>
          <w:highlight w:val="none"/>
        </w:rPr>
      </w:pPr>
    </w:p>
    <w:p w14:paraId="53AE00E6">
      <w:pPr>
        <w:pStyle w:val="5"/>
        <w:spacing w:line="400" w:lineRule="exact"/>
        <w:ind w:firstLine="482"/>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五</w:t>
      </w:r>
      <w:r>
        <w:rPr>
          <w:rFonts w:hint="eastAsia" w:ascii="宋体" w:hAnsi="宋体" w:eastAsia="宋体"/>
          <w:color w:val="auto"/>
          <w:sz w:val="24"/>
          <w:szCs w:val="24"/>
          <w:highlight w:val="none"/>
        </w:rPr>
        <w:t>）磋商原则和方法</w:t>
      </w:r>
    </w:p>
    <w:p w14:paraId="42E904B1">
      <w:pPr>
        <w:pStyle w:val="11"/>
        <w:snapToGrid w:val="0"/>
        <w:spacing w:line="400" w:lineRule="exact"/>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、磋商</w:t>
      </w:r>
      <w:r>
        <w:rPr>
          <w:rFonts w:hAnsi="宋体"/>
          <w:color w:val="auto"/>
          <w:sz w:val="24"/>
          <w:highlight w:val="none"/>
        </w:rPr>
        <w:t>原则。磋商小组必须公平、公正、客观，不带任何倾向性和启发性；不得向外界透露任何与评</w:t>
      </w:r>
      <w:r>
        <w:rPr>
          <w:color w:val="auto"/>
          <w:sz w:val="24"/>
          <w:highlight w:val="none"/>
        </w:rPr>
        <w:t>审</w:t>
      </w:r>
      <w:r>
        <w:rPr>
          <w:rFonts w:hAnsi="宋体"/>
          <w:color w:val="auto"/>
          <w:sz w:val="24"/>
          <w:highlight w:val="none"/>
        </w:rPr>
        <w:t>有关的内容；任何单位和个人不得干扰、影响评</w:t>
      </w:r>
      <w:r>
        <w:rPr>
          <w:color w:val="auto"/>
          <w:sz w:val="24"/>
          <w:highlight w:val="none"/>
        </w:rPr>
        <w:t>审</w:t>
      </w:r>
      <w:r>
        <w:rPr>
          <w:rFonts w:hAnsi="宋体"/>
          <w:color w:val="auto"/>
          <w:sz w:val="24"/>
          <w:highlight w:val="none"/>
        </w:rPr>
        <w:t>的正常进行；磋商小组及有关工作人员不得私下与</w:t>
      </w:r>
      <w:r>
        <w:rPr>
          <w:rFonts w:hint="eastAsia" w:hAnsi="宋体"/>
          <w:color w:val="auto"/>
          <w:sz w:val="24"/>
          <w:highlight w:val="none"/>
        </w:rPr>
        <w:t>磋商供应商</w:t>
      </w:r>
      <w:r>
        <w:rPr>
          <w:rFonts w:hAnsi="宋体"/>
          <w:color w:val="auto"/>
          <w:sz w:val="24"/>
          <w:highlight w:val="none"/>
        </w:rPr>
        <w:t>接触。</w:t>
      </w:r>
    </w:p>
    <w:p w14:paraId="7382064B">
      <w:pPr>
        <w:pStyle w:val="11"/>
        <w:snapToGrid w:val="0"/>
        <w:spacing w:line="400" w:lineRule="exact"/>
        <w:ind w:firstLine="600" w:firstLineChars="25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、磋商</w:t>
      </w:r>
      <w:r>
        <w:rPr>
          <w:rFonts w:hAnsi="宋体"/>
          <w:color w:val="auto"/>
          <w:sz w:val="24"/>
          <w:highlight w:val="none"/>
        </w:rPr>
        <w:t>办法。具体</w:t>
      </w:r>
      <w:r>
        <w:rPr>
          <w:rFonts w:hint="eastAsia" w:hAnsi="宋体"/>
          <w:color w:val="auto"/>
          <w:sz w:val="24"/>
          <w:highlight w:val="none"/>
        </w:rPr>
        <w:t>磋商</w:t>
      </w:r>
      <w:r>
        <w:rPr>
          <w:rFonts w:hAnsi="宋体"/>
          <w:color w:val="auto"/>
          <w:sz w:val="24"/>
          <w:highlight w:val="none"/>
        </w:rPr>
        <w:t>内容及评分标准等详见《第</w:t>
      </w:r>
      <w:r>
        <w:rPr>
          <w:rFonts w:hint="eastAsia" w:hAnsi="宋体"/>
          <w:color w:val="auto"/>
          <w:sz w:val="24"/>
          <w:highlight w:val="none"/>
        </w:rPr>
        <w:t>三章</w:t>
      </w:r>
      <w:r>
        <w:rPr>
          <w:rFonts w:hAnsi="宋体"/>
          <w:color w:val="auto"/>
          <w:sz w:val="24"/>
          <w:highlight w:val="none"/>
        </w:rPr>
        <w:t>：评</w:t>
      </w:r>
      <w:r>
        <w:rPr>
          <w:color w:val="auto"/>
          <w:sz w:val="24"/>
          <w:highlight w:val="none"/>
        </w:rPr>
        <w:t>审</w:t>
      </w:r>
      <w:r>
        <w:rPr>
          <w:rFonts w:hint="eastAsia" w:hAnsi="宋体"/>
          <w:color w:val="auto"/>
          <w:sz w:val="24"/>
          <w:highlight w:val="none"/>
        </w:rPr>
        <w:t>方</w:t>
      </w:r>
      <w:r>
        <w:rPr>
          <w:rFonts w:hAnsi="宋体"/>
          <w:color w:val="auto"/>
          <w:sz w:val="24"/>
          <w:highlight w:val="none"/>
        </w:rPr>
        <w:t>法及评分标准》。</w:t>
      </w:r>
    </w:p>
    <w:p w14:paraId="7D448A48">
      <w:pPr>
        <w:pStyle w:val="5"/>
        <w:spacing w:line="400" w:lineRule="exact"/>
        <w:ind w:firstLine="482"/>
        <w:rPr>
          <w:rFonts w:ascii="宋体" w:hAnsi="宋体" w:eastAsia="宋体"/>
          <w:color w:val="auto"/>
          <w:sz w:val="24"/>
          <w:szCs w:val="24"/>
          <w:highlight w:val="none"/>
        </w:rPr>
      </w:pPr>
      <w:r>
        <w:rPr>
          <w:rFonts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六</w:t>
      </w:r>
      <w:r>
        <w:rPr>
          <w:rFonts w:ascii="宋体" w:hAnsi="宋体" w:eastAsia="宋体"/>
          <w:color w:val="auto"/>
          <w:sz w:val="24"/>
          <w:szCs w:val="24"/>
          <w:highlight w:val="none"/>
        </w:rPr>
        <w:t>）评审过程的监控</w:t>
      </w:r>
    </w:p>
    <w:p w14:paraId="5D4BE57F">
      <w:pPr>
        <w:pStyle w:val="15"/>
        <w:spacing w:before="0" w:beforeLines="0" w:beforeAutospacing="0" w:after="0" w:afterLines="0" w:afterAutospacing="0" w:line="400" w:lineRule="exact"/>
        <w:ind w:firstLine="480" w:firstLineChars="200"/>
        <w:jc w:val="both"/>
        <w:rPr>
          <w:color w:val="auto"/>
          <w:highlight w:val="none"/>
        </w:rPr>
      </w:pPr>
      <w:r>
        <w:rPr>
          <w:color w:val="auto"/>
          <w:highlight w:val="none"/>
        </w:rPr>
        <w:t>本项目评审过程实行全程录音、录像监控，政府采购监管部门视情进行现场监督，供应商在评审过程中所进行的试图影响评审结果的不公正活动，可能导致其被拒绝磋商。</w:t>
      </w:r>
    </w:p>
    <w:p w14:paraId="69AB3C08">
      <w:pPr>
        <w:pStyle w:val="2"/>
        <w:spacing w:line="400" w:lineRule="exact"/>
        <w:jc w:val="left"/>
        <w:rPr>
          <w:color w:val="auto"/>
          <w:sz w:val="24"/>
          <w:szCs w:val="24"/>
          <w:highlight w:val="none"/>
        </w:rPr>
      </w:pPr>
      <w:r>
        <w:rPr>
          <w:rFonts w:hint="eastAsia"/>
          <w:color w:val="auto"/>
          <w:sz w:val="24"/>
          <w:szCs w:val="24"/>
          <w:highlight w:val="none"/>
        </w:rPr>
        <w:t>四</w:t>
      </w:r>
      <w:r>
        <w:rPr>
          <w:color w:val="auto"/>
          <w:sz w:val="24"/>
          <w:szCs w:val="24"/>
          <w:highlight w:val="none"/>
        </w:rPr>
        <w:t>、磋商结果确定</w:t>
      </w:r>
    </w:p>
    <w:p w14:paraId="55912CB6">
      <w:pPr>
        <w:pStyle w:val="15"/>
        <w:spacing w:before="0" w:beforeLines="0" w:beforeAutospacing="0" w:after="0" w:afterLines="0" w:afterAutospacing="0" w:line="400" w:lineRule="exact"/>
        <w:ind w:firstLine="600" w:firstLineChars="250"/>
        <w:jc w:val="both"/>
        <w:rPr>
          <w:color w:val="auto"/>
          <w:highlight w:val="none"/>
        </w:rPr>
      </w:pPr>
      <w:r>
        <w:rPr>
          <w:color w:val="auto"/>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6AF7ECC4">
      <w:pPr>
        <w:spacing w:line="40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2、发布成交结果公告。采购组织机构应当在</w:t>
      </w:r>
      <w:r>
        <w:rPr>
          <w:rFonts w:ascii="宋体" w:hAnsi="宋体"/>
          <w:color w:val="auto"/>
          <w:kern w:val="0"/>
          <w:sz w:val="24"/>
          <w:highlight w:val="none"/>
        </w:rPr>
        <w:t>成交供应商确定</w:t>
      </w:r>
      <w:r>
        <w:rPr>
          <w:rFonts w:hint="eastAsia" w:ascii="宋体" w:hAnsi="宋体"/>
          <w:color w:val="auto"/>
          <w:kern w:val="0"/>
          <w:sz w:val="24"/>
          <w:highlight w:val="none"/>
        </w:rPr>
        <w:t>后</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成交结果，并将磋商文件随同公告。</w:t>
      </w:r>
    </w:p>
    <w:p w14:paraId="3DD649B7">
      <w:pPr>
        <w:spacing w:line="400" w:lineRule="exact"/>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3、发出成交通知书。采购组织机构在发布成交结果同时，向成交供应商发出成交通知书。</w:t>
      </w:r>
    </w:p>
    <w:p w14:paraId="1F4CF6FE">
      <w:pPr>
        <w:pStyle w:val="2"/>
        <w:spacing w:line="400" w:lineRule="exact"/>
        <w:jc w:val="left"/>
        <w:rPr>
          <w:color w:val="auto"/>
          <w:sz w:val="24"/>
          <w:szCs w:val="24"/>
          <w:highlight w:val="none"/>
        </w:rPr>
      </w:pPr>
      <w:r>
        <w:rPr>
          <w:rFonts w:hint="eastAsia"/>
          <w:color w:val="auto"/>
          <w:sz w:val="24"/>
          <w:szCs w:val="24"/>
          <w:highlight w:val="none"/>
        </w:rPr>
        <w:t>五、合同签订及公告</w:t>
      </w:r>
    </w:p>
    <w:p w14:paraId="4BD57BD2">
      <w:pPr>
        <w:pStyle w:val="5"/>
        <w:spacing w:line="400" w:lineRule="exact"/>
        <w:ind w:firstLine="48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（一）签订合同</w:t>
      </w:r>
    </w:p>
    <w:p w14:paraId="073FD6A5">
      <w:pPr>
        <w:pStyle w:val="10"/>
        <w:spacing w:line="400" w:lineRule="exact"/>
        <w:ind w:firstLine="480" w:firstLineChars="200"/>
        <w:rPr>
          <w:rFonts w:hAnsi="宋体"/>
          <w:color w:val="auto"/>
          <w:szCs w:val="24"/>
          <w:highlight w:val="none"/>
        </w:rPr>
      </w:pPr>
      <w:r>
        <w:rPr>
          <w:rFonts w:hint="eastAsia" w:hAnsi="宋体"/>
          <w:color w:val="auto"/>
          <w:szCs w:val="24"/>
          <w:highlight w:val="none"/>
        </w:rPr>
        <w:t>1．采购人应当自成交通知书发出之日起</w:t>
      </w:r>
      <w:r>
        <w:rPr>
          <w:rFonts w:hint="eastAsia" w:hAnsi="宋体"/>
          <w:color w:val="auto"/>
          <w:szCs w:val="24"/>
          <w:highlight w:val="none"/>
          <w:lang w:val="en-US" w:eastAsia="zh-CN"/>
        </w:rPr>
        <w:t>30</w:t>
      </w:r>
      <w:r>
        <w:rPr>
          <w:rFonts w:hint="eastAsia" w:hAnsi="宋体"/>
          <w:color w:val="auto"/>
          <w:szCs w:val="24"/>
          <w:highlight w:val="none"/>
        </w:rPr>
        <w:t>日内，</w:t>
      </w:r>
      <w:r>
        <w:rPr>
          <w:color w:val="auto"/>
          <w:szCs w:val="24"/>
          <w:highlight w:val="none"/>
        </w:rPr>
        <w:t>按照磋商采购文件</w:t>
      </w:r>
      <w:r>
        <w:rPr>
          <w:rFonts w:hint="eastAsia"/>
          <w:color w:val="auto"/>
          <w:szCs w:val="24"/>
          <w:highlight w:val="none"/>
        </w:rPr>
        <w:t>确定的合同文本以及采购标的、规格型号、采购金额、采购数量和服务要求等事项签订政府采购合同。</w:t>
      </w:r>
    </w:p>
    <w:p w14:paraId="46C9C826">
      <w:pPr>
        <w:pStyle w:val="15"/>
        <w:spacing w:before="0" w:beforeLines="0" w:beforeAutospacing="0" w:after="0" w:afterLines="0" w:afterAutospacing="0" w:line="400" w:lineRule="exact"/>
        <w:ind w:firstLine="600" w:firstLineChars="250"/>
        <w:jc w:val="both"/>
        <w:rPr>
          <w:rFonts w:hint="default"/>
          <w:color w:val="auto"/>
          <w:highlight w:val="none"/>
        </w:rPr>
      </w:pPr>
      <w:r>
        <w:rPr>
          <w:color w:val="auto"/>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906E5C2">
      <w:pPr>
        <w:pStyle w:val="15"/>
        <w:spacing w:before="0" w:beforeLines="0" w:beforeAutospacing="0" w:after="0" w:afterLines="0" w:afterAutospacing="0" w:line="400" w:lineRule="exact"/>
        <w:ind w:firstLine="600" w:firstLineChars="250"/>
        <w:jc w:val="both"/>
        <w:rPr>
          <w:rFonts w:hint="default"/>
          <w:color w:val="auto"/>
          <w:highlight w:val="none"/>
        </w:rPr>
      </w:pPr>
      <w:r>
        <w:rPr>
          <w:color w:val="auto"/>
          <w:highlight w:val="none"/>
        </w:rPr>
        <w:t>3．成交供应商无故拖延、拒签合同的,取消成交资格。</w:t>
      </w:r>
    </w:p>
    <w:p w14:paraId="5B1391C9">
      <w:pPr>
        <w:pStyle w:val="15"/>
        <w:spacing w:before="0" w:beforeLines="0" w:beforeAutospacing="0" w:after="0" w:afterLines="0" w:afterAutospacing="0" w:line="400" w:lineRule="exact"/>
        <w:ind w:firstLine="600" w:firstLineChars="250"/>
        <w:jc w:val="both"/>
        <w:rPr>
          <w:rFonts w:hint="default"/>
          <w:color w:val="auto"/>
          <w:highlight w:val="none"/>
        </w:rPr>
      </w:pPr>
      <w:r>
        <w:rPr>
          <w:color w:val="auto"/>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82F8F63">
      <w:pPr>
        <w:pStyle w:val="15"/>
        <w:spacing w:line="400" w:lineRule="exact"/>
        <w:ind w:firstLine="600" w:firstLineChars="250"/>
        <w:rPr>
          <w:color w:val="auto"/>
          <w:highlight w:val="none"/>
        </w:rPr>
      </w:pPr>
      <w:r>
        <w:rPr>
          <w:color w:val="auto"/>
          <w:highlight w:val="none"/>
        </w:rPr>
        <w:t>5．询问或者质疑事项可能影响成交结果的，采购人应当暂停签订合同，已经签订合同的，应当中止履行合同（成交结果的质疑期为成交结果公告期限届满之日起七个工作日）。</w:t>
      </w:r>
    </w:p>
    <w:p w14:paraId="51790DF3">
      <w:pPr>
        <w:pStyle w:val="5"/>
        <w:spacing w:line="400" w:lineRule="exact"/>
        <w:ind w:firstLine="482"/>
        <w:rPr>
          <w:rFonts w:ascii="宋体" w:hAnsi="宋体" w:eastAsia="宋体"/>
          <w:color w:val="auto"/>
          <w:sz w:val="24"/>
          <w:szCs w:val="24"/>
          <w:highlight w:val="none"/>
        </w:rPr>
      </w:pPr>
      <w:r>
        <w:rPr>
          <w:rFonts w:ascii="宋体" w:hAnsi="宋体" w:eastAsia="宋体"/>
          <w:color w:val="auto"/>
          <w:sz w:val="24"/>
          <w:szCs w:val="24"/>
          <w:highlight w:val="none"/>
        </w:rPr>
        <w:t>（二）合同公告及备案</w:t>
      </w:r>
    </w:p>
    <w:p w14:paraId="75A2C163">
      <w:pPr>
        <w:pStyle w:val="10"/>
        <w:spacing w:line="400" w:lineRule="exact"/>
        <w:ind w:firstLine="480" w:firstLineChars="200"/>
        <w:rPr>
          <w:rFonts w:hint="eastAsia" w:hAnsi="宋体"/>
          <w:color w:val="auto"/>
          <w:szCs w:val="24"/>
          <w:highlight w:val="none"/>
        </w:rPr>
      </w:pPr>
      <w:r>
        <w:rPr>
          <w:rFonts w:hint="eastAsia" w:hAnsi="宋体"/>
          <w:color w:val="auto"/>
          <w:szCs w:val="24"/>
          <w:highlight w:val="none"/>
        </w:rPr>
        <w:t>1．采购人应当自政府采购合同签订之日起2个工作日内，</w:t>
      </w:r>
      <w:r>
        <w:rPr>
          <w:rFonts w:hAnsi="宋体"/>
          <w:color w:val="auto"/>
          <w:szCs w:val="24"/>
          <w:highlight w:val="none"/>
        </w:rPr>
        <w:t>在省级以上财政部门指定的</w:t>
      </w:r>
      <w:r>
        <w:rPr>
          <w:rFonts w:hint="eastAsia" w:hAnsi="宋体"/>
          <w:color w:val="auto"/>
          <w:szCs w:val="24"/>
          <w:highlight w:val="none"/>
        </w:rPr>
        <w:t>政府采购信息发布</w:t>
      </w:r>
      <w:r>
        <w:rPr>
          <w:rFonts w:hAnsi="宋体"/>
          <w:color w:val="auto"/>
          <w:szCs w:val="24"/>
          <w:highlight w:val="none"/>
        </w:rPr>
        <w:t>媒体及相关网站</w:t>
      </w:r>
      <w:r>
        <w:rPr>
          <w:rFonts w:hint="eastAsia" w:hAnsi="宋体"/>
          <w:color w:val="auto"/>
          <w:szCs w:val="24"/>
          <w:highlight w:val="none"/>
        </w:rPr>
        <w:t>上</w:t>
      </w:r>
      <w:r>
        <w:rPr>
          <w:rFonts w:hAnsi="宋体"/>
          <w:color w:val="auto"/>
          <w:szCs w:val="24"/>
          <w:highlight w:val="none"/>
        </w:rPr>
        <w:t>公告</w:t>
      </w:r>
      <w:r>
        <w:rPr>
          <w:rFonts w:hint="eastAsia" w:hAnsi="宋体"/>
          <w:color w:val="auto"/>
          <w:szCs w:val="24"/>
          <w:highlight w:val="none"/>
        </w:rPr>
        <w:t>。</w:t>
      </w:r>
    </w:p>
    <w:p w14:paraId="5186ECE1">
      <w:pPr>
        <w:pStyle w:val="10"/>
        <w:ind w:firstLine="480" w:firstLineChars="200"/>
        <w:rPr>
          <w:rFonts w:hint="eastAsia" w:hAnsi="宋体"/>
          <w:color w:val="auto"/>
          <w:szCs w:val="21"/>
          <w:highlight w:val="none"/>
        </w:rPr>
      </w:pPr>
      <w:r>
        <w:rPr>
          <w:rFonts w:hint="eastAsia" w:hAnsi="宋体"/>
          <w:color w:val="auto"/>
          <w:szCs w:val="24"/>
          <w:highlight w:val="none"/>
        </w:rPr>
        <w:t>2．采购人应当自政府采购合同签订之日起7个工作日内，将政府采购合同副本报同级人民政府财政部门备案以及采购组织机构存档。</w:t>
      </w:r>
    </w:p>
    <w:p w14:paraId="01925B57">
      <w:pPr>
        <w:pStyle w:val="2"/>
        <w:pageBreakBefore w:val="0"/>
        <w:kinsoku/>
        <w:wordWrap/>
        <w:overflowPunct/>
        <w:topLinePunct w:val="0"/>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、招标代理费</w:t>
      </w:r>
    </w:p>
    <w:p w14:paraId="5B1E0FD1">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本项目代理服务费按发改价格〔2011〕534 号文件中的收费标准服务类 8 折 计取，不足</w:t>
      </w:r>
      <w:r>
        <w:rPr>
          <w:rFonts w:hint="eastAsia" w:ascii="宋体" w:hAnsi="宋体"/>
          <w:color w:val="auto"/>
          <w:sz w:val="24"/>
          <w:highlight w:val="none"/>
          <w:lang w:val="en-US" w:eastAsia="zh-CN"/>
        </w:rPr>
        <w:t>陆</w:t>
      </w:r>
      <w:r>
        <w:rPr>
          <w:rFonts w:hint="eastAsia" w:ascii="宋体" w:hAnsi="宋体"/>
          <w:color w:val="auto"/>
          <w:sz w:val="24"/>
          <w:highlight w:val="none"/>
        </w:rPr>
        <w:t>仟按</w:t>
      </w:r>
      <w:r>
        <w:rPr>
          <w:rFonts w:hint="eastAsia" w:ascii="宋体" w:hAnsi="宋体"/>
          <w:color w:val="auto"/>
          <w:sz w:val="24"/>
          <w:highlight w:val="none"/>
          <w:lang w:val="en-US" w:eastAsia="zh-CN"/>
        </w:rPr>
        <w:t>陆</w:t>
      </w:r>
      <w:r>
        <w:rPr>
          <w:rFonts w:hint="eastAsia" w:ascii="宋体" w:hAnsi="宋体"/>
          <w:color w:val="auto"/>
          <w:sz w:val="24"/>
          <w:highlight w:val="none"/>
        </w:rPr>
        <w:t>仟元计取。 由代理机构向中标单位收取，中标单位在中标公告发布后5个工作日内支付至招标代理机构处。</w:t>
      </w:r>
      <w:r>
        <w:rPr>
          <w:rFonts w:hint="eastAsia" w:ascii="宋体" w:hAnsi="宋体" w:cs="Arial"/>
          <w:color w:val="auto"/>
          <w:sz w:val="24"/>
          <w:highlight w:val="none"/>
        </w:rPr>
        <w:t>采购代理费</w:t>
      </w:r>
      <w:r>
        <w:rPr>
          <w:rFonts w:hint="eastAsia" w:ascii="宋体" w:hAnsi="宋体"/>
          <w:color w:val="auto"/>
          <w:sz w:val="24"/>
          <w:highlight w:val="none"/>
        </w:rPr>
        <w:t>汇入以下账户：</w:t>
      </w:r>
    </w:p>
    <w:p w14:paraId="0A6D4BE0">
      <w:pPr>
        <w:keepNext w:val="0"/>
        <w:keepLines w:val="0"/>
        <w:pageBreakBefore w:val="0"/>
        <w:widowControl w:val="0"/>
        <w:kinsoku/>
        <w:wordWrap/>
        <w:overflowPunct/>
        <w:topLinePunct w:val="0"/>
        <w:bidi w:val="0"/>
        <w:adjustRightInd w:val="0"/>
        <w:snapToGrid w:val="0"/>
        <w:spacing w:line="44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开户银行：浙江玉环农村商业银行股份有限公司营业部</w:t>
      </w:r>
    </w:p>
    <w:p w14:paraId="7FF737A9">
      <w:pPr>
        <w:keepNext w:val="0"/>
        <w:keepLines w:val="0"/>
        <w:pageBreakBefore w:val="0"/>
        <w:widowControl w:val="0"/>
        <w:kinsoku/>
        <w:wordWrap/>
        <w:overflowPunct/>
        <w:topLinePunct w:val="0"/>
        <w:bidi w:val="0"/>
        <w:adjustRightInd w:val="0"/>
        <w:snapToGrid w:val="0"/>
        <w:spacing w:line="440" w:lineRule="exact"/>
        <w:ind w:firstLine="480" w:firstLineChars="20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开户名称：</w:t>
      </w:r>
      <w:r>
        <w:rPr>
          <w:rFonts w:hint="eastAsia" w:ascii="宋体" w:hAnsi="宋体"/>
          <w:color w:val="auto"/>
          <w:kern w:val="0"/>
          <w:sz w:val="24"/>
          <w:highlight w:val="none"/>
          <w:lang w:eastAsia="zh-CN"/>
        </w:rPr>
        <w:t>台州中域工程咨询有限公司</w:t>
      </w:r>
    </w:p>
    <w:p w14:paraId="1380CA3F">
      <w:pPr>
        <w:keepNext w:val="0"/>
        <w:keepLines w:val="0"/>
        <w:pageBreakBefore w:val="0"/>
        <w:widowControl w:val="0"/>
        <w:kinsoku/>
        <w:wordWrap/>
        <w:overflowPunct/>
        <w:topLinePunct w:val="0"/>
        <w:bidi w:val="0"/>
        <w:adjustRightInd w:val="0"/>
        <w:snapToGrid w:val="0"/>
        <w:spacing w:line="440" w:lineRule="exact"/>
        <w:ind w:firstLine="480" w:firstLineChars="200"/>
        <w:rPr>
          <w:rFonts w:ascii="宋体" w:hAnsi="宋体"/>
          <w:b/>
          <w:color w:val="auto"/>
          <w:sz w:val="28"/>
          <w:szCs w:val="28"/>
          <w:highlight w:val="none"/>
        </w:rPr>
      </w:pPr>
      <w:r>
        <w:rPr>
          <w:rFonts w:hint="eastAsia" w:ascii="宋体" w:hAnsi="宋体"/>
          <w:color w:val="auto"/>
          <w:kern w:val="0"/>
          <w:sz w:val="24"/>
          <w:highlight w:val="none"/>
        </w:rPr>
        <w:t xml:space="preserve">开户帐号：201000286693714 </w:t>
      </w:r>
    </w:p>
    <w:p w14:paraId="0568DE09">
      <w:pPr>
        <w:pStyle w:val="10"/>
        <w:jc w:val="center"/>
        <w:rPr>
          <w:rFonts w:ascii="宋体" w:hAnsi="宋体"/>
          <w:color w:val="auto"/>
          <w:kern w:val="0"/>
          <w:sz w:val="36"/>
          <w:szCs w:val="36"/>
          <w:highlight w:val="none"/>
        </w:rPr>
      </w:pPr>
      <w:r>
        <w:rPr>
          <w:rFonts w:hint="eastAsia" w:ascii="宋体" w:hAnsi="宋体"/>
          <w:color w:val="auto"/>
          <w:kern w:val="0"/>
          <w:sz w:val="24"/>
          <w:highlight w:val="none"/>
        </w:rPr>
        <w:br w:type="page"/>
      </w:r>
      <w:r>
        <w:rPr>
          <w:rFonts w:hint="eastAsia" w:ascii="宋体" w:hAnsi="宋体"/>
          <w:b/>
          <w:color w:val="auto"/>
          <w:sz w:val="36"/>
          <w:szCs w:val="36"/>
          <w:highlight w:val="none"/>
        </w:rPr>
        <w:t>第三章　评审办法及评审标准</w:t>
      </w:r>
    </w:p>
    <w:p w14:paraId="2847B551">
      <w:pPr>
        <w:autoSpaceDE w:val="0"/>
        <w:autoSpaceDN w:val="0"/>
        <w:adjustRightInd w:val="0"/>
        <w:spacing w:line="440" w:lineRule="exact"/>
        <w:ind w:firstLine="482" w:firstLineChars="200"/>
        <w:rPr>
          <w:rFonts w:ascii="宋体" w:hAnsi="宋体"/>
          <w:color w:val="auto"/>
          <w:sz w:val="24"/>
          <w:highlight w:val="none"/>
        </w:rPr>
      </w:pPr>
      <w:r>
        <w:rPr>
          <w:rFonts w:hint="eastAsia" w:ascii="宋体" w:hAnsi="宋体"/>
          <w:b/>
          <w:color w:val="auto"/>
          <w:sz w:val="24"/>
          <w:highlight w:val="none"/>
        </w:rPr>
        <w:t>本项目采用综合评分法</w:t>
      </w:r>
      <w:r>
        <w:rPr>
          <w:rFonts w:hint="eastAsia" w:ascii="宋体" w:hAnsi="宋体"/>
          <w:color w:val="auto"/>
          <w:sz w:val="24"/>
          <w:highlight w:val="none"/>
        </w:rPr>
        <w:t>，</w:t>
      </w:r>
      <w:r>
        <w:rPr>
          <w:rFonts w:hint="eastAsia" w:ascii="宋体" w:hAnsi="宋体"/>
          <w:color w:val="auto"/>
          <w:sz w:val="24"/>
          <w:highlight w:val="none"/>
          <w:lang w:eastAsia="zh-CN"/>
        </w:rPr>
        <w:t>磋商小组</w:t>
      </w:r>
      <w:r>
        <w:rPr>
          <w:rFonts w:hint="eastAsia" w:ascii="宋体" w:hAnsi="宋体"/>
          <w:color w:val="auto"/>
          <w:sz w:val="24"/>
          <w:highlight w:val="none"/>
        </w:rPr>
        <w:t>将对各投标人的投标报价、</w:t>
      </w:r>
      <w:r>
        <w:rPr>
          <w:rFonts w:hint="eastAsia" w:ascii="宋体" w:hAnsi="宋体"/>
          <w:bCs/>
          <w:color w:val="auto"/>
          <w:sz w:val="24"/>
          <w:highlight w:val="none"/>
        </w:rPr>
        <w:t>技术和服务方案</w:t>
      </w:r>
      <w:r>
        <w:rPr>
          <w:rFonts w:hint="eastAsia" w:ascii="宋体" w:hAnsi="宋体"/>
          <w:color w:val="auto"/>
          <w:sz w:val="24"/>
          <w:highlight w:val="none"/>
        </w:rPr>
        <w:t>、投标人的企业实力及资质等方面进行综合评审，对实质上响应招标文件的投标人，由各评委独立记名打分。经统计，得出各投标人的综合得分,按综合得分由高到低顺序排列。若</w:t>
      </w:r>
      <w:r>
        <w:rPr>
          <w:rFonts w:hint="eastAsia" w:ascii="宋体" w:hAnsi="宋体"/>
          <w:color w:val="auto"/>
          <w:sz w:val="24"/>
          <w:highlight w:val="none"/>
          <w:lang w:val="zh-CN"/>
        </w:rPr>
        <w:t>综合得分相同</w:t>
      </w:r>
      <w:r>
        <w:rPr>
          <w:rFonts w:hint="eastAsia" w:ascii="宋体" w:hAnsi="宋体"/>
          <w:color w:val="auto"/>
          <w:sz w:val="24"/>
          <w:highlight w:val="none"/>
        </w:rPr>
        <w:t>的，按投标报价由低到高顺序排列。若</w:t>
      </w:r>
      <w:r>
        <w:rPr>
          <w:rFonts w:hint="eastAsia" w:ascii="宋体" w:hAnsi="宋体"/>
          <w:color w:val="auto"/>
          <w:sz w:val="24"/>
          <w:highlight w:val="none"/>
          <w:lang w:val="zh-CN"/>
        </w:rPr>
        <w:t>综合得分且投标报价相同的，货物类采购项目以技术性能得分较高者为先，服务类采购项目以实力信誉及业绩得分较高者为先</w:t>
      </w:r>
      <w:r>
        <w:rPr>
          <w:rFonts w:hint="eastAsia" w:ascii="宋体" w:hAnsi="宋体"/>
          <w:color w:val="auto"/>
          <w:sz w:val="24"/>
          <w:highlight w:val="none"/>
        </w:rPr>
        <w:t xml:space="preserve">。 </w:t>
      </w:r>
    </w:p>
    <w:p w14:paraId="5B412E4A">
      <w:pPr>
        <w:autoSpaceDE w:val="0"/>
        <w:autoSpaceDN w:val="0"/>
        <w:adjustRightIn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color w:val="auto"/>
          <w:sz w:val="24"/>
          <w:highlight w:val="none"/>
        </w:rPr>
        <w:t>各投标人的综合得分为：</w:t>
      </w:r>
      <w:r>
        <w:rPr>
          <w:rFonts w:hint="eastAsia" w:ascii="宋体" w:hAnsi="宋体"/>
          <w:color w:val="auto"/>
          <w:sz w:val="24"/>
          <w:highlight w:val="none"/>
          <w:lang w:eastAsia="zh-CN"/>
        </w:rPr>
        <w:t>磋商报价得分</w:t>
      </w:r>
      <w:r>
        <w:rPr>
          <w:rFonts w:hint="eastAsia" w:ascii="宋体" w:hAnsi="宋体"/>
          <w:color w:val="auto"/>
          <w:sz w:val="24"/>
          <w:highlight w:val="none"/>
        </w:rPr>
        <w:t>＋商务与技术得分之和，总分为100</w:t>
      </w:r>
      <w:r>
        <w:rPr>
          <w:rFonts w:hint="eastAsia" w:ascii="宋体" w:hAnsi="宋体" w:eastAsia="宋体" w:cs="宋体"/>
          <w:color w:val="auto"/>
          <w:sz w:val="24"/>
          <w:szCs w:val="24"/>
          <w:highlight w:val="none"/>
        </w:rPr>
        <w:t>分，其中：</w:t>
      </w:r>
      <w:r>
        <w:rPr>
          <w:rFonts w:hint="eastAsia" w:ascii="宋体" w:hAnsi="宋体" w:eastAsia="宋体" w:cs="宋体"/>
          <w:color w:val="auto"/>
          <w:sz w:val="24"/>
          <w:szCs w:val="24"/>
          <w:highlight w:val="none"/>
          <w:lang w:eastAsia="zh-CN"/>
        </w:rPr>
        <w:t>磋商报价得分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分，商务与技术分</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p w14:paraId="432B75C5">
      <w:pPr>
        <w:autoSpaceDE w:val="0"/>
        <w:autoSpaceDN w:val="0"/>
        <w:adjustRightInd w:val="0"/>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（一）报价分（</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p w14:paraId="3CAFCAC4">
      <w:pPr>
        <w:snapToGri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磋商报价得分采用低价优先法计算，</w:t>
      </w:r>
      <w:r>
        <w:rPr>
          <w:rFonts w:hint="eastAsia" w:ascii="宋体" w:hAnsi="宋体" w:eastAsia="宋体" w:cs="宋体"/>
          <w:color w:val="auto"/>
          <w:sz w:val="24"/>
          <w:szCs w:val="24"/>
          <w:highlight w:val="none"/>
          <w:lang w:val="zh-CN"/>
        </w:rPr>
        <w:t>即满足磋商文件要求且最后报价最低的供应商的价格作为磋商基准价，其报价得满分。其他供应商的价格分统一按照下列公式计算：</w:t>
      </w:r>
    </w:p>
    <w:p w14:paraId="69E09E49">
      <w:pPr>
        <w:pStyle w:val="16"/>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rPr>
        <w:t>磋商报价得分=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rPr>
        <w:t>磋商基准价</w:t>
      </w:r>
      <w:r>
        <w:rPr>
          <w:rFonts w:hint="eastAsia" w:ascii="宋体" w:hAnsi="宋体" w:eastAsia="宋体" w:cs="宋体"/>
          <w:b/>
          <w:bCs/>
          <w:color w:val="auto"/>
          <w:sz w:val="24"/>
          <w:szCs w:val="24"/>
          <w:highlight w:val="none"/>
        </w:rPr>
        <w:t>／最后磋商报价</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×100。</w:t>
      </w:r>
    </w:p>
    <w:p w14:paraId="35333F7E">
      <w:pPr>
        <w:snapToGrid w:val="0"/>
        <w:spacing w:line="440" w:lineRule="exact"/>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注：报价得分以系统计算为准，保留2位小数，由代理单位当场统一计算。</w:t>
      </w:r>
    </w:p>
    <w:p w14:paraId="706EC01C">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（二）商务与技术</w:t>
      </w:r>
      <w:r>
        <w:rPr>
          <w:rFonts w:hint="eastAsia" w:ascii="宋体" w:hAnsi="宋体" w:eastAsia="宋体" w:cs="宋体"/>
          <w:b/>
          <w:color w:val="auto"/>
          <w:sz w:val="24"/>
          <w:szCs w:val="24"/>
          <w:highlight w:val="none"/>
        </w:rPr>
        <w:t>分（</w:t>
      </w:r>
      <w:r>
        <w:rPr>
          <w:rFonts w:hint="eastAsia" w:ascii="宋体" w:hAnsi="宋体" w:eastAsia="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p w14:paraId="103DD83E">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商务与技术文件中的客观分由磋商小组讨论后统一打分；其余在规定的分值内单独评定打分。</w:t>
      </w:r>
    </w:p>
    <w:p w14:paraId="64C201D5">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各投标人商务与技术文件得分按照磋商小组成员的独立评分结果汇总后的算术平均分计算，计算公式为：</w:t>
      </w:r>
    </w:p>
    <w:p w14:paraId="6A8789DC">
      <w:pPr>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商务与技术文件得分</w:t>
      </w:r>
      <w:r>
        <w:rPr>
          <w:rFonts w:hint="eastAsia" w:ascii="宋体" w:hAnsi="宋体" w:eastAsia="宋体" w:cs="宋体"/>
          <w:color w:val="auto"/>
          <w:sz w:val="24"/>
          <w:szCs w:val="24"/>
          <w:highlight w:val="none"/>
          <w:lang w:val="zh-CN"/>
        </w:rPr>
        <w:t>=磋商小组所有成员评分合计数/磋商小组组成人员数。</w:t>
      </w:r>
    </w:p>
    <w:p w14:paraId="2B668263">
      <w:pPr>
        <w:spacing w:line="440" w:lineRule="exact"/>
        <w:rPr>
          <w:rFonts w:ascii="宋体"/>
          <w:b/>
          <w:bCs/>
          <w:color w:val="auto"/>
          <w:sz w:val="24"/>
          <w:highlight w:val="none"/>
          <w:lang w:val="zh-CN"/>
        </w:rPr>
      </w:pPr>
      <w:r>
        <w:rPr>
          <w:rFonts w:hint="eastAsia" w:ascii="宋体"/>
          <w:b/>
          <w:bCs/>
          <w:color w:val="auto"/>
          <w:sz w:val="24"/>
          <w:highlight w:val="none"/>
          <w:lang w:val="zh-CN"/>
        </w:rPr>
        <w:t>商务与技术文件具体分值细化条款如下表：</w:t>
      </w:r>
    </w:p>
    <w:tbl>
      <w:tblPr>
        <w:tblStyle w:val="17"/>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299"/>
        <w:gridCol w:w="6680"/>
        <w:gridCol w:w="1189"/>
      </w:tblGrid>
      <w:tr w14:paraId="5924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0" w:type="dxa"/>
            <w:noWrap w:val="0"/>
            <w:vAlign w:val="center"/>
          </w:tcPr>
          <w:p w14:paraId="72B49517">
            <w:pPr>
              <w:keepNext w:val="0"/>
              <w:keepLines w:val="0"/>
              <w:pageBreakBefore w:val="0"/>
              <w:kinsoku/>
              <w:wordWrap/>
              <w:overflowPunct/>
              <w:topLinePunct w:val="0"/>
              <w:autoSpaceDE/>
              <w:autoSpaceDN/>
              <w:bidi w:val="0"/>
              <w:snapToGrid/>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299" w:type="dxa"/>
            <w:noWrap w:val="0"/>
            <w:vAlign w:val="center"/>
          </w:tcPr>
          <w:p w14:paraId="66E1B5EA">
            <w:pPr>
              <w:keepNext w:val="0"/>
              <w:keepLines w:val="0"/>
              <w:pageBreakBefore w:val="0"/>
              <w:kinsoku/>
              <w:wordWrap/>
              <w:overflowPunct/>
              <w:topLinePunct w:val="0"/>
              <w:autoSpaceDE/>
              <w:autoSpaceDN/>
              <w:bidi w:val="0"/>
              <w:snapToGrid/>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评分项目</w:t>
            </w:r>
          </w:p>
        </w:tc>
        <w:tc>
          <w:tcPr>
            <w:tcW w:w="6680" w:type="dxa"/>
            <w:noWrap w:val="0"/>
            <w:vAlign w:val="center"/>
          </w:tcPr>
          <w:p w14:paraId="5FEA9623">
            <w:pPr>
              <w:keepNext w:val="0"/>
              <w:keepLines w:val="0"/>
              <w:pageBreakBefore w:val="0"/>
              <w:kinsoku/>
              <w:wordWrap/>
              <w:overflowPunct/>
              <w:topLinePunct w:val="0"/>
              <w:autoSpaceDE/>
              <w:autoSpaceDN/>
              <w:bidi w:val="0"/>
              <w:snapToGrid/>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评分细则</w:t>
            </w:r>
          </w:p>
        </w:tc>
        <w:tc>
          <w:tcPr>
            <w:tcW w:w="1189" w:type="dxa"/>
            <w:noWrap w:val="0"/>
            <w:vAlign w:val="center"/>
          </w:tcPr>
          <w:p w14:paraId="4C040815">
            <w:pPr>
              <w:keepNext w:val="0"/>
              <w:keepLines w:val="0"/>
              <w:pageBreakBefore w:val="0"/>
              <w:kinsoku/>
              <w:wordWrap/>
              <w:overflowPunct/>
              <w:topLinePunct w:val="0"/>
              <w:autoSpaceDE/>
              <w:autoSpaceDN/>
              <w:bidi w:val="0"/>
              <w:snapToGrid/>
              <w:spacing w:line="400" w:lineRule="exact"/>
              <w:ind w:left="-51"/>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分值</w:t>
            </w:r>
          </w:p>
        </w:tc>
      </w:tr>
      <w:tr w14:paraId="557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0" w:type="dxa"/>
            <w:noWrap w:val="0"/>
            <w:vAlign w:val="center"/>
          </w:tcPr>
          <w:p w14:paraId="54325A55">
            <w:pPr>
              <w:keepNext w:val="0"/>
              <w:keepLines w:val="0"/>
              <w:pageBreakBefore w:val="0"/>
              <w:kinsoku/>
              <w:wordWrap/>
              <w:overflowPunct/>
              <w:topLinePunct w:val="0"/>
              <w:autoSpaceDE/>
              <w:autoSpaceDN/>
              <w:bidi w:val="0"/>
              <w:snapToGrid/>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299" w:type="dxa"/>
            <w:noWrap w:val="0"/>
            <w:vAlign w:val="center"/>
          </w:tcPr>
          <w:p w14:paraId="334DFF38">
            <w:pPr>
              <w:keepNext w:val="0"/>
              <w:keepLines w:val="0"/>
              <w:pageBreakBefore w:val="0"/>
              <w:kinsoku/>
              <w:wordWrap/>
              <w:overflowPunct/>
              <w:topLinePunct w:val="0"/>
              <w:autoSpaceDE/>
              <w:autoSpaceDN/>
              <w:bidi w:val="0"/>
              <w:snapToGrid/>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供应商评价</w:t>
            </w:r>
          </w:p>
        </w:tc>
        <w:tc>
          <w:tcPr>
            <w:tcW w:w="6680" w:type="dxa"/>
            <w:noWrap w:val="0"/>
            <w:vAlign w:val="center"/>
          </w:tcPr>
          <w:p w14:paraId="3AC06AB8">
            <w:pPr>
              <w:keepNext w:val="0"/>
              <w:keepLines w:val="0"/>
              <w:pageBreakBefore w:val="0"/>
              <w:kinsoku/>
              <w:wordWrap/>
              <w:overflowPunct/>
              <w:topLinePunct w:val="0"/>
              <w:autoSpaceDE/>
              <w:autoSpaceDN/>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具有</w:t>
            </w:r>
            <w:r>
              <w:rPr>
                <w:rFonts w:hint="eastAsia" w:ascii="宋体" w:hAnsi="宋体" w:eastAsia="宋体" w:cs="宋体"/>
                <w:color w:val="auto"/>
                <w:sz w:val="22"/>
                <w:szCs w:val="22"/>
                <w:highlight w:val="none"/>
                <w:lang w:val="en-US" w:eastAsia="zh-CN"/>
              </w:rPr>
              <w:t>质量管理体系认证证书</w:t>
            </w:r>
            <w:r>
              <w:rPr>
                <w:rFonts w:hint="eastAsia" w:ascii="宋体" w:hAnsi="宋体" w:eastAsia="宋体" w:cs="宋体"/>
                <w:color w:val="auto"/>
                <w:sz w:val="22"/>
                <w:szCs w:val="22"/>
                <w:highlight w:val="none"/>
              </w:rPr>
              <w:t>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1AFA36E8">
            <w:pPr>
              <w:keepNext w:val="0"/>
              <w:keepLines w:val="0"/>
              <w:pageBreakBefore w:val="0"/>
              <w:kinsoku/>
              <w:wordWrap/>
              <w:overflowPunct/>
              <w:topLinePunct w:val="0"/>
              <w:autoSpaceDE/>
              <w:autoSpaceDN/>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具有</w:t>
            </w:r>
            <w:r>
              <w:rPr>
                <w:rFonts w:hint="eastAsia" w:ascii="宋体" w:hAnsi="宋体" w:eastAsia="宋体" w:cs="宋体"/>
                <w:color w:val="auto"/>
                <w:sz w:val="22"/>
                <w:szCs w:val="22"/>
                <w:highlight w:val="none"/>
                <w:lang w:val="en-US" w:eastAsia="zh-CN"/>
              </w:rPr>
              <w:t>职业健康安全管理体系认证证书的得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B2472E5">
            <w:pPr>
              <w:keepNext w:val="0"/>
              <w:keepLines w:val="0"/>
              <w:pageBreakBefore w:val="0"/>
              <w:kinsoku/>
              <w:wordWrap/>
              <w:overflowPunct/>
              <w:topLinePunct w:val="0"/>
              <w:autoSpaceDE/>
              <w:autoSpaceDN/>
              <w:bidi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rPr>
              <w:t>具有</w:t>
            </w:r>
            <w:r>
              <w:rPr>
                <w:rFonts w:hint="eastAsia" w:ascii="宋体" w:hAnsi="宋体" w:eastAsia="宋体" w:cs="宋体"/>
                <w:color w:val="auto"/>
                <w:sz w:val="22"/>
                <w:szCs w:val="22"/>
                <w:highlight w:val="none"/>
                <w:lang w:val="en-US" w:eastAsia="zh-CN"/>
              </w:rPr>
              <w:t>环境管理体系认证证书的得</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F3C3BE5">
            <w:pPr>
              <w:keepNext w:val="0"/>
              <w:keepLines w:val="0"/>
              <w:pageBreakBefore w:val="0"/>
              <w:kinsoku/>
              <w:wordWrap/>
              <w:overflowPunct/>
              <w:topLinePunct w:val="0"/>
              <w:autoSpaceDE/>
              <w:autoSpaceDN/>
              <w:bidi w:val="0"/>
              <w:snapToGrid/>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注：投标文件中提供证书原件的扫描件加盖公章及国家认证认可监督管理委员会（http://www.cnca.gov.cn/）查询截图，不提供不得分）。</w:t>
            </w:r>
          </w:p>
        </w:tc>
        <w:tc>
          <w:tcPr>
            <w:tcW w:w="1189" w:type="dxa"/>
            <w:noWrap w:val="0"/>
            <w:vAlign w:val="center"/>
          </w:tcPr>
          <w:p w14:paraId="039231EC">
            <w:pPr>
              <w:keepNext w:val="0"/>
              <w:keepLines w:val="0"/>
              <w:pageBreakBefore w:val="0"/>
              <w:kinsoku/>
              <w:wordWrap/>
              <w:overflowPunct/>
              <w:topLinePunct w:val="0"/>
              <w:autoSpaceDE/>
              <w:autoSpaceDN/>
              <w:bidi w:val="0"/>
              <w:snapToGrid/>
              <w:spacing w:line="40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分</w:t>
            </w:r>
          </w:p>
        </w:tc>
      </w:tr>
      <w:tr w14:paraId="4674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40" w:type="dxa"/>
            <w:noWrap w:val="0"/>
            <w:vAlign w:val="center"/>
          </w:tcPr>
          <w:p w14:paraId="50D5FC26">
            <w:pPr>
              <w:keepNext w:val="0"/>
              <w:keepLines w:val="0"/>
              <w:pageBreakBefore w:val="0"/>
              <w:kinsoku/>
              <w:wordWrap/>
              <w:overflowPunct/>
              <w:topLinePunct w:val="0"/>
              <w:autoSpaceDE/>
              <w:autoSpaceDN/>
              <w:bidi w:val="0"/>
              <w:snapToGrid/>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p>
        </w:tc>
        <w:tc>
          <w:tcPr>
            <w:tcW w:w="1299" w:type="dxa"/>
            <w:noWrap w:val="0"/>
            <w:vAlign w:val="center"/>
          </w:tcPr>
          <w:p w14:paraId="49CDED70">
            <w:pPr>
              <w:keepNext w:val="0"/>
              <w:keepLines w:val="0"/>
              <w:pageBreakBefore w:val="0"/>
              <w:kinsoku/>
              <w:wordWrap/>
              <w:overflowPunct/>
              <w:topLinePunct w:val="0"/>
              <w:autoSpaceDE/>
              <w:autoSpaceDN/>
              <w:bidi w:val="0"/>
              <w:snapToGrid/>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类似业绩</w:t>
            </w:r>
          </w:p>
        </w:tc>
        <w:tc>
          <w:tcPr>
            <w:tcW w:w="6680" w:type="dxa"/>
            <w:noWrap w:val="0"/>
            <w:vAlign w:val="center"/>
          </w:tcPr>
          <w:p w14:paraId="164AEF63">
            <w:pPr>
              <w:keepNext w:val="0"/>
              <w:keepLines w:val="0"/>
              <w:pageBreakBefore w:val="0"/>
              <w:kinsoku/>
              <w:wordWrap/>
              <w:overflowPunct/>
              <w:topLinePunct w:val="0"/>
              <w:autoSpaceDE/>
              <w:autoSpaceDN/>
              <w:bidi w:val="0"/>
              <w:snapToGrid/>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投标供应商提供202</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年1月1日以来的类似项目业绩</w:t>
            </w:r>
            <w:r>
              <w:rPr>
                <w:rFonts w:hint="eastAsia" w:ascii="宋体" w:hAnsi="宋体" w:cs="宋体"/>
                <w:color w:val="auto"/>
                <w:sz w:val="22"/>
                <w:szCs w:val="22"/>
                <w:highlight w:val="none"/>
                <w:lang w:eastAsia="zh-CN"/>
              </w:rPr>
              <w:t>（智慧体育</w:t>
            </w:r>
            <w:r>
              <w:rPr>
                <w:rFonts w:hint="eastAsia" w:ascii="宋体" w:hAnsi="宋体" w:cs="宋体"/>
                <w:color w:val="auto"/>
                <w:sz w:val="22"/>
                <w:szCs w:val="22"/>
                <w:highlight w:val="none"/>
                <w:lang w:val="en-US" w:eastAsia="zh-CN"/>
              </w:rPr>
              <w:t>设备</w:t>
            </w:r>
            <w:bookmarkStart w:id="9" w:name="_GoBack"/>
            <w:bookmarkEnd w:id="9"/>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每提供</w:t>
            </w:r>
            <w:r>
              <w:rPr>
                <w:rFonts w:hint="eastAsia" w:ascii="宋体" w:hAnsi="宋体" w:cs="宋体"/>
                <w:color w:val="auto"/>
                <w:sz w:val="22"/>
                <w:szCs w:val="22"/>
                <w:highlight w:val="none"/>
              </w:rPr>
              <w:t>1个得1分，本项最高3分。</w:t>
            </w:r>
          </w:p>
          <w:p w14:paraId="597FED82">
            <w:pPr>
              <w:keepNext w:val="0"/>
              <w:keepLines w:val="0"/>
              <w:pageBreakBefore w:val="0"/>
              <w:kinsoku/>
              <w:wordWrap/>
              <w:overflowPunct/>
              <w:topLinePunct w:val="0"/>
              <w:autoSpaceDE/>
              <w:autoSpaceDN/>
              <w:bidi w:val="0"/>
              <w:snapToGrid/>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（提供合同扫描件加盖公章，业绩认定时间以合同签订时间为准。）</w:t>
            </w:r>
          </w:p>
        </w:tc>
        <w:tc>
          <w:tcPr>
            <w:tcW w:w="1189" w:type="dxa"/>
            <w:noWrap w:val="0"/>
            <w:vAlign w:val="center"/>
          </w:tcPr>
          <w:p w14:paraId="1EB9AD5F">
            <w:pPr>
              <w:keepNext w:val="0"/>
              <w:keepLines w:val="0"/>
              <w:pageBreakBefore w:val="0"/>
              <w:kinsoku/>
              <w:wordWrap/>
              <w:overflowPunct/>
              <w:topLinePunct w:val="0"/>
              <w:autoSpaceDE/>
              <w:autoSpaceDN/>
              <w:bidi w:val="0"/>
              <w:snapToGrid/>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0～3分</w:t>
            </w:r>
          </w:p>
        </w:tc>
      </w:tr>
      <w:tr w14:paraId="38F9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640" w:type="dxa"/>
            <w:noWrap w:val="0"/>
            <w:vAlign w:val="center"/>
          </w:tcPr>
          <w:p w14:paraId="477A8D83">
            <w:pPr>
              <w:keepNext w:val="0"/>
              <w:keepLines w:val="0"/>
              <w:pageBreakBefore w:val="0"/>
              <w:kinsoku/>
              <w:wordWrap/>
              <w:overflowPunct/>
              <w:topLinePunct w:val="0"/>
              <w:autoSpaceDE/>
              <w:autoSpaceDN/>
              <w:bidi w:val="0"/>
              <w:snapToGrid/>
              <w:spacing w:line="400" w:lineRule="exact"/>
              <w:ind w:left="-51" w:lef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3</w:t>
            </w:r>
          </w:p>
        </w:tc>
        <w:tc>
          <w:tcPr>
            <w:tcW w:w="1299" w:type="dxa"/>
            <w:noWrap w:val="0"/>
            <w:vAlign w:val="center"/>
          </w:tcPr>
          <w:p w14:paraId="5CA11443">
            <w:pPr>
              <w:keepNext w:val="0"/>
              <w:keepLines w:val="0"/>
              <w:pageBreakBefore w:val="0"/>
              <w:kinsoku/>
              <w:wordWrap/>
              <w:overflowPunct/>
              <w:topLinePunct w:val="0"/>
              <w:autoSpaceDE/>
              <w:autoSpaceDN/>
              <w:bidi w:val="0"/>
              <w:snapToGrid/>
              <w:spacing w:line="400" w:lineRule="exact"/>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rPr>
              <w:t>技术参数</w:t>
            </w:r>
          </w:p>
        </w:tc>
        <w:tc>
          <w:tcPr>
            <w:tcW w:w="6680" w:type="dxa"/>
            <w:noWrap w:val="0"/>
            <w:vAlign w:val="center"/>
          </w:tcPr>
          <w:p w14:paraId="1CCAEB4E">
            <w:pPr>
              <w:keepNext w:val="0"/>
              <w:keepLines w:val="0"/>
              <w:pageBreakBefore w:val="0"/>
              <w:kinsoku/>
              <w:wordWrap/>
              <w:overflowPunct/>
              <w:topLinePunct w:val="0"/>
              <w:autoSpaceDE/>
              <w:autoSpaceDN/>
              <w:bidi w:val="0"/>
              <w:snapToGrid/>
              <w:spacing w:line="400" w:lineRule="exac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投标人提供投标产品的技术参数完全满足或优于招标文件中的技术参数得</w:t>
            </w:r>
            <w:r>
              <w:rPr>
                <w:rFonts w:hint="eastAsia" w:ascii="宋体" w:hAnsi="宋体" w:cs="宋体"/>
                <w:color w:val="auto"/>
                <w:sz w:val="22"/>
                <w:szCs w:val="22"/>
                <w:highlight w:val="none"/>
                <w:lang w:val="en-US" w:eastAsia="zh-CN"/>
              </w:rPr>
              <w:t>38</w:t>
            </w:r>
            <w:r>
              <w:rPr>
                <w:rFonts w:hint="eastAsia" w:ascii="宋体" w:hAnsi="宋体" w:cs="宋体"/>
                <w:color w:val="auto"/>
                <w:sz w:val="22"/>
                <w:szCs w:val="22"/>
                <w:highlight w:val="none"/>
              </w:rPr>
              <w:t>分。每不满足一个“★”条款的，每个扣2分；每不满足一个非“★”条款的，每个扣1分。注：技术参数中要求提供证明资料的，则响应文件中需提供对应的证明材料，否则按负偏离处理。</w:t>
            </w:r>
          </w:p>
        </w:tc>
        <w:tc>
          <w:tcPr>
            <w:tcW w:w="1189" w:type="dxa"/>
            <w:noWrap w:val="0"/>
            <w:vAlign w:val="center"/>
          </w:tcPr>
          <w:p w14:paraId="50D44039">
            <w:pPr>
              <w:keepNext w:val="0"/>
              <w:keepLines w:val="0"/>
              <w:pageBreakBefore w:val="0"/>
              <w:kinsoku/>
              <w:wordWrap/>
              <w:overflowPunct/>
              <w:topLinePunct w:val="0"/>
              <w:autoSpaceDE/>
              <w:autoSpaceDN/>
              <w:bidi w:val="0"/>
              <w:snapToGrid/>
              <w:spacing w:line="40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rPr>
              <w:t>0～</w:t>
            </w:r>
            <w:r>
              <w:rPr>
                <w:rFonts w:hint="eastAsia" w:ascii="宋体" w:hAnsi="宋体" w:cs="宋体"/>
                <w:color w:val="auto"/>
                <w:sz w:val="22"/>
                <w:szCs w:val="22"/>
                <w:highlight w:val="none"/>
                <w:lang w:val="en-US" w:eastAsia="zh-CN"/>
              </w:rPr>
              <w:t>38</w:t>
            </w:r>
            <w:r>
              <w:rPr>
                <w:rFonts w:hint="eastAsia" w:ascii="宋体" w:hAnsi="宋体" w:cs="宋体"/>
                <w:color w:val="auto"/>
                <w:sz w:val="22"/>
                <w:szCs w:val="22"/>
                <w:highlight w:val="none"/>
              </w:rPr>
              <w:t>分</w:t>
            </w:r>
          </w:p>
        </w:tc>
      </w:tr>
      <w:tr w14:paraId="2BF7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0" w:type="dxa"/>
            <w:noWrap w:val="0"/>
            <w:vAlign w:val="center"/>
          </w:tcPr>
          <w:p w14:paraId="708A24F1">
            <w:pPr>
              <w:keepNext w:val="0"/>
              <w:keepLines w:val="0"/>
              <w:pageBreakBefore w:val="0"/>
              <w:kinsoku/>
              <w:wordWrap/>
              <w:overflowPunct/>
              <w:topLinePunct w:val="0"/>
              <w:autoSpaceDE/>
              <w:autoSpaceDN/>
              <w:bidi w:val="0"/>
              <w:snapToGrid/>
              <w:spacing w:line="400" w:lineRule="exact"/>
              <w:ind w:left="-51" w:leftChars="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p>
        </w:tc>
        <w:tc>
          <w:tcPr>
            <w:tcW w:w="1299" w:type="dxa"/>
            <w:noWrap w:val="0"/>
            <w:vAlign w:val="center"/>
          </w:tcPr>
          <w:p w14:paraId="4B6733EF">
            <w:pPr>
              <w:keepNext w:val="0"/>
              <w:keepLines w:val="0"/>
              <w:pageBreakBefore w:val="0"/>
              <w:kinsoku/>
              <w:wordWrap/>
              <w:overflowPunct/>
              <w:topLinePunct w:val="0"/>
              <w:autoSpaceDE/>
              <w:autoSpaceDN/>
              <w:bidi w:val="0"/>
              <w:snapToGrid/>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实施方案</w:t>
            </w:r>
          </w:p>
        </w:tc>
        <w:tc>
          <w:tcPr>
            <w:tcW w:w="6680" w:type="dxa"/>
            <w:noWrap w:val="0"/>
            <w:vAlign w:val="center"/>
          </w:tcPr>
          <w:p w14:paraId="166E45BA">
            <w:pPr>
              <w:keepNext w:val="0"/>
              <w:keepLines w:val="0"/>
              <w:pageBreakBefore w:val="0"/>
              <w:kinsoku/>
              <w:wordWrap/>
              <w:overflowPunct/>
              <w:topLinePunct w:val="0"/>
              <w:autoSpaceDE/>
              <w:autoSpaceDN/>
              <w:bidi w:val="0"/>
              <w:snapToGrid/>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根据投标供应商提供的</w:t>
            </w:r>
            <w:r>
              <w:rPr>
                <w:rFonts w:hint="eastAsia" w:ascii="宋体" w:hAnsi="宋体" w:cs="宋体"/>
                <w:color w:val="auto"/>
                <w:sz w:val="22"/>
                <w:szCs w:val="22"/>
                <w:highlight w:val="none"/>
                <w:lang w:val="en-US" w:eastAsia="zh-CN"/>
              </w:rPr>
              <w:t>项目整体方案、</w:t>
            </w:r>
            <w:r>
              <w:rPr>
                <w:rFonts w:hint="eastAsia" w:ascii="宋体" w:hAnsi="宋体" w:cs="宋体"/>
                <w:color w:val="auto"/>
                <w:sz w:val="22"/>
                <w:szCs w:val="22"/>
                <w:highlight w:val="none"/>
              </w:rPr>
              <w:t>供货方案、安装</w:t>
            </w:r>
            <w:r>
              <w:rPr>
                <w:rFonts w:hint="eastAsia" w:ascii="宋体" w:hAnsi="宋体" w:cs="宋体"/>
                <w:color w:val="auto"/>
                <w:sz w:val="22"/>
                <w:szCs w:val="22"/>
                <w:highlight w:val="none"/>
                <w:lang w:val="en-US" w:eastAsia="zh-CN"/>
              </w:rPr>
              <w:t>调试</w:t>
            </w:r>
            <w:r>
              <w:rPr>
                <w:rFonts w:hint="eastAsia" w:ascii="宋体" w:hAnsi="宋体" w:cs="宋体"/>
                <w:color w:val="auto"/>
                <w:sz w:val="22"/>
                <w:szCs w:val="22"/>
                <w:highlight w:val="none"/>
              </w:rPr>
              <w:t>及项目人员配置情况等进行打分。</w:t>
            </w:r>
          </w:p>
          <w:p w14:paraId="391E5580">
            <w:pPr>
              <w:keepNext w:val="0"/>
              <w:keepLines w:val="0"/>
              <w:pageBreakBefore w:val="0"/>
              <w:kinsoku/>
              <w:wordWrap/>
              <w:overflowPunct/>
              <w:topLinePunct w:val="0"/>
              <w:autoSpaceDE/>
              <w:autoSpaceDN/>
              <w:bidi w:val="0"/>
              <w:snapToGrid/>
              <w:spacing w:line="40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方案实施安排科学，可操作强，人员安排合理，项目难点处理保证措施可靠，完全满足或优于用户需求的得5分；</w:t>
            </w:r>
          </w:p>
          <w:p w14:paraId="3444AB1B">
            <w:pPr>
              <w:keepNext w:val="0"/>
              <w:keepLines w:val="0"/>
              <w:pageBreakBefore w:val="0"/>
              <w:kinsoku/>
              <w:wordWrap/>
              <w:overflowPunct/>
              <w:topLinePunct w:val="0"/>
              <w:autoSpaceDE/>
              <w:autoSpaceDN/>
              <w:bidi w:val="0"/>
              <w:snapToGrid/>
              <w:spacing w:line="400" w:lineRule="exact"/>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方案实施安排比较科学，可操作性较强，人员安排较为合理，项目难点处理保证措施比较可靠，满足用户需求的得3分；</w:t>
            </w:r>
          </w:p>
          <w:p w14:paraId="0C53D293">
            <w:pPr>
              <w:keepNext w:val="0"/>
              <w:keepLines w:val="0"/>
              <w:pageBreakBefore w:val="0"/>
              <w:kinsoku/>
              <w:wordWrap/>
              <w:overflowPunct/>
              <w:topLinePunct w:val="0"/>
              <w:autoSpaceDE/>
              <w:autoSpaceDN/>
              <w:bidi w:val="0"/>
              <w:snapToGrid/>
              <w:spacing w:line="400" w:lineRule="exact"/>
              <w:jc w:val="left"/>
              <w:rPr>
                <w:rFonts w:hint="eastAsia" w:ascii="宋体" w:hAnsi="宋体" w:cs="宋体"/>
                <w:bCs w:val="0"/>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方案实施安排基本合理，具有一定可操作性，人员安排基本合理，项目难点处理保证措施基本可靠，基本满足用户需求的得</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分；</w:t>
            </w:r>
          </w:p>
        </w:tc>
        <w:tc>
          <w:tcPr>
            <w:tcW w:w="1189" w:type="dxa"/>
            <w:noWrap w:val="0"/>
            <w:vAlign w:val="center"/>
          </w:tcPr>
          <w:p w14:paraId="3C324CC3">
            <w:pPr>
              <w:keepNext w:val="0"/>
              <w:keepLines w:val="0"/>
              <w:pageBreakBefore w:val="0"/>
              <w:kinsoku/>
              <w:wordWrap/>
              <w:overflowPunct/>
              <w:topLinePunct w:val="0"/>
              <w:autoSpaceDE/>
              <w:autoSpaceDN/>
              <w:bidi w:val="0"/>
              <w:snapToGrid/>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0</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tc>
      </w:tr>
      <w:tr w14:paraId="4853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0" w:type="dxa"/>
            <w:noWrap w:val="0"/>
            <w:vAlign w:val="center"/>
          </w:tcPr>
          <w:p w14:paraId="56C4CD70">
            <w:pPr>
              <w:keepNext w:val="0"/>
              <w:keepLines w:val="0"/>
              <w:pageBreakBefore w:val="0"/>
              <w:kinsoku/>
              <w:wordWrap/>
              <w:overflowPunct/>
              <w:topLinePunct w:val="0"/>
              <w:autoSpaceDE/>
              <w:autoSpaceDN/>
              <w:bidi w:val="0"/>
              <w:snapToGrid/>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1299" w:type="dxa"/>
            <w:noWrap w:val="0"/>
            <w:vAlign w:val="center"/>
          </w:tcPr>
          <w:p w14:paraId="4565C65A">
            <w:pPr>
              <w:keepNext w:val="0"/>
              <w:keepLines w:val="0"/>
              <w:pageBreakBefore w:val="0"/>
              <w:kinsoku/>
              <w:wordWrap/>
              <w:overflowPunct/>
              <w:topLinePunct w:val="0"/>
              <w:autoSpaceDE/>
              <w:autoSpaceDN/>
              <w:bidi w:val="0"/>
              <w:snapToGrid/>
              <w:spacing w:line="400" w:lineRule="exact"/>
              <w:jc w:val="center"/>
              <w:rPr>
                <w:rFonts w:hint="eastAsia" w:ascii="宋体" w:hAnsi="宋体" w:cs="宋体"/>
                <w:bCs/>
                <w:color w:val="auto"/>
                <w:sz w:val="22"/>
                <w:szCs w:val="22"/>
                <w:highlight w:val="none"/>
              </w:rPr>
            </w:pPr>
            <w:r>
              <w:rPr>
                <w:rFonts w:hint="eastAsia" w:ascii="宋体" w:hAnsi="宋体" w:eastAsia="宋体" w:cs="宋体"/>
                <w:color w:val="auto"/>
                <w:kern w:val="0"/>
                <w:sz w:val="22"/>
                <w:szCs w:val="22"/>
                <w:highlight w:val="none"/>
                <w:lang w:val="en-US" w:eastAsia="zh-CN"/>
              </w:rPr>
              <w:t>培训方案</w:t>
            </w:r>
          </w:p>
        </w:tc>
        <w:tc>
          <w:tcPr>
            <w:tcW w:w="6680" w:type="dxa"/>
            <w:noWrap w:val="0"/>
            <w:vAlign w:val="center"/>
          </w:tcPr>
          <w:p w14:paraId="0CC0088C">
            <w:pPr>
              <w:keepNext w:val="0"/>
              <w:keepLines w:val="0"/>
              <w:pageBreakBefore w:val="0"/>
              <w:widowControl/>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rPr>
              <w:t>投标供应商</w:t>
            </w:r>
            <w:r>
              <w:rPr>
                <w:rFonts w:hint="eastAsia" w:ascii="宋体" w:hAnsi="宋体" w:eastAsia="宋体" w:cs="宋体"/>
                <w:color w:val="auto"/>
                <w:sz w:val="22"/>
                <w:szCs w:val="22"/>
                <w:highlight w:val="none"/>
              </w:rPr>
              <w:t>提供的针对此项目投标产品的培训课程，培训内容的合理性，详细程度进行打分</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6CB3652B">
            <w:pPr>
              <w:keepNext w:val="0"/>
              <w:keepLines w:val="0"/>
              <w:pageBreakBefore w:val="0"/>
              <w:widowControl/>
              <w:numPr>
                <w:ilvl w:val="0"/>
                <w:numId w:val="0"/>
              </w:numPr>
              <w:kinsoku/>
              <w:wordWrap/>
              <w:overflowPunct/>
              <w:topLinePunct w:val="0"/>
              <w:autoSpaceDE/>
              <w:autoSpaceDN/>
              <w:bidi w:val="0"/>
              <w:snapToGrid/>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rPr>
              <w:t>投标供应商</w:t>
            </w:r>
            <w:r>
              <w:rPr>
                <w:rFonts w:hint="eastAsia" w:ascii="宋体" w:hAnsi="宋体" w:eastAsia="宋体" w:cs="宋体"/>
                <w:color w:val="auto"/>
                <w:sz w:val="22"/>
                <w:szCs w:val="22"/>
                <w:highlight w:val="none"/>
                <w:lang w:val="en-US" w:eastAsia="zh-CN"/>
              </w:rPr>
              <w:t>提供此项目的培训计划和培训人员的安排方案</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35AC98B0">
            <w:pPr>
              <w:keepNext w:val="0"/>
              <w:keepLines w:val="0"/>
              <w:pageBreakBefore w:val="0"/>
              <w:widowControl/>
              <w:numPr>
                <w:ilvl w:val="0"/>
                <w:numId w:val="0"/>
              </w:numPr>
              <w:kinsoku/>
              <w:wordWrap/>
              <w:overflowPunct/>
              <w:topLinePunct w:val="0"/>
              <w:autoSpaceDE/>
              <w:autoSpaceDN/>
              <w:bidi w:val="0"/>
              <w:snapToGrid/>
              <w:spacing w:line="400" w:lineRule="exact"/>
              <w:ind w:left="0" w:leftChars="0" w:firstLine="0" w:firstLineChars="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培训</w:t>
            </w:r>
            <w:r>
              <w:rPr>
                <w:rFonts w:hint="eastAsia" w:ascii="宋体" w:hAnsi="宋体" w:cs="宋体"/>
                <w:color w:val="auto"/>
                <w:sz w:val="22"/>
                <w:szCs w:val="22"/>
                <w:highlight w:val="none"/>
                <w:lang w:val="en-US" w:eastAsia="zh-CN"/>
              </w:rPr>
              <w:t>讲师</w:t>
            </w:r>
            <w:r>
              <w:rPr>
                <w:rFonts w:hint="eastAsia" w:ascii="宋体" w:hAnsi="宋体" w:eastAsia="宋体" w:cs="宋体"/>
                <w:color w:val="auto"/>
                <w:sz w:val="22"/>
                <w:szCs w:val="22"/>
                <w:highlight w:val="none"/>
              </w:rPr>
              <w:t>提供不少于</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人具有副高级及以上职称的</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tc>
        <w:tc>
          <w:tcPr>
            <w:tcW w:w="1189" w:type="dxa"/>
            <w:noWrap w:val="0"/>
            <w:vAlign w:val="center"/>
          </w:tcPr>
          <w:p w14:paraId="455131C2">
            <w:pPr>
              <w:keepNext w:val="0"/>
              <w:keepLines w:val="0"/>
              <w:pageBreakBefore w:val="0"/>
              <w:kinsoku/>
              <w:wordWrap/>
              <w:overflowPunct/>
              <w:topLinePunct w:val="0"/>
              <w:autoSpaceDE/>
              <w:autoSpaceDN/>
              <w:bidi w:val="0"/>
              <w:snapToGrid/>
              <w:spacing w:line="400" w:lineRule="exac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6分</w:t>
            </w:r>
          </w:p>
        </w:tc>
      </w:tr>
      <w:tr w14:paraId="7D98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0" w:type="dxa"/>
            <w:noWrap w:val="0"/>
            <w:vAlign w:val="center"/>
          </w:tcPr>
          <w:p w14:paraId="49F02504">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1299" w:type="dxa"/>
            <w:noWrap w:val="0"/>
            <w:vAlign w:val="center"/>
          </w:tcPr>
          <w:p w14:paraId="4DBBACB1">
            <w:pPr>
              <w:keepNext w:val="0"/>
              <w:keepLines w:val="0"/>
              <w:pageBreakBefore w:val="0"/>
              <w:widowControl/>
              <w:kinsoku/>
              <w:wordWrap/>
              <w:overflowPunct/>
              <w:topLinePunct w:val="0"/>
              <w:autoSpaceDE/>
              <w:autoSpaceDN/>
              <w:bidi w:val="0"/>
              <w:snapToGrid/>
              <w:spacing w:line="400" w:lineRule="exact"/>
              <w:jc w:val="center"/>
              <w:rPr>
                <w:rFonts w:ascii="宋体" w:hAnsi="宋体"/>
                <w:color w:val="auto"/>
                <w:sz w:val="22"/>
                <w:szCs w:val="22"/>
                <w:highlight w:val="none"/>
              </w:rPr>
            </w:pPr>
            <w:r>
              <w:rPr>
                <w:rFonts w:hint="eastAsia" w:ascii="宋体" w:hAnsi="宋体" w:cs="宋体"/>
                <w:color w:val="auto"/>
                <w:kern w:val="0"/>
                <w:sz w:val="22"/>
                <w:szCs w:val="22"/>
                <w:highlight w:val="none"/>
              </w:rPr>
              <w:t>售后服务</w:t>
            </w:r>
          </w:p>
        </w:tc>
        <w:tc>
          <w:tcPr>
            <w:tcW w:w="6680" w:type="dxa"/>
            <w:noWrap w:val="0"/>
            <w:vAlign w:val="center"/>
          </w:tcPr>
          <w:p w14:paraId="6F4B4DC9">
            <w:pPr>
              <w:keepNext w:val="0"/>
              <w:keepLines w:val="0"/>
              <w:pageBreakBefore w:val="0"/>
              <w:numPr>
                <w:ilvl w:val="0"/>
                <w:numId w:val="0"/>
              </w:numPr>
              <w:kinsoku/>
              <w:wordWrap/>
              <w:overflowPunct/>
              <w:topLinePunct w:val="0"/>
              <w:autoSpaceDE/>
              <w:autoSpaceDN/>
              <w:bidi w:val="0"/>
              <w:snapToGrid/>
              <w:spacing w:line="400" w:lineRule="exact"/>
              <w:rPr>
                <w:rFonts w:hint="eastAsia" w:ascii="宋体" w:hAnsi="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根据</w:t>
            </w:r>
            <w:r>
              <w:rPr>
                <w:rFonts w:hint="eastAsia" w:ascii="宋体" w:hAnsi="宋体" w:cs="宋体"/>
                <w:color w:val="auto"/>
                <w:sz w:val="22"/>
                <w:szCs w:val="22"/>
                <w:highlight w:val="none"/>
              </w:rPr>
              <w:t>投标供应商</w:t>
            </w:r>
            <w:r>
              <w:rPr>
                <w:rFonts w:hint="eastAsia" w:ascii="宋体" w:hAnsi="宋体" w:cs="宋体"/>
                <w:color w:val="auto"/>
                <w:sz w:val="22"/>
                <w:szCs w:val="22"/>
                <w:highlight w:val="none"/>
                <w:lang w:val="en-US" w:eastAsia="zh-CN"/>
              </w:rPr>
              <w:t>制定</w:t>
            </w:r>
            <w:r>
              <w:rPr>
                <w:rFonts w:hint="eastAsia" w:ascii="宋体" w:hAnsi="宋体" w:eastAsia="宋体" w:cs="宋体"/>
                <w:b w:val="0"/>
                <w:bCs w:val="0"/>
                <w:i w:val="0"/>
                <w:iCs w:val="0"/>
                <w:color w:val="auto"/>
                <w:kern w:val="0"/>
                <w:sz w:val="22"/>
                <w:szCs w:val="22"/>
                <w:highlight w:val="none"/>
                <w:u w:val="none"/>
                <w:lang w:val="en-US" w:eastAsia="zh-CN" w:bidi="ar"/>
              </w:rPr>
              <w:t>售后服务</w:t>
            </w:r>
            <w:r>
              <w:rPr>
                <w:rFonts w:hint="eastAsia" w:ascii="宋体" w:hAnsi="宋体" w:cs="宋体"/>
                <w:b w:val="0"/>
                <w:bCs w:val="0"/>
                <w:i w:val="0"/>
                <w:iCs w:val="0"/>
                <w:color w:val="auto"/>
                <w:kern w:val="0"/>
                <w:sz w:val="22"/>
                <w:szCs w:val="22"/>
                <w:highlight w:val="none"/>
                <w:u w:val="none"/>
                <w:lang w:val="en-US" w:eastAsia="zh-CN" w:bidi="ar"/>
              </w:rPr>
              <w:t>整体</w:t>
            </w:r>
            <w:r>
              <w:rPr>
                <w:rFonts w:hint="eastAsia" w:ascii="宋体" w:hAnsi="宋体" w:eastAsia="宋体" w:cs="宋体"/>
                <w:b w:val="0"/>
                <w:bCs w:val="0"/>
                <w:i w:val="0"/>
                <w:iCs w:val="0"/>
                <w:color w:val="auto"/>
                <w:kern w:val="0"/>
                <w:sz w:val="22"/>
                <w:szCs w:val="22"/>
                <w:highlight w:val="none"/>
                <w:u w:val="none"/>
                <w:lang w:val="en-US" w:eastAsia="zh-CN" w:bidi="ar"/>
              </w:rPr>
              <w:t>方案</w:t>
            </w:r>
            <w:r>
              <w:rPr>
                <w:rFonts w:hint="eastAsia" w:ascii="宋体" w:hAnsi="宋体" w:cs="宋体"/>
                <w:b w:val="0"/>
                <w:bCs w:val="0"/>
                <w:i w:val="0"/>
                <w:iCs w:val="0"/>
                <w:color w:val="auto"/>
                <w:kern w:val="0"/>
                <w:sz w:val="22"/>
                <w:szCs w:val="22"/>
                <w:highlight w:val="none"/>
                <w:u w:val="none"/>
                <w:lang w:val="en-US" w:eastAsia="zh-CN" w:bidi="ar"/>
              </w:rPr>
              <w:t>、</w:t>
            </w:r>
            <w:r>
              <w:rPr>
                <w:rFonts w:hint="eastAsia" w:ascii="宋体" w:hAnsi="宋体" w:eastAsia="宋体" w:cs="宋体"/>
                <w:b w:val="0"/>
                <w:bCs w:val="0"/>
                <w:i w:val="0"/>
                <w:iCs w:val="0"/>
                <w:color w:val="auto"/>
                <w:kern w:val="0"/>
                <w:sz w:val="22"/>
                <w:szCs w:val="22"/>
                <w:highlight w:val="none"/>
                <w:u w:val="none"/>
                <w:lang w:val="en-US" w:eastAsia="zh-CN" w:bidi="ar"/>
              </w:rPr>
              <w:t>技术服务支持力量、售后服务承诺</w:t>
            </w:r>
            <w:r>
              <w:rPr>
                <w:rFonts w:hint="eastAsia" w:ascii="宋体" w:hAnsi="宋体" w:cs="宋体"/>
                <w:b w:val="0"/>
                <w:bCs w:val="0"/>
                <w:i w:val="0"/>
                <w:iCs w:val="0"/>
                <w:color w:val="auto"/>
                <w:kern w:val="0"/>
                <w:sz w:val="22"/>
                <w:szCs w:val="22"/>
                <w:highlight w:val="none"/>
                <w:u w:val="none"/>
                <w:lang w:val="en-US" w:eastAsia="zh-CN" w:bidi="ar"/>
              </w:rPr>
              <w:t>、故障响应时间及保障等售后服务内容</w:t>
            </w:r>
            <w:r>
              <w:rPr>
                <w:rFonts w:hint="eastAsia" w:ascii="宋体" w:hAnsi="宋体" w:eastAsia="宋体" w:cs="宋体"/>
                <w:b w:val="0"/>
                <w:bCs w:val="0"/>
                <w:i w:val="0"/>
                <w:iCs w:val="0"/>
                <w:color w:val="auto"/>
                <w:kern w:val="0"/>
                <w:sz w:val="22"/>
                <w:szCs w:val="22"/>
                <w:highlight w:val="none"/>
                <w:u w:val="none"/>
                <w:lang w:val="en-US" w:eastAsia="zh-CN" w:bidi="ar"/>
              </w:rPr>
              <w:t>进行打分</w:t>
            </w:r>
            <w:r>
              <w:rPr>
                <w:rFonts w:hint="eastAsia" w:ascii="宋体" w:hAnsi="宋体" w:cs="宋体"/>
                <w:b w:val="0"/>
                <w:bCs w:val="0"/>
                <w:i w:val="0"/>
                <w:iCs w:val="0"/>
                <w:color w:val="auto"/>
                <w:kern w:val="0"/>
                <w:sz w:val="22"/>
                <w:szCs w:val="22"/>
                <w:highlight w:val="none"/>
                <w:u w:val="none"/>
                <w:lang w:val="en-US" w:eastAsia="zh-CN" w:bidi="ar"/>
              </w:rPr>
              <w:t>。</w:t>
            </w:r>
          </w:p>
          <w:p w14:paraId="6A9F7DD2">
            <w:pPr>
              <w:keepNext w:val="0"/>
              <w:keepLines w:val="0"/>
              <w:pageBreakBefore w:val="0"/>
              <w:numPr>
                <w:ilvl w:val="0"/>
                <w:numId w:val="4"/>
              </w:numPr>
              <w:kinsoku/>
              <w:wordWrap/>
              <w:overflowPunct/>
              <w:topLinePunct w:val="0"/>
              <w:autoSpaceDE/>
              <w:autoSpaceDN/>
              <w:bidi w:val="0"/>
              <w:snapToGrid/>
              <w:spacing w:line="400" w:lineRule="exact"/>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方案具体</w:t>
            </w:r>
            <w:r>
              <w:rPr>
                <w:rFonts w:hint="eastAsia" w:ascii="宋体" w:hAnsi="宋体" w:eastAsia="宋体" w:cs="宋体"/>
                <w:b w:val="0"/>
                <w:bCs w:val="0"/>
                <w:i w:val="0"/>
                <w:iCs w:val="0"/>
                <w:color w:val="auto"/>
                <w:kern w:val="0"/>
                <w:sz w:val="22"/>
                <w:szCs w:val="22"/>
                <w:highlight w:val="none"/>
                <w:u w:val="none"/>
                <w:lang w:val="en-US" w:eastAsia="zh-CN" w:bidi="ar"/>
              </w:rPr>
              <w:t>完整、</w:t>
            </w:r>
            <w:r>
              <w:rPr>
                <w:rFonts w:hint="eastAsia" w:ascii="宋体" w:hAnsi="宋体" w:cs="宋体"/>
                <w:b w:val="0"/>
                <w:bCs w:val="0"/>
                <w:i w:val="0"/>
                <w:iCs w:val="0"/>
                <w:color w:val="auto"/>
                <w:kern w:val="0"/>
                <w:sz w:val="22"/>
                <w:szCs w:val="22"/>
                <w:highlight w:val="none"/>
                <w:u w:val="none"/>
                <w:lang w:val="en-US" w:eastAsia="zh-CN" w:bidi="ar"/>
              </w:rPr>
              <w:t>能详细描述方案实施、可行性与合理性程度高的，且能够提供本地化服务能力证明的，得</w:t>
            </w:r>
            <w:r>
              <w:rPr>
                <w:rFonts w:hint="eastAsia" w:ascii="宋体" w:hAnsi="宋体" w:eastAsia="宋体" w:cs="宋体"/>
                <w:b w:val="0"/>
                <w:bCs w:val="0"/>
                <w:i w:val="0"/>
                <w:iCs w:val="0"/>
                <w:color w:val="auto"/>
                <w:kern w:val="0"/>
                <w:sz w:val="22"/>
                <w:szCs w:val="22"/>
                <w:highlight w:val="none"/>
                <w:u w:val="none"/>
                <w:lang w:val="en-US" w:eastAsia="zh-CN" w:bidi="ar"/>
              </w:rPr>
              <w:t>5分，</w:t>
            </w:r>
          </w:p>
          <w:p w14:paraId="6EFD5215">
            <w:pPr>
              <w:keepNext w:val="0"/>
              <w:keepLines w:val="0"/>
              <w:pageBreakBefore w:val="0"/>
              <w:numPr>
                <w:ilvl w:val="0"/>
                <w:numId w:val="4"/>
              </w:numPr>
              <w:kinsoku/>
              <w:wordWrap/>
              <w:overflowPunct/>
              <w:topLinePunct w:val="0"/>
              <w:autoSpaceDE/>
              <w:autoSpaceDN/>
              <w:bidi w:val="0"/>
              <w:snapToGrid/>
              <w:spacing w:line="400" w:lineRule="exact"/>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方案较具体</w:t>
            </w: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能较好实施方案实施、可行性与合理性较好的，得3</w:t>
            </w:r>
            <w:r>
              <w:rPr>
                <w:rFonts w:hint="eastAsia" w:ascii="宋体" w:hAnsi="宋体" w:eastAsia="宋体" w:cs="宋体"/>
                <w:b w:val="0"/>
                <w:bCs w:val="0"/>
                <w:i w:val="0"/>
                <w:iCs w:val="0"/>
                <w:color w:val="auto"/>
                <w:kern w:val="0"/>
                <w:sz w:val="22"/>
                <w:szCs w:val="22"/>
                <w:highlight w:val="none"/>
                <w:u w:val="none"/>
                <w:lang w:val="en-US" w:eastAsia="zh-CN" w:bidi="ar"/>
              </w:rPr>
              <w:t>分，</w:t>
            </w:r>
          </w:p>
          <w:p w14:paraId="709A27EA">
            <w:pPr>
              <w:keepNext w:val="0"/>
              <w:keepLines w:val="0"/>
              <w:pageBreakBefore w:val="0"/>
              <w:numPr>
                <w:ilvl w:val="0"/>
                <w:numId w:val="4"/>
              </w:numPr>
              <w:kinsoku/>
              <w:wordWrap/>
              <w:overflowPunct/>
              <w:topLinePunct w:val="0"/>
              <w:autoSpaceDE/>
              <w:autoSpaceDN/>
              <w:bidi w:val="0"/>
              <w:snapToGrid/>
              <w:spacing w:line="400" w:lineRule="exact"/>
              <w:rPr>
                <w:rFonts w:ascii="宋体" w:hAnsi="宋体"/>
                <w:color w:val="auto"/>
                <w:sz w:val="22"/>
                <w:szCs w:val="22"/>
                <w:highlight w:val="none"/>
              </w:rPr>
            </w:pPr>
            <w:r>
              <w:rPr>
                <w:rFonts w:hint="eastAsia" w:ascii="宋体" w:hAnsi="宋体" w:cs="宋体"/>
                <w:b w:val="0"/>
                <w:bCs w:val="0"/>
                <w:i w:val="0"/>
                <w:iCs w:val="0"/>
                <w:color w:val="auto"/>
                <w:kern w:val="0"/>
                <w:sz w:val="22"/>
                <w:szCs w:val="22"/>
                <w:highlight w:val="none"/>
                <w:u w:val="none"/>
                <w:lang w:val="en-US" w:eastAsia="zh-CN" w:bidi="ar"/>
              </w:rPr>
              <w:t>方案一般</w:t>
            </w:r>
            <w:r>
              <w:rPr>
                <w:rFonts w:hint="eastAsia" w:ascii="宋体" w:hAnsi="宋体" w:eastAsia="宋体" w:cs="宋体"/>
                <w:b w:val="0"/>
                <w:bCs w:val="0"/>
                <w:i w:val="0"/>
                <w:iCs w:val="0"/>
                <w:color w:val="auto"/>
                <w:kern w:val="0"/>
                <w:sz w:val="22"/>
                <w:szCs w:val="22"/>
                <w:highlight w:val="none"/>
                <w:u w:val="none"/>
                <w:lang w:val="en-US" w:eastAsia="zh-CN" w:bidi="ar"/>
              </w:rPr>
              <w:t>、</w:t>
            </w:r>
            <w:r>
              <w:rPr>
                <w:rFonts w:hint="eastAsia" w:ascii="宋体" w:hAnsi="宋体" w:cs="宋体"/>
                <w:b w:val="0"/>
                <w:bCs w:val="0"/>
                <w:i w:val="0"/>
                <w:iCs w:val="0"/>
                <w:color w:val="auto"/>
                <w:kern w:val="0"/>
                <w:sz w:val="22"/>
                <w:szCs w:val="22"/>
                <w:highlight w:val="none"/>
                <w:u w:val="none"/>
                <w:lang w:val="en-US" w:eastAsia="zh-CN" w:bidi="ar"/>
              </w:rPr>
              <w:t>可行性与合理性一般的，得1</w:t>
            </w:r>
            <w:r>
              <w:rPr>
                <w:rFonts w:hint="eastAsia" w:ascii="宋体" w:hAnsi="宋体" w:eastAsia="宋体" w:cs="宋体"/>
                <w:b w:val="0"/>
                <w:bCs w:val="0"/>
                <w:i w:val="0"/>
                <w:iCs w:val="0"/>
                <w:color w:val="auto"/>
                <w:kern w:val="0"/>
                <w:sz w:val="22"/>
                <w:szCs w:val="22"/>
                <w:highlight w:val="none"/>
                <w:u w:val="none"/>
                <w:lang w:val="en-US" w:eastAsia="zh-CN" w:bidi="ar"/>
              </w:rPr>
              <w:t>分，</w:t>
            </w:r>
          </w:p>
        </w:tc>
        <w:tc>
          <w:tcPr>
            <w:tcW w:w="1189" w:type="dxa"/>
            <w:noWrap w:val="0"/>
            <w:vAlign w:val="center"/>
          </w:tcPr>
          <w:p w14:paraId="12B3651A">
            <w:pPr>
              <w:pStyle w:val="23"/>
              <w:keepNext w:val="0"/>
              <w:keepLines w:val="0"/>
              <w:pageBreakBefore w:val="0"/>
              <w:kinsoku/>
              <w:wordWrap/>
              <w:overflowPunct/>
              <w:topLinePunct w:val="0"/>
              <w:autoSpaceDE/>
              <w:autoSpaceDN/>
              <w:bidi w:val="0"/>
              <w:snapToGrid/>
              <w:spacing w:line="400" w:lineRule="exact"/>
              <w:jc w:val="center"/>
              <w:rPr>
                <w:rFonts w:ascii="宋体" w:hAnsi="宋体"/>
                <w:color w:val="auto"/>
                <w:sz w:val="22"/>
                <w:szCs w:val="22"/>
                <w:highlight w:val="none"/>
              </w:rPr>
            </w:pPr>
            <w:r>
              <w:rPr>
                <w:rFonts w:hint="eastAsia" w:hAnsi="宋体" w:cs="宋体"/>
                <w:color w:val="auto"/>
                <w:sz w:val="22"/>
                <w:szCs w:val="22"/>
                <w:highlight w:val="none"/>
                <w:lang w:val="en-US" w:eastAsia="zh-CN"/>
              </w:rPr>
              <w:t>0</w:t>
            </w:r>
            <w:r>
              <w:rPr>
                <w:rFonts w:hint="eastAsia" w:ascii="宋体" w:hAnsi="宋体"/>
                <w:color w:val="auto"/>
                <w:sz w:val="22"/>
                <w:szCs w:val="22"/>
                <w:highlight w:val="none"/>
              </w:rPr>
              <w:t>～</w:t>
            </w:r>
            <w:r>
              <w:rPr>
                <w:rFonts w:hint="eastAsia" w:hAnsi="宋体" w:cs="宋体"/>
                <w:color w:val="auto"/>
                <w:sz w:val="22"/>
                <w:szCs w:val="22"/>
                <w:highlight w:val="none"/>
                <w:lang w:val="en-US" w:eastAsia="zh-CN"/>
              </w:rPr>
              <w:t>5</w:t>
            </w:r>
            <w:r>
              <w:rPr>
                <w:rFonts w:hint="eastAsia" w:hAnsi="宋体" w:cs="宋体"/>
                <w:color w:val="auto"/>
                <w:sz w:val="22"/>
                <w:szCs w:val="22"/>
                <w:highlight w:val="none"/>
              </w:rPr>
              <w:t>分</w:t>
            </w:r>
          </w:p>
        </w:tc>
      </w:tr>
      <w:tr w14:paraId="743A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0" w:type="dxa"/>
            <w:noWrap w:val="0"/>
            <w:vAlign w:val="center"/>
          </w:tcPr>
          <w:p w14:paraId="52020019">
            <w:pPr>
              <w:keepNext w:val="0"/>
              <w:keepLines w:val="0"/>
              <w:pageBreakBefore w:val="0"/>
              <w:kinsoku/>
              <w:wordWrap/>
              <w:overflowPunct/>
              <w:topLinePunct w:val="0"/>
              <w:autoSpaceDE/>
              <w:autoSpaceDN/>
              <w:bidi w:val="0"/>
              <w:snapToGrid/>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299" w:type="dxa"/>
            <w:noWrap w:val="0"/>
            <w:vAlign w:val="center"/>
          </w:tcPr>
          <w:p w14:paraId="52DF9D4A">
            <w:pPr>
              <w:keepNext w:val="0"/>
              <w:keepLines w:val="0"/>
              <w:pageBreakBefore w:val="0"/>
              <w:kinsoku/>
              <w:wordWrap/>
              <w:overflowPunct/>
              <w:topLinePunct w:val="0"/>
              <w:autoSpaceDE/>
              <w:autoSpaceDN/>
              <w:bidi w:val="0"/>
              <w:snapToGrid/>
              <w:spacing w:line="400" w:lineRule="exact"/>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视频演示</w:t>
            </w:r>
          </w:p>
        </w:tc>
        <w:tc>
          <w:tcPr>
            <w:tcW w:w="6680" w:type="dxa"/>
            <w:noWrap w:val="0"/>
            <w:vAlign w:val="center"/>
          </w:tcPr>
          <w:p w14:paraId="4E6E2449">
            <w:pPr>
              <w:keepNext w:val="0"/>
              <w:keepLines w:val="0"/>
              <w:pageBreakBefore w:val="0"/>
              <w:numPr>
                <w:ilvl w:val="0"/>
                <w:numId w:val="0"/>
              </w:numPr>
              <w:kinsoku/>
              <w:wordWrap/>
              <w:overflowPunct/>
              <w:topLinePunct w:val="0"/>
              <w:autoSpaceDE/>
              <w:autoSpaceDN/>
              <w:bidi w:val="0"/>
              <w:snapToGrid/>
              <w:spacing w:line="400" w:lineRule="exact"/>
              <w:ind w:left="220" w:hanging="220" w:hangingChars="100"/>
              <w:rPr>
                <w:rFonts w:hint="eastAsia" w:ascii="宋体" w:hAnsi="宋体" w:eastAsia="宋体" w:cs="Times New Roman"/>
                <w:bCs w:val="0"/>
                <w:color w:val="auto"/>
                <w:kern w:val="2"/>
                <w:sz w:val="22"/>
                <w:szCs w:val="22"/>
                <w:highlight w:val="none"/>
                <w:lang w:val="en-US" w:eastAsia="zh-CN" w:bidi="ar-SA"/>
              </w:rPr>
            </w:pPr>
            <w:r>
              <w:rPr>
                <w:rFonts w:hint="eastAsia" w:ascii="宋体" w:hAnsi="宋体" w:eastAsia="宋体" w:cs="Times New Roman"/>
                <w:bCs w:val="0"/>
                <w:color w:val="auto"/>
                <w:kern w:val="2"/>
                <w:sz w:val="22"/>
                <w:szCs w:val="22"/>
                <w:highlight w:val="none"/>
                <w:lang w:val="en-US" w:eastAsia="zh-CN" w:bidi="ar-SA"/>
              </w:rPr>
              <w:t>（</w:t>
            </w:r>
            <w:r>
              <w:rPr>
                <w:rFonts w:hint="eastAsia" w:ascii="宋体" w:hAnsi="宋体" w:cs="Times New Roman"/>
                <w:bCs w:val="0"/>
                <w:color w:val="auto"/>
                <w:kern w:val="2"/>
                <w:sz w:val="22"/>
                <w:szCs w:val="22"/>
                <w:highlight w:val="none"/>
                <w:lang w:val="en-US" w:eastAsia="zh-CN" w:bidi="ar-SA"/>
              </w:rPr>
              <w:t>一</w:t>
            </w:r>
            <w:r>
              <w:rPr>
                <w:rFonts w:hint="eastAsia" w:ascii="宋体" w:hAnsi="宋体" w:eastAsia="宋体" w:cs="Times New Roman"/>
                <w:bCs w:val="0"/>
                <w:color w:val="auto"/>
                <w:kern w:val="2"/>
                <w:sz w:val="22"/>
                <w:szCs w:val="22"/>
                <w:highlight w:val="none"/>
                <w:lang w:val="en-US" w:eastAsia="zh-CN" w:bidi="ar-SA"/>
              </w:rPr>
              <w:t>）智慧划船机系统</w:t>
            </w:r>
            <w:r>
              <w:rPr>
                <w:rFonts w:hint="eastAsia" w:ascii="宋体" w:hAnsi="宋体" w:cs="Times New Roman"/>
                <w:bCs w:val="0"/>
                <w:color w:val="auto"/>
                <w:kern w:val="2"/>
                <w:sz w:val="22"/>
                <w:szCs w:val="22"/>
                <w:highlight w:val="none"/>
                <w:lang w:val="en-US" w:eastAsia="zh-CN" w:bidi="ar-SA"/>
              </w:rPr>
              <w:t>及智慧运动健康管理平台视频演示</w:t>
            </w:r>
            <w:r>
              <w:rPr>
                <w:rFonts w:hint="eastAsia" w:ascii="宋体" w:hAnsi="宋体" w:eastAsia="宋体" w:cs="Times New Roman"/>
                <w:bCs w:val="0"/>
                <w:color w:val="auto"/>
                <w:kern w:val="2"/>
                <w:sz w:val="22"/>
                <w:szCs w:val="22"/>
                <w:highlight w:val="none"/>
                <w:lang w:val="en-US" w:eastAsia="zh-CN" w:bidi="ar-SA"/>
              </w:rPr>
              <w:t>（0-</w:t>
            </w:r>
            <w:r>
              <w:rPr>
                <w:rFonts w:hint="eastAsia" w:ascii="宋体" w:hAnsi="宋体" w:cs="Times New Roman"/>
                <w:bCs w:val="0"/>
                <w:color w:val="auto"/>
                <w:kern w:val="2"/>
                <w:sz w:val="22"/>
                <w:szCs w:val="22"/>
                <w:highlight w:val="none"/>
                <w:lang w:val="en-US" w:eastAsia="zh-CN" w:bidi="ar-SA"/>
              </w:rPr>
              <w:t>10</w:t>
            </w:r>
            <w:r>
              <w:rPr>
                <w:rFonts w:hint="eastAsia" w:ascii="宋体" w:hAnsi="宋体" w:eastAsia="宋体" w:cs="Times New Roman"/>
                <w:bCs w:val="0"/>
                <w:color w:val="auto"/>
                <w:kern w:val="2"/>
                <w:sz w:val="22"/>
                <w:szCs w:val="22"/>
                <w:highlight w:val="none"/>
                <w:lang w:val="en-US" w:eastAsia="zh-CN" w:bidi="ar-SA"/>
              </w:rPr>
              <w:t>分）</w:t>
            </w:r>
          </w:p>
          <w:p w14:paraId="43D469AE">
            <w:pPr>
              <w:keepNext w:val="0"/>
              <w:keepLines w:val="0"/>
              <w:pageBreakBefore w:val="0"/>
              <w:numPr>
                <w:ilvl w:val="0"/>
                <w:numId w:val="0"/>
              </w:numPr>
              <w:kinsoku/>
              <w:wordWrap/>
              <w:overflowPunct/>
              <w:topLinePunct w:val="0"/>
              <w:autoSpaceDE/>
              <w:autoSpaceDN/>
              <w:bidi w:val="0"/>
              <w:snapToGrid/>
              <w:spacing w:line="400" w:lineRule="exact"/>
              <w:rPr>
                <w:rFonts w:hint="eastAsia" w:ascii="宋体" w:hAnsi="宋体" w:cs="Times New Roman"/>
                <w:bCs w:val="0"/>
                <w:color w:val="auto"/>
                <w:kern w:val="2"/>
                <w:sz w:val="22"/>
                <w:szCs w:val="22"/>
                <w:highlight w:val="none"/>
                <w:lang w:val="en-US" w:eastAsia="zh-CN" w:bidi="ar-SA"/>
              </w:rPr>
            </w:pPr>
            <w:r>
              <w:rPr>
                <w:rFonts w:hint="eastAsia" w:ascii="宋体" w:hAnsi="宋体" w:cs="Times New Roman"/>
                <w:bCs w:val="0"/>
                <w:color w:val="auto"/>
                <w:kern w:val="2"/>
                <w:sz w:val="22"/>
                <w:szCs w:val="22"/>
                <w:highlight w:val="none"/>
                <w:lang w:val="en-US" w:eastAsia="zh-CN" w:bidi="ar-SA"/>
              </w:rPr>
              <w:t>1、</w:t>
            </w:r>
            <w:r>
              <w:rPr>
                <w:rFonts w:hint="eastAsia" w:ascii="宋体" w:hAnsi="宋体" w:eastAsia="宋体" w:cs="Times New Roman"/>
                <w:bCs w:val="0"/>
                <w:color w:val="auto"/>
                <w:kern w:val="2"/>
                <w:sz w:val="22"/>
                <w:szCs w:val="22"/>
                <w:highlight w:val="none"/>
                <w:lang w:val="en-US" w:eastAsia="zh-CN" w:bidi="ar-SA"/>
              </w:rPr>
              <w:t>阻力系统:可调阻力不低于10级</w:t>
            </w:r>
            <w:r>
              <w:rPr>
                <w:rFonts w:hint="eastAsia" w:ascii="宋体" w:hAnsi="宋体" w:cs="Times New Roman"/>
                <w:bCs w:val="0"/>
                <w:color w:val="auto"/>
                <w:kern w:val="2"/>
                <w:sz w:val="22"/>
                <w:szCs w:val="22"/>
                <w:highlight w:val="none"/>
                <w:lang w:val="en-US" w:eastAsia="zh-CN" w:bidi="ar-SA"/>
              </w:rPr>
              <w:t>；</w:t>
            </w:r>
          </w:p>
          <w:p w14:paraId="316AD911">
            <w:pPr>
              <w:keepNext w:val="0"/>
              <w:keepLines w:val="0"/>
              <w:pageBreakBefore w:val="0"/>
              <w:numPr>
                <w:ilvl w:val="0"/>
                <w:numId w:val="0"/>
              </w:numPr>
              <w:kinsoku/>
              <w:wordWrap/>
              <w:overflowPunct/>
              <w:topLinePunct w:val="0"/>
              <w:autoSpaceDE/>
              <w:autoSpaceDN/>
              <w:bidi w:val="0"/>
              <w:snapToGrid/>
              <w:spacing w:line="400" w:lineRule="exact"/>
              <w:rPr>
                <w:rFonts w:hint="eastAsia" w:ascii="宋体" w:hAnsi="宋体" w:cs="Times New Roman"/>
                <w:bCs w:val="0"/>
                <w:color w:val="auto"/>
                <w:kern w:val="2"/>
                <w:sz w:val="22"/>
                <w:szCs w:val="22"/>
                <w:highlight w:val="none"/>
                <w:lang w:val="en-US" w:eastAsia="zh-CN" w:bidi="ar-SA"/>
              </w:rPr>
            </w:pPr>
            <w:r>
              <w:rPr>
                <w:rFonts w:hint="eastAsia" w:ascii="宋体" w:hAnsi="宋体" w:cs="Times New Roman"/>
                <w:bCs w:val="0"/>
                <w:color w:val="auto"/>
                <w:kern w:val="2"/>
                <w:sz w:val="22"/>
                <w:szCs w:val="22"/>
                <w:highlight w:val="none"/>
                <w:lang w:val="en-US" w:eastAsia="zh-CN" w:bidi="ar-SA"/>
              </w:rPr>
              <w:t>2、</w:t>
            </w:r>
            <w:r>
              <w:rPr>
                <w:rFonts w:hint="eastAsia" w:ascii="宋体" w:hAnsi="宋体" w:eastAsia="宋体" w:cs="Times New Roman"/>
                <w:bCs w:val="0"/>
                <w:color w:val="auto"/>
                <w:kern w:val="2"/>
                <w:sz w:val="22"/>
                <w:szCs w:val="22"/>
                <w:highlight w:val="none"/>
                <w:lang w:val="en-US" w:eastAsia="zh-CN" w:bidi="ar-SA"/>
              </w:rPr>
              <w:t>总赛道不少于10条。（至少包括水域逃生、划船挑战赛、双人协作赛艇、海岛环岛赛艇、红色教育系列赛道等）</w:t>
            </w:r>
            <w:r>
              <w:rPr>
                <w:rFonts w:hint="eastAsia" w:ascii="宋体" w:hAnsi="宋体" w:cs="Times New Roman"/>
                <w:bCs w:val="0"/>
                <w:color w:val="auto"/>
                <w:kern w:val="2"/>
                <w:sz w:val="22"/>
                <w:szCs w:val="22"/>
                <w:highlight w:val="none"/>
                <w:lang w:val="en-US" w:eastAsia="zh-CN" w:bidi="ar-SA"/>
              </w:rPr>
              <w:t>；</w:t>
            </w:r>
          </w:p>
          <w:p w14:paraId="0EE946DC">
            <w:pPr>
              <w:keepNext w:val="0"/>
              <w:keepLines w:val="0"/>
              <w:pageBreakBefore w:val="0"/>
              <w:numPr>
                <w:ilvl w:val="0"/>
                <w:numId w:val="0"/>
              </w:numPr>
              <w:kinsoku/>
              <w:wordWrap/>
              <w:overflowPunct/>
              <w:topLinePunct w:val="0"/>
              <w:autoSpaceDE/>
              <w:autoSpaceDN/>
              <w:bidi w:val="0"/>
              <w:snapToGrid/>
              <w:spacing w:line="400" w:lineRule="exact"/>
              <w:rPr>
                <w:rFonts w:hint="eastAsia" w:ascii="宋体" w:hAnsi="宋体" w:cs="Times New Roman"/>
                <w:bCs w:val="0"/>
                <w:color w:val="auto"/>
                <w:kern w:val="2"/>
                <w:sz w:val="22"/>
                <w:szCs w:val="22"/>
                <w:highlight w:val="none"/>
                <w:lang w:val="en-US" w:eastAsia="zh-CN" w:bidi="ar-SA"/>
              </w:rPr>
            </w:pPr>
            <w:r>
              <w:rPr>
                <w:rFonts w:hint="eastAsia" w:ascii="宋体" w:hAnsi="宋体" w:cs="Times New Roman"/>
                <w:bCs w:val="0"/>
                <w:color w:val="auto"/>
                <w:kern w:val="2"/>
                <w:sz w:val="22"/>
                <w:szCs w:val="22"/>
                <w:highlight w:val="none"/>
                <w:lang w:val="en-US" w:eastAsia="zh-CN" w:bidi="ar-SA"/>
              </w:rPr>
              <w:t>3、支持双人协力模式、支持多人接力模式等；</w:t>
            </w:r>
          </w:p>
          <w:p w14:paraId="2B7BC98D">
            <w:pPr>
              <w:keepNext w:val="0"/>
              <w:keepLines w:val="0"/>
              <w:pageBreakBefore w:val="0"/>
              <w:numPr>
                <w:ilvl w:val="0"/>
                <w:numId w:val="0"/>
              </w:numPr>
              <w:kinsoku/>
              <w:wordWrap/>
              <w:overflowPunct/>
              <w:topLinePunct w:val="0"/>
              <w:autoSpaceDE/>
              <w:autoSpaceDN/>
              <w:bidi w:val="0"/>
              <w:snapToGrid/>
              <w:spacing w:line="400" w:lineRule="exact"/>
              <w:rPr>
                <w:rFonts w:hint="eastAsia" w:ascii="宋体" w:hAnsi="宋体" w:cs="Times New Roman"/>
                <w:bCs w:val="0"/>
                <w:color w:val="auto"/>
                <w:kern w:val="2"/>
                <w:sz w:val="22"/>
                <w:szCs w:val="22"/>
                <w:highlight w:val="none"/>
                <w:lang w:val="en-US" w:eastAsia="zh-CN" w:bidi="ar-SA"/>
              </w:rPr>
            </w:pPr>
            <w:r>
              <w:rPr>
                <w:rFonts w:hint="eastAsia" w:ascii="宋体" w:hAnsi="宋体" w:cs="Times New Roman"/>
                <w:bCs w:val="0"/>
                <w:color w:val="auto"/>
                <w:kern w:val="2"/>
                <w:sz w:val="22"/>
                <w:szCs w:val="22"/>
                <w:highlight w:val="none"/>
                <w:lang w:val="en-US" w:eastAsia="zh-CN" w:bidi="ar-SA"/>
              </w:rPr>
              <w:t>4、系统管理：对智慧划船机系统进行管理维护；</w:t>
            </w:r>
          </w:p>
          <w:p w14:paraId="531B7081">
            <w:pPr>
              <w:keepNext w:val="0"/>
              <w:keepLines w:val="0"/>
              <w:pageBreakBefore w:val="0"/>
              <w:numPr>
                <w:ilvl w:val="0"/>
                <w:numId w:val="0"/>
              </w:numPr>
              <w:kinsoku/>
              <w:wordWrap/>
              <w:overflowPunct/>
              <w:topLinePunct w:val="0"/>
              <w:autoSpaceDE/>
              <w:autoSpaceDN/>
              <w:bidi w:val="0"/>
              <w:snapToGrid/>
              <w:spacing w:line="400" w:lineRule="exact"/>
              <w:ind w:left="220" w:hanging="220" w:hangingChars="100"/>
              <w:rPr>
                <w:rFonts w:hint="default" w:ascii="宋体" w:hAnsi="宋体" w:cs="Times New Roman"/>
                <w:bCs w:val="0"/>
                <w:color w:val="auto"/>
                <w:kern w:val="2"/>
                <w:sz w:val="22"/>
                <w:szCs w:val="22"/>
                <w:highlight w:val="none"/>
                <w:lang w:val="en-US" w:eastAsia="zh-CN" w:bidi="ar-SA"/>
              </w:rPr>
            </w:pPr>
            <w:r>
              <w:rPr>
                <w:rFonts w:hint="eastAsia" w:ascii="宋体" w:hAnsi="宋体" w:cs="Times New Roman"/>
                <w:bCs w:val="0"/>
                <w:color w:val="auto"/>
                <w:kern w:val="2"/>
                <w:sz w:val="22"/>
                <w:szCs w:val="22"/>
                <w:highlight w:val="none"/>
                <w:lang w:val="en-US" w:eastAsia="zh-CN" w:bidi="ar-SA"/>
              </w:rPr>
              <w:t>5、用户管理:针对超级管理员、教师、学生等不同用户角色授权，并可以维护用户的新增、修改、停用、删除等。</w:t>
            </w:r>
          </w:p>
        </w:tc>
        <w:tc>
          <w:tcPr>
            <w:tcW w:w="1189" w:type="dxa"/>
            <w:noWrap w:val="0"/>
            <w:vAlign w:val="center"/>
          </w:tcPr>
          <w:p w14:paraId="5C2D4BED">
            <w:pPr>
              <w:keepNext w:val="0"/>
              <w:keepLines w:val="0"/>
              <w:pageBreakBefore w:val="0"/>
              <w:kinsoku/>
              <w:wordWrap/>
              <w:overflowPunct/>
              <w:topLinePunct w:val="0"/>
              <w:autoSpaceDE/>
              <w:autoSpaceDN/>
              <w:bidi w:val="0"/>
              <w:snapToGrid/>
              <w:spacing w:line="400" w:lineRule="exact"/>
              <w:jc w:val="center"/>
              <w:rPr>
                <w:rFonts w:hint="eastAsia" w:ascii="宋体" w:hAnsi="宋体"/>
                <w:color w:val="auto"/>
                <w:sz w:val="22"/>
                <w:szCs w:val="22"/>
                <w:highlight w:val="none"/>
              </w:rPr>
            </w:pPr>
            <w:r>
              <w:rPr>
                <w:rFonts w:hint="eastAsia" w:ascii="宋体" w:hAnsi="宋体" w:eastAsia="宋体" w:cs="宋体"/>
                <w:color w:val="auto"/>
                <w:kern w:val="0"/>
                <w:sz w:val="22"/>
                <w:szCs w:val="22"/>
                <w:highlight w:val="none"/>
                <w:lang w:val="en-US" w:eastAsia="zh-CN" w:bidi="ar-SA"/>
              </w:rPr>
              <w:t>0～</w:t>
            </w:r>
            <w:r>
              <w:rPr>
                <w:rFonts w:hint="eastAsia" w:ascii="宋体" w:hAnsi="宋体" w:cs="宋体"/>
                <w:color w:val="auto"/>
                <w:kern w:val="0"/>
                <w:sz w:val="22"/>
                <w:szCs w:val="22"/>
                <w:highlight w:val="none"/>
                <w:lang w:val="en-US" w:eastAsia="zh-CN" w:bidi="ar-SA"/>
              </w:rPr>
              <w:t>10</w:t>
            </w:r>
            <w:r>
              <w:rPr>
                <w:rFonts w:hint="eastAsia" w:ascii="宋体" w:hAnsi="宋体" w:eastAsia="宋体" w:cs="宋体"/>
                <w:color w:val="auto"/>
                <w:kern w:val="0"/>
                <w:sz w:val="22"/>
                <w:szCs w:val="22"/>
                <w:highlight w:val="none"/>
                <w:lang w:val="en-US" w:eastAsia="zh-CN" w:bidi="ar-SA"/>
              </w:rPr>
              <w:t>分</w:t>
            </w:r>
          </w:p>
        </w:tc>
      </w:tr>
    </w:tbl>
    <w:p w14:paraId="095E387C">
      <w:pPr>
        <w:spacing w:line="360" w:lineRule="auto"/>
        <w:jc w:val="center"/>
        <w:rPr>
          <w:rFonts w:hint="eastAsia" w:ascii="宋体" w:hAnsi="宋体"/>
          <w:b/>
          <w:color w:val="auto"/>
          <w:sz w:val="36"/>
          <w:szCs w:val="36"/>
          <w:highlight w:val="none"/>
        </w:rPr>
      </w:pPr>
    </w:p>
    <w:p w14:paraId="5DCA03BB">
      <w:pPr>
        <w:spacing w:line="360" w:lineRule="auto"/>
        <w:jc w:val="center"/>
        <w:rPr>
          <w:rFonts w:hint="eastAsia" w:ascii="宋体" w:hAnsi="宋体"/>
          <w:b/>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72624BB">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第四章 项目需求</w:t>
      </w:r>
    </w:p>
    <w:p w14:paraId="68A38E40">
      <w:pPr>
        <w:pStyle w:val="21"/>
        <w:rPr>
          <w:rFonts w:hint="eastAsia" w:eastAsia="宋体"/>
          <w:color w:val="auto"/>
          <w:lang w:eastAsia="zh-CN"/>
        </w:rPr>
      </w:pPr>
      <w:r>
        <w:rPr>
          <w:rFonts w:hint="eastAsia"/>
          <w:color w:val="auto"/>
          <w:lang w:eastAsia="zh-CN"/>
        </w:rPr>
        <w:t>一、</w:t>
      </w:r>
      <w:r>
        <w:rPr>
          <w:rFonts w:hint="eastAsia"/>
          <w:b/>
          <w:bCs/>
          <w:color w:val="auto"/>
          <w:lang w:val="en-US" w:eastAsia="zh-CN"/>
        </w:rPr>
        <w:t>技术参数要求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080"/>
        <w:gridCol w:w="8560"/>
        <w:gridCol w:w="750"/>
        <w:gridCol w:w="740"/>
        <w:gridCol w:w="1282"/>
      </w:tblGrid>
      <w:tr w14:paraId="59AC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2" w:type="dxa"/>
            <w:vAlign w:val="center"/>
          </w:tcPr>
          <w:p w14:paraId="2A058B3B">
            <w:pPr>
              <w:keepNext w:val="0"/>
              <w:keepLines w:val="0"/>
              <w:widowControl/>
              <w:suppressLineNumbers w:val="0"/>
              <w:jc w:val="center"/>
              <w:textAlignment w:val="top"/>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序号</w:t>
            </w:r>
          </w:p>
        </w:tc>
        <w:tc>
          <w:tcPr>
            <w:tcW w:w="2080" w:type="dxa"/>
            <w:vAlign w:val="center"/>
          </w:tcPr>
          <w:p w14:paraId="589A32F3">
            <w:pPr>
              <w:keepNext w:val="0"/>
              <w:keepLines w:val="0"/>
              <w:widowControl/>
              <w:suppressLineNumbers w:val="0"/>
              <w:jc w:val="center"/>
              <w:textAlignment w:val="top"/>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产品名称</w:t>
            </w:r>
          </w:p>
        </w:tc>
        <w:tc>
          <w:tcPr>
            <w:tcW w:w="8560" w:type="dxa"/>
            <w:vAlign w:val="center"/>
          </w:tcPr>
          <w:p w14:paraId="63981877">
            <w:pPr>
              <w:keepNext w:val="0"/>
              <w:keepLines w:val="0"/>
              <w:widowControl/>
              <w:suppressLineNumbers w:val="0"/>
              <w:jc w:val="center"/>
              <w:textAlignment w:val="top"/>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技术参数</w:t>
            </w:r>
          </w:p>
        </w:tc>
        <w:tc>
          <w:tcPr>
            <w:tcW w:w="750" w:type="dxa"/>
            <w:vAlign w:val="center"/>
          </w:tcPr>
          <w:p w14:paraId="308C1AEE">
            <w:pPr>
              <w:keepNext w:val="0"/>
              <w:keepLines w:val="0"/>
              <w:widowControl/>
              <w:suppressLineNumbers w:val="0"/>
              <w:jc w:val="center"/>
              <w:textAlignment w:val="top"/>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单位</w:t>
            </w:r>
          </w:p>
        </w:tc>
        <w:tc>
          <w:tcPr>
            <w:tcW w:w="740" w:type="dxa"/>
            <w:vAlign w:val="center"/>
          </w:tcPr>
          <w:p w14:paraId="11F9CC11">
            <w:pPr>
              <w:keepNext w:val="0"/>
              <w:keepLines w:val="0"/>
              <w:widowControl/>
              <w:suppressLineNumbers w:val="0"/>
              <w:jc w:val="center"/>
              <w:textAlignment w:val="top"/>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数量</w:t>
            </w:r>
          </w:p>
        </w:tc>
        <w:tc>
          <w:tcPr>
            <w:tcW w:w="1282" w:type="dxa"/>
            <w:vAlign w:val="center"/>
          </w:tcPr>
          <w:p w14:paraId="715E7F5A">
            <w:pPr>
              <w:keepNext w:val="0"/>
              <w:keepLines w:val="0"/>
              <w:widowControl/>
              <w:suppressLineNumbers w:val="0"/>
              <w:jc w:val="center"/>
              <w:textAlignment w:val="top"/>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备注</w:t>
            </w:r>
          </w:p>
        </w:tc>
      </w:tr>
      <w:tr w14:paraId="3FC4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792012A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2080" w:type="dxa"/>
            <w:vAlign w:val="center"/>
          </w:tcPr>
          <w:p w14:paraId="64592FDE">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智慧划船机系统</w:t>
            </w:r>
          </w:p>
        </w:tc>
        <w:tc>
          <w:tcPr>
            <w:tcW w:w="8560" w:type="dxa"/>
            <w:vAlign w:val="top"/>
          </w:tcPr>
          <w:p w14:paraId="6EDFBADF">
            <w:pPr>
              <w:keepNext w:val="0"/>
              <w:keepLines w:val="0"/>
              <w:widowControl/>
              <w:suppressLineNumbers w:val="0"/>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（一）智慧划船机硬件: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1.最大承重不低于220公斤。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2.主要配件:两段分体式船架(主体)、风阻轮、链条、手柄、表头等。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★3.阻力系统:可调阻力不低于10 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4.用电方式:外部供电。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5.WiFi连接:支持 WiFi和网线通信。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6.数据接口:可通过网络输出划行速度。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★（二）智慧划船机软件:总赛道不少于10条。（至少包括水域逃生、划船挑战赛、双人协作赛艇、海岛环岛赛艇、红色教育系列赛道等）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（三）智慧划船机系统功能: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1.支持单人训练模式。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★2.支持双人协力模式。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3.支持多人竞技模式。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★4.支持多人接力模式。                                               ★需提供市级及以上权威检测机构出具的产品《检测报告》复印件，报告中须明确体现“★”参数功能。</w:t>
            </w:r>
          </w:p>
        </w:tc>
        <w:tc>
          <w:tcPr>
            <w:tcW w:w="750" w:type="dxa"/>
            <w:vAlign w:val="center"/>
          </w:tcPr>
          <w:p w14:paraId="679EFE5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740" w:type="dxa"/>
            <w:vAlign w:val="center"/>
          </w:tcPr>
          <w:p w14:paraId="692EF6C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282" w:type="dxa"/>
            <w:vMerge w:val="restart"/>
          </w:tcPr>
          <w:p w14:paraId="5B04390A">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p>
          <w:p w14:paraId="677A462C">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p>
          <w:p w14:paraId="31C32371">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p>
          <w:p w14:paraId="44761453">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p>
          <w:p w14:paraId="1C502880">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p>
          <w:p w14:paraId="4473B680">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p>
          <w:p w14:paraId="59B3A6B7">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p>
          <w:p w14:paraId="54DA40A8">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w:t>
            </w:r>
          </w:p>
          <w:p w14:paraId="366ADD04">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慧</w:t>
            </w:r>
          </w:p>
          <w:p w14:paraId="37AAC660">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体</w:t>
            </w:r>
          </w:p>
          <w:p w14:paraId="42A91232">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育</w:t>
            </w:r>
          </w:p>
          <w:p w14:paraId="1034600B">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w:t>
            </w:r>
          </w:p>
          <w:p w14:paraId="72F1C2EE">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施</w:t>
            </w:r>
          </w:p>
          <w:p w14:paraId="14A4EAFA">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w:t>
            </w:r>
          </w:p>
          <w:p w14:paraId="280D97F7">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w:t>
            </w:r>
          </w:p>
        </w:tc>
      </w:tr>
      <w:tr w14:paraId="7141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02B3DB3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2080" w:type="dxa"/>
            <w:vAlign w:val="center"/>
          </w:tcPr>
          <w:p w14:paraId="4FE25BD5">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智慧运动健康管理平台</w:t>
            </w:r>
          </w:p>
        </w:tc>
        <w:tc>
          <w:tcPr>
            <w:tcW w:w="8560" w:type="dxa"/>
            <w:vAlign w:val="top"/>
          </w:tcPr>
          <w:p w14:paraId="3E2BC142">
            <w:pPr>
              <w:keepNext w:val="0"/>
              <w:keepLines w:val="0"/>
              <w:widowControl/>
              <w:suppressLineNumbers w:val="0"/>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（一）系统要求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1.支持 BLE 传感器接入。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 Wifi 2.4G/5G 传感器接入。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 RFID 13.56 MHz 的（如校园卡、门禁卡等）身份识别及绑定。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4.B/S 架构 系统数据安全保障。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5.在服务器上使用 RAID1技术,通过硬件保障数据安全。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6.通过操作系统调度周期性任务方式，定期保存数据文件。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7.通过使用SALT对关键加密，以密文方式存储在数据库中。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8.平台内部本地物联网设计及建设。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（二）系统功能：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1.设备/传感器管理:对智慧划船机系统上的传感器进行管理维护。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2.传感器数据采集：采集智慧划船机系统上的传感器数据。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3.运动结果数据采集：采集智慧划船机系统的运动结果数据。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4.数据关联：通过 RFID 识别学生身份保存其运动结果数据。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★5.系统管理：对智慧划船机系统进行管理维护。（需提供上述功能软件界面截图）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★6.用户管理:针对超级管理员、教师、学生等不同用户角色授权，并可以维护用户的新增、修改、停用、删除等。（需提供上述功能软件界面截图）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7.设备使用情况分析：能够分析各个系统的使用时长、开机时长等数据。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8.用户使用情况分析：能够分析用户使用设备的记录及运动结果记录（心率、热量等）。</w:t>
            </w:r>
          </w:p>
        </w:tc>
        <w:tc>
          <w:tcPr>
            <w:tcW w:w="750" w:type="dxa"/>
            <w:vAlign w:val="center"/>
          </w:tcPr>
          <w:p w14:paraId="1809C39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740" w:type="dxa"/>
            <w:vAlign w:val="center"/>
          </w:tcPr>
          <w:p w14:paraId="6459D1E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2" w:type="dxa"/>
            <w:vMerge w:val="continue"/>
          </w:tcPr>
          <w:p w14:paraId="390D73FA">
            <w:pPr>
              <w:keepNext w:val="0"/>
              <w:keepLines w:val="0"/>
              <w:widowControl/>
              <w:suppressLineNumbers w:val="0"/>
              <w:jc w:val="left"/>
              <w:textAlignment w:val="top"/>
              <w:rPr>
                <w:rFonts w:hint="default" w:ascii="宋体" w:hAnsi="宋体" w:eastAsia="宋体" w:cs="宋体"/>
                <w:i w:val="0"/>
                <w:iCs w:val="0"/>
                <w:color w:val="auto"/>
                <w:kern w:val="0"/>
                <w:sz w:val="24"/>
                <w:szCs w:val="24"/>
                <w:u w:val="none"/>
                <w:lang w:val="en-US" w:eastAsia="zh-CN" w:bidi="ar"/>
              </w:rPr>
            </w:pPr>
          </w:p>
        </w:tc>
      </w:tr>
      <w:tr w14:paraId="261B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30EE0BA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2080" w:type="dxa"/>
            <w:vAlign w:val="center"/>
          </w:tcPr>
          <w:p w14:paraId="00627C24">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智慧心率带</w:t>
            </w:r>
          </w:p>
        </w:tc>
        <w:tc>
          <w:tcPr>
            <w:tcW w:w="8560" w:type="dxa"/>
            <w:vAlign w:val="top"/>
          </w:tcPr>
          <w:p w14:paraId="6EF713DA">
            <w:pPr>
              <w:keepNext w:val="0"/>
              <w:keepLines w:val="0"/>
              <w:widowControl/>
              <w:suppressLineNumbers w:val="0"/>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1.智能心率带是一款心率臂带，用于监测心率、步数以及步频等数据，通过PPG获取心率数据，能稳定精准的与VR智能运动设备对接。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★2.产品有多色灯与震动提醒功能，多色灯显示不同颜色来表示不同的心率区间，心率值超出预警时会发出震动提醒。（需提供上述功能截图资料）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★3.产品通过ANT+和蓝牙传送数据到微信小程序，方便用户及时了解自己的训练状态。（需提供上述功能软件界面截图）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4.通过智能心率小程序实现运动处方生成等功能。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5.IP67级国际标准，在运动中有效防止雨水和汗水渗透到主机内部，保护主机增加产品使用寿命。</w:t>
            </w:r>
          </w:p>
        </w:tc>
        <w:tc>
          <w:tcPr>
            <w:tcW w:w="750" w:type="dxa"/>
            <w:vAlign w:val="center"/>
          </w:tcPr>
          <w:p w14:paraId="762289C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740" w:type="dxa"/>
            <w:vAlign w:val="center"/>
          </w:tcPr>
          <w:p w14:paraId="79FA9F73">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282" w:type="dxa"/>
            <w:vMerge w:val="continue"/>
          </w:tcPr>
          <w:p w14:paraId="5137E42B">
            <w:pPr>
              <w:keepNext w:val="0"/>
              <w:keepLines w:val="0"/>
              <w:widowControl/>
              <w:suppressLineNumbers w:val="0"/>
              <w:jc w:val="left"/>
              <w:textAlignment w:val="top"/>
              <w:rPr>
                <w:rFonts w:hint="default" w:ascii="宋体" w:hAnsi="宋体" w:eastAsia="宋体" w:cs="宋体"/>
                <w:i w:val="0"/>
                <w:iCs w:val="0"/>
                <w:color w:val="auto"/>
                <w:kern w:val="0"/>
                <w:sz w:val="24"/>
                <w:szCs w:val="24"/>
                <w:u w:val="none"/>
                <w:lang w:val="en-US" w:eastAsia="zh-CN" w:bidi="ar"/>
              </w:rPr>
            </w:pPr>
          </w:p>
        </w:tc>
      </w:tr>
      <w:tr w14:paraId="30F6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0E6CCFC8">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2080" w:type="dxa"/>
            <w:vAlign w:val="center"/>
          </w:tcPr>
          <w:p w14:paraId="77A581A8">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组合滑梯（定制）</w:t>
            </w:r>
          </w:p>
        </w:tc>
        <w:tc>
          <w:tcPr>
            <w:tcW w:w="8560" w:type="dxa"/>
            <w:vAlign w:val="center"/>
          </w:tcPr>
          <w:p w14:paraId="2CD6A83A">
            <w:pPr>
              <w:keepNext w:val="0"/>
              <w:keepLines w:val="0"/>
              <w:widowControl/>
              <w:numPr>
                <w:ilvl w:val="0"/>
                <w:numId w:val="5"/>
              </w:numPr>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金属类：立柱采用Φ114*2.5mm，附件采用Φ60*2.0mm、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Φ48*2.0mm、40*40*2.0mm、Φ38*2.0mm与Φ32*2.0mm等Q235镀锌管焊接成型。造型板为Q235镀锌板加工焊接成型（厚度3.0mm）。部分护网为网孔45*45mm铁丝网。表面经打磨喷砂后采用静电喷涂烤漆（阿克苏环保塑粉）。                                                                                                                             2.塑料类：采用LLDPE高强度工程塑粉经滚塑成型,部分装饰板为HDPE板（厚度15mm\19mm）。平台为塑木材质（厚度25mm)。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3.绳网：Φ16mm海缆绳(内含6股钢丝）、Φ14mm海缆绳(内含1股钢丝）。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4.配件：304不锈钢螺丝，连接扣用锌铝合金经压铸成型 。                                                                                            5.整套设备安全环保、耐候性好、不易老化、不易褪色、不易生锈。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★6.组合滑梯根据采购方需求定制，需提供户外大型攀爬玩具检测报告：具有符合GB/T 27689-2011《无动力类游乐设施 儿童滑梯》、GB/T34272-2017《小型游乐设施 安全规范》标准，且检验报告中需有基本参数、通道、站台、扶手、护栏和围栏、承载性能能、外观和涂装等检测项目的检测报告。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★7.提供镀锌管检测报告：具有符合GB6675.4-2014《玩具安全 第4部分：特定元素的迁移》、GB/T230.1-2018《金属材料洛氏硬度试验第1部分:试验方法》、GB/T4340.1-2024《金属材料维氏硬度试验第1部分;试验方法》、GB/T10125-2021《人造气氛腐蚀试验 盐雾试验》、GB/T6461-2002《金属基体上金属和其他无机覆盖层经腐蚀试验后的试样和试件的评级》的检测报告，内容含洛氏硬度、维氏硬度、中性盐雾试验48小时、迁移元素八大金属锑、砷、钡、镉、铬、铅、汞、硒含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★8.提供塑料粒子、塑料色粉、塑料色母检验报告：具有符合GB 6675.1-2014 《玩具安全 第1部分：基本规范》 、GB 6675.4-2014《玩具安全 第4部分：特定元素的迁移》标准，且检验报告中需有增塑剂（DBP、BBP、DEHP、DNOP、DINP、DIDP）含量的合格检测；可迁移元素八大重金属含量的合格检测检验报告。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★9.提供塑料件检测报告：符合GB/T1040.2-2022、GB/T 9341-2008、GB/T 1043.1-2008、GB/T 2411-2008、GB/T 1634.2-2019、GB/T 1033.1-2008、GB/T 16422.2-2022、GB/T 3682.1-2018标准要求，且塑料件的拉伸强度、断裂伸长率、弯曲强度、冲击强度、邵氏硬度、热变形温度、密度、光老化、熔体质量流动速率，所有项目判断均为符合。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★10.提供海缆绳检测报告：符合GB/T 8358-2023《钢丝绳 破断拉力测定方法》，钢丝绳破断拉力≥20kN，单项判定合格。</w:t>
            </w:r>
          </w:p>
          <w:p w14:paraId="22482217">
            <w:pPr>
              <w:keepNext w:val="0"/>
              <w:keepLines w:val="0"/>
              <w:widowControl/>
              <w:numPr>
                <w:ilvl w:val="0"/>
                <w:numId w:val="6"/>
              </w:numPr>
              <w:suppressLineNumbers w:val="0"/>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尺寸：1460*610*555cm                  </w:t>
            </w:r>
          </w:p>
        </w:tc>
        <w:tc>
          <w:tcPr>
            <w:tcW w:w="750" w:type="dxa"/>
            <w:vAlign w:val="center"/>
          </w:tcPr>
          <w:p w14:paraId="293D3639">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eastAsia="zh-CN" w:bidi="ar"/>
              </w:rPr>
            </w:pPr>
            <w:r>
              <w:rPr>
                <w:rFonts w:hint="default" w:ascii="宋体" w:hAnsi="宋体" w:eastAsia="宋体" w:cs="宋体"/>
                <w:i w:val="0"/>
                <w:iCs w:val="0"/>
                <w:color w:val="auto"/>
                <w:kern w:val="0"/>
                <w:sz w:val="24"/>
                <w:szCs w:val="24"/>
                <w:u w:val="none"/>
                <w:lang w:eastAsia="zh-CN" w:bidi="ar"/>
              </w:rPr>
              <w:t>套</w:t>
            </w:r>
          </w:p>
        </w:tc>
        <w:tc>
          <w:tcPr>
            <w:tcW w:w="740" w:type="dxa"/>
            <w:vAlign w:val="center"/>
          </w:tcPr>
          <w:p w14:paraId="6F0DEB66">
            <w:pPr>
              <w:jc w:val="center"/>
              <w:rPr>
                <w:rFonts w:hint="default" w:ascii="方正仿宋_GB2312" w:hAnsi="方正仿宋_GB2312" w:eastAsia="方正仿宋_GB2312" w:cs="方正仿宋_GB2312"/>
                <w:i w:val="0"/>
                <w:iCs w:val="0"/>
                <w:caps w:val="0"/>
                <w:color w:val="auto"/>
                <w:spacing w:val="0"/>
                <w:sz w:val="28"/>
                <w:szCs w:val="28"/>
                <w:vertAlign w:val="baseline"/>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282" w:type="dxa"/>
            <w:vMerge w:val="restart"/>
          </w:tcPr>
          <w:p w14:paraId="0E095CB3">
            <w:pPr>
              <w:jc w:val="center"/>
              <w:rPr>
                <w:rFonts w:hint="eastAsia" w:ascii="方正仿宋_GB2312" w:hAnsi="方正仿宋_GB2312" w:eastAsia="方正仿宋_GB2312" w:cs="方正仿宋_GB2312"/>
                <w:i w:val="0"/>
                <w:iCs w:val="0"/>
                <w:caps w:val="0"/>
                <w:color w:val="auto"/>
                <w:spacing w:val="0"/>
                <w:sz w:val="28"/>
                <w:szCs w:val="28"/>
                <w:vertAlign w:val="baseline"/>
                <w:lang w:val="en-US" w:eastAsia="zh-CN"/>
              </w:rPr>
            </w:pPr>
          </w:p>
          <w:p w14:paraId="1F4801B4">
            <w:pPr>
              <w:jc w:val="center"/>
              <w:rPr>
                <w:rFonts w:hint="eastAsia" w:ascii="方正仿宋_GB2312" w:hAnsi="方正仿宋_GB2312" w:eastAsia="方正仿宋_GB2312" w:cs="方正仿宋_GB2312"/>
                <w:i w:val="0"/>
                <w:iCs w:val="0"/>
                <w:caps w:val="0"/>
                <w:color w:val="auto"/>
                <w:spacing w:val="0"/>
                <w:sz w:val="28"/>
                <w:szCs w:val="28"/>
                <w:vertAlign w:val="baseline"/>
                <w:lang w:val="en-US" w:eastAsia="zh-CN"/>
              </w:rPr>
            </w:pPr>
          </w:p>
          <w:p w14:paraId="22C00347">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14:paraId="18EDDABD">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14:paraId="094B3644">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14:paraId="611D0D02">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14:paraId="4C860B8C">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14:paraId="1E8F06F4">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14:paraId="6866C676">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14:paraId="64023191">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14:paraId="2ECA2E7A">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户</w:t>
            </w:r>
          </w:p>
          <w:p w14:paraId="571CB701">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外</w:t>
            </w:r>
          </w:p>
          <w:p w14:paraId="73802643">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感</w:t>
            </w:r>
          </w:p>
          <w:p w14:paraId="0CF64D89">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统</w:t>
            </w:r>
          </w:p>
          <w:p w14:paraId="3D2AEADD">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w:t>
            </w:r>
          </w:p>
          <w:p w14:paraId="468C4E37">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施</w:t>
            </w:r>
          </w:p>
          <w:p w14:paraId="406480B1">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设</w:t>
            </w:r>
          </w:p>
          <w:p w14:paraId="4367F24C">
            <w:pPr>
              <w:keepNext w:val="0"/>
              <w:keepLines w:val="0"/>
              <w:widowControl/>
              <w:suppressLineNumbers w:val="0"/>
              <w:jc w:val="center"/>
              <w:textAlignment w:val="top"/>
              <w:rPr>
                <w:rFonts w:hint="default" w:ascii="方正仿宋_GB2312" w:hAnsi="方正仿宋_GB2312" w:eastAsia="方正仿宋_GB2312" w:cs="方正仿宋_GB2312"/>
                <w:i w:val="0"/>
                <w:iCs w:val="0"/>
                <w:caps w:val="0"/>
                <w:color w:val="auto"/>
                <w:spacing w:val="0"/>
                <w:sz w:val="28"/>
                <w:szCs w:val="28"/>
                <w:vertAlign w:val="baseline"/>
                <w:lang w:val="en-US" w:eastAsia="zh-CN"/>
              </w:rPr>
            </w:pPr>
            <w:r>
              <w:rPr>
                <w:rFonts w:hint="eastAsia" w:ascii="宋体" w:hAnsi="宋体" w:eastAsia="宋体" w:cs="宋体"/>
                <w:i w:val="0"/>
                <w:iCs w:val="0"/>
                <w:color w:val="auto"/>
                <w:kern w:val="0"/>
                <w:sz w:val="24"/>
                <w:szCs w:val="24"/>
                <w:u w:val="none"/>
                <w:lang w:val="en-US" w:eastAsia="zh-CN" w:bidi="ar"/>
              </w:rPr>
              <w:t>备</w:t>
            </w:r>
          </w:p>
        </w:tc>
      </w:tr>
      <w:tr w14:paraId="3C9D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14:paraId="62F6C3F5">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2080" w:type="dxa"/>
            <w:vAlign w:val="center"/>
          </w:tcPr>
          <w:p w14:paraId="10C59CBD">
            <w:pPr>
              <w:keepNext w:val="0"/>
              <w:keepLines w:val="0"/>
              <w:widowControl/>
              <w:suppressLineNumbers w:val="0"/>
              <w:jc w:val="center"/>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定制座椅</w:t>
            </w:r>
          </w:p>
        </w:tc>
        <w:tc>
          <w:tcPr>
            <w:tcW w:w="8560" w:type="dxa"/>
            <w:vAlign w:val="center"/>
          </w:tcPr>
          <w:p w14:paraId="16C41C33">
            <w:pPr>
              <w:keepNext w:val="0"/>
              <w:keepLines w:val="0"/>
              <w:widowControl/>
              <w:numPr>
                <w:ilvl w:val="0"/>
                <w:numId w:val="7"/>
              </w:numPr>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材质：镀锌管立柱、扶手+PE板坐面。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★2.提供PE检测报告：具有符合GB6675.1-2014《玩具安全 第1部分：基本规范》、GB6675.4-2014《玩具安全 第4部分：特定元素的迁移》标准要求，且检验报告中需有可溶性重金属汞、砷、硒、钡、铅、铬、锑、镉含量，邻苯二甲酸二正丁酯（DBP）、邻苯二甲酸丁基苄基酯（BBP）、邻苯二甲酸二（2-乙基己基）酯（DEHP）、邻苯二甲酸二正辛酯（DNOP）、邻苯二甲酸二异壬酯（DINP）、邻苯二甲酸二异癸酯（DIDP）等检测项目的检测报告。</w:t>
            </w:r>
          </w:p>
          <w:p w14:paraId="3471BE47">
            <w:pPr>
              <w:keepNext w:val="0"/>
              <w:keepLines w:val="0"/>
              <w:widowControl/>
              <w:numPr>
                <w:ilvl w:val="0"/>
                <w:numId w:val="0"/>
              </w:numPr>
              <w:suppressLineNumbers w:val="0"/>
              <w:ind w:left="0" w:leftChars="0" w:firstLine="0" w:firstLineChars="0"/>
              <w:jc w:val="left"/>
              <w:textAlignment w:val="top"/>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3.尺寸：200*100*70cm</w:t>
            </w:r>
          </w:p>
        </w:tc>
        <w:tc>
          <w:tcPr>
            <w:tcW w:w="750" w:type="dxa"/>
            <w:vAlign w:val="center"/>
          </w:tcPr>
          <w:p w14:paraId="49A0F6D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740" w:type="dxa"/>
            <w:vAlign w:val="center"/>
          </w:tcPr>
          <w:p w14:paraId="13E5861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282" w:type="dxa"/>
            <w:vMerge w:val="continue"/>
          </w:tcPr>
          <w:p w14:paraId="01085558">
            <w:pPr>
              <w:jc w:val="center"/>
              <w:rPr>
                <w:rFonts w:hint="default" w:ascii="方正仿宋_GB2312" w:hAnsi="方正仿宋_GB2312" w:eastAsia="方正仿宋_GB2312" w:cs="方正仿宋_GB2312"/>
                <w:i w:val="0"/>
                <w:iCs w:val="0"/>
                <w:caps w:val="0"/>
                <w:color w:val="auto"/>
                <w:spacing w:val="0"/>
                <w:sz w:val="28"/>
                <w:szCs w:val="28"/>
                <w:vertAlign w:val="baseline"/>
                <w:lang w:val="en-US" w:eastAsia="zh-CN"/>
              </w:rPr>
            </w:pPr>
          </w:p>
        </w:tc>
      </w:tr>
    </w:tbl>
    <w:p w14:paraId="0DEADE13">
      <w:pPr>
        <w:pStyle w:val="21"/>
        <w:rPr>
          <w:rFonts w:hint="eastAsia" w:ascii="宋体" w:hAnsi="宋体" w:eastAsia="宋体" w:cs="宋体"/>
          <w:b/>
          <w:color w:val="auto"/>
          <w:kern w:val="1"/>
          <w:sz w:val="24"/>
          <w:szCs w:val="22"/>
          <w:shd w:val="clear" w:color="auto" w:fill="auto"/>
          <w:lang w:eastAsia="zh-CN"/>
        </w:rPr>
      </w:pPr>
    </w:p>
    <w:p w14:paraId="06F5D1A5">
      <w:pPr>
        <w:pStyle w:val="21"/>
        <w:rPr>
          <w:rFonts w:hint="eastAsia" w:eastAsia="宋体" w:cs="Times New Roman"/>
          <w:b/>
          <w:bCs/>
          <w:color w:val="auto"/>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bookmarkStart w:id="0" w:name="_Toc7082"/>
      <w:bookmarkStart w:id="1" w:name="_Toc498595155"/>
    </w:p>
    <w:p w14:paraId="3A892924">
      <w:pPr>
        <w:pStyle w:val="21"/>
        <w:rPr>
          <w:rFonts w:hint="eastAsia" w:eastAsia="宋体" w:cs="Times New Roman"/>
          <w:b/>
          <w:bCs/>
          <w:color w:val="auto"/>
          <w:lang w:eastAsia="zh-CN"/>
        </w:rPr>
      </w:pPr>
      <w:r>
        <w:rPr>
          <w:rFonts w:hint="eastAsia" w:eastAsia="宋体" w:cs="Times New Roman"/>
          <w:b/>
          <w:bCs/>
          <w:color w:val="auto"/>
          <w:lang w:eastAsia="zh-CN"/>
        </w:rPr>
        <w:t>二、质量及价格等要求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8861"/>
      </w:tblGrid>
      <w:tr w14:paraId="5648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01" w:type="dxa"/>
            <w:noWrap w:val="0"/>
            <w:vAlign w:val="center"/>
          </w:tcPr>
          <w:p w14:paraId="78A02B18">
            <w:pPr>
              <w:pStyle w:val="11"/>
              <w:keepNext w:val="0"/>
              <w:keepLines w:val="0"/>
              <w:pageBreakBefore w:val="0"/>
              <w:widowControl w:val="0"/>
              <w:kinsoku/>
              <w:wordWrap/>
              <w:overflowPunct/>
              <w:topLinePunct w:val="0"/>
              <w:bidi w:val="0"/>
              <w:snapToGrid w:val="0"/>
              <w:spacing w:line="300" w:lineRule="exact"/>
              <w:ind w:left="0" w:leftChars="0"/>
              <w:outlineLvl w:val="0"/>
              <w:rPr>
                <w:rFonts w:hint="eastAsia" w:ascii="宋体" w:hAnsi="宋体" w:eastAsia="宋体" w:cs="宋体"/>
                <w:color w:val="auto"/>
                <w:sz w:val="21"/>
                <w:szCs w:val="21"/>
              </w:rPr>
            </w:pPr>
            <w:r>
              <w:rPr>
                <w:rFonts w:hint="eastAsia" w:ascii="宋体" w:hAnsi="宋体" w:eastAsia="宋体" w:cs="宋体"/>
                <w:color w:val="auto"/>
                <w:sz w:val="21"/>
                <w:szCs w:val="21"/>
              </w:rPr>
              <w:t>质量标准</w:t>
            </w:r>
          </w:p>
        </w:tc>
        <w:tc>
          <w:tcPr>
            <w:tcW w:w="8861" w:type="dxa"/>
            <w:noWrap w:val="0"/>
            <w:vAlign w:val="center"/>
          </w:tcPr>
          <w:p w14:paraId="7FDACC52">
            <w:pPr>
              <w:pStyle w:val="11"/>
              <w:keepNext w:val="0"/>
              <w:keepLines w:val="0"/>
              <w:pageBreakBefore w:val="0"/>
              <w:widowControl w:val="0"/>
              <w:kinsoku/>
              <w:wordWrap/>
              <w:overflowPunct/>
              <w:topLinePunct w:val="0"/>
              <w:bidi w:val="0"/>
              <w:snapToGrid w:val="0"/>
              <w:spacing w:line="300" w:lineRule="exact"/>
              <w:ind w:left="0" w:leftChars="0"/>
              <w:outlineLvl w:val="0"/>
              <w:rPr>
                <w:rFonts w:hint="eastAsia" w:ascii="宋体" w:hAnsi="宋体" w:eastAsia="宋体" w:cs="宋体"/>
                <w:color w:val="auto"/>
                <w:sz w:val="21"/>
                <w:szCs w:val="21"/>
              </w:rPr>
            </w:pPr>
            <w:r>
              <w:rPr>
                <w:rFonts w:hint="eastAsia" w:ascii="宋体" w:hAnsi="宋体" w:eastAsia="宋体" w:cs="宋体"/>
                <w:color w:val="auto"/>
                <w:sz w:val="21"/>
                <w:szCs w:val="21"/>
              </w:rPr>
              <w:t>符合国家及相关行业标准。</w:t>
            </w:r>
          </w:p>
        </w:tc>
      </w:tr>
      <w:tr w14:paraId="1C05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1601" w:type="dxa"/>
            <w:noWrap w:val="0"/>
            <w:vAlign w:val="center"/>
          </w:tcPr>
          <w:p w14:paraId="283CCD91">
            <w:pPr>
              <w:pStyle w:val="11"/>
              <w:keepNext w:val="0"/>
              <w:keepLines w:val="0"/>
              <w:pageBreakBefore w:val="0"/>
              <w:widowControl w:val="0"/>
              <w:kinsoku/>
              <w:wordWrap/>
              <w:overflowPunct/>
              <w:topLinePunct w:val="0"/>
              <w:bidi w:val="0"/>
              <w:snapToGrid w:val="0"/>
              <w:spacing w:line="300" w:lineRule="exact"/>
              <w:ind w:left="0" w:leftChars="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设备安装</w:t>
            </w:r>
          </w:p>
        </w:tc>
        <w:tc>
          <w:tcPr>
            <w:tcW w:w="8861" w:type="dxa"/>
            <w:noWrap w:val="0"/>
            <w:vAlign w:val="center"/>
          </w:tcPr>
          <w:p w14:paraId="5F1EA43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00" w:lineRule="exact"/>
              <w:ind w:left="0" w:leftChars="0" w:firstLine="0" w:firstLineChars="0"/>
              <w:jc w:val="both"/>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eastAsia="zh-CN"/>
              </w:rPr>
              <w:t>供货期</w:t>
            </w:r>
            <w:r>
              <w:rPr>
                <w:rFonts w:hint="eastAsia" w:ascii="宋体" w:hAnsi="宋体" w:eastAsia="宋体" w:cs="宋体"/>
                <w:color w:val="auto"/>
                <w:sz w:val="21"/>
                <w:szCs w:val="21"/>
              </w:rPr>
              <w:t>：</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u w:val="single"/>
              </w:rPr>
              <w:t>日历天</w:t>
            </w:r>
            <w:r>
              <w:rPr>
                <w:rFonts w:hint="eastAsia" w:ascii="宋体" w:hAnsi="宋体" w:eastAsia="宋体" w:cs="宋体"/>
                <w:color w:val="auto"/>
                <w:sz w:val="21"/>
                <w:szCs w:val="21"/>
              </w:rPr>
              <w:t>；安装标准：符合我国国家有关技术规范要求和技术标准。</w:t>
            </w:r>
          </w:p>
          <w:p w14:paraId="5A9D0B9C">
            <w:pPr>
              <w:keepNext w:val="0"/>
              <w:keepLines w:val="0"/>
              <w:pageBreakBefore w:val="0"/>
              <w:widowControl w:val="0"/>
              <w:tabs>
                <w:tab w:val="left" w:pos="360"/>
              </w:tabs>
              <w:kinsoku/>
              <w:wordWrap/>
              <w:overflowPunct/>
              <w:topLinePunct w:val="0"/>
              <w:bidi w:val="0"/>
              <w:snapToGrid w:val="0"/>
              <w:spacing w:line="300" w:lineRule="exact"/>
              <w:ind w:left="0" w:leftChars="0" w:right="105" w:rightChars="5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需按</w:t>
            </w:r>
            <w:r>
              <w:rPr>
                <w:rFonts w:hint="eastAsia" w:ascii="宋体" w:hAnsi="宋体" w:eastAsia="宋体" w:cs="宋体"/>
                <w:color w:val="auto"/>
                <w:sz w:val="21"/>
                <w:szCs w:val="21"/>
                <w:lang w:eastAsia="zh-CN"/>
              </w:rPr>
              <w:t>采购单位</w:t>
            </w:r>
            <w:r>
              <w:rPr>
                <w:rFonts w:hint="eastAsia" w:ascii="宋体" w:hAnsi="宋体" w:eastAsia="宋体" w:cs="宋体"/>
                <w:color w:val="auto"/>
                <w:sz w:val="21"/>
                <w:szCs w:val="21"/>
              </w:rPr>
              <w:t>的要求和认可负责设备安装、调试及试运行。</w:t>
            </w:r>
          </w:p>
          <w:p w14:paraId="2165C7BE">
            <w:pPr>
              <w:keepNext w:val="0"/>
              <w:keepLines w:val="0"/>
              <w:pageBreakBefore w:val="0"/>
              <w:widowControl w:val="0"/>
              <w:tabs>
                <w:tab w:val="left" w:pos="360"/>
              </w:tabs>
              <w:kinsoku/>
              <w:wordWrap/>
              <w:overflowPunct/>
              <w:topLinePunct w:val="0"/>
              <w:bidi w:val="0"/>
              <w:snapToGrid w:val="0"/>
              <w:spacing w:line="300" w:lineRule="exact"/>
              <w:ind w:left="0" w:leftChars="0" w:right="105" w:rightChars="5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对安装、调试、试运行等负责，直至验收合格，验收单位由</w:t>
            </w:r>
            <w:r>
              <w:rPr>
                <w:rFonts w:hint="eastAsia" w:ascii="宋体" w:hAnsi="宋体" w:eastAsia="宋体" w:cs="宋体"/>
                <w:color w:val="auto"/>
                <w:sz w:val="21"/>
                <w:szCs w:val="21"/>
                <w:lang w:eastAsia="zh-CN"/>
              </w:rPr>
              <w:t>采购单位</w:t>
            </w:r>
            <w:r>
              <w:rPr>
                <w:rFonts w:hint="eastAsia" w:ascii="宋体" w:hAnsi="宋体" w:eastAsia="宋体" w:cs="宋体"/>
                <w:color w:val="auto"/>
                <w:sz w:val="21"/>
                <w:szCs w:val="21"/>
              </w:rPr>
              <w:t>指定，验收费用包括在投标总价中。</w:t>
            </w:r>
          </w:p>
          <w:p w14:paraId="17E03731">
            <w:pPr>
              <w:keepNext w:val="0"/>
              <w:keepLines w:val="0"/>
              <w:pageBreakBefore w:val="0"/>
              <w:widowControl w:val="0"/>
              <w:tabs>
                <w:tab w:val="left" w:pos="360"/>
              </w:tabs>
              <w:kinsoku/>
              <w:wordWrap/>
              <w:overflowPunct/>
              <w:topLinePunct w:val="0"/>
              <w:bidi w:val="0"/>
              <w:snapToGrid w:val="0"/>
              <w:spacing w:line="300" w:lineRule="exact"/>
              <w:ind w:left="0" w:leftChars="0" w:right="105" w:rightChars="5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4、未经</w:t>
            </w:r>
            <w:r>
              <w:rPr>
                <w:rFonts w:hint="eastAsia" w:ascii="宋体" w:hAnsi="宋体" w:eastAsia="宋体" w:cs="宋体"/>
                <w:color w:val="auto"/>
                <w:sz w:val="21"/>
                <w:szCs w:val="21"/>
                <w:lang w:eastAsia="zh-CN"/>
              </w:rPr>
              <w:t>采购单位</w:t>
            </w:r>
            <w:r>
              <w:rPr>
                <w:rFonts w:hint="eastAsia" w:ascii="宋体" w:hAnsi="宋体" w:eastAsia="宋体" w:cs="宋体"/>
                <w:color w:val="auto"/>
                <w:sz w:val="21"/>
                <w:szCs w:val="21"/>
              </w:rPr>
              <w:t>同意不得将设备委托他方进行安装。</w:t>
            </w:r>
          </w:p>
          <w:p w14:paraId="6435FADC">
            <w:pPr>
              <w:keepNext w:val="0"/>
              <w:keepLines w:val="0"/>
              <w:pageBreakBefore w:val="0"/>
              <w:widowControl w:val="0"/>
              <w:tabs>
                <w:tab w:val="left" w:pos="360"/>
              </w:tabs>
              <w:kinsoku/>
              <w:wordWrap/>
              <w:overflowPunct/>
              <w:topLinePunct w:val="0"/>
              <w:bidi w:val="0"/>
              <w:snapToGrid w:val="0"/>
              <w:spacing w:line="300" w:lineRule="exact"/>
              <w:ind w:left="0" w:leftChars="0" w:right="105" w:rightChars="5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5、设备安装验收合格，交付</w:t>
            </w:r>
            <w:r>
              <w:rPr>
                <w:rFonts w:hint="eastAsia" w:ascii="宋体" w:hAnsi="宋体" w:eastAsia="宋体" w:cs="宋体"/>
                <w:color w:val="auto"/>
                <w:sz w:val="21"/>
                <w:szCs w:val="21"/>
                <w:lang w:eastAsia="zh-CN"/>
              </w:rPr>
              <w:t>采购单位</w:t>
            </w:r>
            <w:r>
              <w:rPr>
                <w:rFonts w:hint="eastAsia" w:ascii="宋体" w:hAnsi="宋体" w:eastAsia="宋体" w:cs="宋体"/>
                <w:color w:val="auto"/>
                <w:sz w:val="21"/>
                <w:szCs w:val="21"/>
              </w:rPr>
              <w:t>使用以前的设备保护及费用由</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负责。</w:t>
            </w:r>
          </w:p>
          <w:p w14:paraId="3286E397">
            <w:pPr>
              <w:pStyle w:val="11"/>
              <w:keepNext w:val="0"/>
              <w:keepLines w:val="0"/>
              <w:pageBreakBefore w:val="0"/>
              <w:widowControl w:val="0"/>
              <w:kinsoku/>
              <w:wordWrap/>
              <w:overflowPunct/>
              <w:topLinePunct w:val="0"/>
              <w:bidi w:val="0"/>
              <w:snapToGrid w:val="0"/>
              <w:spacing w:line="300" w:lineRule="exact"/>
              <w:ind w:left="0" w:leftChars="0" w:firstLine="0" w:firstLineChars="0"/>
              <w:jc w:val="both"/>
              <w:outlineLvl w:val="0"/>
              <w:rPr>
                <w:rFonts w:hint="eastAsia" w:ascii="宋体" w:hAnsi="宋体" w:eastAsia="宋体" w:cs="宋体"/>
                <w:color w:val="auto"/>
                <w:sz w:val="21"/>
                <w:szCs w:val="21"/>
              </w:rPr>
            </w:pPr>
            <w:r>
              <w:rPr>
                <w:rFonts w:hint="eastAsia" w:ascii="宋体" w:hAnsi="宋体" w:eastAsia="宋体" w:cs="宋体"/>
                <w:color w:val="auto"/>
                <w:sz w:val="21"/>
                <w:szCs w:val="21"/>
              </w:rPr>
              <w:t>6、设备试运行应在有关部门及</w:t>
            </w:r>
            <w:r>
              <w:rPr>
                <w:rFonts w:hint="eastAsia" w:hAnsi="宋体" w:cs="宋体"/>
                <w:color w:val="auto"/>
                <w:sz w:val="21"/>
                <w:szCs w:val="21"/>
                <w:lang w:eastAsia="zh-CN"/>
              </w:rPr>
              <w:t>采购单位</w:t>
            </w:r>
            <w:r>
              <w:rPr>
                <w:rFonts w:hint="eastAsia" w:ascii="宋体" w:hAnsi="宋体" w:eastAsia="宋体" w:cs="宋体"/>
                <w:color w:val="auto"/>
                <w:sz w:val="21"/>
                <w:szCs w:val="21"/>
              </w:rPr>
              <w:t>有关人员的监督下进行。</w:t>
            </w:r>
          </w:p>
          <w:p w14:paraId="752A262D">
            <w:pPr>
              <w:pStyle w:val="11"/>
              <w:keepNext w:val="0"/>
              <w:keepLines w:val="0"/>
              <w:pageBreakBefore w:val="0"/>
              <w:widowControl w:val="0"/>
              <w:kinsoku/>
              <w:wordWrap/>
              <w:overflowPunct/>
              <w:topLinePunct w:val="0"/>
              <w:bidi w:val="0"/>
              <w:snapToGrid w:val="0"/>
              <w:spacing w:line="300" w:lineRule="exact"/>
              <w:ind w:left="0" w:leftChars="0" w:firstLine="0" w:firstLineChars="0"/>
              <w:jc w:val="both"/>
              <w:outlineLvl w:val="0"/>
              <w:rPr>
                <w:rFonts w:hint="eastAsia" w:ascii="宋体" w:hAnsi="宋体" w:eastAsia="宋体" w:cs="宋体"/>
                <w:color w:val="auto"/>
                <w:sz w:val="21"/>
                <w:szCs w:val="21"/>
              </w:rPr>
            </w:pPr>
            <w:r>
              <w:rPr>
                <w:rFonts w:hint="eastAsia" w:ascii="宋体" w:hAnsi="宋体" w:eastAsia="宋体" w:cs="宋体"/>
                <w:color w:val="auto"/>
                <w:sz w:val="21"/>
                <w:szCs w:val="21"/>
              </w:rPr>
              <w:t>7、因招标方实际需要，造成设备、安装工程量的减少，价格参照</w:t>
            </w:r>
            <w:r>
              <w:rPr>
                <w:rFonts w:hint="eastAsia" w:hAnsi="宋体" w:cs="宋体"/>
                <w:color w:val="auto"/>
                <w:sz w:val="21"/>
                <w:szCs w:val="21"/>
                <w:lang w:eastAsia="zh-CN"/>
              </w:rPr>
              <w:t>投标人</w:t>
            </w:r>
            <w:r>
              <w:rPr>
                <w:rFonts w:hint="eastAsia" w:ascii="宋体" w:hAnsi="宋体" w:eastAsia="宋体" w:cs="宋体"/>
                <w:color w:val="auto"/>
                <w:sz w:val="21"/>
                <w:szCs w:val="21"/>
              </w:rPr>
              <w:t>报价按实计算，按实结算。</w:t>
            </w:r>
          </w:p>
        </w:tc>
      </w:tr>
      <w:tr w14:paraId="737E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601" w:type="dxa"/>
            <w:noWrap w:val="0"/>
            <w:vAlign w:val="center"/>
          </w:tcPr>
          <w:p w14:paraId="5D9879E4">
            <w:pPr>
              <w:pStyle w:val="11"/>
              <w:keepNext w:val="0"/>
              <w:keepLines w:val="0"/>
              <w:pageBreakBefore w:val="0"/>
              <w:widowControl w:val="0"/>
              <w:kinsoku/>
              <w:wordWrap/>
              <w:overflowPunct/>
              <w:topLinePunct w:val="0"/>
              <w:bidi w:val="0"/>
              <w:snapToGrid w:val="0"/>
              <w:spacing w:line="300" w:lineRule="exact"/>
              <w:ind w:left="0" w:leftChars="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设备验收</w:t>
            </w:r>
          </w:p>
        </w:tc>
        <w:tc>
          <w:tcPr>
            <w:tcW w:w="8861" w:type="dxa"/>
            <w:noWrap w:val="0"/>
            <w:vAlign w:val="center"/>
          </w:tcPr>
          <w:p w14:paraId="1B4EFB20">
            <w:pPr>
              <w:keepNext w:val="0"/>
              <w:keepLines w:val="0"/>
              <w:pageBreakBefore w:val="0"/>
              <w:widowControl w:val="0"/>
              <w:tabs>
                <w:tab w:val="left" w:pos="360"/>
              </w:tabs>
              <w:kinsoku/>
              <w:wordWrap/>
              <w:overflowPunct/>
              <w:topLinePunct w:val="0"/>
              <w:autoSpaceDE/>
              <w:autoSpaceDN/>
              <w:bidi w:val="0"/>
              <w:adjustRightInd/>
              <w:snapToGrid w:val="0"/>
              <w:spacing w:line="300" w:lineRule="exact"/>
              <w:ind w:left="0" w:leftChars="0" w:right="105" w:rightChars="5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1、安装完成后，</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须负责全部设备的保护和清洁工作，直至设备验收合格并正常运行后为止。在安装过程中，如设备被损坏，</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将要负责修理或赔偿损失。</w:t>
            </w:r>
          </w:p>
          <w:p w14:paraId="3D055972">
            <w:pPr>
              <w:keepNext w:val="0"/>
              <w:keepLines w:val="0"/>
              <w:pageBreakBefore w:val="0"/>
              <w:widowControl w:val="0"/>
              <w:tabs>
                <w:tab w:val="left" w:pos="360"/>
              </w:tabs>
              <w:kinsoku/>
              <w:wordWrap/>
              <w:overflowPunct/>
              <w:topLinePunct w:val="0"/>
              <w:autoSpaceDE/>
              <w:autoSpaceDN/>
              <w:bidi w:val="0"/>
              <w:adjustRightInd/>
              <w:snapToGrid w:val="0"/>
              <w:spacing w:line="300" w:lineRule="exact"/>
              <w:ind w:left="0" w:leftChars="0" w:right="105" w:rightChars="5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2、验收合格条件</w:t>
            </w:r>
            <w:r>
              <w:rPr>
                <w:rFonts w:hint="eastAsia" w:ascii="宋体" w:hAnsi="宋体" w:eastAsia="宋体" w:cs="宋体"/>
                <w:color w:val="auto"/>
                <w:sz w:val="21"/>
                <w:szCs w:val="21"/>
                <w:lang w:eastAsia="zh-CN"/>
              </w:rPr>
              <w:t>：</w:t>
            </w:r>
          </w:p>
          <w:p w14:paraId="73719905">
            <w:pPr>
              <w:keepNext w:val="0"/>
              <w:keepLines w:val="0"/>
              <w:pageBreakBefore w:val="0"/>
              <w:widowControl w:val="0"/>
              <w:tabs>
                <w:tab w:val="left" w:pos="360"/>
              </w:tabs>
              <w:kinsoku/>
              <w:wordWrap/>
              <w:overflowPunct/>
              <w:topLinePunct w:val="0"/>
              <w:autoSpaceDE/>
              <w:autoSpaceDN/>
              <w:bidi w:val="0"/>
              <w:adjustRightInd/>
              <w:snapToGrid w:val="0"/>
              <w:spacing w:line="300" w:lineRule="exact"/>
              <w:ind w:left="0" w:leftChars="0" w:right="105" w:rightChars="5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1）运行结果符合产品标准和技术规格书及合同要求。</w:t>
            </w:r>
          </w:p>
          <w:p w14:paraId="4E2F12D7">
            <w:pPr>
              <w:keepNext w:val="0"/>
              <w:keepLines w:val="0"/>
              <w:pageBreakBefore w:val="0"/>
              <w:widowControl w:val="0"/>
              <w:tabs>
                <w:tab w:val="left" w:pos="360"/>
              </w:tabs>
              <w:kinsoku/>
              <w:wordWrap/>
              <w:overflowPunct/>
              <w:topLinePunct w:val="0"/>
              <w:autoSpaceDE/>
              <w:autoSpaceDN/>
              <w:bidi w:val="0"/>
              <w:adjustRightInd/>
              <w:snapToGrid w:val="0"/>
              <w:spacing w:line="300" w:lineRule="exact"/>
              <w:ind w:left="0" w:leftChars="0" w:right="105" w:rightChars="5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2）在进行测试和验收运行工程中发生的故障已被消除并得到</w:t>
            </w:r>
            <w:r>
              <w:rPr>
                <w:rFonts w:hint="eastAsia" w:ascii="宋体" w:hAnsi="宋体" w:eastAsia="宋体" w:cs="宋体"/>
                <w:color w:val="auto"/>
                <w:sz w:val="21"/>
                <w:szCs w:val="21"/>
                <w:lang w:eastAsia="zh-CN"/>
              </w:rPr>
              <w:t>采购单位</w:t>
            </w:r>
            <w:r>
              <w:rPr>
                <w:rFonts w:hint="eastAsia" w:ascii="宋体" w:hAnsi="宋体" w:eastAsia="宋体" w:cs="宋体"/>
                <w:color w:val="auto"/>
                <w:sz w:val="21"/>
                <w:szCs w:val="21"/>
              </w:rPr>
              <w:t>的认可。</w:t>
            </w:r>
          </w:p>
          <w:p w14:paraId="44D01E43">
            <w:pPr>
              <w:keepNext w:val="0"/>
              <w:keepLines w:val="0"/>
              <w:pageBreakBefore w:val="0"/>
              <w:widowControl w:val="0"/>
              <w:tabs>
                <w:tab w:val="left" w:pos="360"/>
              </w:tabs>
              <w:kinsoku/>
              <w:wordWrap/>
              <w:overflowPunct/>
              <w:topLinePunct w:val="0"/>
              <w:autoSpaceDE/>
              <w:autoSpaceDN/>
              <w:bidi w:val="0"/>
              <w:adjustRightInd/>
              <w:snapToGrid w:val="0"/>
              <w:spacing w:line="300" w:lineRule="exact"/>
              <w:ind w:left="0" w:leftChars="0" w:right="105" w:rightChars="5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3）所有合同中规定的货物、材料和技术文件都已提交。</w:t>
            </w:r>
          </w:p>
          <w:p w14:paraId="68A409B8">
            <w:pPr>
              <w:pStyle w:val="11"/>
              <w:keepNext w:val="0"/>
              <w:keepLines w:val="0"/>
              <w:pageBreakBefore w:val="0"/>
              <w:widowControl w:val="0"/>
              <w:kinsoku/>
              <w:wordWrap/>
              <w:overflowPunct/>
              <w:topLinePunct w:val="0"/>
              <w:autoSpaceDE/>
              <w:autoSpaceDN/>
              <w:bidi w:val="0"/>
              <w:adjustRightInd/>
              <w:snapToGrid w:val="0"/>
              <w:spacing w:line="300" w:lineRule="exact"/>
              <w:ind w:left="0" w:leftChars="0" w:firstLine="420" w:firstLineChars="200"/>
              <w:jc w:val="both"/>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4）设备在交由</w:t>
            </w:r>
            <w:r>
              <w:rPr>
                <w:rFonts w:hint="eastAsia" w:hAnsi="宋体" w:cs="宋体"/>
                <w:color w:val="auto"/>
                <w:sz w:val="21"/>
                <w:szCs w:val="21"/>
                <w:lang w:eastAsia="zh-CN"/>
              </w:rPr>
              <w:t>采购单位</w:t>
            </w:r>
            <w:r>
              <w:rPr>
                <w:rFonts w:hint="eastAsia" w:ascii="宋体" w:hAnsi="宋体" w:eastAsia="宋体" w:cs="宋体"/>
                <w:color w:val="auto"/>
                <w:sz w:val="21"/>
                <w:szCs w:val="21"/>
              </w:rPr>
              <w:t>使用之前已通过有关部门的验收。</w:t>
            </w:r>
          </w:p>
        </w:tc>
      </w:tr>
      <w:tr w14:paraId="3291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01" w:type="dxa"/>
            <w:noWrap w:val="0"/>
            <w:vAlign w:val="center"/>
          </w:tcPr>
          <w:p w14:paraId="1D868A6A">
            <w:pPr>
              <w:keepNext w:val="0"/>
              <w:keepLines w:val="0"/>
              <w:pageBreakBefore w:val="0"/>
              <w:widowControl w:val="0"/>
              <w:kinsoku/>
              <w:wordWrap/>
              <w:overflowPunct/>
              <w:topLinePunct w:val="0"/>
              <w:bidi w:val="0"/>
              <w:snapToGrid w:val="0"/>
              <w:spacing w:line="300" w:lineRule="exact"/>
              <w:ind w:left="0"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交货安装地点</w:t>
            </w:r>
          </w:p>
        </w:tc>
        <w:tc>
          <w:tcPr>
            <w:tcW w:w="8861" w:type="dxa"/>
            <w:noWrap w:val="0"/>
            <w:vAlign w:val="center"/>
          </w:tcPr>
          <w:p w14:paraId="163B46C4">
            <w:pPr>
              <w:keepNext w:val="0"/>
              <w:keepLines w:val="0"/>
              <w:pageBreakBefore w:val="0"/>
              <w:widowControl w:val="0"/>
              <w:kinsoku/>
              <w:wordWrap/>
              <w:overflowPunct/>
              <w:topLinePunct w:val="0"/>
              <w:bidi w:val="0"/>
              <w:snapToGrid w:val="0"/>
              <w:spacing w:line="300" w:lineRule="exact"/>
              <w:ind w:left="0" w:leftChars="0"/>
              <w:rPr>
                <w:rFonts w:hint="eastAsia" w:ascii="宋体" w:hAnsi="宋体" w:eastAsia="宋体" w:cs="宋体"/>
                <w:color w:val="auto"/>
                <w:sz w:val="21"/>
                <w:szCs w:val="21"/>
              </w:rPr>
            </w:pPr>
            <w:r>
              <w:rPr>
                <w:rFonts w:hint="eastAsia" w:ascii="宋体" w:hAnsi="宋体" w:eastAsia="宋体" w:cs="宋体"/>
                <w:color w:val="auto"/>
                <w:sz w:val="21"/>
                <w:szCs w:val="21"/>
              </w:rPr>
              <w:t>由</w:t>
            </w:r>
            <w:r>
              <w:rPr>
                <w:rFonts w:hint="eastAsia" w:ascii="宋体" w:hAnsi="宋体" w:eastAsia="宋体" w:cs="宋体"/>
                <w:color w:val="auto"/>
                <w:sz w:val="21"/>
                <w:szCs w:val="21"/>
                <w:lang w:eastAsia="zh-CN"/>
              </w:rPr>
              <w:t>采购单位</w:t>
            </w:r>
            <w:r>
              <w:rPr>
                <w:rFonts w:hint="eastAsia" w:ascii="宋体" w:hAnsi="宋体" w:eastAsia="宋体" w:cs="宋体"/>
                <w:color w:val="auto"/>
                <w:sz w:val="21"/>
                <w:szCs w:val="21"/>
              </w:rPr>
              <w:t>指定。</w:t>
            </w:r>
          </w:p>
        </w:tc>
      </w:tr>
    </w:tbl>
    <w:p w14:paraId="5A3DBFE1">
      <w:pPr>
        <w:pStyle w:val="21"/>
        <w:rPr>
          <w:rFonts w:hint="eastAsia" w:eastAsia="宋体" w:cs="Times New Roman"/>
          <w:b/>
          <w:bCs/>
          <w:color w:val="auto"/>
          <w:lang w:eastAsia="zh-CN"/>
        </w:rPr>
      </w:pPr>
      <w:r>
        <w:rPr>
          <w:rFonts w:hint="eastAsia" w:eastAsia="宋体" w:cs="Times New Roman"/>
          <w:b/>
          <w:bCs/>
          <w:color w:val="auto"/>
          <w:lang w:eastAsia="zh-CN"/>
        </w:rPr>
        <w:t>三、技术及价格条款</w:t>
      </w:r>
    </w:p>
    <w:p w14:paraId="7CC12AD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应提供原装的、全新的、符合国家及用户提出的有关质量标准的设备和产品，并在交货时提供制造商签发的质量证书、检验证书、正式发票、装箱清单等资料。</w:t>
      </w:r>
    </w:p>
    <w:p w14:paraId="36CE744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应根据招标项目内容要求确定投标报价。包括设备费（包括必备的附件）、安装材料费、运输装卸费、安装调试费和税费等一切费用，如有漏项，视同已包含在总项目中。</w:t>
      </w:r>
    </w:p>
    <w:p w14:paraId="353E968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3、投标产品在保质期内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自验收合格之日起一年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因不能排除的故障而影响工作的情况每发生一次，其质保期相应延长30天，质保期内因设备本身缺陷造成各种故障应由</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提供免费技术服务和维修。</w:t>
      </w:r>
    </w:p>
    <w:p w14:paraId="526A1518">
      <w:pPr>
        <w:spacing w:line="360" w:lineRule="auto"/>
        <w:ind w:firstLine="420" w:firstLineChars="200"/>
        <w:rPr>
          <w:rFonts w:hint="eastAsia" w:ascii="宋体" w:hAnsi="宋体" w:cs="宋体"/>
          <w:b/>
          <w:bCs/>
          <w:color w:val="auto"/>
          <w:sz w:val="32"/>
          <w:szCs w:val="32"/>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中标单位</w:t>
      </w:r>
      <w:r>
        <w:rPr>
          <w:rFonts w:hint="eastAsia" w:ascii="宋体" w:hAnsi="宋体" w:eastAsia="宋体" w:cs="宋体"/>
          <w:color w:val="auto"/>
          <w:sz w:val="21"/>
          <w:szCs w:val="21"/>
        </w:rPr>
        <w:t>应提供系统设备的有效检验材料，经</w:t>
      </w:r>
      <w:r>
        <w:rPr>
          <w:rFonts w:hint="eastAsia" w:ascii="宋体" w:hAnsi="宋体" w:eastAsia="宋体" w:cs="宋体"/>
          <w:color w:val="auto"/>
          <w:sz w:val="21"/>
          <w:szCs w:val="21"/>
          <w:lang w:eastAsia="zh-CN"/>
        </w:rPr>
        <w:t>采购单位</w:t>
      </w:r>
      <w:r>
        <w:rPr>
          <w:rFonts w:hint="eastAsia" w:ascii="宋体" w:hAnsi="宋体" w:eastAsia="宋体" w:cs="宋体"/>
          <w:color w:val="auto"/>
          <w:sz w:val="21"/>
          <w:szCs w:val="21"/>
        </w:rPr>
        <w:t>认可后，与合同的技术指标一起作为验收标准。</w:t>
      </w:r>
      <w:r>
        <w:rPr>
          <w:rFonts w:hint="eastAsia" w:ascii="宋体" w:hAnsi="宋体" w:eastAsia="宋体" w:cs="宋体"/>
          <w:color w:val="auto"/>
          <w:sz w:val="21"/>
          <w:szCs w:val="21"/>
          <w:lang w:eastAsia="zh-CN"/>
        </w:rPr>
        <w:t>采购单位</w:t>
      </w:r>
      <w:r>
        <w:rPr>
          <w:rFonts w:hint="eastAsia" w:ascii="宋体" w:hAnsi="宋体" w:eastAsia="宋体" w:cs="宋体"/>
          <w:color w:val="auto"/>
          <w:sz w:val="21"/>
          <w:szCs w:val="21"/>
        </w:rPr>
        <w:t>及相关组织对系统设备验收合格后，双方共同签署验收合格证书，验收中发现系统设备达不到验收标准或合同规定的技术指标，</w:t>
      </w:r>
      <w:r>
        <w:rPr>
          <w:rFonts w:hint="eastAsia" w:ascii="宋体" w:hAnsi="宋体" w:eastAsia="宋体" w:cs="宋体"/>
          <w:color w:val="auto"/>
          <w:sz w:val="21"/>
          <w:szCs w:val="21"/>
          <w:lang w:eastAsia="zh-CN"/>
        </w:rPr>
        <w:t>中标单位</w:t>
      </w:r>
      <w:r>
        <w:rPr>
          <w:rFonts w:hint="eastAsia" w:ascii="宋体" w:hAnsi="宋体" w:eastAsia="宋体" w:cs="宋体"/>
          <w:color w:val="auto"/>
          <w:sz w:val="21"/>
          <w:szCs w:val="21"/>
        </w:rPr>
        <w:t>必须更换，并负担由此给用户造成的损失，直到验收合格为止。</w:t>
      </w:r>
    </w:p>
    <w:p w14:paraId="0426A708">
      <w:pPr>
        <w:spacing w:before="240" w:beforeLines="0" w:after="60" w:afterLines="0" w:line="400" w:lineRule="exact"/>
        <w:jc w:val="center"/>
        <w:outlineLvl w:val="0"/>
        <w:rPr>
          <w:rFonts w:ascii="宋体" w:hAnsi="Arial"/>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合同</w:t>
      </w:r>
      <w:bookmarkEnd w:id="0"/>
      <w:bookmarkEnd w:id="1"/>
      <w:r>
        <w:rPr>
          <w:rFonts w:hint="eastAsia" w:ascii="宋体" w:hAnsi="宋体" w:cs="宋体"/>
          <w:b/>
          <w:bCs/>
          <w:color w:val="auto"/>
          <w:sz w:val="32"/>
          <w:szCs w:val="32"/>
          <w:highlight w:val="none"/>
        </w:rPr>
        <w:t>文本</w:t>
      </w:r>
    </w:p>
    <w:p w14:paraId="366C8FF9">
      <w:pPr>
        <w:autoSpaceDE w:val="0"/>
        <w:autoSpaceDN w:val="0"/>
        <w:adjustRightInd w:val="0"/>
        <w:snapToGrid w:val="0"/>
        <w:spacing w:line="360" w:lineRule="auto"/>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政府采购合同主要条款指引</w:t>
      </w:r>
    </w:p>
    <w:p w14:paraId="19C44560">
      <w:pPr>
        <w:tabs>
          <w:tab w:val="left" w:pos="1200"/>
        </w:tabs>
        <w:rPr>
          <w:rFonts w:hint="eastAsia" w:ascii="Calibri" w:hAnsi="Calibri" w:eastAsia="宋体"/>
          <w:b/>
          <w:color w:val="auto"/>
          <w:sz w:val="28"/>
          <w:szCs w:val="22"/>
          <w:highlight w:val="none"/>
        </w:rPr>
      </w:pPr>
      <w:r>
        <w:rPr>
          <w:rFonts w:hint="eastAsia" w:ascii="Calibri" w:hAnsi="Calibri" w:eastAsia="宋体"/>
          <w:b/>
          <w:color w:val="auto"/>
          <w:sz w:val="30"/>
          <w:szCs w:val="22"/>
          <w:highlight w:val="none"/>
        </w:rPr>
        <w:t>合同登记编号</w:t>
      </w:r>
      <w:r>
        <w:rPr>
          <w:rFonts w:hint="eastAsia" w:ascii="Calibri" w:hAnsi="Calibri" w:eastAsia="宋体"/>
          <w:b/>
          <w:color w:val="auto"/>
          <w:sz w:val="28"/>
          <w:szCs w:val="22"/>
          <w:highlight w:val="none"/>
        </w:rPr>
        <w:t>：</w:t>
      </w:r>
    </w:p>
    <w:p w14:paraId="4C7E5CDD">
      <w:pPr>
        <w:tabs>
          <w:tab w:val="left" w:pos="1200"/>
        </w:tabs>
        <w:rPr>
          <w:rFonts w:ascii="Calibri" w:hAnsi="Calibri" w:eastAsia="宋体"/>
          <w:color w:val="auto"/>
          <w:sz w:val="10"/>
          <w:szCs w:val="22"/>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14:paraId="318A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14:paraId="37118222">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2CB424B">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F6A3F4D">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18B2613A">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3A69907">
            <w:pPr>
              <w:tabs>
                <w:tab w:val="left" w:pos="1200"/>
              </w:tabs>
              <w:jc w:val="center"/>
              <w:rPr>
                <w:rFonts w:hint="eastAsia" w:ascii="宋体" w:hAnsi="宋体" w:eastAsia="宋体" w:cs="宋体"/>
                <w:b w:val="0"/>
                <w:bCs w:val="0"/>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5A42127B">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88A2DB0">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4C4A12A">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AF14961">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5C29589">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92BD2FF">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6CEEE75">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302E0652">
            <w:pPr>
              <w:tabs>
                <w:tab w:val="left" w:pos="1200"/>
              </w:tabs>
              <w:jc w:val="center"/>
              <w:rPr>
                <w:rFonts w:hint="eastAsia" w:ascii="宋体" w:hAnsi="宋体" w:eastAsia="宋体" w:cs="宋体"/>
                <w:b w:val="0"/>
                <w:bCs w:val="0"/>
                <w:color w:val="auto"/>
                <w:sz w:val="24"/>
                <w:szCs w:val="22"/>
                <w:highlight w:val="none"/>
                <w:lang w:val="en-US" w:eastAsia="zh-CN"/>
              </w:rPr>
            </w:pPr>
          </w:p>
        </w:tc>
      </w:tr>
    </w:tbl>
    <w:p w14:paraId="77E02C6C">
      <w:pPr>
        <w:tabs>
          <w:tab w:val="left" w:pos="1200"/>
        </w:tabs>
        <w:rPr>
          <w:rFonts w:ascii="Calibri" w:hAnsi="Calibri" w:eastAsia="宋体"/>
          <w:color w:val="auto"/>
          <w:sz w:val="24"/>
          <w:szCs w:val="22"/>
          <w:highlight w:val="none"/>
        </w:rPr>
      </w:pPr>
    </w:p>
    <w:p w14:paraId="0969189D">
      <w:pPr>
        <w:tabs>
          <w:tab w:val="left" w:pos="1200"/>
        </w:tabs>
        <w:rPr>
          <w:rFonts w:ascii="Calibri" w:hAnsi="Calibri" w:eastAsia="宋体"/>
          <w:color w:val="auto"/>
          <w:sz w:val="24"/>
          <w:szCs w:val="22"/>
          <w:highlight w:val="none"/>
        </w:rPr>
      </w:pPr>
    </w:p>
    <w:p w14:paraId="662895BF">
      <w:pPr>
        <w:tabs>
          <w:tab w:val="left" w:pos="1200"/>
        </w:tabs>
        <w:rPr>
          <w:rFonts w:ascii="Calibri" w:hAnsi="Calibri" w:eastAsia="宋体"/>
          <w:color w:val="auto"/>
          <w:sz w:val="24"/>
          <w:szCs w:val="22"/>
          <w:highlight w:val="none"/>
        </w:rPr>
      </w:pPr>
    </w:p>
    <w:p w14:paraId="2F5FB724">
      <w:pPr>
        <w:tabs>
          <w:tab w:val="left" w:pos="1100"/>
        </w:tabs>
        <w:jc w:val="center"/>
        <w:rPr>
          <w:rFonts w:ascii="Calibri" w:hAnsi="Calibri" w:eastAsia="宋体"/>
          <w:b/>
          <w:color w:val="auto"/>
          <w:sz w:val="44"/>
          <w:szCs w:val="22"/>
          <w:highlight w:val="none"/>
        </w:rPr>
      </w:pPr>
      <w:r>
        <w:rPr>
          <w:rFonts w:hint="eastAsia" w:ascii="Calibri" w:hAnsi="Calibri" w:eastAsia="宋体"/>
          <w:b/>
          <w:color w:val="auto"/>
          <w:sz w:val="44"/>
          <w:szCs w:val="22"/>
          <w:highlight w:val="none"/>
        </w:rPr>
        <w:t>合  同  书</w:t>
      </w:r>
    </w:p>
    <w:p w14:paraId="77B75A3A">
      <w:pPr>
        <w:tabs>
          <w:tab w:val="left" w:pos="1100"/>
        </w:tabs>
        <w:rPr>
          <w:rFonts w:ascii="Calibri" w:hAnsi="Calibri" w:eastAsia="宋体"/>
          <w:b/>
          <w:color w:val="auto"/>
          <w:sz w:val="10"/>
          <w:szCs w:val="22"/>
          <w:highlight w:val="none"/>
        </w:rPr>
      </w:pPr>
      <w:r>
        <w:rPr>
          <w:rFonts w:ascii="Calibri" w:hAnsi="Calibri" w:eastAsia="宋体"/>
          <w:b/>
          <w:color w:val="auto"/>
          <w:sz w:val="44"/>
          <w:szCs w:val="22"/>
          <w:highlight w:val="none"/>
        </w:rPr>
        <w:t xml:space="preserve">                         </w:t>
      </w:r>
    </w:p>
    <w:p w14:paraId="47515732">
      <w:pPr>
        <w:tabs>
          <w:tab w:val="left" w:pos="1100"/>
        </w:tabs>
        <w:rPr>
          <w:rFonts w:ascii="Calibri" w:hAnsi="Calibri" w:eastAsia="宋体"/>
          <w:color w:val="auto"/>
          <w:sz w:val="18"/>
          <w:szCs w:val="22"/>
          <w:highlight w:val="none"/>
        </w:rPr>
      </w:pPr>
      <w:r>
        <w:rPr>
          <w:rFonts w:ascii="Calibri" w:hAnsi="Calibri" w:eastAsia="宋体"/>
          <w:b/>
          <w:color w:val="auto"/>
          <w:sz w:val="28"/>
          <w:szCs w:val="22"/>
          <w:highlight w:val="none"/>
        </w:rPr>
        <w:t xml:space="preserve">                                      </w:t>
      </w:r>
      <w:r>
        <w:rPr>
          <w:rFonts w:ascii="Calibri" w:hAnsi="Calibri" w:eastAsia="宋体"/>
          <w:color w:val="auto"/>
          <w:sz w:val="24"/>
          <w:szCs w:val="22"/>
          <w:highlight w:val="none"/>
        </w:rPr>
        <w:t xml:space="preserve">                                   </w:t>
      </w:r>
    </w:p>
    <w:p w14:paraId="11A4EA22">
      <w:pPr>
        <w:tabs>
          <w:tab w:val="left" w:pos="1100"/>
        </w:tabs>
        <w:spacing w:line="560" w:lineRule="exact"/>
        <w:ind w:firstLine="560" w:firstLineChars="200"/>
        <w:rPr>
          <w:rFonts w:hint="eastAsia" w:ascii="宋体" w:hAnsi="宋体" w:cs="宋体"/>
          <w:color w:val="auto"/>
          <w:sz w:val="28"/>
          <w:szCs w:val="28"/>
          <w:highlight w:val="none"/>
          <w:u w:val="none"/>
          <w:lang w:val="en-US" w:eastAsia="zh-CN"/>
        </w:rPr>
      </w:pPr>
      <w:r>
        <w:rPr>
          <w:rFonts w:hint="eastAsia" w:ascii="宋体" w:hAnsi="宋体" w:eastAsia="宋体" w:cs="宋体"/>
          <w:color w:val="auto"/>
          <w:sz w:val="28"/>
          <w:szCs w:val="28"/>
          <w:highlight w:val="none"/>
        </w:rPr>
        <w:t>项 目 名 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 xml:space="preserve">  </w:t>
      </w:r>
    </w:p>
    <w:p w14:paraId="5574E2D2">
      <w:pPr>
        <w:pStyle w:val="16"/>
        <w:rPr>
          <w:rFonts w:hint="default"/>
          <w:color w:val="auto"/>
          <w:highlight w:val="none"/>
          <w:lang w:val="en-US"/>
        </w:rPr>
      </w:pPr>
    </w:p>
    <w:p w14:paraId="1E83F1FA">
      <w:pPr>
        <w:tabs>
          <w:tab w:val="left" w:pos="1100"/>
        </w:tabs>
        <w:spacing w:line="560" w:lineRule="exact"/>
        <w:ind w:firstLine="560" w:firstLineChars="2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项 目 </w:t>
      </w:r>
      <w:r>
        <w:rPr>
          <w:rFonts w:hint="eastAsia" w:ascii="宋体" w:hAnsi="宋体" w:eastAsia="宋体" w:cs="宋体"/>
          <w:color w:val="auto"/>
          <w:sz w:val="28"/>
          <w:szCs w:val="28"/>
          <w:highlight w:val="none"/>
          <w:lang w:eastAsia="zh-CN"/>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 xml:space="preserve"> </w:t>
      </w:r>
    </w:p>
    <w:p w14:paraId="1A5384DD">
      <w:pPr>
        <w:tabs>
          <w:tab w:val="left" w:pos="1100"/>
        </w:tabs>
        <w:spacing w:line="560" w:lineRule="exact"/>
        <w:ind w:firstLine="980" w:firstLineChars="350"/>
        <w:rPr>
          <w:rFonts w:hint="eastAsia" w:ascii="宋体" w:hAnsi="宋体" w:eastAsia="宋体" w:cs="宋体"/>
          <w:color w:val="auto"/>
          <w:sz w:val="28"/>
          <w:szCs w:val="28"/>
          <w:highlight w:val="none"/>
        </w:rPr>
      </w:pPr>
    </w:p>
    <w:p w14:paraId="66DF322E">
      <w:pPr>
        <w:tabs>
          <w:tab w:val="left" w:pos="1100"/>
        </w:tabs>
        <w:spacing w:line="560" w:lineRule="exact"/>
        <w:ind w:firstLine="560" w:firstLineChars="20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甲</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F326D04">
      <w:pPr>
        <w:tabs>
          <w:tab w:val="left" w:pos="1100"/>
        </w:tabs>
        <w:spacing w:line="560" w:lineRule="exact"/>
        <w:ind w:firstLine="980" w:firstLineChars="350"/>
        <w:rPr>
          <w:rFonts w:hint="eastAsia" w:ascii="宋体" w:hAnsi="宋体" w:eastAsia="宋体" w:cs="宋体"/>
          <w:color w:val="auto"/>
          <w:sz w:val="28"/>
          <w:szCs w:val="28"/>
          <w:highlight w:val="none"/>
        </w:rPr>
      </w:pPr>
    </w:p>
    <w:p w14:paraId="5BE84012">
      <w:pPr>
        <w:tabs>
          <w:tab w:val="left" w:pos="1100"/>
        </w:tabs>
        <w:spacing w:line="560" w:lineRule="exact"/>
        <w:ind w:firstLine="560" w:firstLineChars="200"/>
        <w:rPr>
          <w:rFonts w:hint="eastAsia"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lang w:eastAsia="zh-CN"/>
        </w:rPr>
        <w:t>乙</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88513B9">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p>
    <w:p w14:paraId="7C711915">
      <w:pPr>
        <w:tabs>
          <w:tab w:val="left" w:pos="1100"/>
        </w:tabs>
        <w:spacing w:line="560" w:lineRule="exact"/>
        <w:ind w:firstLine="840" w:firstLineChars="300"/>
        <w:rPr>
          <w:rFonts w:hint="eastAsia" w:ascii="宋体" w:hAnsi="宋体" w:eastAsia="宋体" w:cs="宋体"/>
          <w:color w:val="auto"/>
          <w:sz w:val="28"/>
          <w:szCs w:val="28"/>
          <w:highlight w:val="none"/>
        </w:rPr>
      </w:pPr>
    </w:p>
    <w:p w14:paraId="3C2941D2">
      <w:pPr>
        <w:tabs>
          <w:tab w:val="left" w:pos="1100"/>
        </w:tabs>
        <w:spacing w:line="56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78E3773">
      <w:pPr>
        <w:tabs>
          <w:tab w:val="left" w:pos="1100"/>
        </w:tabs>
        <w:spacing w:line="560" w:lineRule="exact"/>
        <w:ind w:firstLine="840" w:firstLineChars="300"/>
        <w:rPr>
          <w:rFonts w:hint="eastAsia" w:ascii="宋体" w:hAnsi="宋体" w:eastAsia="宋体" w:cs="宋体"/>
          <w:color w:val="auto"/>
          <w:sz w:val="28"/>
          <w:szCs w:val="28"/>
          <w:highlight w:val="none"/>
        </w:rPr>
      </w:pPr>
    </w:p>
    <w:p w14:paraId="30DAB660">
      <w:pPr>
        <w:tabs>
          <w:tab w:val="left" w:pos="1100"/>
        </w:tabs>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0AD52E26">
      <w:pPr>
        <w:tabs>
          <w:tab w:val="left" w:pos="1100"/>
        </w:tabs>
        <w:spacing w:line="560" w:lineRule="exact"/>
        <w:ind w:firstLine="840" w:firstLineChars="300"/>
        <w:rPr>
          <w:rFonts w:hint="eastAsia" w:ascii="宋体" w:hAnsi="宋体" w:eastAsia="宋体" w:cs="宋体"/>
          <w:color w:val="auto"/>
          <w:sz w:val="28"/>
          <w:szCs w:val="28"/>
          <w:highlight w:val="none"/>
        </w:rPr>
      </w:pPr>
    </w:p>
    <w:p w14:paraId="05F9D65B">
      <w:pPr>
        <w:tabs>
          <w:tab w:val="left" w:pos="1100"/>
        </w:tabs>
        <w:spacing w:line="560" w:lineRule="exact"/>
        <w:ind w:firstLine="560" w:firstLineChars="200"/>
        <w:rPr>
          <w:rFonts w:hint="eastAsia" w:ascii="宋体" w:hAnsi="宋体" w:eastAsia="宋体" w:cs="宋体"/>
          <w:color w:val="auto"/>
          <w:sz w:val="30"/>
          <w:szCs w:val="22"/>
          <w:highlight w:val="none"/>
        </w:rPr>
      </w:pPr>
      <w:r>
        <w:rPr>
          <w:rFonts w:hint="eastAsia" w:ascii="宋体" w:hAnsi="宋体" w:eastAsia="宋体" w:cs="宋体"/>
          <w:color w:val="auto"/>
          <w:sz w:val="28"/>
          <w:szCs w:val="28"/>
          <w:highlight w:val="none"/>
        </w:rPr>
        <w:t>有效期限：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46D7924">
      <w:pPr>
        <w:jc w:val="center"/>
        <w:rPr>
          <w:rFonts w:hint="eastAsia" w:ascii="宋体" w:hAnsi="宋体" w:eastAsia="宋体"/>
          <w:b/>
          <w:color w:val="auto"/>
          <w:sz w:val="36"/>
          <w:szCs w:val="36"/>
          <w:highlight w:val="none"/>
          <w:lang w:eastAsia="zh-CN"/>
        </w:rPr>
      </w:pPr>
      <w:bookmarkStart w:id="2" w:name="_Toc228163250"/>
      <w:bookmarkStart w:id="3" w:name="_Toc179632789"/>
      <w:bookmarkStart w:id="4" w:name="_Toc152045772"/>
      <w:bookmarkStart w:id="5" w:name="_Toc152042554"/>
      <w:bookmarkStart w:id="6" w:name="_Toc144974834"/>
      <w:r>
        <w:rPr>
          <w:rFonts w:hint="eastAsia" w:ascii="黑体" w:eastAsia="黑体"/>
          <w:b/>
          <w:color w:val="auto"/>
          <w:sz w:val="36"/>
          <w:szCs w:val="36"/>
          <w:highlight w:val="none"/>
        </w:rPr>
        <w:br w:type="page"/>
      </w:r>
      <w:bookmarkEnd w:id="2"/>
      <w:bookmarkEnd w:id="3"/>
      <w:bookmarkEnd w:id="4"/>
      <w:bookmarkEnd w:id="5"/>
      <w:bookmarkEnd w:id="6"/>
      <w:r>
        <w:rPr>
          <w:rFonts w:hint="eastAsia" w:ascii="宋体" w:hAnsi="宋体" w:eastAsia="宋体"/>
          <w:b/>
          <w:color w:val="auto"/>
          <w:sz w:val="36"/>
          <w:szCs w:val="36"/>
          <w:highlight w:val="none"/>
          <w:lang w:eastAsia="zh-CN"/>
        </w:rPr>
        <w:t>合同条款</w:t>
      </w:r>
    </w:p>
    <w:p w14:paraId="77E7B954">
      <w:pPr>
        <w:widowControl/>
        <w:shd w:val="clear" w:color="auto" w:fill="FFFFFF"/>
        <w:spacing w:after="150" w:line="360" w:lineRule="auto"/>
        <w:ind w:firstLine="480"/>
        <w:jc w:val="left"/>
        <w:rPr>
          <w:rFonts w:ascii="宋体" w:hAnsi="宋体" w:eastAsia="宋体" w:cs="Times New Roman"/>
          <w:color w:val="auto"/>
          <w:sz w:val="24"/>
        </w:rPr>
      </w:pPr>
      <w:r>
        <w:rPr>
          <w:rFonts w:ascii="宋体" w:hAnsi="宋体" w:eastAsia="宋体" w:cs="Times New Roman"/>
          <w:color w:val="auto"/>
          <w:sz w:val="24"/>
        </w:rPr>
        <w:t>以下为成交后签定本项目合同的通用条款，成交供应商不得提出实质性的修改，关于专用条款将由采购人与成交供应商结合本项目具体情况协商后签订。</w:t>
      </w:r>
    </w:p>
    <w:p w14:paraId="6763FC57">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项目名称：                                       项目编号：</w:t>
      </w:r>
    </w:p>
    <w:p w14:paraId="39FCC6CE">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甲方：（</w:t>
      </w:r>
      <w:r>
        <w:rPr>
          <w:rFonts w:hint="eastAsia" w:ascii="宋体" w:hAnsi="宋体" w:eastAsia="宋体" w:cs="Times New Roman"/>
          <w:color w:val="auto"/>
          <w:kern w:val="2"/>
          <w:sz w:val="24"/>
          <w:szCs w:val="24"/>
          <w:lang w:val="en-US" w:eastAsia="zh-CN" w:bidi="ar-SA"/>
        </w:rPr>
        <w:t>采购人</w:t>
      </w:r>
      <w:r>
        <w:rPr>
          <w:rFonts w:ascii="宋体" w:hAnsi="宋体" w:eastAsia="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 xml:space="preserve">                              所在地：                              </w:t>
      </w:r>
    </w:p>
    <w:p w14:paraId="54C805C3">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乙方：（</w:t>
      </w:r>
      <w:r>
        <w:rPr>
          <w:rFonts w:hint="eastAsia" w:ascii="宋体" w:hAnsi="宋体" w:eastAsia="宋体" w:cs="Times New Roman"/>
          <w:color w:val="auto"/>
          <w:kern w:val="2"/>
          <w:sz w:val="24"/>
          <w:szCs w:val="24"/>
          <w:lang w:val="en-US" w:eastAsia="zh-CN" w:bidi="ar-SA"/>
        </w:rPr>
        <w:t>成交供应商</w:t>
      </w:r>
      <w:r>
        <w:rPr>
          <w:rFonts w:ascii="宋体" w:hAnsi="宋体" w:eastAsia="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 xml:space="preserve">                          所在地：</w:t>
      </w:r>
    </w:p>
    <w:p w14:paraId="66A6B000">
      <w:pPr>
        <w:pStyle w:val="11"/>
        <w:snapToGrid w:val="0"/>
        <w:spacing w:before="120" w:after="120" w:line="360" w:lineRule="auto"/>
        <w:rPr>
          <w:rFonts w:ascii="宋体" w:hAnsi="宋体" w:eastAsia="宋体"/>
          <w:b/>
          <w:color w:val="auto"/>
          <w:sz w:val="24"/>
          <w:szCs w:val="24"/>
        </w:rPr>
      </w:pPr>
      <w:r>
        <w:rPr>
          <w:rFonts w:ascii="宋体" w:hAnsi="宋体" w:eastAsia="宋体"/>
          <w:color w:val="auto"/>
          <w:sz w:val="24"/>
          <w:szCs w:val="24"/>
        </w:rPr>
        <w:t>甲、乙双方根据</w:t>
      </w:r>
      <w:r>
        <w:rPr>
          <w:rFonts w:hint="eastAsia" w:hAnsi="宋体" w:cs="Arial"/>
          <w:color w:val="auto"/>
          <w:sz w:val="24"/>
          <w:szCs w:val="24"/>
          <w:lang w:eastAsia="zh-CN"/>
        </w:rPr>
        <w:t>台州中域工程咨询有限公司</w:t>
      </w:r>
      <w:r>
        <w:rPr>
          <w:rFonts w:hint="eastAsia" w:ascii="宋体" w:hAnsi="宋体" w:eastAsia="宋体"/>
          <w:color w:val="auto"/>
          <w:sz w:val="24"/>
          <w:szCs w:val="24"/>
          <w:lang w:val="en-US" w:eastAsia="zh-CN"/>
        </w:rPr>
        <w:t>(采购组织机构名称）</w:t>
      </w:r>
      <w:r>
        <w:rPr>
          <w:rFonts w:ascii="宋体" w:hAnsi="宋体" w:eastAsia="宋体"/>
          <w:color w:val="auto"/>
          <w:sz w:val="24"/>
          <w:szCs w:val="24"/>
        </w:rPr>
        <w:t>关于</w:t>
      </w:r>
      <w:r>
        <w:rPr>
          <w:rFonts w:hint="eastAsia" w:hAnsi="宋体" w:cs="Arial"/>
          <w:color w:val="auto"/>
          <w:sz w:val="24"/>
          <w:szCs w:val="24"/>
          <w:lang w:eastAsia="zh-CN"/>
        </w:rPr>
        <w:t>玉环市特殊教育学校2025年玉环市特殊教育学校智慧体育及户外感统设备采购</w:t>
      </w:r>
      <w:r>
        <w:rPr>
          <w:rFonts w:ascii="宋体" w:hAnsi="宋体" w:eastAsia="宋体"/>
          <w:color w:val="auto"/>
          <w:sz w:val="24"/>
          <w:szCs w:val="24"/>
        </w:rPr>
        <w:t>公开招标的结果，签署本合同。</w:t>
      </w:r>
    </w:p>
    <w:p w14:paraId="7F8A2708">
      <w:pPr>
        <w:spacing w:line="360" w:lineRule="auto"/>
        <w:rPr>
          <w:rFonts w:ascii="宋体" w:hAnsi="Times New Roman" w:eastAsia="宋体" w:cs="Times New Roman"/>
          <w:color w:val="auto"/>
          <w:sz w:val="24"/>
          <w:lang w:val="zh-CN"/>
        </w:rPr>
      </w:pPr>
      <w:r>
        <w:rPr>
          <w:rFonts w:hint="eastAsia" w:ascii="宋体" w:hAnsi="Times New Roman" w:eastAsia="宋体" w:cs="Times New Roman"/>
          <w:color w:val="auto"/>
          <w:sz w:val="24"/>
          <w:lang w:val="zh-CN"/>
        </w:rPr>
        <w:t xml:space="preserve">一、合同文件： </w:t>
      </w:r>
    </w:p>
    <w:p w14:paraId="0D8B09F7">
      <w:pPr>
        <w:spacing w:line="360" w:lineRule="auto"/>
        <w:ind w:firstLine="480" w:firstLineChars="200"/>
        <w:rPr>
          <w:rFonts w:ascii="宋体" w:hAnsi="Times New Roman" w:eastAsia="宋体" w:cs="Times New Roman"/>
          <w:color w:val="auto"/>
          <w:sz w:val="24"/>
          <w:lang w:val="zh-CN"/>
        </w:rPr>
      </w:pPr>
      <w:r>
        <w:rPr>
          <w:rFonts w:hint="eastAsia" w:ascii="宋体" w:hAnsi="Times New Roman" w:eastAsia="宋体" w:cs="Times New Roman"/>
          <w:color w:val="auto"/>
          <w:sz w:val="24"/>
          <w:lang w:val="zh-CN"/>
        </w:rPr>
        <w:t>1.合同条款。</w:t>
      </w:r>
    </w:p>
    <w:p w14:paraId="02507C10">
      <w:pPr>
        <w:spacing w:line="360" w:lineRule="auto"/>
        <w:ind w:firstLine="480" w:firstLineChars="200"/>
        <w:rPr>
          <w:rFonts w:ascii="宋体" w:hAnsi="Times New Roman" w:eastAsia="宋体" w:cs="Times New Roman"/>
          <w:color w:val="auto"/>
          <w:sz w:val="24"/>
          <w:lang w:val="zh-CN"/>
        </w:rPr>
      </w:pPr>
      <w:r>
        <w:rPr>
          <w:rFonts w:hint="eastAsia" w:ascii="宋体" w:hAnsi="Times New Roman" w:eastAsia="宋体" w:cs="Times New Roman"/>
          <w:color w:val="auto"/>
          <w:sz w:val="24"/>
          <w:lang w:val="zh-CN"/>
        </w:rPr>
        <w:t>2.成交通知书。</w:t>
      </w:r>
    </w:p>
    <w:p w14:paraId="2838A53E">
      <w:pPr>
        <w:spacing w:line="360" w:lineRule="auto"/>
        <w:ind w:firstLine="480" w:firstLineChars="200"/>
        <w:rPr>
          <w:rFonts w:ascii="宋体" w:hAnsi="Times New Roman" w:eastAsia="宋体" w:cs="Times New Roman"/>
          <w:color w:val="auto"/>
          <w:sz w:val="24"/>
          <w:lang w:val="zh-CN"/>
        </w:rPr>
      </w:pPr>
      <w:r>
        <w:rPr>
          <w:rFonts w:hint="eastAsia" w:ascii="宋体" w:hAnsi="Times New Roman" w:eastAsia="宋体" w:cs="Times New Roman"/>
          <w:color w:val="auto"/>
          <w:sz w:val="24"/>
          <w:lang w:val="zh-CN"/>
        </w:rPr>
        <w:t>3.更正补充文件。</w:t>
      </w:r>
    </w:p>
    <w:p w14:paraId="42E658C8">
      <w:pPr>
        <w:spacing w:line="360" w:lineRule="auto"/>
        <w:ind w:firstLine="480" w:firstLineChars="200"/>
        <w:rPr>
          <w:rFonts w:ascii="宋体" w:hAnsi="Times New Roman" w:eastAsia="宋体" w:cs="Times New Roman"/>
          <w:color w:val="auto"/>
          <w:sz w:val="24"/>
          <w:lang w:val="zh-CN"/>
        </w:rPr>
      </w:pPr>
      <w:r>
        <w:rPr>
          <w:rFonts w:hint="eastAsia" w:ascii="宋体" w:hAnsi="Times New Roman" w:eastAsia="宋体" w:cs="Times New Roman"/>
          <w:color w:val="auto"/>
          <w:sz w:val="24"/>
          <w:lang w:val="zh-CN"/>
        </w:rPr>
        <w:t>4.磋商采购文件。</w:t>
      </w:r>
    </w:p>
    <w:p w14:paraId="159D6268">
      <w:pPr>
        <w:spacing w:line="360" w:lineRule="auto"/>
        <w:ind w:firstLine="480" w:firstLineChars="200"/>
        <w:rPr>
          <w:rFonts w:ascii="宋体" w:hAnsi="Times New Roman" w:eastAsia="宋体" w:cs="Times New Roman"/>
          <w:color w:val="auto"/>
          <w:sz w:val="24"/>
          <w:lang w:val="zh-CN"/>
        </w:rPr>
      </w:pPr>
      <w:r>
        <w:rPr>
          <w:rFonts w:hint="eastAsia" w:ascii="宋体" w:hAnsi="Times New Roman" w:eastAsia="宋体" w:cs="Times New Roman"/>
          <w:color w:val="auto"/>
          <w:sz w:val="24"/>
          <w:lang w:val="zh-CN"/>
        </w:rPr>
        <w:t>5.成交供应商磋商响应文件。</w:t>
      </w:r>
    </w:p>
    <w:p w14:paraId="0A419589">
      <w:pPr>
        <w:spacing w:line="360" w:lineRule="auto"/>
        <w:ind w:firstLine="480" w:firstLineChars="200"/>
        <w:rPr>
          <w:rFonts w:ascii="宋体" w:hAnsi="Times New Roman" w:eastAsia="宋体" w:cs="Times New Roman"/>
          <w:color w:val="auto"/>
          <w:sz w:val="24"/>
          <w:lang w:val="zh-CN"/>
        </w:rPr>
      </w:pPr>
      <w:r>
        <w:rPr>
          <w:rFonts w:hint="eastAsia" w:ascii="宋体" w:hAnsi="Times New Roman" w:eastAsia="宋体" w:cs="Times New Roman"/>
          <w:color w:val="auto"/>
          <w:sz w:val="24"/>
          <w:lang w:val="zh-CN"/>
        </w:rPr>
        <w:t>6.其他。</w:t>
      </w:r>
    </w:p>
    <w:p w14:paraId="535D057C">
      <w:pPr>
        <w:widowControl w:val="0"/>
        <w:snapToGrid w:val="0"/>
        <w:spacing w:line="360" w:lineRule="auto"/>
        <w:ind w:firstLine="480" w:firstLineChars="200"/>
        <w:jc w:val="both"/>
        <w:rPr>
          <w:rFonts w:ascii="宋体" w:hAnsi="Times New Roman" w:eastAsia="宋体" w:cs="Times New Roman"/>
          <w:color w:val="auto"/>
          <w:kern w:val="2"/>
          <w:sz w:val="24"/>
          <w:szCs w:val="24"/>
          <w:lang w:val="zh-CN" w:eastAsia="zh-CN" w:bidi="ar-SA"/>
        </w:rPr>
      </w:pPr>
      <w:r>
        <w:rPr>
          <w:rFonts w:hint="eastAsia" w:ascii="宋体" w:hAnsi="Courier New" w:eastAsia="宋体" w:cs="Times New Roman"/>
          <w:color w:val="auto"/>
          <w:kern w:val="2"/>
          <w:sz w:val="24"/>
          <w:szCs w:val="24"/>
          <w:lang w:val="zh-CN" w:eastAsia="zh-CN" w:bidi="ar-SA"/>
        </w:rPr>
        <w:t>上述所指合同文件应认为是互相补充和解释的，但是有模棱两可或互相矛盾之处，以其所列内容顺序为准。</w:t>
      </w:r>
    </w:p>
    <w:p w14:paraId="1DA4ABF3">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二</w:t>
      </w:r>
      <w:r>
        <w:rPr>
          <w:rFonts w:ascii="宋体" w:hAnsi="宋体" w:eastAsia="宋体" w:cs="Times New Roman"/>
          <w:b/>
          <w:color w:val="auto"/>
          <w:kern w:val="2"/>
          <w:sz w:val="24"/>
          <w:szCs w:val="24"/>
          <w:lang w:val="en-US" w:eastAsia="zh-CN" w:bidi="ar-SA"/>
        </w:rPr>
        <w:t>、货物内容</w:t>
      </w:r>
    </w:p>
    <w:p w14:paraId="32803713">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 货物名称：</w:t>
      </w:r>
    </w:p>
    <w:p w14:paraId="68E6343F">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r>
        <w:rPr>
          <w:rFonts w:ascii="宋体" w:hAnsi="宋体" w:eastAsia="宋体" w:cs="Times New Roman"/>
          <w:color w:val="auto"/>
          <w:kern w:val="2"/>
          <w:sz w:val="24"/>
          <w:szCs w:val="24"/>
          <w:lang w:val="en-US" w:eastAsia="zh-CN" w:bidi="ar-SA"/>
        </w:rPr>
        <w:t>. 型号规格：</w:t>
      </w:r>
    </w:p>
    <w:p w14:paraId="02A850E5">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r>
        <w:rPr>
          <w:rFonts w:ascii="宋体" w:hAnsi="宋体" w:eastAsia="宋体" w:cs="Times New Roman"/>
          <w:color w:val="auto"/>
          <w:kern w:val="2"/>
          <w:sz w:val="24"/>
          <w:szCs w:val="24"/>
          <w:lang w:val="en-US" w:eastAsia="zh-CN" w:bidi="ar-SA"/>
        </w:rPr>
        <w:t>. 技术参数：</w:t>
      </w:r>
    </w:p>
    <w:p w14:paraId="39B8531B">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数量（单位）：</w:t>
      </w:r>
    </w:p>
    <w:p w14:paraId="5E22DC07">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三</w:t>
      </w:r>
      <w:r>
        <w:rPr>
          <w:rFonts w:ascii="宋体" w:hAnsi="宋体" w:eastAsia="宋体" w:cs="Times New Roman"/>
          <w:b/>
          <w:color w:val="auto"/>
          <w:kern w:val="2"/>
          <w:sz w:val="24"/>
          <w:szCs w:val="24"/>
          <w:lang w:val="en-US" w:eastAsia="zh-CN" w:bidi="ar-SA"/>
        </w:rPr>
        <w:t>、合同金额</w:t>
      </w:r>
    </w:p>
    <w:p w14:paraId="676A3A11">
      <w:pPr>
        <w:widowControl w:val="0"/>
        <w:snapToGrid w:val="0"/>
        <w:spacing w:before="120" w:after="120" w:line="360" w:lineRule="auto"/>
        <w:ind w:left="410" w:hanging="410" w:hangingChars="171"/>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 xml:space="preserve"> 本合同金额为（大写）：____________________________________元（￥_______________元）人民币。</w:t>
      </w:r>
    </w:p>
    <w:p w14:paraId="2CEC6B5C">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四</w:t>
      </w:r>
      <w:r>
        <w:rPr>
          <w:rFonts w:ascii="宋体" w:hAnsi="宋体" w:eastAsia="宋体" w:cs="Times New Roman"/>
          <w:b/>
          <w:color w:val="auto"/>
          <w:kern w:val="2"/>
          <w:sz w:val="24"/>
          <w:szCs w:val="24"/>
          <w:lang w:val="en-US" w:eastAsia="zh-CN" w:bidi="ar-SA"/>
        </w:rPr>
        <w:t>、技术资料</w:t>
      </w:r>
    </w:p>
    <w:p w14:paraId="6B62E60F">
      <w:pPr>
        <w:widowControl w:val="0"/>
        <w:snapToGrid w:val="0"/>
        <w:spacing w:before="120" w:after="120" w:line="360" w:lineRule="auto"/>
        <w:ind w:left="410" w:hanging="410" w:hangingChars="171"/>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乙方应按</w:t>
      </w:r>
      <w:r>
        <w:rPr>
          <w:rFonts w:hint="eastAsia" w:ascii="宋体" w:hAnsi="宋体" w:eastAsia="宋体" w:cs="Times New Roman"/>
          <w:color w:val="auto"/>
          <w:kern w:val="2"/>
          <w:sz w:val="24"/>
          <w:szCs w:val="24"/>
          <w:lang w:val="en-US" w:eastAsia="zh-CN" w:bidi="ar-SA"/>
        </w:rPr>
        <w:t>磋商采购</w:t>
      </w:r>
      <w:r>
        <w:rPr>
          <w:rFonts w:ascii="宋体" w:hAnsi="宋体" w:eastAsia="宋体" w:cs="Times New Roman"/>
          <w:color w:val="auto"/>
          <w:kern w:val="2"/>
          <w:sz w:val="24"/>
          <w:szCs w:val="24"/>
          <w:lang w:val="en-US" w:eastAsia="zh-CN" w:bidi="ar-SA"/>
        </w:rPr>
        <w:t>文件规定的时间向甲方提供使用货物的有关技术资料。</w:t>
      </w:r>
    </w:p>
    <w:p w14:paraId="3C5AA082">
      <w:pPr>
        <w:widowControl w:val="0"/>
        <w:snapToGrid w:val="0"/>
        <w:spacing w:before="120" w:after="120" w:line="360" w:lineRule="auto"/>
        <w:ind w:left="410" w:hanging="410" w:hangingChars="171"/>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E12E90">
      <w:pPr>
        <w:widowControl w:val="0"/>
        <w:snapToGrid w:val="0"/>
        <w:spacing w:before="120" w:after="120" w:line="360" w:lineRule="auto"/>
        <w:ind w:left="412" w:hanging="412" w:hangingChars="171"/>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五</w:t>
      </w:r>
      <w:r>
        <w:rPr>
          <w:rFonts w:ascii="宋体" w:hAnsi="宋体" w:eastAsia="宋体" w:cs="Times New Roman"/>
          <w:b/>
          <w:color w:val="auto"/>
          <w:kern w:val="2"/>
          <w:sz w:val="24"/>
          <w:szCs w:val="24"/>
          <w:lang w:val="en-US" w:eastAsia="zh-CN" w:bidi="ar-SA"/>
        </w:rPr>
        <w:t>、知识产权</w:t>
      </w:r>
    </w:p>
    <w:p w14:paraId="2CE7DF88">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r>
        <w:rPr>
          <w:rFonts w:ascii="宋体" w:hAnsi="宋体" w:eastAsia="宋体" w:cs="Times New Roman"/>
          <w:color w:val="auto"/>
          <w:kern w:val="2"/>
          <w:sz w:val="24"/>
          <w:szCs w:val="24"/>
          <w:lang w:val="en-US" w:eastAsia="zh-CN" w:bidi="ar-SA"/>
        </w:rPr>
        <w:t>乙方应保证所提供的货物或其任何一部分均不会侵犯任何第三方的知识产权。</w:t>
      </w:r>
    </w:p>
    <w:p w14:paraId="7B89F1D4">
      <w:pPr>
        <w:widowControl w:val="0"/>
        <w:snapToGrid w:val="0"/>
        <w:spacing w:before="120" w:after="120" w:line="360" w:lineRule="auto"/>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2.若侵犯,由乙方赔偿甲方因此遭受的损失（包括但不限于应对及追偿过程中所支付的律师费、差旅费、诉讼费、保全费、鉴定费、评估费等）。</w:t>
      </w:r>
    </w:p>
    <w:p w14:paraId="17678F8C">
      <w:pPr>
        <w:widowControl w:val="0"/>
        <w:snapToGrid w:val="0"/>
        <w:spacing w:before="120" w:after="120" w:line="360" w:lineRule="auto"/>
        <w:jc w:val="both"/>
        <w:rPr>
          <w:rFonts w:ascii="宋体" w:hAnsi="宋体" w:eastAsia="宋体" w:cs="Times New Roman"/>
          <w:color w:val="auto"/>
          <w:kern w:val="2"/>
          <w:sz w:val="24"/>
          <w:szCs w:val="24"/>
          <w:u w:val="single"/>
          <w:lang w:val="en-US" w:eastAsia="zh-CN" w:bidi="ar-SA"/>
        </w:rPr>
      </w:pPr>
      <w:r>
        <w:rPr>
          <w:rFonts w:hint="eastAsia" w:ascii="宋体" w:hAnsi="宋体" w:eastAsia="宋体" w:cs="Times New Roman"/>
          <w:b/>
          <w:color w:val="auto"/>
          <w:kern w:val="2"/>
          <w:sz w:val="24"/>
          <w:szCs w:val="24"/>
          <w:lang w:val="en-US" w:eastAsia="zh-CN" w:bidi="ar-SA"/>
        </w:rPr>
        <w:t>六</w:t>
      </w:r>
      <w:r>
        <w:rPr>
          <w:rFonts w:ascii="宋体" w:hAnsi="宋体" w:eastAsia="宋体" w:cs="Times New Roman"/>
          <w:b/>
          <w:color w:val="auto"/>
          <w:kern w:val="2"/>
          <w:sz w:val="24"/>
          <w:szCs w:val="24"/>
          <w:lang w:val="en-US" w:eastAsia="zh-CN" w:bidi="ar-SA"/>
        </w:rPr>
        <w:t>、产权担保</w:t>
      </w:r>
    </w:p>
    <w:p w14:paraId="505A8800">
      <w:pPr>
        <w:widowControl w:val="0"/>
        <w:snapToGrid w:val="0"/>
        <w:spacing w:before="120" w:after="120" w:line="360" w:lineRule="auto"/>
        <w:jc w:val="both"/>
        <w:rPr>
          <w:rFonts w:ascii="宋体" w:hAnsi="宋体" w:eastAsia="宋体" w:cs="Times New Roman"/>
          <w:color w:val="auto"/>
          <w:kern w:val="2"/>
          <w:sz w:val="24"/>
          <w:szCs w:val="24"/>
          <w:u w:val="single"/>
          <w:lang w:val="en-US" w:eastAsia="zh-CN" w:bidi="ar-SA"/>
        </w:rPr>
      </w:pPr>
      <w:r>
        <w:rPr>
          <w:rFonts w:ascii="宋体" w:hAnsi="宋体" w:eastAsia="宋体" w:cs="Times New Roman"/>
          <w:color w:val="auto"/>
          <w:kern w:val="2"/>
          <w:sz w:val="24"/>
          <w:szCs w:val="24"/>
          <w:lang w:val="en-US" w:eastAsia="zh-CN" w:bidi="ar-SA"/>
        </w:rPr>
        <w:t>乙方保证所交付的货物的所有权完全属于乙方且无任何抵押、查封等产权瑕疵。</w:t>
      </w:r>
    </w:p>
    <w:p w14:paraId="1FBAFB41">
      <w:pPr>
        <w:widowControl w:val="0"/>
        <w:snapToGrid w:val="0"/>
        <w:spacing w:before="120" w:after="120" w:line="360" w:lineRule="auto"/>
        <w:ind w:left="410" w:hanging="410" w:hangingChars="170"/>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七</w:t>
      </w:r>
      <w:r>
        <w:rPr>
          <w:rFonts w:ascii="宋体" w:hAnsi="宋体" w:eastAsia="宋体" w:cs="Times New Roman"/>
          <w:b/>
          <w:color w:val="auto"/>
          <w:kern w:val="2"/>
          <w:sz w:val="24"/>
          <w:szCs w:val="24"/>
          <w:lang w:val="en-US" w:eastAsia="zh-CN" w:bidi="ar-SA"/>
        </w:rPr>
        <w:t>、履约保证金</w:t>
      </w:r>
    </w:p>
    <w:p w14:paraId="1D492FDD">
      <w:pPr>
        <w:tabs>
          <w:tab w:val="left" w:pos="1418"/>
        </w:tabs>
        <w:autoSpaceDE w:val="0"/>
        <w:autoSpaceDN w:val="0"/>
        <w:adjustRightInd w:val="0"/>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rPr>
        <w:t>本项目履约保证金为合同金额的</w:t>
      </w:r>
      <w:r>
        <w:rPr>
          <w:rFonts w:hint="eastAsia" w:ascii="宋体" w:hAnsi="宋体" w:eastAsia="宋体" w:cs="Times New Roman"/>
          <w:color w:val="auto"/>
          <w:sz w:val="24"/>
          <w:lang w:val="en-US" w:eastAsia="zh-CN"/>
        </w:rPr>
        <w:t>1</w:t>
      </w:r>
      <w:r>
        <w:rPr>
          <w:rFonts w:hint="eastAsia" w:ascii="宋体" w:hAnsi="宋体" w:eastAsia="宋体" w:cs="Times New Roman"/>
          <w:color w:val="auto"/>
          <w:sz w:val="24"/>
        </w:rPr>
        <w:t>%。</w:t>
      </w:r>
      <w:r>
        <w:rPr>
          <w:rFonts w:hint="eastAsia" w:ascii="宋体" w:hAnsi="宋体" w:eastAsia="宋体" w:cs="Times New Roman"/>
          <w:color w:val="auto"/>
          <w:sz w:val="24"/>
          <w:lang w:val="zh-CN"/>
        </w:rPr>
        <w:t>[</w:t>
      </w:r>
      <w:r>
        <w:rPr>
          <w:rFonts w:hint="eastAsia" w:ascii="宋体" w:hAnsi="宋体" w:eastAsia="宋体" w:cs="Times New Roman"/>
          <w:color w:val="auto"/>
          <w:sz w:val="24"/>
        </w:rPr>
        <w:t>签订合同后，中标（成交）方须在3日内提供合同金额</w:t>
      </w:r>
      <w:r>
        <w:rPr>
          <w:rFonts w:hint="eastAsia" w:ascii="宋体" w:hAnsi="宋体" w:eastAsia="宋体" w:cs="Times New Roman"/>
          <w:color w:val="auto"/>
          <w:sz w:val="24"/>
          <w:lang w:val="en-US" w:eastAsia="zh-CN"/>
        </w:rPr>
        <w:t>1</w:t>
      </w:r>
      <w:r>
        <w:rPr>
          <w:rFonts w:hint="eastAsia" w:ascii="宋体" w:hAnsi="宋体" w:eastAsia="宋体" w:cs="Times New Roman"/>
          <w:color w:val="auto"/>
          <w:sz w:val="24"/>
        </w:rPr>
        <w:t>%的履约保证金至采购人账户</w:t>
      </w:r>
      <w:r>
        <w:rPr>
          <w:rFonts w:hint="eastAsia" w:ascii="宋体" w:hAnsi="宋体" w:eastAsia="宋体" w:cs="Times New Roman"/>
          <w:color w:val="auto"/>
          <w:sz w:val="24"/>
          <w:lang w:val="zh-CN"/>
        </w:rPr>
        <w:t>]</w:t>
      </w:r>
    </w:p>
    <w:p w14:paraId="544E18F1">
      <w:pPr>
        <w:widowControl w:val="0"/>
        <w:snapToGrid w:val="0"/>
        <w:spacing w:before="120" w:after="120" w:line="360" w:lineRule="auto"/>
        <w:ind w:left="410" w:hanging="410" w:hangingChars="170"/>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八、转包或分包</w:t>
      </w:r>
    </w:p>
    <w:p w14:paraId="15E45F72">
      <w:pPr>
        <w:snapToGrid w:val="0"/>
        <w:spacing w:before="156" w:beforeLines="50" w:after="156" w:afterLines="50" w:line="360" w:lineRule="auto"/>
        <w:rPr>
          <w:rFonts w:ascii="宋体" w:hAnsi="宋体"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.本合同范围的货物，应由</w:t>
      </w:r>
      <w:r>
        <w:rPr>
          <w:rFonts w:ascii="宋体" w:hAnsi="宋体" w:eastAsia="宋体" w:cs="Times New Roman"/>
          <w:color w:val="auto"/>
          <w:sz w:val="24"/>
        </w:rPr>
        <w:t>乙</w:t>
      </w:r>
      <w:r>
        <w:rPr>
          <w:rFonts w:hint="eastAsia" w:ascii="宋体" w:hAnsi="宋体" w:eastAsia="宋体" w:cs="Times New Roman"/>
          <w:color w:val="auto"/>
          <w:sz w:val="24"/>
        </w:rPr>
        <w:t>方直接供应，不得转让他人供应；</w:t>
      </w:r>
    </w:p>
    <w:p w14:paraId="561524E7">
      <w:pPr>
        <w:snapToGrid w:val="0"/>
        <w:spacing w:before="156" w:beforeLines="50" w:after="156" w:afterLines="50" w:line="360" w:lineRule="auto"/>
        <w:rPr>
          <w:rFonts w:ascii="宋体" w:hAnsi="宋体"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.除非得到</w:t>
      </w:r>
      <w:r>
        <w:rPr>
          <w:rFonts w:ascii="宋体" w:hAnsi="宋体" w:eastAsia="宋体" w:cs="Times New Roman"/>
          <w:color w:val="auto"/>
          <w:sz w:val="24"/>
        </w:rPr>
        <w:t>甲</w:t>
      </w:r>
      <w:r>
        <w:rPr>
          <w:rFonts w:hint="eastAsia" w:ascii="宋体" w:hAnsi="宋体" w:eastAsia="宋体" w:cs="Times New Roman"/>
          <w:color w:val="auto"/>
          <w:sz w:val="24"/>
        </w:rPr>
        <w:t>方的书面同意，</w:t>
      </w:r>
      <w:r>
        <w:rPr>
          <w:rFonts w:ascii="宋体" w:hAnsi="宋体" w:eastAsia="宋体" w:cs="Times New Roman"/>
          <w:color w:val="auto"/>
          <w:sz w:val="24"/>
        </w:rPr>
        <w:t>乙</w:t>
      </w:r>
      <w:r>
        <w:rPr>
          <w:rFonts w:hint="eastAsia" w:ascii="宋体" w:hAnsi="宋体" w:eastAsia="宋体" w:cs="Times New Roman"/>
          <w:color w:val="auto"/>
          <w:sz w:val="24"/>
        </w:rPr>
        <w:t>方不得将本合同范围的货物全部或部分分包给他人供应；</w:t>
      </w:r>
    </w:p>
    <w:p w14:paraId="314173A7">
      <w:pPr>
        <w:snapToGrid w:val="0"/>
        <w:spacing w:before="156" w:beforeLines="50" w:after="156" w:afterLines="50" w:line="360" w:lineRule="auto"/>
        <w:rPr>
          <w:rFonts w:ascii="宋体" w:hAnsi="宋体"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.如有转让和未经</w:t>
      </w:r>
      <w:r>
        <w:rPr>
          <w:rFonts w:ascii="宋体" w:hAnsi="宋体" w:eastAsia="宋体" w:cs="Times New Roman"/>
          <w:color w:val="auto"/>
          <w:sz w:val="24"/>
        </w:rPr>
        <w:t>甲</w:t>
      </w:r>
      <w:r>
        <w:rPr>
          <w:rFonts w:hint="eastAsia" w:ascii="宋体" w:hAnsi="宋体" w:eastAsia="宋体" w:cs="Times New Roman"/>
          <w:color w:val="auto"/>
          <w:sz w:val="24"/>
        </w:rPr>
        <w:t>方同意的分包行为，</w:t>
      </w:r>
      <w:r>
        <w:rPr>
          <w:rFonts w:ascii="宋体" w:hAnsi="宋体" w:eastAsia="宋体" w:cs="Times New Roman"/>
          <w:color w:val="auto"/>
          <w:sz w:val="24"/>
        </w:rPr>
        <w:t>甲</w:t>
      </w:r>
      <w:r>
        <w:rPr>
          <w:rFonts w:hint="eastAsia" w:ascii="宋体" w:hAnsi="宋体" w:eastAsia="宋体" w:cs="Times New Roman"/>
          <w:color w:val="auto"/>
          <w:sz w:val="24"/>
        </w:rPr>
        <w:t>方有权解除合同，没收履约保证金并追究乙方的违约责任。</w:t>
      </w:r>
    </w:p>
    <w:p w14:paraId="74DC6427">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九</w:t>
      </w:r>
      <w:r>
        <w:rPr>
          <w:rFonts w:ascii="宋体" w:hAnsi="宋体" w:eastAsia="宋体" w:cs="Times New Roman"/>
          <w:b/>
          <w:color w:val="auto"/>
          <w:kern w:val="2"/>
          <w:sz w:val="24"/>
          <w:szCs w:val="24"/>
          <w:lang w:val="en-US" w:eastAsia="zh-CN" w:bidi="ar-SA"/>
        </w:rPr>
        <w:t>、质保期</w:t>
      </w:r>
    </w:p>
    <w:p w14:paraId="28323457">
      <w:pPr>
        <w:widowControl w:val="0"/>
        <w:snapToGrid w:val="0"/>
        <w:spacing w:before="120" w:after="120" w:line="360" w:lineRule="auto"/>
        <w:ind w:left="410" w:hanging="410" w:hangingChars="171"/>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质保期</w:t>
      </w:r>
      <w:r>
        <w:rPr>
          <w:rFonts w:hint="eastAsia" w:ascii="宋体" w:hAnsi="宋体" w:cs="Times New Roman"/>
          <w:color w:val="auto"/>
          <w:kern w:val="2"/>
          <w:sz w:val="24"/>
          <w:szCs w:val="24"/>
          <w:lang w:val="en-US" w:eastAsia="zh-CN" w:bidi="ar-SA"/>
        </w:rPr>
        <w:t>1</w:t>
      </w:r>
      <w:r>
        <w:rPr>
          <w:rFonts w:ascii="宋体" w:hAnsi="宋体" w:eastAsia="宋体" w:cs="Times New Roman"/>
          <w:color w:val="auto"/>
          <w:kern w:val="2"/>
          <w:sz w:val="24"/>
          <w:szCs w:val="24"/>
          <w:lang w:val="en-US" w:eastAsia="zh-CN" w:bidi="ar-SA"/>
        </w:rPr>
        <w:t>年。（自交货验收合格之日起计）</w:t>
      </w:r>
    </w:p>
    <w:p w14:paraId="3522FA65">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十</w:t>
      </w:r>
      <w:r>
        <w:rPr>
          <w:rFonts w:ascii="宋体" w:hAnsi="宋体" w:eastAsia="宋体" w:cs="Times New Roman"/>
          <w:b/>
          <w:color w:val="auto"/>
          <w:kern w:val="2"/>
          <w:sz w:val="24"/>
          <w:szCs w:val="24"/>
          <w:lang w:val="en-US" w:eastAsia="zh-CN" w:bidi="ar-SA"/>
        </w:rPr>
        <w:t>、交货期、交货方式及交货地点</w:t>
      </w:r>
    </w:p>
    <w:p w14:paraId="498105E8">
      <w:pPr>
        <w:widowControl w:val="0"/>
        <w:snapToGrid w:val="0"/>
        <w:spacing w:before="120" w:after="120" w:line="360" w:lineRule="auto"/>
        <w:jc w:val="both"/>
        <w:rPr>
          <w:rFonts w:ascii="宋体" w:hAnsi="宋体" w:eastAsia="宋体" w:cs="Times New Roman"/>
          <w:bCs/>
          <w:color w:val="auto"/>
          <w:kern w:val="2"/>
          <w:sz w:val="24"/>
          <w:szCs w:val="24"/>
          <w:lang w:val="en-US" w:eastAsia="zh-CN" w:bidi="ar-SA"/>
        </w:rPr>
      </w:pPr>
      <w:r>
        <w:rPr>
          <w:rFonts w:ascii="宋体" w:hAnsi="宋体" w:eastAsia="宋体" w:cs="Times New Roman"/>
          <w:bCs/>
          <w:color w:val="auto"/>
          <w:kern w:val="2"/>
          <w:sz w:val="24"/>
          <w:szCs w:val="24"/>
          <w:lang w:val="en-US" w:eastAsia="zh-CN" w:bidi="ar-SA"/>
        </w:rPr>
        <w:t>1</w:t>
      </w:r>
      <w:r>
        <w:rPr>
          <w:rFonts w:hint="eastAsia" w:ascii="宋体" w:hAnsi="宋体" w:eastAsia="宋体" w:cs="Times New Roman"/>
          <w:bCs/>
          <w:color w:val="auto"/>
          <w:kern w:val="2"/>
          <w:sz w:val="24"/>
          <w:szCs w:val="24"/>
          <w:lang w:val="en-US" w:eastAsia="zh-CN" w:bidi="ar-SA"/>
        </w:rPr>
        <w:t>.</w:t>
      </w:r>
      <w:r>
        <w:rPr>
          <w:rFonts w:ascii="宋体" w:hAnsi="宋体" w:eastAsia="宋体" w:cs="Times New Roman"/>
          <w:bCs/>
          <w:color w:val="auto"/>
          <w:kern w:val="2"/>
          <w:sz w:val="24"/>
          <w:szCs w:val="24"/>
          <w:lang w:val="en-US" w:eastAsia="zh-CN" w:bidi="ar-SA"/>
        </w:rPr>
        <w:t xml:space="preserve"> 交货期：</w:t>
      </w:r>
      <w:r>
        <w:rPr>
          <w:rFonts w:hint="eastAsia" w:ascii="宋体" w:hAnsi="宋体" w:eastAsia="宋体"/>
          <w:bCs/>
          <w:color w:val="auto"/>
          <w:sz w:val="24"/>
          <w:szCs w:val="24"/>
          <w:lang w:eastAsia="zh-CN"/>
        </w:rPr>
        <w:t>合同签订后</w:t>
      </w:r>
      <w:r>
        <w:rPr>
          <w:rFonts w:hint="eastAsia" w:ascii="宋体" w:hAnsi="宋体" w:eastAsia="宋体"/>
          <w:bCs/>
          <w:color w:val="auto"/>
          <w:sz w:val="24"/>
          <w:szCs w:val="24"/>
          <w:lang w:val="en-US" w:eastAsia="zh-CN"/>
        </w:rPr>
        <w:t>30天内。</w:t>
      </w:r>
    </w:p>
    <w:p w14:paraId="39EA5E65">
      <w:pPr>
        <w:widowControl w:val="0"/>
        <w:snapToGrid w:val="0"/>
        <w:spacing w:before="120" w:after="120" w:line="360" w:lineRule="auto"/>
        <w:jc w:val="both"/>
        <w:rPr>
          <w:rFonts w:ascii="宋体" w:hAnsi="宋体" w:eastAsia="宋体" w:cs="Times New Roman"/>
          <w:bCs/>
          <w:color w:val="auto"/>
          <w:kern w:val="2"/>
          <w:sz w:val="24"/>
          <w:szCs w:val="24"/>
          <w:lang w:val="en-US" w:eastAsia="zh-CN" w:bidi="ar-SA"/>
        </w:rPr>
      </w:pPr>
      <w:r>
        <w:rPr>
          <w:rFonts w:ascii="宋体" w:hAnsi="宋体" w:eastAsia="宋体" w:cs="Times New Roman"/>
          <w:bCs/>
          <w:color w:val="auto"/>
          <w:kern w:val="2"/>
          <w:sz w:val="24"/>
          <w:szCs w:val="24"/>
          <w:lang w:val="en-US" w:eastAsia="zh-CN" w:bidi="ar-SA"/>
        </w:rPr>
        <w:t>2</w:t>
      </w:r>
      <w:r>
        <w:rPr>
          <w:rFonts w:hint="eastAsia" w:ascii="宋体" w:hAnsi="宋体" w:eastAsia="宋体" w:cs="Times New Roman"/>
          <w:bCs/>
          <w:color w:val="auto"/>
          <w:kern w:val="2"/>
          <w:sz w:val="24"/>
          <w:szCs w:val="24"/>
          <w:lang w:val="en-US" w:eastAsia="zh-CN" w:bidi="ar-SA"/>
        </w:rPr>
        <w:t>.</w:t>
      </w:r>
      <w:r>
        <w:rPr>
          <w:rFonts w:ascii="宋体" w:hAnsi="宋体" w:eastAsia="宋体" w:cs="Times New Roman"/>
          <w:bCs/>
          <w:color w:val="auto"/>
          <w:kern w:val="2"/>
          <w:sz w:val="24"/>
          <w:szCs w:val="24"/>
          <w:lang w:val="en-US" w:eastAsia="zh-CN" w:bidi="ar-SA"/>
        </w:rPr>
        <w:t xml:space="preserve"> 交货方式：</w:t>
      </w:r>
    </w:p>
    <w:p w14:paraId="491B8602">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Cs/>
          <w:color w:val="auto"/>
          <w:kern w:val="2"/>
          <w:sz w:val="24"/>
          <w:szCs w:val="24"/>
          <w:lang w:val="en-US" w:eastAsia="zh-CN" w:bidi="ar-SA"/>
        </w:rPr>
        <w:t>3</w:t>
      </w:r>
      <w:r>
        <w:rPr>
          <w:rFonts w:hint="eastAsia" w:ascii="宋体" w:hAnsi="宋体" w:eastAsia="宋体" w:cs="Times New Roman"/>
          <w:bCs/>
          <w:color w:val="auto"/>
          <w:kern w:val="2"/>
          <w:sz w:val="24"/>
          <w:szCs w:val="24"/>
          <w:lang w:val="en-US" w:eastAsia="zh-CN" w:bidi="ar-SA"/>
        </w:rPr>
        <w:t>.</w:t>
      </w:r>
      <w:r>
        <w:rPr>
          <w:rFonts w:ascii="宋体" w:hAnsi="宋体" w:eastAsia="宋体" w:cs="Times New Roman"/>
          <w:bCs/>
          <w:color w:val="auto"/>
          <w:kern w:val="2"/>
          <w:sz w:val="24"/>
          <w:szCs w:val="24"/>
          <w:lang w:val="en-US" w:eastAsia="zh-CN" w:bidi="ar-SA"/>
        </w:rPr>
        <w:t xml:space="preserve"> 交货地点：</w:t>
      </w:r>
    </w:p>
    <w:p w14:paraId="713FD347">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一</w:t>
      </w:r>
      <w:r>
        <w:rPr>
          <w:rFonts w:ascii="宋体" w:hAnsi="宋体" w:eastAsia="宋体" w:cs="Times New Roman"/>
          <w:b/>
          <w:color w:val="auto"/>
          <w:kern w:val="2"/>
          <w:sz w:val="24"/>
          <w:szCs w:val="24"/>
          <w:lang w:val="en-US" w:eastAsia="zh-CN" w:bidi="ar-SA"/>
        </w:rPr>
        <w:t>、货款支付</w:t>
      </w:r>
    </w:p>
    <w:p w14:paraId="59C21883">
      <w:pPr>
        <w:widowControl w:val="0"/>
        <w:snapToGrid w:val="0"/>
        <w:spacing w:before="120" w:after="120" w:line="360" w:lineRule="auto"/>
        <w:jc w:val="both"/>
        <w:rPr>
          <w:rFonts w:ascii="宋体" w:hAnsi="宋体" w:eastAsia="宋体" w:cs="Times New Roman"/>
          <w:bCs/>
          <w:color w:val="auto"/>
          <w:kern w:val="2"/>
          <w:sz w:val="24"/>
          <w:szCs w:val="24"/>
          <w:lang w:val="en-US" w:eastAsia="zh-CN" w:bidi="ar-SA"/>
        </w:rPr>
      </w:pPr>
      <w:r>
        <w:rPr>
          <w:rFonts w:ascii="宋体" w:hAnsi="宋体" w:eastAsia="宋体" w:cs="Times New Roman"/>
          <w:bCs/>
          <w:color w:val="auto"/>
          <w:kern w:val="2"/>
          <w:sz w:val="24"/>
          <w:szCs w:val="24"/>
          <w:lang w:val="en-US" w:eastAsia="zh-CN" w:bidi="ar-SA"/>
        </w:rPr>
        <w:t>1</w:t>
      </w:r>
      <w:r>
        <w:rPr>
          <w:rFonts w:hint="eastAsia" w:ascii="宋体" w:hAnsi="宋体" w:eastAsia="宋体" w:cs="Times New Roman"/>
          <w:bCs/>
          <w:color w:val="auto"/>
          <w:kern w:val="2"/>
          <w:sz w:val="24"/>
          <w:szCs w:val="24"/>
          <w:lang w:val="en-US" w:eastAsia="zh-CN" w:bidi="ar-SA"/>
        </w:rPr>
        <w:t>.</w:t>
      </w:r>
      <w:r>
        <w:rPr>
          <w:rFonts w:ascii="宋体" w:hAnsi="宋体" w:eastAsia="宋体" w:cs="Times New Roman"/>
          <w:bCs/>
          <w:color w:val="auto"/>
          <w:kern w:val="2"/>
          <w:sz w:val="24"/>
          <w:szCs w:val="24"/>
          <w:lang w:val="en-US" w:eastAsia="zh-CN" w:bidi="ar-SA"/>
        </w:rPr>
        <w:t xml:space="preserve"> 付款方式：</w:t>
      </w:r>
      <w:r>
        <w:rPr>
          <w:rFonts w:hint="eastAsia" w:ascii="宋体" w:hAnsi="宋体" w:eastAsia="宋体" w:cs="Times New Roman"/>
          <w:bCs/>
          <w:color w:val="auto"/>
          <w:kern w:val="2"/>
          <w:sz w:val="24"/>
          <w:szCs w:val="24"/>
          <w:lang w:val="en-US" w:eastAsia="zh-CN" w:bidi="ar-SA"/>
        </w:rPr>
        <w:t>在合同签订生效以及具备实施条件后7个工作日内支付合同价款的40%为预付款，中标供应商将所有设备及产品安装调试完成，由采购人验收合格后向供应商支付至合同价款的100%。</w:t>
      </w:r>
    </w:p>
    <w:p w14:paraId="317C53C9">
      <w:pPr>
        <w:widowControl w:val="0"/>
        <w:snapToGrid w:val="0"/>
        <w:spacing w:line="360" w:lineRule="auto"/>
        <w:jc w:val="both"/>
        <w:rPr>
          <w:rFonts w:ascii="宋体" w:hAnsi="宋体" w:eastAsia="宋体" w:cs="Times New Roman"/>
          <w:bCs/>
          <w:color w:val="auto"/>
          <w:kern w:val="2"/>
          <w:sz w:val="24"/>
          <w:szCs w:val="24"/>
          <w:lang w:val="en-US" w:eastAsia="zh-CN" w:bidi="ar-SA"/>
        </w:rPr>
      </w:pPr>
      <w:r>
        <w:rPr>
          <w:rFonts w:hint="default" w:ascii="宋体" w:hAnsi="宋体" w:eastAsia="宋体" w:cs="Times New Roman"/>
          <w:bCs/>
          <w:color w:val="auto"/>
          <w:kern w:val="2"/>
          <w:sz w:val="24"/>
          <w:szCs w:val="24"/>
          <w:lang w:val="zh-CN" w:eastAsia="zh-CN" w:bidi="ar-SA"/>
        </w:rPr>
        <w:t>2.当采</w:t>
      </w:r>
      <w:r>
        <w:rPr>
          <w:rFonts w:hint="eastAsia" w:ascii="宋体" w:hAnsi="Times New Roman" w:eastAsia="宋体" w:cs="Times New Roman"/>
          <w:color w:val="auto"/>
          <w:kern w:val="2"/>
          <w:sz w:val="24"/>
          <w:szCs w:val="24"/>
          <w:lang w:val="zh-CN" w:eastAsia="zh-CN" w:bidi="ar-SA"/>
        </w:rPr>
        <w:t>购数量与实际使用数量不一致时，由采购人向同级财政部门申请并经批准后，可以由乙方根据实际使用量供货，合同的最终结算金额按实际使用量乘以成交单价进行计算。</w:t>
      </w:r>
    </w:p>
    <w:p w14:paraId="450449B0">
      <w:pPr>
        <w:snapToGrid w:val="0"/>
        <w:spacing w:before="156" w:beforeLines="50" w:after="156" w:afterLines="50" w:line="360" w:lineRule="auto"/>
        <w:rPr>
          <w:rFonts w:ascii="宋体" w:hAnsi="宋体" w:eastAsia="宋体" w:cs="Times New Roman"/>
          <w:b/>
          <w:color w:val="auto"/>
          <w:sz w:val="24"/>
        </w:rPr>
      </w:pPr>
      <w:r>
        <w:rPr>
          <w:rFonts w:hint="eastAsia" w:ascii="宋体" w:hAnsi="宋体" w:eastAsia="宋体" w:cs="Times New Roman"/>
          <w:b/>
          <w:color w:val="auto"/>
          <w:sz w:val="24"/>
        </w:rPr>
        <w:t>十二、税费</w:t>
      </w:r>
    </w:p>
    <w:p w14:paraId="693A7806">
      <w:pPr>
        <w:snapToGrid w:val="0"/>
        <w:spacing w:before="156" w:beforeLines="50" w:after="156" w:afterLines="50" w:line="360" w:lineRule="auto"/>
        <w:rPr>
          <w:rFonts w:ascii="宋体" w:hAnsi="宋体" w:eastAsia="宋体" w:cs="Times New Roman"/>
          <w:color w:val="auto"/>
          <w:sz w:val="24"/>
        </w:rPr>
      </w:pPr>
      <w:r>
        <w:rPr>
          <w:rFonts w:hint="eastAsia" w:ascii="宋体" w:hAnsi="宋体" w:eastAsia="宋体" w:cs="Times New Roman"/>
          <w:color w:val="auto"/>
          <w:sz w:val="24"/>
        </w:rPr>
        <w:t>本合同执行中相关的一切税费均由</w:t>
      </w:r>
      <w:r>
        <w:rPr>
          <w:rFonts w:ascii="宋体" w:hAnsi="宋体" w:eastAsia="宋体" w:cs="Times New Roman"/>
          <w:color w:val="auto"/>
          <w:sz w:val="24"/>
        </w:rPr>
        <w:t>乙</w:t>
      </w:r>
      <w:r>
        <w:rPr>
          <w:rFonts w:hint="eastAsia" w:ascii="宋体" w:hAnsi="宋体" w:eastAsia="宋体" w:cs="Times New Roman"/>
          <w:color w:val="auto"/>
          <w:sz w:val="24"/>
        </w:rPr>
        <w:t>方负担。</w:t>
      </w:r>
    </w:p>
    <w:p w14:paraId="41A89364">
      <w:pPr>
        <w:widowControl w:val="0"/>
        <w:snapToGrid w:val="0"/>
        <w:spacing w:before="120" w:after="120" w:line="360" w:lineRule="auto"/>
        <w:ind w:left="412" w:hanging="412" w:hangingChars="171"/>
        <w:jc w:val="both"/>
        <w:rPr>
          <w:rFonts w:ascii="宋体" w:hAnsi="宋体" w:eastAsia="宋体" w:cs="Times New Roman"/>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三</w:t>
      </w:r>
      <w:r>
        <w:rPr>
          <w:rFonts w:ascii="宋体" w:hAnsi="宋体" w:eastAsia="宋体" w:cs="Times New Roman"/>
          <w:b/>
          <w:color w:val="auto"/>
          <w:kern w:val="2"/>
          <w:sz w:val="24"/>
          <w:szCs w:val="24"/>
          <w:lang w:val="en-US" w:eastAsia="zh-CN" w:bidi="ar-SA"/>
        </w:rPr>
        <w:t>、质量保证及售后服务</w:t>
      </w:r>
    </w:p>
    <w:p w14:paraId="29CCD8CF">
      <w:pPr>
        <w:widowControl w:val="0"/>
        <w:snapToGrid w:val="0"/>
        <w:spacing w:before="120" w:after="120" w:line="360" w:lineRule="auto"/>
        <w:ind w:left="410" w:hanging="410" w:hangingChars="171"/>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乙方应按</w:t>
      </w:r>
      <w:r>
        <w:rPr>
          <w:rFonts w:hint="eastAsia" w:ascii="宋体" w:hAnsi="宋体" w:eastAsia="宋体" w:cs="Times New Roman"/>
          <w:color w:val="auto"/>
          <w:kern w:val="2"/>
          <w:sz w:val="24"/>
          <w:szCs w:val="24"/>
          <w:lang w:val="en-US" w:eastAsia="zh-CN" w:bidi="ar-SA"/>
        </w:rPr>
        <w:t>磋商采购</w:t>
      </w:r>
      <w:r>
        <w:rPr>
          <w:rFonts w:ascii="宋体" w:hAnsi="宋体" w:eastAsia="宋体" w:cs="Times New Roman"/>
          <w:color w:val="auto"/>
          <w:kern w:val="2"/>
          <w:sz w:val="24"/>
          <w:szCs w:val="24"/>
          <w:lang w:val="en-US" w:eastAsia="zh-CN" w:bidi="ar-SA"/>
        </w:rPr>
        <w:t>文件规定的货物性能、技术要求、质量标准向甲方提供未经使用的全新产品。</w:t>
      </w:r>
    </w:p>
    <w:p w14:paraId="2A15267C">
      <w:pPr>
        <w:widowControl w:val="0"/>
        <w:snapToGrid w:val="0"/>
        <w:spacing w:before="120" w:after="120" w:line="360" w:lineRule="auto"/>
        <w:ind w:left="480" w:hanging="480" w:hanging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乙方提供的货物在质</w:t>
      </w:r>
      <w:r>
        <w:rPr>
          <w:rFonts w:hint="eastAsia" w:ascii="宋体" w:hAnsi="宋体" w:eastAsia="宋体" w:cs="Times New Roman"/>
          <w:color w:val="auto"/>
          <w:kern w:val="2"/>
          <w:sz w:val="24"/>
          <w:szCs w:val="24"/>
          <w:lang w:val="en-US" w:eastAsia="zh-CN" w:bidi="ar-SA"/>
        </w:rPr>
        <w:t>保</w:t>
      </w:r>
      <w:r>
        <w:rPr>
          <w:rFonts w:ascii="宋体" w:hAnsi="宋体" w:eastAsia="宋体" w:cs="Times New Roman"/>
          <w:color w:val="auto"/>
          <w:kern w:val="2"/>
          <w:sz w:val="24"/>
          <w:szCs w:val="24"/>
          <w:lang w:val="en-US" w:eastAsia="zh-CN" w:bidi="ar-SA"/>
        </w:rPr>
        <w:t>期内因货物本身的质量问题发生故障，乙方应负责免费更换。对达不到技术要求者，根据实际情况，经双方协商，可按以下办法处理：</w:t>
      </w:r>
    </w:p>
    <w:p w14:paraId="6BC07462">
      <w:pPr>
        <w:widowControl w:val="0"/>
        <w:snapToGrid w:val="0"/>
        <w:spacing w:before="120" w:after="120" w:line="360" w:lineRule="auto"/>
        <w:ind w:firstLine="42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⑴更换：由乙方承担所发生的全部费用。</w:t>
      </w:r>
    </w:p>
    <w:p w14:paraId="75BE45B1">
      <w:pPr>
        <w:widowControl w:val="0"/>
        <w:snapToGrid w:val="0"/>
        <w:spacing w:before="120" w:after="120" w:line="360" w:lineRule="auto"/>
        <w:ind w:firstLine="42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⑵贬值处理：由甲乙双方合议定价。</w:t>
      </w:r>
    </w:p>
    <w:p w14:paraId="01FD7989">
      <w:pPr>
        <w:widowControl w:val="0"/>
        <w:snapToGrid w:val="0"/>
        <w:spacing w:before="120" w:after="120" w:line="360" w:lineRule="auto"/>
        <w:ind w:left="420" w:left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⑶退货处理：乙方应退还甲方支付的合同款，同时应承担该货物的直接费用（运输、保险、检验、货款利息及银行手续费等）。</w:t>
      </w:r>
    </w:p>
    <w:p w14:paraId="16228A12">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如在使用过程中发生质量问题，乙方在接到甲方通知后在</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u w:val="single"/>
          <w:lang w:val="en-US" w:eastAsia="zh-CN" w:bidi="ar-SA"/>
        </w:rPr>
        <w:t xml:space="preserve"> </w:t>
      </w:r>
      <w:r>
        <w:rPr>
          <w:rFonts w:ascii="宋体" w:hAnsi="宋体" w:eastAsia="宋体" w:cs="Times New Roman"/>
          <w:color w:val="auto"/>
          <w:kern w:val="2"/>
          <w:sz w:val="24"/>
          <w:szCs w:val="24"/>
          <w:lang w:val="en-US" w:eastAsia="zh-CN" w:bidi="ar-SA"/>
        </w:rPr>
        <w:t>小时内到达甲方</w:t>
      </w:r>
    </w:p>
    <w:p w14:paraId="4DE66785">
      <w:pPr>
        <w:widowControl w:val="0"/>
        <w:snapToGrid w:val="0"/>
        <w:spacing w:before="120" w:after="120" w:line="360" w:lineRule="auto"/>
        <w:ind w:firstLine="360" w:firstLineChars="15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现场。</w:t>
      </w:r>
    </w:p>
    <w:p w14:paraId="54D724C8">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在质保期内，乙方应对货物出现的质量及安全问题负责处理解决并承担一切</w:t>
      </w:r>
    </w:p>
    <w:p w14:paraId="6159961E">
      <w:pPr>
        <w:widowControl w:val="0"/>
        <w:snapToGrid w:val="0"/>
        <w:spacing w:before="120" w:after="120" w:line="360" w:lineRule="auto"/>
        <w:ind w:firstLine="360" w:firstLineChars="15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费用。</w:t>
      </w:r>
    </w:p>
    <w:p w14:paraId="0B02F20C">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上述的货物免费保修期为年，因人为因素出现的故障不在免费保修范围</w:t>
      </w:r>
    </w:p>
    <w:p w14:paraId="2E8443CE">
      <w:pPr>
        <w:widowControl w:val="0"/>
        <w:snapToGrid w:val="0"/>
        <w:spacing w:before="120" w:after="120" w:line="360" w:lineRule="auto"/>
        <w:ind w:firstLine="240" w:firstLineChars="1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内。超过保修期的机器设备，终生维修，维修时只收部件成本费。</w:t>
      </w:r>
    </w:p>
    <w:p w14:paraId="715D981E">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四</w:t>
      </w:r>
      <w:r>
        <w:rPr>
          <w:rFonts w:ascii="宋体" w:hAnsi="宋体" w:eastAsia="宋体" w:cs="Times New Roman"/>
          <w:b/>
          <w:color w:val="auto"/>
          <w:kern w:val="2"/>
          <w:sz w:val="24"/>
          <w:szCs w:val="24"/>
          <w:lang w:val="en-US" w:eastAsia="zh-CN" w:bidi="ar-SA"/>
        </w:rPr>
        <w:t>、调试和验收</w:t>
      </w:r>
    </w:p>
    <w:p w14:paraId="79C99DBC">
      <w:pPr>
        <w:widowControl w:val="0"/>
        <w:snapToGrid w:val="0"/>
        <w:spacing w:before="120" w:after="120" w:line="360" w:lineRule="auto"/>
        <w:ind w:left="240" w:hanging="240" w:hangingChars="100"/>
        <w:jc w:val="left"/>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甲方对乙方提交的货物依据</w:t>
      </w:r>
      <w:r>
        <w:rPr>
          <w:rFonts w:hint="eastAsia" w:ascii="宋体" w:hAnsi="宋体" w:eastAsia="宋体" w:cs="Times New Roman"/>
          <w:color w:val="auto"/>
          <w:kern w:val="2"/>
          <w:sz w:val="24"/>
          <w:szCs w:val="24"/>
          <w:lang w:val="en-US" w:eastAsia="zh-CN" w:bidi="ar-SA"/>
        </w:rPr>
        <w:t>磋商采购</w:t>
      </w:r>
      <w:r>
        <w:rPr>
          <w:rFonts w:ascii="宋体" w:hAnsi="宋体" w:eastAsia="宋体" w:cs="Times New Roman"/>
          <w:color w:val="auto"/>
          <w:kern w:val="2"/>
          <w:sz w:val="24"/>
          <w:szCs w:val="24"/>
          <w:lang w:val="en-US" w:eastAsia="zh-CN" w:bidi="ar-SA"/>
        </w:rPr>
        <w:t>文件上的技术规格要求和国家有关质量标准进行现场初步验收，外观、说明书符合</w:t>
      </w:r>
      <w:r>
        <w:rPr>
          <w:rFonts w:hint="eastAsia" w:ascii="宋体" w:hAnsi="宋体" w:eastAsia="宋体" w:cs="Times New Roman"/>
          <w:color w:val="auto"/>
          <w:kern w:val="2"/>
          <w:sz w:val="24"/>
          <w:szCs w:val="24"/>
          <w:lang w:val="en-US" w:eastAsia="zh-CN" w:bidi="ar-SA"/>
        </w:rPr>
        <w:t>磋商采购</w:t>
      </w:r>
      <w:r>
        <w:rPr>
          <w:rFonts w:ascii="宋体" w:hAnsi="宋体" w:eastAsia="宋体" w:cs="Times New Roman"/>
          <w:color w:val="auto"/>
          <w:kern w:val="2"/>
          <w:sz w:val="24"/>
          <w:szCs w:val="24"/>
          <w:lang w:val="en-US" w:eastAsia="zh-CN" w:bidi="ar-SA"/>
        </w:rPr>
        <w:t>文件技术要求的，给予签收，初步验收不合格的不予签收。货到后，甲方需在</w:t>
      </w:r>
      <w:r>
        <w:rPr>
          <w:rFonts w:hint="eastAsia" w:ascii="宋体" w:hAnsi="宋体" w:eastAsia="宋体" w:cs="Times New Roman"/>
          <w:color w:val="auto"/>
          <w:kern w:val="2"/>
          <w:sz w:val="24"/>
          <w:szCs w:val="24"/>
          <w:u w:val="single"/>
          <w:lang w:val="en-US" w:eastAsia="zh-CN" w:bidi="ar-SA"/>
        </w:rPr>
        <w:t>五</w:t>
      </w:r>
      <w:r>
        <w:rPr>
          <w:rFonts w:hint="eastAsia" w:ascii="宋体" w:hAnsi="宋体" w:eastAsia="宋体" w:cs="Times New Roman"/>
          <w:color w:val="auto"/>
          <w:kern w:val="2"/>
          <w:sz w:val="24"/>
          <w:szCs w:val="24"/>
          <w:lang w:val="en-US" w:eastAsia="zh-CN" w:bidi="ar-SA"/>
        </w:rPr>
        <w:t>个</w:t>
      </w:r>
      <w:r>
        <w:rPr>
          <w:rFonts w:ascii="宋体" w:hAnsi="宋体" w:eastAsia="宋体" w:cs="Times New Roman"/>
          <w:color w:val="auto"/>
          <w:kern w:val="2"/>
          <w:sz w:val="24"/>
          <w:szCs w:val="24"/>
          <w:lang w:val="en-US" w:eastAsia="zh-CN" w:bidi="ar-SA"/>
        </w:rPr>
        <w:t>工作日内验收。</w:t>
      </w:r>
    </w:p>
    <w:p w14:paraId="13E05525">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乙方交货前应对产品作出全面检查和对验收文件进行整理，并列出清单，作</w:t>
      </w:r>
    </w:p>
    <w:p w14:paraId="491D6B29">
      <w:pPr>
        <w:widowControl w:val="0"/>
        <w:snapToGrid w:val="0"/>
        <w:spacing w:before="120" w:after="120" w:line="360" w:lineRule="auto"/>
        <w:ind w:firstLine="360" w:firstLineChars="15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为甲方收货验收和使用的技术条件依据，检验的结果应随货物交甲方。</w:t>
      </w:r>
    </w:p>
    <w:p w14:paraId="66EA699F">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甲方对乙方提供的货物在使用前进行调试时，乙方需负责安装并培训甲方的</w:t>
      </w:r>
    </w:p>
    <w:p w14:paraId="7EBFF61F">
      <w:pPr>
        <w:widowControl w:val="0"/>
        <w:snapToGrid w:val="0"/>
        <w:spacing w:before="120" w:after="120" w:line="360" w:lineRule="auto"/>
        <w:ind w:firstLine="360" w:firstLineChars="15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使用操作人员，并协助甲方一起调试，直到符合技术要求，甲方才做最终验</w:t>
      </w:r>
    </w:p>
    <w:p w14:paraId="094B38BE">
      <w:pPr>
        <w:widowControl w:val="0"/>
        <w:snapToGrid w:val="0"/>
        <w:spacing w:before="120" w:after="120" w:line="360" w:lineRule="auto"/>
        <w:ind w:firstLine="360" w:firstLineChars="150"/>
        <w:jc w:val="both"/>
        <w:rPr>
          <w:rFonts w:ascii="宋体" w:hAnsi="宋体" w:eastAsia="宋体" w:cs="Times New Roman"/>
          <w:color w:val="auto"/>
          <w:kern w:val="2"/>
          <w:sz w:val="24"/>
          <w:szCs w:val="24"/>
          <w:u w:val="single"/>
          <w:lang w:val="en-US" w:eastAsia="zh-CN" w:bidi="ar-SA"/>
        </w:rPr>
      </w:pPr>
      <w:r>
        <w:rPr>
          <w:rFonts w:ascii="宋体" w:hAnsi="宋体" w:eastAsia="宋体" w:cs="Times New Roman"/>
          <w:color w:val="auto"/>
          <w:kern w:val="2"/>
          <w:sz w:val="24"/>
          <w:szCs w:val="24"/>
          <w:lang w:val="en-US" w:eastAsia="zh-CN" w:bidi="ar-SA"/>
        </w:rPr>
        <w:t>收。</w:t>
      </w:r>
    </w:p>
    <w:p w14:paraId="387C3DF9">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对技术复杂的货物，甲方应请国家认可的专业检测机构参与初步验收及最终</w:t>
      </w:r>
    </w:p>
    <w:p w14:paraId="2D2F47C4">
      <w:pPr>
        <w:widowControl w:val="0"/>
        <w:snapToGrid w:val="0"/>
        <w:spacing w:before="120" w:after="120" w:line="360" w:lineRule="auto"/>
        <w:ind w:firstLine="360" w:firstLineChars="15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验收，并由其出具质量检测报告。</w:t>
      </w:r>
    </w:p>
    <w:p w14:paraId="62B1BDB4">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验收时乙方必须在现场，验收完毕后作出验收结果报告；验收费用由</w:t>
      </w:r>
      <w:r>
        <w:rPr>
          <w:rFonts w:hint="eastAsia" w:ascii="宋体" w:hAnsi="宋体" w:eastAsia="宋体" w:cs="Times New Roman"/>
          <w:color w:val="auto"/>
          <w:kern w:val="2"/>
          <w:sz w:val="24"/>
          <w:szCs w:val="24"/>
          <w:lang w:val="en-US" w:eastAsia="zh-CN" w:bidi="ar-SA"/>
        </w:rPr>
        <w:t>甲</w:t>
      </w:r>
      <w:r>
        <w:rPr>
          <w:rFonts w:ascii="宋体" w:hAnsi="宋体" w:eastAsia="宋体" w:cs="Times New Roman"/>
          <w:color w:val="auto"/>
          <w:kern w:val="2"/>
          <w:sz w:val="24"/>
          <w:szCs w:val="24"/>
          <w:lang w:val="en-US" w:eastAsia="zh-CN" w:bidi="ar-SA"/>
        </w:rPr>
        <w:t>方负</w:t>
      </w:r>
    </w:p>
    <w:p w14:paraId="68B31836">
      <w:pPr>
        <w:widowControl w:val="0"/>
        <w:snapToGrid w:val="0"/>
        <w:spacing w:before="120" w:after="120" w:line="360" w:lineRule="auto"/>
        <w:ind w:firstLine="360" w:firstLineChars="15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责。</w:t>
      </w:r>
    </w:p>
    <w:p w14:paraId="036872DD">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五</w:t>
      </w:r>
      <w:r>
        <w:rPr>
          <w:rFonts w:ascii="宋体" w:hAnsi="宋体" w:eastAsia="宋体" w:cs="Times New Roman"/>
          <w:b/>
          <w:color w:val="auto"/>
          <w:kern w:val="2"/>
          <w:sz w:val="24"/>
          <w:szCs w:val="24"/>
          <w:lang w:val="en-US" w:eastAsia="zh-CN" w:bidi="ar-SA"/>
        </w:rPr>
        <w:t>、货物包装、发运及运输</w:t>
      </w:r>
    </w:p>
    <w:p w14:paraId="39DB259B">
      <w:pPr>
        <w:widowControl w:val="0"/>
        <w:snapToGrid w:val="0"/>
        <w:spacing w:before="120" w:after="120" w:line="360" w:lineRule="auto"/>
        <w:ind w:left="480" w:hanging="480" w:hanging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乙方应在货物发运前对其进行满足运输距离、防潮、防震、防锈和防破损装卸等要求包装，以保证货物安全运达甲方指定地点。</w:t>
      </w:r>
    </w:p>
    <w:p w14:paraId="21468519">
      <w:pPr>
        <w:widowControl w:val="0"/>
        <w:snapToGrid w:val="0"/>
        <w:spacing w:before="120" w:after="120" w:line="360" w:lineRule="auto"/>
        <w:ind w:left="480" w:hanging="480" w:hanging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使用说明书、质量检验证明书、随配附件和工具以及清单一并附于货物内。</w:t>
      </w:r>
    </w:p>
    <w:p w14:paraId="475183E4">
      <w:pPr>
        <w:widowControl w:val="0"/>
        <w:snapToGrid w:val="0"/>
        <w:spacing w:before="120" w:after="120" w:line="360" w:lineRule="auto"/>
        <w:ind w:left="480" w:hanging="480" w:hanging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乙方在货物发运手续办理完毕后24小时内或货到甲方48小时前通知甲方，以准备接货。</w:t>
      </w:r>
    </w:p>
    <w:p w14:paraId="111A13EE">
      <w:pPr>
        <w:widowControl w:val="0"/>
        <w:snapToGrid w:val="0"/>
        <w:spacing w:before="120" w:after="120" w:line="360" w:lineRule="auto"/>
        <w:ind w:left="480" w:hanging="480" w:hanging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货物在交付甲方前发生的风险均由乙方负责。</w:t>
      </w:r>
    </w:p>
    <w:p w14:paraId="5F69232E">
      <w:pPr>
        <w:widowControl w:val="0"/>
        <w:snapToGrid w:val="0"/>
        <w:spacing w:line="360" w:lineRule="auto"/>
        <w:ind w:left="480" w:right="26" w:hanging="480" w:hangingChars="20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货物在规定的交付期限内由乙方送达甲方指定的地点视为交付，乙方同时需</w:t>
      </w:r>
    </w:p>
    <w:p w14:paraId="53826907">
      <w:pPr>
        <w:widowControl w:val="0"/>
        <w:snapToGrid w:val="0"/>
        <w:spacing w:line="360" w:lineRule="auto"/>
        <w:ind w:left="479" w:leftChars="171" w:right="26" w:hanging="120" w:hangingChars="5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通知甲方货物已送达。</w:t>
      </w:r>
    </w:p>
    <w:p w14:paraId="16A905C6">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六</w:t>
      </w:r>
      <w:r>
        <w:rPr>
          <w:rFonts w:ascii="宋体" w:hAnsi="宋体" w:eastAsia="宋体" w:cs="Times New Roman"/>
          <w:b/>
          <w:color w:val="auto"/>
          <w:kern w:val="2"/>
          <w:sz w:val="24"/>
          <w:szCs w:val="24"/>
          <w:lang w:val="en-US" w:eastAsia="zh-CN" w:bidi="ar-SA"/>
        </w:rPr>
        <w:t>、违约责任</w:t>
      </w:r>
    </w:p>
    <w:p w14:paraId="58AD0CF4">
      <w:pPr>
        <w:widowControl w:val="0"/>
        <w:snapToGrid w:val="0"/>
        <w:spacing w:before="120" w:after="120" w:line="360" w:lineRule="auto"/>
        <w:ind w:left="410" w:hanging="410" w:hangingChars="171"/>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甲方无正当理由拒收货物的，甲方向乙方偿付拒收货款总值的</w:t>
      </w:r>
      <w:r>
        <w:rPr>
          <w:rFonts w:ascii="宋体" w:hAnsi="宋体" w:eastAsia="宋体" w:cs="Times New Roman"/>
          <w:color w:val="auto"/>
          <w:kern w:val="2"/>
          <w:sz w:val="24"/>
          <w:szCs w:val="24"/>
          <w:u w:val="single"/>
          <w:lang w:val="en-US" w:eastAsia="zh-CN" w:bidi="ar-SA"/>
        </w:rPr>
        <w:t>百分之五</w:t>
      </w:r>
      <w:r>
        <w:rPr>
          <w:rFonts w:ascii="宋体" w:hAnsi="宋体" w:eastAsia="宋体" w:cs="Times New Roman"/>
          <w:color w:val="auto"/>
          <w:kern w:val="2"/>
          <w:sz w:val="24"/>
          <w:szCs w:val="24"/>
          <w:lang w:val="en-US" w:eastAsia="zh-CN" w:bidi="ar-SA"/>
        </w:rPr>
        <w:t>违约金。</w:t>
      </w:r>
    </w:p>
    <w:p w14:paraId="0042C880">
      <w:pPr>
        <w:widowControl w:val="0"/>
        <w:snapToGrid w:val="0"/>
        <w:spacing w:before="120" w:after="120" w:line="360" w:lineRule="auto"/>
        <w:ind w:left="410" w:hanging="410" w:hangingChars="171"/>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甲方无故逾期验收和办理货款支付手续的,甲方应按逾期付款总额每日</w:t>
      </w:r>
      <w:r>
        <w:rPr>
          <w:rFonts w:ascii="宋体" w:hAnsi="宋体" w:eastAsia="宋体" w:cs="Times New Roman"/>
          <w:color w:val="auto"/>
          <w:kern w:val="2"/>
          <w:sz w:val="24"/>
          <w:szCs w:val="24"/>
          <w:u w:val="single"/>
          <w:lang w:val="en-US" w:eastAsia="zh-CN" w:bidi="ar-SA"/>
        </w:rPr>
        <w:t>万分之五</w:t>
      </w:r>
      <w:r>
        <w:rPr>
          <w:rFonts w:ascii="宋体" w:hAnsi="宋体" w:eastAsia="宋体" w:cs="Times New Roman"/>
          <w:color w:val="auto"/>
          <w:kern w:val="2"/>
          <w:sz w:val="24"/>
          <w:szCs w:val="24"/>
          <w:lang w:val="en-US" w:eastAsia="zh-CN" w:bidi="ar-SA"/>
        </w:rPr>
        <w:t>向乙方支付违约金。</w:t>
      </w:r>
    </w:p>
    <w:p w14:paraId="16ACB477">
      <w:pPr>
        <w:widowControl w:val="0"/>
        <w:snapToGrid w:val="0"/>
        <w:spacing w:before="120" w:after="120" w:line="360" w:lineRule="auto"/>
        <w:ind w:left="410" w:hanging="410" w:hangingChars="171"/>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乙方逾期交付货物的，乙方应按逾期交货总额每日</w:t>
      </w:r>
      <w:r>
        <w:rPr>
          <w:rFonts w:ascii="宋体" w:hAnsi="宋体" w:eastAsia="宋体" w:cs="Times New Roman"/>
          <w:color w:val="auto"/>
          <w:kern w:val="2"/>
          <w:sz w:val="24"/>
          <w:szCs w:val="24"/>
          <w:u w:val="single"/>
          <w:lang w:val="en-US" w:eastAsia="zh-CN" w:bidi="ar-SA"/>
        </w:rPr>
        <w:t>千分之六</w:t>
      </w:r>
      <w:r>
        <w:rPr>
          <w:rFonts w:ascii="宋体" w:hAnsi="宋体" w:eastAsia="宋体" w:cs="Times New Roman"/>
          <w:color w:val="auto"/>
          <w:kern w:val="2"/>
          <w:sz w:val="24"/>
          <w:szCs w:val="24"/>
          <w:lang w:val="en-US" w:eastAsia="zh-CN" w:bidi="ar-SA"/>
        </w:rPr>
        <w:t>向甲方支付违约金，由甲方从待付货款中扣除。逾期超过约定日期</w:t>
      </w:r>
      <w:r>
        <w:rPr>
          <w:rFonts w:ascii="宋体" w:hAnsi="宋体" w:eastAsia="宋体" w:cs="Times New Roman"/>
          <w:color w:val="auto"/>
          <w:kern w:val="2"/>
          <w:sz w:val="24"/>
          <w:szCs w:val="24"/>
          <w:u w:val="single"/>
          <w:lang w:val="en-US" w:eastAsia="zh-CN" w:bidi="ar-SA"/>
        </w:rPr>
        <w:t>10</w:t>
      </w:r>
      <w:r>
        <w:rPr>
          <w:rFonts w:ascii="宋体" w:hAnsi="宋体" w:eastAsia="宋体" w:cs="Times New Roman"/>
          <w:color w:val="auto"/>
          <w:kern w:val="2"/>
          <w:sz w:val="24"/>
          <w:szCs w:val="24"/>
          <w:lang w:val="en-US" w:eastAsia="zh-CN" w:bidi="ar-SA"/>
        </w:rPr>
        <w:t>个工作日不能交货的，甲方可解除本合同。乙方因逾期交货或因其他违约行为导致甲方解除合同的，乙方应向甲方支付合同总值</w:t>
      </w:r>
      <w:r>
        <w:rPr>
          <w:rFonts w:ascii="宋体" w:hAnsi="宋体" w:eastAsia="宋体" w:cs="Times New Roman"/>
          <w:color w:val="auto"/>
          <w:kern w:val="2"/>
          <w:sz w:val="24"/>
          <w:szCs w:val="24"/>
          <w:u w:val="single"/>
          <w:lang w:val="en-US" w:eastAsia="zh-CN" w:bidi="ar-SA"/>
        </w:rPr>
        <w:t>5%</w:t>
      </w:r>
      <w:r>
        <w:rPr>
          <w:rFonts w:ascii="宋体" w:hAnsi="宋体" w:eastAsia="宋体" w:cs="Times New Roman"/>
          <w:color w:val="auto"/>
          <w:kern w:val="2"/>
          <w:sz w:val="24"/>
          <w:szCs w:val="24"/>
          <w:lang w:val="en-US" w:eastAsia="zh-CN" w:bidi="ar-SA"/>
        </w:rPr>
        <w:t xml:space="preserve">的违约金，如造成甲方损失超过违约金的，超出部分由乙方继续承担赔偿责任。 </w:t>
      </w:r>
    </w:p>
    <w:p w14:paraId="09927D9E">
      <w:pPr>
        <w:widowControl w:val="0"/>
        <w:snapToGrid w:val="0"/>
        <w:spacing w:before="120" w:after="120" w:line="360" w:lineRule="auto"/>
        <w:ind w:left="410" w:hanging="410" w:hangingChars="171"/>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4</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乙方所交的货物品种、型号、规格、技术参数、质量不符合合同规定及</w:t>
      </w:r>
      <w:r>
        <w:rPr>
          <w:rFonts w:hint="eastAsia" w:ascii="宋体" w:hAnsi="宋体" w:eastAsia="宋体" w:cs="Times New Roman"/>
          <w:color w:val="auto"/>
          <w:kern w:val="2"/>
          <w:sz w:val="24"/>
          <w:szCs w:val="24"/>
          <w:lang w:val="en-US" w:eastAsia="zh-CN" w:bidi="ar-SA"/>
        </w:rPr>
        <w:t>磋商采购</w:t>
      </w:r>
      <w:r>
        <w:rPr>
          <w:rFonts w:ascii="宋体" w:hAnsi="宋体" w:eastAsia="宋体" w:cs="Times New Roman"/>
          <w:color w:val="auto"/>
          <w:kern w:val="2"/>
          <w:sz w:val="24"/>
          <w:szCs w:val="24"/>
          <w:lang w:val="en-US" w:eastAsia="zh-CN" w:bidi="ar-SA"/>
        </w:rPr>
        <w:t>文件规定标准的，甲方有权拒收该货物，乙方愿意更换货物但逾期交货的，按乙方逾期交货处理。乙方拒绝更换货物的，甲方可单方面解除合同。</w:t>
      </w:r>
    </w:p>
    <w:p w14:paraId="507F2236">
      <w:pPr>
        <w:widowControl w:val="0"/>
        <w:snapToGrid w:val="0"/>
        <w:spacing w:before="120" w:after="120" w:line="360" w:lineRule="auto"/>
        <w:ind w:left="410" w:hanging="410" w:hangingChars="171"/>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5.若发生纠纷，由违约方赔偿守约方因纠纷所支付的费用（包括但不限于律师费、差旅费、诉讼费、保全费、鉴定费、评估费等）</w:t>
      </w:r>
    </w:p>
    <w:p w14:paraId="2A477936">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七</w:t>
      </w:r>
      <w:r>
        <w:rPr>
          <w:rFonts w:ascii="宋体" w:hAnsi="宋体" w:eastAsia="宋体" w:cs="Times New Roman"/>
          <w:b/>
          <w:color w:val="auto"/>
          <w:kern w:val="2"/>
          <w:sz w:val="24"/>
          <w:szCs w:val="24"/>
          <w:lang w:val="en-US" w:eastAsia="zh-CN" w:bidi="ar-SA"/>
        </w:rPr>
        <w:t>、不可抗力事件处理</w:t>
      </w:r>
    </w:p>
    <w:p w14:paraId="170A1777">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在合同有效期内，任何一方因不可抗力事件导致不能履行合同，则合同履行</w:t>
      </w:r>
    </w:p>
    <w:p w14:paraId="5F5A297A">
      <w:pPr>
        <w:widowControl w:val="0"/>
        <w:snapToGrid w:val="0"/>
        <w:spacing w:before="120" w:after="120" w:line="360" w:lineRule="auto"/>
        <w:ind w:firstLine="360" w:firstLineChars="15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期可延长，其延长期与不可抗力影响期相同。</w:t>
      </w:r>
    </w:p>
    <w:p w14:paraId="36A43B0B">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2</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不可抗力事件发生后，应立即通知对方，并寄送有关权威机构出具的证明。</w:t>
      </w:r>
    </w:p>
    <w:p w14:paraId="1CF75FCD">
      <w:pPr>
        <w:widowControl w:val="0"/>
        <w:snapToGrid w:val="0"/>
        <w:spacing w:before="120" w:after="120" w:line="360" w:lineRule="auto"/>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不可抗力事件延续120天以上，双方应通过友好协商，确定是否继续履行合</w:t>
      </w:r>
    </w:p>
    <w:p w14:paraId="4C5BD502">
      <w:pPr>
        <w:widowControl w:val="0"/>
        <w:snapToGrid w:val="0"/>
        <w:spacing w:before="120" w:after="120" w:line="360" w:lineRule="auto"/>
        <w:ind w:firstLine="360" w:firstLineChars="150"/>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同。</w:t>
      </w:r>
    </w:p>
    <w:p w14:paraId="29A7F0F4">
      <w:pPr>
        <w:widowControl w:val="0"/>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八</w:t>
      </w:r>
      <w:r>
        <w:rPr>
          <w:rFonts w:ascii="宋体" w:hAnsi="宋体" w:eastAsia="宋体" w:cs="Times New Roman"/>
          <w:b/>
          <w:color w:val="auto"/>
          <w:kern w:val="2"/>
          <w:sz w:val="24"/>
          <w:szCs w:val="24"/>
          <w:lang w:val="en-US" w:eastAsia="zh-CN" w:bidi="ar-SA"/>
        </w:rPr>
        <w:t>、</w:t>
      </w:r>
      <w:r>
        <w:rPr>
          <w:rFonts w:hint="eastAsia" w:ascii="宋体" w:hAnsi="宋体" w:eastAsia="宋体" w:cs="Times New Roman"/>
          <w:b/>
          <w:color w:val="auto"/>
          <w:kern w:val="2"/>
          <w:sz w:val="24"/>
          <w:szCs w:val="24"/>
          <w:lang w:val="en-US" w:eastAsia="zh-CN" w:bidi="ar-SA"/>
        </w:rPr>
        <w:t>解决争议的方法</w:t>
      </w:r>
    </w:p>
    <w:p w14:paraId="0A30BC8C">
      <w:pPr>
        <w:widowControl w:val="0"/>
        <w:snapToGrid w:val="0"/>
        <w:spacing w:before="120" w:after="120" w:line="360" w:lineRule="auto"/>
        <w:jc w:val="both"/>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1. </w:t>
      </w:r>
      <w:r>
        <w:rPr>
          <w:rFonts w:ascii="宋体" w:hAnsi="宋体" w:eastAsia="宋体" w:cs="宋体"/>
          <w:color w:val="auto"/>
          <w:kern w:val="0"/>
          <w:sz w:val="24"/>
          <w:szCs w:val="24"/>
          <w:lang w:val="en-US" w:eastAsia="zh-CN" w:bidi="ar"/>
        </w:rPr>
        <w:t>如双方在履行合同时发生纠纷，应协商解决；协商不成时，可提请政府采购管理部门调解；调解不成的通过以下</w:t>
      </w:r>
      <w:r>
        <w:rPr>
          <w:rFonts w:hint="eastAsia" w:ascii="宋体" w:hAnsi="宋体" w:eastAsia="宋体" w:cs="宋体"/>
          <w:color w:val="auto"/>
          <w:kern w:val="0"/>
          <w:sz w:val="24"/>
          <w:szCs w:val="24"/>
          <w:lang w:val="en-US" w:eastAsia="zh-CN" w:bidi="ar"/>
        </w:rPr>
        <w:t>（1）</w:t>
      </w:r>
      <w:r>
        <w:rPr>
          <w:rFonts w:ascii="宋体" w:hAnsi="宋体" w:eastAsia="宋体" w:cs="宋体"/>
          <w:color w:val="auto"/>
          <w:kern w:val="0"/>
          <w:sz w:val="24"/>
          <w:szCs w:val="24"/>
          <w:lang w:val="en-US" w:eastAsia="zh-CN" w:bidi="ar"/>
        </w:rPr>
        <w:t>方式解决：</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（1） 提交</w:t>
      </w:r>
      <w:r>
        <w:rPr>
          <w:rFonts w:ascii="宋体" w:hAnsi="宋体" w:eastAsia="宋体" w:cs="Times New Roman"/>
          <w:color w:val="auto"/>
          <w:kern w:val="2"/>
          <w:sz w:val="24"/>
          <w:szCs w:val="24"/>
          <w:u w:val="single"/>
          <w:lang w:val="en-US" w:eastAsia="zh-CN" w:bidi="ar-SA"/>
        </w:rPr>
        <w:t>台州</w:t>
      </w:r>
      <w:r>
        <w:rPr>
          <w:rFonts w:ascii="宋体" w:hAnsi="宋体" w:eastAsia="宋体" w:cs="宋体"/>
          <w:color w:val="auto"/>
          <w:kern w:val="0"/>
          <w:sz w:val="24"/>
          <w:szCs w:val="24"/>
          <w:lang w:val="en-US" w:eastAsia="zh-CN" w:bidi="ar"/>
        </w:rPr>
        <w:t>仲裁委员会仲裁。</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 依法向人民法院提起诉讼。</w:t>
      </w:r>
    </w:p>
    <w:p w14:paraId="178F1938">
      <w:pPr>
        <w:widowControl w:val="0"/>
        <w:tabs>
          <w:tab w:val="left" w:pos="5790"/>
        </w:tabs>
        <w:snapToGrid w:val="0"/>
        <w:spacing w:before="120" w:after="120" w:line="360" w:lineRule="auto"/>
        <w:jc w:val="both"/>
        <w:rPr>
          <w:rFonts w:ascii="宋体" w:hAnsi="宋体" w:eastAsia="宋体" w:cs="Times New Roman"/>
          <w:b/>
          <w:color w:val="auto"/>
          <w:kern w:val="2"/>
          <w:sz w:val="24"/>
          <w:szCs w:val="24"/>
          <w:lang w:val="en-US" w:eastAsia="zh-CN" w:bidi="ar-SA"/>
        </w:rPr>
      </w:pPr>
      <w:r>
        <w:rPr>
          <w:rFonts w:ascii="宋体" w:hAnsi="宋体" w:eastAsia="宋体" w:cs="Times New Roman"/>
          <w:b/>
          <w:color w:val="auto"/>
          <w:kern w:val="2"/>
          <w:sz w:val="24"/>
          <w:szCs w:val="24"/>
          <w:lang w:val="en-US" w:eastAsia="zh-CN" w:bidi="ar-SA"/>
        </w:rPr>
        <w:t>十</w:t>
      </w:r>
      <w:r>
        <w:rPr>
          <w:rFonts w:hint="eastAsia" w:ascii="宋体" w:hAnsi="宋体" w:eastAsia="宋体" w:cs="Times New Roman"/>
          <w:b/>
          <w:color w:val="auto"/>
          <w:kern w:val="2"/>
          <w:sz w:val="24"/>
          <w:szCs w:val="24"/>
          <w:lang w:val="en-US" w:eastAsia="zh-CN" w:bidi="ar-SA"/>
        </w:rPr>
        <w:t>九</w:t>
      </w:r>
      <w:r>
        <w:rPr>
          <w:rFonts w:ascii="宋体" w:hAnsi="宋体" w:eastAsia="宋体" w:cs="Times New Roman"/>
          <w:b/>
          <w:color w:val="auto"/>
          <w:kern w:val="2"/>
          <w:sz w:val="24"/>
          <w:szCs w:val="24"/>
          <w:lang w:val="en-US" w:eastAsia="zh-CN" w:bidi="ar-SA"/>
        </w:rPr>
        <w:t>、合同生效及其它</w:t>
      </w:r>
      <w:r>
        <w:rPr>
          <w:rFonts w:ascii="宋体" w:hAnsi="宋体" w:eastAsia="宋体" w:cs="Times New Roman"/>
          <w:b/>
          <w:color w:val="auto"/>
          <w:kern w:val="2"/>
          <w:sz w:val="24"/>
          <w:szCs w:val="24"/>
          <w:lang w:val="en-US" w:eastAsia="zh-CN" w:bidi="ar-SA"/>
        </w:rPr>
        <w:tab/>
      </w:r>
    </w:p>
    <w:p w14:paraId="795C9295">
      <w:pPr>
        <w:widowControl/>
        <w:spacing w:after="120" w:line="360" w:lineRule="auto"/>
        <w:ind w:right="-88"/>
        <w:jc w:val="both"/>
        <w:rPr>
          <w:rFonts w:ascii="宋体" w:hAnsi="宋体" w:eastAsia="宋体" w:cs="Times New Roman"/>
          <w:color w:val="auto"/>
          <w:kern w:val="2"/>
          <w:sz w:val="24"/>
          <w:szCs w:val="24"/>
          <w:lang w:val="en-US" w:eastAsia="zh-CN" w:bidi="ar-SA"/>
        </w:rPr>
      </w:pPr>
      <w:r>
        <w:rPr>
          <w:rFonts w:ascii="宋体" w:hAnsi="宋体" w:eastAsia="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w:t>
      </w:r>
      <w:r>
        <w:rPr>
          <w:rFonts w:ascii="宋体" w:hAnsi="宋体" w:eastAsia="宋体" w:cs="Times New Roman"/>
          <w:color w:val="auto"/>
          <w:kern w:val="2"/>
          <w:sz w:val="24"/>
          <w:szCs w:val="24"/>
          <w:lang w:val="en-US" w:eastAsia="zh-CN" w:bidi="ar-SA"/>
        </w:rPr>
        <w:t xml:space="preserve"> 合同经双方法定代表人或授权代表</w:t>
      </w:r>
      <w:r>
        <w:rPr>
          <w:rFonts w:hint="eastAsia" w:ascii="宋体" w:hAnsi="宋体" w:eastAsia="宋体" w:cs="Times New Roman"/>
          <w:color w:val="auto"/>
          <w:kern w:val="2"/>
          <w:sz w:val="24"/>
          <w:szCs w:val="24"/>
          <w:lang w:val="en-US" w:eastAsia="zh-CN" w:bidi="ar-SA"/>
        </w:rPr>
        <w:t>签字</w:t>
      </w:r>
      <w:r>
        <w:rPr>
          <w:rFonts w:ascii="宋体" w:hAnsi="宋体" w:eastAsia="宋体" w:cs="Times New Roman"/>
          <w:color w:val="auto"/>
          <w:kern w:val="2"/>
          <w:sz w:val="24"/>
          <w:szCs w:val="24"/>
          <w:lang w:val="en-US" w:eastAsia="zh-CN" w:bidi="ar-SA"/>
        </w:rPr>
        <w:t>并加盖单位公章后生效。</w:t>
      </w:r>
    </w:p>
    <w:p w14:paraId="200F615C">
      <w:pPr>
        <w:widowControl/>
        <w:spacing w:after="120" w:line="360" w:lineRule="auto"/>
        <w:ind w:right="-88"/>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2. </w:t>
      </w:r>
      <w:r>
        <w:rPr>
          <w:rFonts w:ascii="宋体" w:hAnsi="宋体" w:eastAsia="宋体" w:cs="Times New Roman"/>
          <w:color w:val="auto"/>
          <w:kern w:val="2"/>
          <w:sz w:val="24"/>
          <w:szCs w:val="24"/>
          <w:lang w:val="en-US" w:eastAsia="zh-CN" w:bidi="ar-SA"/>
        </w:rPr>
        <w:t>本合同未尽事宜，遵照《</w:t>
      </w:r>
      <w:r>
        <w:rPr>
          <w:rFonts w:hint="eastAsia" w:ascii="宋体" w:hAnsi="宋体" w:eastAsia="宋体" w:cs="Times New Roman"/>
          <w:color w:val="auto"/>
          <w:kern w:val="2"/>
          <w:sz w:val="24"/>
          <w:szCs w:val="24"/>
          <w:lang w:val="en-US" w:eastAsia="zh-CN" w:bidi="ar-SA"/>
        </w:rPr>
        <w:t>民法典</w:t>
      </w:r>
      <w:r>
        <w:rPr>
          <w:rFonts w:ascii="宋体" w:hAnsi="宋体" w:eastAsia="宋体" w:cs="Times New Roman"/>
          <w:color w:val="auto"/>
          <w:kern w:val="2"/>
          <w:sz w:val="24"/>
          <w:szCs w:val="24"/>
          <w:lang w:val="en-US" w:eastAsia="zh-CN" w:bidi="ar-SA"/>
        </w:rPr>
        <w:t>》有关条文执行。</w:t>
      </w:r>
    </w:p>
    <w:p w14:paraId="211986BE">
      <w:pPr>
        <w:widowControl/>
        <w:spacing w:after="120" w:line="360" w:lineRule="auto"/>
        <w:ind w:right="-88"/>
        <w:jc w:val="both"/>
        <w:rPr>
          <w:rFonts w:ascii="宋体" w:hAnsi="宋体" w:eastAsia="宋体" w:cs="Times New Roman"/>
          <w:b w:val="0"/>
          <w:bCs/>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 xml:space="preserve">3. </w:t>
      </w:r>
      <w:r>
        <w:rPr>
          <w:rFonts w:hint="eastAsia" w:ascii="宋体" w:hAnsi="宋体" w:eastAsia="宋体"/>
          <w:b w:val="0"/>
          <w:bCs w:val="0"/>
          <w:color w:val="auto"/>
          <w:sz w:val="24"/>
          <w:szCs w:val="24"/>
        </w:rPr>
        <w:t xml:space="preserve"> 本合同一式</w:t>
      </w:r>
      <w:r>
        <w:rPr>
          <w:rFonts w:hint="eastAsia" w:ascii="宋体" w:hAnsi="宋体" w:eastAsia="宋体"/>
          <w:b w:val="0"/>
          <w:bCs w:val="0"/>
          <w:color w:val="auto"/>
          <w:sz w:val="24"/>
          <w:szCs w:val="24"/>
          <w:lang w:eastAsia="zh-CN"/>
        </w:rPr>
        <w:t>六</w:t>
      </w:r>
      <w:r>
        <w:rPr>
          <w:rFonts w:hint="eastAsia" w:ascii="宋体" w:hAnsi="宋体" w:eastAsia="宋体"/>
          <w:b w:val="0"/>
          <w:bCs w:val="0"/>
          <w:color w:val="auto"/>
          <w:sz w:val="24"/>
          <w:szCs w:val="24"/>
        </w:rPr>
        <w:t>份。甲、乙双方各执</w:t>
      </w:r>
      <w:r>
        <w:rPr>
          <w:rFonts w:hint="eastAsia" w:ascii="宋体" w:hAnsi="宋体"/>
          <w:b w:val="0"/>
          <w:bCs w:val="0"/>
          <w:color w:val="auto"/>
          <w:sz w:val="24"/>
          <w:szCs w:val="24"/>
          <w:lang w:val="en-US" w:eastAsia="zh-CN"/>
        </w:rPr>
        <w:t>叁</w:t>
      </w:r>
      <w:r>
        <w:rPr>
          <w:rFonts w:hint="eastAsia" w:ascii="宋体" w:hAnsi="宋体" w:eastAsia="宋体"/>
          <w:b w:val="0"/>
          <w:bCs w:val="0"/>
          <w:color w:val="auto"/>
          <w:sz w:val="24"/>
          <w:szCs w:val="24"/>
        </w:rPr>
        <w:t>份。本项目未尽事宜以招标文件、投标文件及澄清文件等为准。</w:t>
      </w:r>
    </w:p>
    <w:p w14:paraId="3F4A908D">
      <w:pPr>
        <w:widowControl/>
        <w:spacing w:line="360" w:lineRule="auto"/>
        <w:rPr>
          <w:rFonts w:ascii="宋体" w:hAnsi="宋体" w:eastAsia="宋体" w:cs="Times New Roman"/>
          <w:b/>
          <w:color w:val="auto"/>
          <w:sz w:val="24"/>
        </w:rPr>
      </w:pPr>
    </w:p>
    <w:p w14:paraId="3948863E">
      <w:pPr>
        <w:widowControl/>
        <w:spacing w:line="360" w:lineRule="auto"/>
        <w:rPr>
          <w:rFonts w:ascii="宋体" w:hAnsi="宋体" w:eastAsia="宋体" w:cs="Times New Roman"/>
          <w:b/>
          <w:color w:val="auto"/>
          <w:sz w:val="24"/>
        </w:rPr>
      </w:pPr>
    </w:p>
    <w:p w14:paraId="2989E042">
      <w:pPr>
        <w:spacing w:line="360" w:lineRule="auto"/>
        <w:rPr>
          <w:rFonts w:ascii="宋体" w:hAnsi="宋体" w:eastAsia="宋体" w:cs="Times New Roman"/>
          <w:color w:val="auto"/>
          <w:sz w:val="24"/>
        </w:rPr>
      </w:pPr>
      <w:r>
        <w:rPr>
          <w:rFonts w:hint="eastAsia" w:ascii="宋体" w:hAnsi="宋体" w:eastAsia="宋体" w:cs="Times New Roman"/>
          <w:color w:val="auto"/>
          <w:sz w:val="24"/>
        </w:rPr>
        <w:t>甲方（公章）                                     乙方（公章）</w:t>
      </w:r>
    </w:p>
    <w:p w14:paraId="29653424">
      <w:pPr>
        <w:spacing w:line="360" w:lineRule="auto"/>
        <w:rPr>
          <w:rFonts w:ascii="宋体" w:hAnsi="宋体" w:eastAsia="宋体" w:cs="Times New Roman"/>
          <w:color w:val="auto"/>
          <w:sz w:val="24"/>
        </w:rPr>
      </w:pPr>
      <w:r>
        <w:rPr>
          <w:rFonts w:hint="eastAsia" w:ascii="宋体" w:hAnsi="宋体" w:eastAsia="宋体" w:cs="Times New Roman"/>
          <w:color w:val="auto"/>
          <w:sz w:val="24"/>
        </w:rPr>
        <w:t>法定代表人：                                     法定代表人：</w:t>
      </w:r>
    </w:p>
    <w:p w14:paraId="3D916964">
      <w:pPr>
        <w:spacing w:line="360" w:lineRule="auto"/>
        <w:rPr>
          <w:rFonts w:ascii="宋体" w:hAnsi="宋体" w:eastAsia="宋体" w:cs="Times New Roman"/>
          <w:color w:val="auto"/>
          <w:sz w:val="24"/>
        </w:rPr>
      </w:pPr>
      <w:r>
        <w:rPr>
          <w:rFonts w:hint="eastAsia" w:ascii="宋体" w:hAnsi="宋体" w:eastAsia="宋体" w:cs="Times New Roman"/>
          <w:color w:val="auto"/>
          <w:sz w:val="24"/>
        </w:rPr>
        <w:t>委托代理人：                                     委托代理人：</w:t>
      </w:r>
    </w:p>
    <w:p w14:paraId="5977D2DB">
      <w:pPr>
        <w:spacing w:line="360" w:lineRule="auto"/>
        <w:rPr>
          <w:rFonts w:ascii="宋体" w:hAnsi="宋体" w:eastAsia="宋体" w:cs="Times New Roman"/>
          <w:color w:val="auto"/>
          <w:sz w:val="24"/>
        </w:rPr>
      </w:pPr>
      <w:r>
        <w:rPr>
          <w:rFonts w:hint="eastAsia" w:ascii="宋体" w:hAnsi="宋体" w:eastAsia="宋体" w:cs="Times New Roman"/>
          <w:color w:val="auto"/>
          <w:sz w:val="24"/>
        </w:rPr>
        <w:t>联系电话：                                       联系电话：</w:t>
      </w:r>
    </w:p>
    <w:p w14:paraId="16913BBC">
      <w:pPr>
        <w:spacing w:line="360" w:lineRule="auto"/>
        <w:rPr>
          <w:rFonts w:ascii="宋体" w:hAnsi="宋体" w:eastAsia="宋体" w:cs="Times New Roman"/>
          <w:color w:val="auto"/>
          <w:sz w:val="24"/>
        </w:rPr>
      </w:pPr>
      <w:r>
        <w:rPr>
          <w:rFonts w:hint="eastAsia" w:ascii="宋体" w:hAnsi="宋体" w:eastAsia="宋体" w:cs="Times New Roman"/>
          <w:color w:val="auto"/>
          <w:sz w:val="24"/>
        </w:rPr>
        <w:t>开户银行：                                       开户银行：</w:t>
      </w:r>
    </w:p>
    <w:p w14:paraId="7223EC2B">
      <w:pPr>
        <w:spacing w:line="360" w:lineRule="auto"/>
        <w:rPr>
          <w:rFonts w:ascii="宋体" w:hAnsi="宋体" w:eastAsia="宋体" w:cs="Times New Roman"/>
          <w:color w:val="auto"/>
          <w:sz w:val="24"/>
        </w:rPr>
      </w:pPr>
      <w:r>
        <w:rPr>
          <w:rFonts w:hint="eastAsia" w:ascii="宋体" w:hAnsi="宋体" w:eastAsia="宋体" w:cs="Times New Roman"/>
          <w:color w:val="auto"/>
          <w:sz w:val="24"/>
        </w:rPr>
        <w:t>帐号：                                           帐号：</w:t>
      </w:r>
    </w:p>
    <w:p w14:paraId="192A6DE0">
      <w:pPr>
        <w:spacing w:line="360" w:lineRule="auto"/>
        <w:rPr>
          <w:rFonts w:ascii="宋体" w:hAnsi="宋体" w:eastAsia="宋体" w:cs="Times New Roman"/>
          <w:color w:val="auto"/>
          <w:sz w:val="24"/>
        </w:rPr>
      </w:pPr>
      <w:r>
        <w:rPr>
          <w:rFonts w:hint="eastAsia" w:ascii="宋体" w:hAnsi="宋体" w:eastAsia="宋体" w:cs="Times New Roman"/>
          <w:color w:val="auto"/>
          <w:sz w:val="24"/>
        </w:rPr>
        <w:t>地址及邮编：                                     地址及邮编：</w:t>
      </w:r>
    </w:p>
    <w:p w14:paraId="631B89FA">
      <w:pPr>
        <w:spacing w:line="360" w:lineRule="auto"/>
        <w:rPr>
          <w:rFonts w:ascii="宋体" w:hAnsi="宋体" w:eastAsia="宋体" w:cs="Times New Roman"/>
          <w:color w:val="auto"/>
          <w:sz w:val="24"/>
        </w:rPr>
      </w:pPr>
    </w:p>
    <w:p w14:paraId="20868437">
      <w:pPr>
        <w:jc w:val="center"/>
        <w:rPr>
          <w:rFonts w:hint="eastAsia" w:ascii="宋体" w:hAnsi="宋体"/>
          <w:b/>
          <w:color w:val="auto"/>
          <w:sz w:val="36"/>
          <w:szCs w:val="36"/>
          <w:highlight w:val="none"/>
        </w:rPr>
      </w:pPr>
      <w:r>
        <w:rPr>
          <w:rFonts w:hint="eastAsia" w:ascii="宋体" w:hAnsi="宋体" w:eastAsia="宋体" w:cs="Times New Roman"/>
          <w:color w:val="auto"/>
          <w:sz w:val="24"/>
        </w:rPr>
        <w:t>签订时间：    年   月    日</w:t>
      </w:r>
      <w:r>
        <w:rPr>
          <w:rFonts w:ascii="Times New Roman" w:hAnsi="Times New Roman"/>
          <w:color w:val="auto"/>
          <w:kern w:val="21"/>
          <w:sz w:val="21"/>
          <w:szCs w:val="21"/>
          <w:highlight w:val="none"/>
        </w:rPr>
        <w:br w:type="page"/>
      </w:r>
      <w:r>
        <w:rPr>
          <w:rFonts w:hint="eastAsia" w:ascii="宋体" w:hAnsi="宋体"/>
          <w:b/>
          <w:color w:val="auto"/>
          <w:sz w:val="36"/>
          <w:szCs w:val="36"/>
          <w:highlight w:val="none"/>
        </w:rPr>
        <w:t>第六章：响应文件格式附件</w:t>
      </w:r>
    </w:p>
    <w:p w14:paraId="6D708D1D">
      <w:pPr>
        <w:tabs>
          <w:tab w:val="left" w:pos="8280"/>
        </w:tabs>
        <w:autoSpaceDE w:val="0"/>
        <w:autoSpaceDN w:val="0"/>
        <w:adjustRightInd w:val="0"/>
        <w:spacing w:line="240" w:lineRule="atLeast"/>
        <w:ind w:right="25"/>
        <w:rPr>
          <w:rFonts w:hint="eastAsia" w:ascii="宋体" w:hAnsi="宋体"/>
          <w:color w:val="auto"/>
          <w:kern w:val="0"/>
          <w:sz w:val="24"/>
          <w:highlight w:val="none"/>
        </w:rPr>
      </w:pPr>
    </w:p>
    <w:p w14:paraId="109E796A">
      <w:pPr>
        <w:rPr>
          <w:rFonts w:hint="eastAsia"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14:paraId="240D60C3">
      <w:pPr>
        <w:spacing w:before="312" w:beforeLines="100" w:line="360" w:lineRule="auto"/>
        <w:ind w:right="-108"/>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lang w:eastAsia="zh-CN"/>
        </w:rPr>
        <w:t>2025年玉环市特殊教育学校智慧体育及户外感统设备采购</w:t>
      </w:r>
    </w:p>
    <w:p w14:paraId="00CDE264">
      <w:pPr>
        <w:spacing w:before="312" w:beforeLines="100" w:line="360" w:lineRule="auto"/>
        <w:ind w:left="1680" w:right="-108" w:firstLine="420"/>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 xml:space="preserve">            </w:t>
      </w:r>
    </w:p>
    <w:p w14:paraId="6F68776A">
      <w:pPr>
        <w:spacing w:before="312" w:beforeLines="100" w:line="240" w:lineRule="atLeast"/>
        <w:ind w:right="-108"/>
        <w:jc w:val="center"/>
        <w:rPr>
          <w:rFonts w:hint="eastAsia" w:ascii="宋体" w:hAnsi="宋体"/>
          <w:color w:val="auto"/>
          <w:sz w:val="32"/>
          <w:szCs w:val="32"/>
          <w:highlight w:val="none"/>
        </w:rPr>
      </w:pPr>
      <w:r>
        <w:rPr>
          <w:rFonts w:hint="eastAsia" w:ascii="宋体" w:hAnsi="宋体"/>
          <w:color w:val="auto"/>
          <w:sz w:val="32"/>
          <w:szCs w:val="32"/>
          <w:highlight w:val="none"/>
        </w:rPr>
        <w:t>（</w:t>
      </w:r>
      <w:r>
        <w:rPr>
          <w:rFonts w:hint="eastAsia" w:ascii="宋体" w:hAnsi="宋体" w:cs="宋体"/>
          <w:b/>
          <w:bCs/>
          <w:color w:val="auto"/>
          <w:sz w:val="28"/>
          <w:szCs w:val="28"/>
          <w:highlight w:val="none"/>
        </w:rPr>
        <w:t>资格证明部分/</w:t>
      </w:r>
      <w:r>
        <w:rPr>
          <w:rFonts w:hint="eastAsia" w:ascii="宋体" w:hAnsi="宋体" w:cs="宋体"/>
          <w:b/>
          <w:bCs/>
          <w:color w:val="auto"/>
          <w:sz w:val="28"/>
          <w:szCs w:val="28"/>
          <w:highlight w:val="none"/>
          <w:lang w:val="zh-CN"/>
        </w:rPr>
        <w:t>商务与技术</w:t>
      </w:r>
      <w:r>
        <w:rPr>
          <w:rFonts w:hint="eastAsia" w:ascii="宋体" w:hAnsi="宋体" w:cs="宋体"/>
          <w:b/>
          <w:bCs/>
          <w:color w:val="auto"/>
          <w:sz w:val="28"/>
          <w:szCs w:val="28"/>
          <w:highlight w:val="none"/>
        </w:rPr>
        <w:t>部分/</w:t>
      </w:r>
      <w:r>
        <w:rPr>
          <w:rFonts w:hint="eastAsia" w:ascii="宋体" w:hAnsi="宋体" w:cs="宋体"/>
          <w:b/>
          <w:color w:val="auto"/>
          <w:sz w:val="28"/>
          <w:szCs w:val="28"/>
          <w:highlight w:val="none"/>
        </w:rPr>
        <w:t>报价</w:t>
      </w:r>
      <w:r>
        <w:rPr>
          <w:rFonts w:hint="eastAsia" w:ascii="宋体" w:hAnsi="宋体" w:cs="宋体"/>
          <w:b/>
          <w:bCs/>
          <w:color w:val="auto"/>
          <w:sz w:val="28"/>
          <w:szCs w:val="28"/>
          <w:highlight w:val="none"/>
        </w:rPr>
        <w:t>部分</w:t>
      </w:r>
      <w:r>
        <w:rPr>
          <w:rFonts w:hint="eastAsia" w:ascii="宋体" w:hAnsi="宋体"/>
          <w:color w:val="auto"/>
          <w:sz w:val="32"/>
          <w:szCs w:val="32"/>
          <w:highlight w:val="none"/>
        </w:rPr>
        <w:t>）</w:t>
      </w:r>
    </w:p>
    <w:p w14:paraId="3C6BA63A">
      <w:pPr>
        <w:spacing w:after="100" w:afterLines="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26CA2FF9">
      <w:pPr>
        <w:spacing w:after="100" w:afterLines="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0624E7C9">
      <w:pPr>
        <w:spacing w:after="100" w:afterLines="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74CC0C71">
      <w:pPr>
        <w:spacing w:after="100" w:afterLines="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73740572">
      <w:pPr>
        <w:spacing w:after="100" w:afterLines="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3061863F">
      <w:pPr>
        <w:spacing w:after="100" w:afterLines="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0D156637">
      <w:pPr>
        <w:spacing w:line="500" w:lineRule="exact"/>
        <w:ind w:right="532"/>
        <w:jc w:val="center"/>
        <w:rPr>
          <w:rFonts w:hint="eastAsia" w:ascii="宋体" w:hAnsi="宋体"/>
          <w:color w:val="auto"/>
          <w:sz w:val="36"/>
          <w:szCs w:val="36"/>
          <w:highlight w:val="none"/>
        </w:rPr>
      </w:pPr>
    </w:p>
    <w:p w14:paraId="07345B15">
      <w:pPr>
        <w:spacing w:line="5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供应商全称（公章）：</w:t>
      </w:r>
    </w:p>
    <w:p w14:paraId="3F487BA3">
      <w:pPr>
        <w:wordWrap w:val="0"/>
        <w:spacing w:line="500" w:lineRule="exact"/>
        <w:ind w:right="-108"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地    址：</w:t>
      </w:r>
    </w:p>
    <w:p w14:paraId="14CCC8EB">
      <w:pPr>
        <w:wordWrap w:val="0"/>
        <w:spacing w:line="500" w:lineRule="exact"/>
        <w:ind w:right="-108" w:firstLine="720" w:firstLineChars="200"/>
        <w:rPr>
          <w:rFonts w:hint="eastAsia" w:ascii="宋体" w:hAnsi="宋体"/>
          <w:b/>
          <w:bCs/>
          <w:color w:val="auto"/>
          <w:sz w:val="32"/>
          <w:szCs w:val="32"/>
          <w:highlight w:val="none"/>
        </w:rPr>
      </w:pPr>
      <w:r>
        <w:rPr>
          <w:rFonts w:hint="eastAsia" w:ascii="宋体" w:hAnsi="宋体"/>
          <w:color w:val="auto"/>
          <w:sz w:val="36"/>
          <w:szCs w:val="36"/>
          <w:highlight w:val="none"/>
        </w:rPr>
        <w:t>时    间：</w:t>
      </w:r>
    </w:p>
    <w:p w14:paraId="444777B3">
      <w:pPr>
        <w:snapToGrid w:val="0"/>
        <w:spacing w:before="50" w:beforeLines="0" w:after="50" w:afterLines="0" w:line="360" w:lineRule="auto"/>
        <w:jc w:val="center"/>
        <w:rPr>
          <w:rFonts w:hint="eastAsia" w:ascii="宋体" w:hAnsi="宋体"/>
          <w:b/>
          <w:bCs/>
          <w:color w:val="auto"/>
          <w:sz w:val="36"/>
          <w:szCs w:val="36"/>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4F16A590">
      <w:pPr>
        <w:snapToGrid w:val="0"/>
        <w:spacing w:before="50" w:beforeLines="0" w:after="50" w:afterLines="0" w:line="360" w:lineRule="auto"/>
        <w:jc w:val="center"/>
        <w:rPr>
          <w:rFonts w:hint="eastAsia" w:ascii="宋体" w:hAnsi="宋体"/>
          <w:b/>
          <w:bCs/>
          <w:color w:val="auto"/>
          <w:sz w:val="36"/>
          <w:szCs w:val="36"/>
          <w:highlight w:val="none"/>
        </w:rPr>
      </w:pPr>
      <w:r>
        <w:rPr>
          <w:rFonts w:hint="eastAsia" w:ascii="宋体" w:hAnsi="宋体"/>
          <w:b/>
          <w:bCs/>
          <w:color w:val="auto"/>
          <w:sz w:val="36"/>
          <w:szCs w:val="36"/>
          <w:highlight w:val="none"/>
        </w:rPr>
        <w:t>磋商响应文件目录</w:t>
      </w:r>
    </w:p>
    <w:p w14:paraId="43B4BA6F">
      <w:pPr>
        <w:keepNext w:val="0"/>
        <w:keepLines w:val="0"/>
        <w:pageBreakBefore w:val="0"/>
        <w:kinsoku/>
        <w:wordWrap/>
        <w:overflowPunct/>
        <w:topLinePunct w:val="0"/>
        <w:bidi w:val="0"/>
        <w:snapToGrid w:val="0"/>
        <w:spacing w:before="50" w:beforeLines="0" w:after="50" w:afterLines="0" w:line="360" w:lineRule="auto"/>
        <w:jc w:val="center"/>
        <w:textAlignment w:val="auto"/>
        <w:rPr>
          <w:rFonts w:hint="eastAsia" w:ascii="宋体" w:hAnsi="宋体" w:eastAsia="宋体" w:cs="宋体"/>
          <w:b w:val="0"/>
          <w:bCs w:val="0"/>
          <w:color w:val="auto"/>
          <w:sz w:val="48"/>
          <w:szCs w:val="48"/>
          <w:highlight w:val="none"/>
          <w:lang w:eastAsia="zh-CN"/>
        </w:rPr>
      </w:pPr>
      <w:r>
        <w:rPr>
          <w:rFonts w:hint="eastAsia" w:ascii="宋体" w:hAnsi="宋体" w:cs="宋体"/>
          <w:b w:val="0"/>
          <w:bCs w:val="0"/>
          <w:color w:val="auto"/>
          <w:sz w:val="48"/>
          <w:szCs w:val="48"/>
          <w:highlight w:val="none"/>
          <w:lang w:eastAsia="zh-CN"/>
        </w:rPr>
        <w:t>（仅供参考）</w:t>
      </w:r>
    </w:p>
    <w:p w14:paraId="2DEB1EF9">
      <w:pPr>
        <w:keepNext w:val="0"/>
        <w:keepLines w:val="0"/>
        <w:pageBreakBefore w:val="0"/>
        <w:kinsoku/>
        <w:wordWrap/>
        <w:overflowPunct/>
        <w:topLinePunct w:val="0"/>
        <w:bidi w:val="0"/>
        <w:snapToGrid w:val="0"/>
        <w:spacing w:before="50" w:beforeLines="0" w:after="50" w:afterLines="0" w:line="360" w:lineRule="auto"/>
        <w:ind w:firstLine="422" w:firstLineChars="15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第一部分：资格证明部分</w:t>
      </w:r>
    </w:p>
    <w:p w14:paraId="4488D020">
      <w:pPr>
        <w:pStyle w:val="14"/>
        <w:keepNext w:val="0"/>
        <w:keepLines w:val="0"/>
        <w:pageBreakBefore w:val="0"/>
        <w:kinsoku/>
        <w:wordWrap/>
        <w:overflowPunct/>
        <w:topLinePunct w:val="0"/>
        <w:bidi w:val="0"/>
        <w:ind w:left="0" w:leftChars="0" w:firstLine="470"/>
        <w:textAlignment w:val="auto"/>
        <w:rPr>
          <w:rStyle w:val="20"/>
          <w:rFonts w:hint="eastAsia" w:eastAsia="宋体"/>
          <w:b w:val="0"/>
          <w:color w:val="auto"/>
          <w:highlight w:val="none"/>
          <w:u w:val="none"/>
          <w:lang w:eastAsia="zh-CN"/>
        </w:rPr>
      </w:pPr>
      <w:r>
        <w:rPr>
          <w:rStyle w:val="20"/>
          <w:rFonts w:hint="eastAsia"/>
          <w:b w:val="0"/>
          <w:color w:val="auto"/>
          <w:highlight w:val="none"/>
          <w:u w:val="none"/>
        </w:rPr>
        <w:t>（1）磋商声明书（附件2）</w:t>
      </w:r>
      <w:r>
        <w:rPr>
          <w:rStyle w:val="20"/>
          <w:rFonts w:hint="eastAsia"/>
          <w:b w:val="0"/>
          <w:color w:val="auto"/>
          <w:highlight w:val="none"/>
          <w:u w:val="none"/>
          <w:lang w:eastAsia="zh-CN"/>
        </w:rPr>
        <w:t>；</w:t>
      </w:r>
    </w:p>
    <w:p w14:paraId="46C4B7B6">
      <w:pPr>
        <w:keepNext w:val="0"/>
        <w:keepLines w:val="0"/>
        <w:pageBreakBefore w:val="0"/>
        <w:widowControl/>
        <w:kinsoku/>
        <w:wordWrap/>
        <w:overflowPunct/>
        <w:topLinePunct w:val="0"/>
        <w:bidi w:val="0"/>
        <w:spacing w:line="360" w:lineRule="auto"/>
        <w:ind w:right="60" w:firstLine="480" w:firstLineChars="200"/>
        <w:jc w:val="left"/>
        <w:textAlignment w:val="auto"/>
        <w:outlineLvl w:val="0"/>
        <w:rPr>
          <w:rFonts w:ascii="宋体" w:hAnsi="宋体" w:cs="宋体"/>
          <w:color w:val="auto"/>
          <w:sz w:val="24"/>
          <w:highlight w:val="none"/>
        </w:rPr>
      </w:pPr>
      <w:r>
        <w:rPr>
          <w:rFonts w:hint="eastAsia" w:ascii="宋体" w:hAnsi="宋体" w:cs="宋体"/>
          <w:color w:val="auto"/>
          <w:sz w:val="24"/>
          <w:highlight w:val="none"/>
        </w:rPr>
        <w:t>（2）授权委托书（附件3）（法定代表人亲自办理磋商响应事宜的，则无需提交)；</w:t>
      </w:r>
    </w:p>
    <w:p w14:paraId="62D6E17B">
      <w:pPr>
        <w:keepNext w:val="0"/>
        <w:keepLines w:val="0"/>
        <w:pageBreakBefore w:val="0"/>
        <w:widowControl/>
        <w:kinsoku/>
        <w:wordWrap/>
        <w:overflowPunct/>
        <w:topLinePunct w:val="0"/>
        <w:bidi w:val="0"/>
        <w:spacing w:line="360" w:lineRule="auto"/>
        <w:ind w:right="60" w:firstLine="480" w:firstLineChars="200"/>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60037D48">
      <w:pPr>
        <w:keepNext w:val="0"/>
        <w:keepLines w:val="0"/>
        <w:pageBreakBefore w:val="0"/>
        <w:widowControl/>
        <w:kinsoku/>
        <w:wordWrap/>
        <w:overflowPunct/>
        <w:topLinePunct w:val="0"/>
        <w:bidi w:val="0"/>
        <w:spacing w:line="360" w:lineRule="auto"/>
        <w:ind w:right="60" w:firstLine="480" w:firstLineChars="200"/>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（4）依法缴纳税收和社会保障资金的相关材料；</w:t>
      </w:r>
    </w:p>
    <w:p w14:paraId="194C52E2">
      <w:pPr>
        <w:keepNext w:val="0"/>
        <w:keepLines w:val="0"/>
        <w:pageBreakBefore w:val="0"/>
        <w:widowControl/>
        <w:kinsoku/>
        <w:wordWrap/>
        <w:overflowPunct/>
        <w:topLinePunct w:val="0"/>
        <w:bidi w:val="0"/>
        <w:spacing w:line="360" w:lineRule="auto"/>
        <w:ind w:right="60" w:firstLine="480" w:firstLineChars="200"/>
        <w:jc w:val="left"/>
        <w:textAlignment w:val="auto"/>
        <w:outlineLvl w:val="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）具备履行合同所必需的设备和专业技术能力的证明材料(根据项目性质提供)；</w:t>
      </w:r>
    </w:p>
    <w:p w14:paraId="316634F3">
      <w:pPr>
        <w:keepNext w:val="0"/>
        <w:keepLines w:val="0"/>
        <w:pageBreakBefore w:val="0"/>
        <w:widowControl/>
        <w:kinsoku/>
        <w:wordWrap/>
        <w:overflowPunct/>
        <w:topLinePunct w:val="0"/>
        <w:bidi w:val="0"/>
        <w:spacing w:line="360" w:lineRule="auto"/>
        <w:ind w:right="60" w:firstLine="480" w:firstLineChars="200"/>
        <w:jc w:val="left"/>
        <w:textAlignment w:val="auto"/>
        <w:outlineLvl w:val="0"/>
        <w:rPr>
          <w:rFonts w:hint="eastAsia" w:eastAsia="宋体"/>
          <w:color w:val="auto"/>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）本项目要求的供应商特定条件资质证书</w:t>
      </w:r>
      <w:r>
        <w:rPr>
          <w:rFonts w:hint="eastAsia" w:ascii="宋体" w:hAnsi="宋体" w:cs="宋体"/>
          <w:color w:val="auto"/>
          <w:sz w:val="24"/>
          <w:highlight w:val="none"/>
          <w:lang w:eastAsia="zh-CN"/>
        </w:rPr>
        <w:t>（如有）</w:t>
      </w:r>
      <w:r>
        <w:rPr>
          <w:rFonts w:hint="eastAsia" w:ascii="宋体" w:hAnsi="宋体" w:cs="宋体"/>
          <w:color w:val="auto"/>
          <w:sz w:val="24"/>
          <w:highlight w:val="none"/>
        </w:rPr>
        <w:t>（磋商供应商特定条件中有要求的必须提供）以及需要说明的其他资料</w:t>
      </w:r>
      <w:r>
        <w:rPr>
          <w:rFonts w:hint="eastAsia" w:ascii="宋体" w:hAnsi="宋体" w:cs="宋体"/>
          <w:color w:val="auto"/>
          <w:sz w:val="24"/>
          <w:highlight w:val="none"/>
          <w:lang w:eastAsia="zh-CN"/>
        </w:rPr>
        <w:t>。</w:t>
      </w:r>
    </w:p>
    <w:p w14:paraId="77608A3E">
      <w:pPr>
        <w:keepNext w:val="0"/>
        <w:keepLines w:val="0"/>
        <w:pageBreakBefore w:val="0"/>
        <w:kinsoku/>
        <w:wordWrap/>
        <w:overflowPunct/>
        <w:topLinePunct w:val="0"/>
        <w:bidi w:val="0"/>
        <w:snapToGrid w:val="0"/>
        <w:spacing w:line="360" w:lineRule="auto"/>
        <w:ind w:firstLine="422" w:firstLineChars="150"/>
        <w:textAlignment w:val="auto"/>
        <w:rPr>
          <w:rFonts w:hint="eastAsia" w:ascii="宋体" w:hAnsi="宋体" w:cs="宋体"/>
          <w:b/>
          <w:bCs/>
          <w:color w:val="auto"/>
          <w:sz w:val="32"/>
          <w:szCs w:val="32"/>
          <w:highlight w:val="none"/>
        </w:rPr>
      </w:pPr>
      <w:r>
        <w:rPr>
          <w:rFonts w:hint="eastAsia" w:ascii="宋体" w:hAnsi="宋体" w:cs="宋体"/>
          <w:b/>
          <w:bCs/>
          <w:color w:val="auto"/>
          <w:sz w:val="28"/>
          <w:szCs w:val="28"/>
          <w:highlight w:val="none"/>
          <w:lang w:val="zh-CN"/>
        </w:rPr>
        <w:t>第二部分：商务与技术</w:t>
      </w:r>
      <w:r>
        <w:rPr>
          <w:rFonts w:hint="eastAsia" w:ascii="宋体" w:hAnsi="宋体" w:cs="宋体"/>
          <w:b/>
          <w:bCs/>
          <w:color w:val="auto"/>
          <w:sz w:val="28"/>
          <w:szCs w:val="28"/>
          <w:highlight w:val="none"/>
        </w:rPr>
        <w:t>部分</w:t>
      </w:r>
    </w:p>
    <w:p w14:paraId="1892914E">
      <w:pPr>
        <w:pStyle w:val="8"/>
        <w:keepNext w:val="0"/>
        <w:keepLines w:val="0"/>
        <w:pageBreakBefore w:val="0"/>
        <w:widowControl/>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kern w:val="2"/>
          <w:sz w:val="24"/>
          <w:szCs w:val="24"/>
          <w:lang w:val="en-US" w:eastAsia="zh-CN" w:bidi="ar-SA"/>
        </w:rPr>
        <w:t>1</w:t>
      </w:r>
      <w:r>
        <w:rPr>
          <w:rFonts w:hint="eastAsia" w:ascii="宋体" w:hAnsi="宋体" w:cs="宋体"/>
          <w:color w:val="auto"/>
          <w:sz w:val="24"/>
        </w:rPr>
        <w:t>、</w:t>
      </w:r>
      <w:r>
        <w:rPr>
          <w:rFonts w:hint="eastAsia" w:ascii="宋体" w:hAnsi="宋体" w:cs="宋体"/>
          <w:color w:val="auto"/>
          <w:sz w:val="24"/>
          <w:szCs w:val="24"/>
          <w:highlight w:val="none"/>
        </w:rPr>
        <w:t>供应商情况介绍（附件</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p>
    <w:p w14:paraId="7BE2D1CE">
      <w:pPr>
        <w:pStyle w:val="8"/>
        <w:keepNext w:val="0"/>
        <w:keepLines w:val="0"/>
        <w:pageBreakBefore w:val="0"/>
        <w:widowControl/>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kern w:val="2"/>
          <w:sz w:val="24"/>
          <w:szCs w:val="20"/>
          <w:lang w:val="en-US" w:eastAsia="zh-CN" w:bidi="ar-SA"/>
        </w:rPr>
        <w:t>2</w:t>
      </w:r>
      <w:r>
        <w:rPr>
          <w:rFonts w:hint="eastAsia" w:ascii="宋体" w:hAnsi="宋体" w:cs="宋体"/>
          <w:color w:val="auto"/>
          <w:sz w:val="24"/>
        </w:rPr>
        <w:t>、</w:t>
      </w:r>
      <w:r>
        <w:rPr>
          <w:rFonts w:hint="eastAsia" w:ascii="宋体" w:hAnsi="宋体" w:cs="宋体"/>
          <w:color w:val="auto"/>
          <w:sz w:val="24"/>
          <w:szCs w:val="24"/>
          <w:highlight w:val="none"/>
        </w:rPr>
        <w:t>项目组织实施方案(可视情选用附件5、附件6)；</w:t>
      </w:r>
    </w:p>
    <w:p w14:paraId="6D47C147">
      <w:pPr>
        <w:snapToGrid w:val="0"/>
        <w:spacing w:line="360" w:lineRule="auto"/>
        <w:ind w:firstLine="470" w:firstLineChars="196"/>
        <w:rPr>
          <w:rFonts w:hint="eastAsia" w:ascii="宋体" w:hAnsi="宋体" w:cs="宋体"/>
          <w:color w:val="auto"/>
          <w:kern w:val="0"/>
          <w:sz w:val="24"/>
        </w:rPr>
      </w:pPr>
      <w:r>
        <w:rPr>
          <w:rFonts w:hint="eastAsia" w:ascii="宋体" w:hAnsi="宋体" w:cs="宋体"/>
          <w:color w:val="auto"/>
          <w:sz w:val="24"/>
        </w:rPr>
        <w:t>3、响应产品技术规格资料</w:t>
      </w:r>
      <w:r>
        <w:rPr>
          <w:rFonts w:hint="eastAsia" w:ascii="宋体" w:hAnsi="宋体" w:cs="宋体"/>
          <w:color w:val="auto"/>
          <w:kern w:val="0"/>
          <w:sz w:val="24"/>
        </w:rPr>
        <w:t>（</w:t>
      </w:r>
      <w:r>
        <w:rPr>
          <w:rFonts w:hint="eastAsia" w:ascii="宋体" w:hAnsi="宋体" w:cs="宋体"/>
          <w:color w:val="auto"/>
          <w:sz w:val="24"/>
        </w:rPr>
        <w:t>可视情选用附件7</w:t>
      </w:r>
      <w:r>
        <w:rPr>
          <w:rFonts w:hint="eastAsia" w:ascii="宋体" w:hAnsi="宋体" w:cs="宋体"/>
          <w:color w:val="auto"/>
          <w:kern w:val="0"/>
          <w:sz w:val="24"/>
        </w:rPr>
        <w:t>）；</w:t>
      </w:r>
    </w:p>
    <w:p w14:paraId="20922A22">
      <w:pPr>
        <w:snapToGrid w:val="0"/>
        <w:spacing w:line="360" w:lineRule="auto"/>
        <w:ind w:firstLine="470" w:firstLineChars="196"/>
        <w:rPr>
          <w:rFonts w:hint="eastAsia" w:ascii="宋体" w:hAnsi="宋体" w:cs="宋体"/>
          <w:color w:val="auto"/>
          <w:kern w:val="0"/>
          <w:sz w:val="24"/>
        </w:rPr>
      </w:pPr>
      <w:r>
        <w:rPr>
          <w:rFonts w:hint="eastAsia" w:ascii="宋体" w:hAnsi="宋体" w:cs="宋体"/>
          <w:color w:val="auto"/>
          <w:kern w:val="0"/>
          <w:sz w:val="24"/>
        </w:rPr>
        <w:t>4、商务及技术响应表</w:t>
      </w:r>
      <w:r>
        <w:rPr>
          <w:rFonts w:hint="eastAsia" w:ascii="宋体" w:hAnsi="宋体" w:cs="宋体"/>
          <w:color w:val="auto"/>
          <w:sz w:val="24"/>
        </w:rPr>
        <w:t>（可视情选用附件8）</w:t>
      </w:r>
    </w:p>
    <w:p w14:paraId="58B717D7">
      <w:pPr>
        <w:snapToGrid w:val="0"/>
        <w:spacing w:line="360" w:lineRule="auto"/>
        <w:ind w:firstLine="470" w:firstLineChars="196"/>
        <w:rPr>
          <w:rFonts w:hint="eastAsia" w:ascii="宋体" w:hAnsi="宋体" w:cs="宋体"/>
          <w:color w:val="auto"/>
          <w:kern w:val="0"/>
          <w:sz w:val="24"/>
        </w:rPr>
      </w:pPr>
      <w:r>
        <w:rPr>
          <w:rFonts w:hint="eastAsia" w:ascii="宋体" w:hAnsi="宋体" w:cs="宋体"/>
          <w:color w:val="auto"/>
          <w:kern w:val="0"/>
          <w:sz w:val="24"/>
        </w:rPr>
        <w:t>5、证书一览表（附件9）；</w:t>
      </w:r>
    </w:p>
    <w:p w14:paraId="6F848120">
      <w:pPr>
        <w:snapToGrid w:val="0"/>
        <w:spacing w:line="360" w:lineRule="auto"/>
        <w:ind w:firstLine="470" w:firstLineChars="196"/>
        <w:rPr>
          <w:rFonts w:hint="eastAsia" w:ascii="宋体" w:hAnsi="宋体" w:cs="宋体"/>
          <w:color w:val="auto"/>
          <w:kern w:val="0"/>
          <w:sz w:val="24"/>
        </w:rPr>
      </w:pPr>
      <w:r>
        <w:rPr>
          <w:rFonts w:hint="eastAsia" w:ascii="宋体" w:hAnsi="宋体" w:cs="宋体"/>
          <w:color w:val="auto"/>
          <w:kern w:val="0"/>
          <w:sz w:val="24"/>
        </w:rPr>
        <w:t>6、</w:t>
      </w:r>
      <w:r>
        <w:rPr>
          <w:rFonts w:hint="eastAsia" w:ascii="宋体" w:hAnsi="宋体" w:cs="宋体"/>
          <w:color w:val="auto"/>
          <w:sz w:val="24"/>
        </w:rPr>
        <w:t>类似项目业绩一览表</w:t>
      </w:r>
      <w:r>
        <w:rPr>
          <w:rFonts w:hint="eastAsia" w:ascii="宋体" w:hAnsi="宋体" w:cs="宋体"/>
          <w:color w:val="auto"/>
          <w:kern w:val="0"/>
          <w:sz w:val="24"/>
        </w:rPr>
        <w:t>（附件10）</w:t>
      </w:r>
    </w:p>
    <w:p w14:paraId="287342AE">
      <w:pPr>
        <w:snapToGrid w:val="0"/>
        <w:spacing w:line="360" w:lineRule="auto"/>
        <w:ind w:firstLine="470" w:firstLineChars="196"/>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color w:val="auto"/>
          <w:sz w:val="24"/>
        </w:rPr>
        <w:t>售后服务措施及承诺</w:t>
      </w:r>
      <w:r>
        <w:rPr>
          <w:rFonts w:hint="eastAsia" w:ascii="宋体" w:hAnsi="宋体" w:cs="宋体"/>
          <w:color w:val="auto"/>
          <w:kern w:val="0"/>
          <w:sz w:val="24"/>
        </w:rPr>
        <w:t>（可视情选用附件11）；</w:t>
      </w:r>
    </w:p>
    <w:p w14:paraId="00296A50">
      <w:pPr>
        <w:snapToGrid w:val="0"/>
        <w:spacing w:line="360" w:lineRule="auto"/>
        <w:ind w:firstLine="470" w:firstLineChars="196"/>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8、</w:t>
      </w:r>
      <w:r>
        <w:rPr>
          <w:rFonts w:hint="eastAsia" w:ascii="宋体" w:hAnsi="宋体" w:cs="宋体"/>
          <w:color w:val="auto"/>
          <w:sz w:val="24"/>
          <w:highlight w:val="none"/>
          <w:lang w:val="zh-CN"/>
        </w:rPr>
        <w:t>产品演示视频（（EMS邮寄或顺丰邮寄形式）在投标截止时间前递交以介质（U盘）存储的</w:t>
      </w:r>
      <w:r>
        <w:rPr>
          <w:rFonts w:hint="eastAsia" w:ascii="宋体" w:hAnsi="宋体" w:cs="宋体"/>
          <w:color w:val="auto"/>
          <w:sz w:val="24"/>
          <w:highlight w:val="none"/>
          <w:lang w:val="en-US" w:eastAsia="zh-CN"/>
        </w:rPr>
        <w:t>形式至</w:t>
      </w:r>
      <w:r>
        <w:rPr>
          <w:rFonts w:hint="eastAsia" w:ascii="宋体" w:hAnsi="宋体" w:cs="宋体"/>
          <w:color w:val="auto"/>
          <w:sz w:val="24"/>
          <w:highlight w:val="none"/>
          <w:lang w:val="zh-CN"/>
        </w:rPr>
        <w:t>台州中域工程咨询有限公司（地址玉环市玉城街道广陵南路129号4楼 朱先生 15967082890））</w:t>
      </w:r>
    </w:p>
    <w:p w14:paraId="2E317AEA">
      <w:pPr>
        <w:spacing w:line="360" w:lineRule="auto"/>
        <w:ind w:right="-108" w:firstLine="422" w:firstLineChars="150"/>
        <w:rPr>
          <w:rFonts w:hint="eastAsia" w:ascii="宋体" w:hAnsi="宋体" w:cs="宋体"/>
          <w:color w:val="auto"/>
          <w:sz w:val="24"/>
        </w:rPr>
      </w:pPr>
      <w:r>
        <w:rPr>
          <w:rFonts w:hint="eastAsia" w:ascii="宋体" w:hAnsi="宋体" w:cs="宋体"/>
          <w:b/>
          <w:bCs/>
          <w:color w:val="auto"/>
          <w:kern w:val="0"/>
          <w:sz w:val="28"/>
          <w:szCs w:val="28"/>
        </w:rPr>
        <w:t>第三部分 ：</w:t>
      </w:r>
      <w:r>
        <w:rPr>
          <w:rFonts w:hint="eastAsia" w:ascii="宋体" w:hAnsi="宋体" w:cs="宋体"/>
          <w:b/>
          <w:color w:val="auto"/>
          <w:sz w:val="28"/>
          <w:szCs w:val="28"/>
        </w:rPr>
        <w:t>报价</w:t>
      </w:r>
      <w:r>
        <w:rPr>
          <w:rFonts w:hint="eastAsia" w:ascii="宋体" w:hAnsi="宋体" w:cs="宋体"/>
          <w:b/>
          <w:bCs/>
          <w:color w:val="auto"/>
          <w:sz w:val="28"/>
          <w:szCs w:val="28"/>
        </w:rPr>
        <w:t>部分</w:t>
      </w:r>
    </w:p>
    <w:p w14:paraId="69815ABB">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1、首次报价一览表（附件12）；</w:t>
      </w:r>
    </w:p>
    <w:p w14:paraId="5D276023">
      <w:pPr>
        <w:pStyle w:val="12"/>
        <w:snapToGrid w:val="0"/>
        <w:spacing w:line="360" w:lineRule="auto"/>
        <w:ind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r>
        <w:rPr>
          <w:rFonts w:hint="eastAsia" w:ascii="宋体" w:hAnsi="宋体" w:eastAsia="宋体" w:cs="宋体"/>
          <w:color w:val="auto"/>
          <w:kern w:val="2"/>
          <w:sz w:val="24"/>
          <w:szCs w:val="24"/>
          <w:lang w:val="en-US" w:eastAsia="zh-CN" w:bidi="ar-SA"/>
        </w:rPr>
        <w:t>、报价明细表（附件13）；</w:t>
      </w:r>
    </w:p>
    <w:p w14:paraId="3C6CC840">
      <w:pPr>
        <w:ind w:firstLine="480" w:firstLineChars="200"/>
        <w:rPr>
          <w:rFonts w:hint="default"/>
          <w:color w:val="auto"/>
          <w:lang w:val="en-US" w:eastAsia="zh-CN"/>
        </w:rPr>
      </w:pPr>
      <w:r>
        <w:rPr>
          <w:rFonts w:hint="eastAsia" w:ascii="宋体" w:hAnsi="宋体" w:eastAsia="宋体" w:cs="宋体"/>
          <w:color w:val="auto"/>
          <w:kern w:val="2"/>
          <w:sz w:val="24"/>
          <w:szCs w:val="24"/>
          <w:lang w:val="en-US" w:eastAsia="zh-CN" w:bidi="ar-SA"/>
        </w:rPr>
        <w:t>3、中小企业声明函（附件14）；</w:t>
      </w:r>
    </w:p>
    <w:p w14:paraId="2A5A2B44">
      <w:pPr>
        <w:keepNext w:val="0"/>
        <w:keepLines w:val="0"/>
        <w:pageBreakBefore w:val="0"/>
        <w:kinsoku/>
        <w:wordWrap/>
        <w:overflowPunct/>
        <w:topLinePunct w:val="0"/>
        <w:bidi w:val="0"/>
        <w:spacing w:line="360" w:lineRule="auto"/>
        <w:ind w:right="-108" w:firstLine="480" w:firstLineChars="200"/>
        <w:textAlignment w:val="auto"/>
        <w:rPr>
          <w:rFonts w:ascii="宋体" w:hAnsi="宋体"/>
          <w:b/>
          <w:color w:val="auto"/>
          <w:sz w:val="28"/>
          <w:highlight w:val="none"/>
        </w:rPr>
      </w:pPr>
      <w:r>
        <w:rPr>
          <w:rFonts w:hint="eastAsia" w:ascii="宋体" w:hAnsi="宋体" w:cs="宋体"/>
          <w:color w:val="auto"/>
          <w:sz w:val="24"/>
          <w:highlight w:val="none"/>
        </w:rPr>
        <w:br w:type="page"/>
      </w:r>
      <w:r>
        <w:rPr>
          <w:rFonts w:hint="eastAsia" w:ascii="宋体" w:hAnsi="宋体"/>
          <w:b/>
          <w:color w:val="auto"/>
          <w:sz w:val="28"/>
          <w:highlight w:val="none"/>
        </w:rPr>
        <w:t>附件2</w:t>
      </w:r>
    </w:p>
    <w:p w14:paraId="0E03D2A8">
      <w:pPr>
        <w:snapToGrid w:val="0"/>
        <w:spacing w:before="156" w:beforeLines="50" w:after="50" w:afterLines="0" w:line="360" w:lineRule="auto"/>
        <w:ind w:firstLine="643" w:firstLineChars="200"/>
        <w:jc w:val="center"/>
        <w:rPr>
          <w:rStyle w:val="20"/>
          <w:rFonts w:hint="eastAsia"/>
          <w:b/>
          <w:color w:val="auto"/>
          <w:sz w:val="32"/>
          <w:szCs w:val="32"/>
          <w:highlight w:val="none"/>
          <w:u w:val="none"/>
        </w:rPr>
      </w:pPr>
      <w:r>
        <w:rPr>
          <w:rStyle w:val="20"/>
          <w:rFonts w:hint="eastAsia"/>
          <w:b/>
          <w:color w:val="auto"/>
          <w:sz w:val="32"/>
          <w:szCs w:val="32"/>
          <w:highlight w:val="none"/>
          <w:u w:val="none"/>
        </w:rPr>
        <w:t>磋商声明书</w:t>
      </w:r>
    </w:p>
    <w:p w14:paraId="7F03F587">
      <w:pPr>
        <w:snapToGrid w:val="0"/>
        <w:spacing w:before="156" w:beforeLines="50" w:after="50" w:afterLines="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eastAsia="zh-CN"/>
        </w:rPr>
        <w:t>玉环市特殊教育学校</w:t>
      </w:r>
      <w:r>
        <w:rPr>
          <w:rFonts w:hint="eastAsia" w:ascii="宋体" w:hAnsi="宋体" w:cs="宋体"/>
          <w:color w:val="auto"/>
          <w:kern w:val="0"/>
          <w:sz w:val="24"/>
          <w:highlight w:val="none"/>
        </w:rPr>
        <w:t>：</w:t>
      </w:r>
    </w:p>
    <w:p w14:paraId="61FAA618">
      <w:pPr>
        <w:snapToGrid w:val="0"/>
        <w:spacing w:before="156" w:beforeLines="50" w:after="50" w:afterLines="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p>
    <w:p w14:paraId="2354DF1A">
      <w:pPr>
        <w:snapToGrid w:val="0"/>
        <w:spacing w:before="156" w:beforeLines="50" w:after="50" w:afterLines="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lang w:eastAsia="zh-CN"/>
        </w:rPr>
        <w:t>2025年玉环市特殊教育学校智慧体育及户外感统设备采购</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eastAsia="zh-CN"/>
        </w:rPr>
        <w:t>TZZY-2025-061</w:t>
      </w:r>
      <w:r>
        <w:rPr>
          <w:rFonts w:hint="eastAsia" w:ascii="宋体" w:hAnsi="宋体" w:cs="宋体"/>
          <w:color w:val="auto"/>
          <w:kern w:val="0"/>
          <w:sz w:val="24"/>
          <w:highlight w:val="none"/>
        </w:rPr>
        <w:t>）的磋商，为此，我公司就本次磋商有关事项郑重声明如下：</w:t>
      </w:r>
    </w:p>
    <w:p w14:paraId="0F6F11A3">
      <w:pPr>
        <w:numPr>
          <w:ilvl w:val="0"/>
          <w:numId w:val="8"/>
          <w:numberingChange w:id="2" w:author="lenovo" w:date="2021-11-09T18:47:00Z" w:original="%1:1:0:、"/>
        </w:numPr>
        <w:snapToGrid w:val="0"/>
        <w:spacing w:before="156" w:beforeLines="50" w:after="50" w:afterLines="0" w:line="288" w:lineRule="auto"/>
        <w:ind w:firstLine="480" w:firstLineChars="200"/>
        <w:rPr>
          <w:rFonts w:ascii="宋体" w:hAnsi="宋体" w:cs="宋体"/>
          <w:b/>
          <w:color w:val="auto"/>
          <w:kern w:val="0"/>
          <w:sz w:val="24"/>
          <w:highlight w:val="none"/>
        </w:rPr>
      </w:pPr>
      <w:r>
        <w:rPr>
          <w:rFonts w:hint="eastAsia" w:ascii="Arial" w:hAnsi="Arial" w:cs="Arial"/>
          <w:color w:val="auto"/>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1EE5B70B">
      <w:pPr>
        <w:numPr>
          <w:ilvl w:val="0"/>
          <w:numId w:val="8"/>
          <w:numberingChange w:id="3" w:author="lenovo" w:date="2021-11-09T18:47:00Z" w:original="%1:2:0:、"/>
        </w:numPr>
        <w:snapToGrid w:val="0"/>
        <w:spacing w:before="156" w:beforeLines="50" w:after="50" w:afterLines="0" w:line="288"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w:t>
      </w:r>
      <w:r>
        <w:rPr>
          <w:rFonts w:ascii="宋体" w:hAnsi="宋体" w:cs="宋体"/>
          <w:color w:val="auto"/>
          <w:kern w:val="0"/>
          <w:sz w:val="24"/>
          <w:highlight w:val="none"/>
        </w:rPr>
        <w:t>在参与</w:t>
      </w:r>
      <w:r>
        <w:rPr>
          <w:rFonts w:hint="eastAsia" w:ascii="宋体" w:hAnsi="宋体" w:cs="宋体"/>
          <w:color w:val="auto"/>
          <w:kern w:val="0"/>
          <w:sz w:val="24"/>
          <w:highlight w:val="none"/>
        </w:rPr>
        <w:t>磋商</w:t>
      </w:r>
      <w:r>
        <w:rPr>
          <w:rFonts w:ascii="宋体" w:hAnsi="宋体" w:cs="宋体"/>
          <w:color w:val="auto"/>
          <w:kern w:val="0"/>
          <w:sz w:val="24"/>
          <w:highlight w:val="none"/>
        </w:rPr>
        <w:t>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w:t>
      </w:r>
      <w:r>
        <w:rPr>
          <w:rFonts w:hint="eastAsia" w:ascii="宋体" w:hAnsi="宋体" w:cs="宋体"/>
          <w:color w:val="auto"/>
          <w:kern w:val="0"/>
          <w:sz w:val="24"/>
          <w:highlight w:val="none"/>
        </w:rPr>
        <w:t>磋商文件</w:t>
      </w:r>
      <w:r>
        <w:rPr>
          <w:rFonts w:ascii="宋体" w:hAnsi="宋体" w:cs="宋体"/>
          <w:color w:val="auto"/>
          <w:kern w:val="0"/>
          <w:sz w:val="24"/>
          <w:highlight w:val="none"/>
        </w:rPr>
        <w:t>和所有相关资料，我方完全明白并认为此</w:t>
      </w:r>
      <w:r>
        <w:rPr>
          <w:rFonts w:hint="eastAsia" w:ascii="宋体" w:hAnsi="宋体" w:cs="宋体"/>
          <w:color w:val="auto"/>
          <w:kern w:val="0"/>
          <w:sz w:val="24"/>
          <w:highlight w:val="none"/>
        </w:rPr>
        <w:t>磋商文件</w:t>
      </w:r>
      <w:r>
        <w:rPr>
          <w:rFonts w:ascii="宋体" w:hAnsi="宋体" w:cs="宋体"/>
          <w:color w:val="auto"/>
          <w:kern w:val="0"/>
          <w:sz w:val="24"/>
          <w:highlight w:val="none"/>
        </w:rPr>
        <w:t>没有倾向性，也没有存在排斥潜在</w:t>
      </w:r>
      <w:r>
        <w:rPr>
          <w:rFonts w:hint="eastAsia" w:ascii="宋体" w:hAnsi="宋体" w:cs="宋体"/>
          <w:color w:val="auto"/>
          <w:kern w:val="0"/>
          <w:sz w:val="24"/>
          <w:highlight w:val="none"/>
        </w:rPr>
        <w:t>供应商</w:t>
      </w:r>
      <w:r>
        <w:rPr>
          <w:rFonts w:ascii="宋体" w:hAnsi="宋体" w:cs="宋体"/>
          <w:color w:val="auto"/>
          <w:kern w:val="0"/>
          <w:sz w:val="24"/>
          <w:highlight w:val="none"/>
        </w:rPr>
        <w:t>的内容，我方同意</w:t>
      </w:r>
      <w:r>
        <w:rPr>
          <w:rFonts w:hint="eastAsia" w:ascii="宋体" w:hAnsi="宋体" w:cs="宋体"/>
          <w:color w:val="auto"/>
          <w:kern w:val="0"/>
          <w:sz w:val="24"/>
          <w:highlight w:val="none"/>
        </w:rPr>
        <w:t>磋商文件</w:t>
      </w:r>
      <w:r>
        <w:rPr>
          <w:rFonts w:ascii="宋体" w:hAnsi="宋体" w:cs="宋体"/>
          <w:color w:val="auto"/>
          <w:kern w:val="0"/>
          <w:sz w:val="24"/>
          <w:highlight w:val="none"/>
        </w:rPr>
        <w:t>的相关条款，放弃对</w:t>
      </w:r>
      <w:r>
        <w:rPr>
          <w:rFonts w:hint="eastAsia" w:ascii="宋体" w:hAnsi="宋体" w:cs="宋体"/>
          <w:color w:val="auto"/>
          <w:kern w:val="0"/>
          <w:sz w:val="24"/>
          <w:highlight w:val="none"/>
        </w:rPr>
        <w:t>磋商文件</w:t>
      </w:r>
      <w:r>
        <w:rPr>
          <w:rFonts w:ascii="宋体" w:hAnsi="宋体" w:cs="宋体"/>
          <w:color w:val="auto"/>
          <w:kern w:val="0"/>
          <w:sz w:val="24"/>
          <w:highlight w:val="none"/>
        </w:rPr>
        <w:t>提出误解和质疑的一切权</w:t>
      </w:r>
      <w:r>
        <w:rPr>
          <w:rFonts w:hint="eastAsia" w:ascii="宋体" w:hAnsi="宋体" w:cs="宋体"/>
          <w:color w:val="auto"/>
          <w:kern w:val="0"/>
          <w:sz w:val="24"/>
          <w:highlight w:val="none"/>
        </w:rPr>
        <w:t>利。</w:t>
      </w:r>
    </w:p>
    <w:p w14:paraId="1D1E14DA">
      <w:pPr>
        <w:snapToGrid w:val="0"/>
        <w:spacing w:before="156" w:beforeLines="50" w:after="50" w:afterLines="0" w:line="288" w:lineRule="auto"/>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14:paraId="49EDA8F1">
      <w:pPr>
        <w:snapToGrid w:val="0"/>
        <w:spacing w:before="156" w:beforeLines="50" w:after="50" w:afterLines="0" w:line="288"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总报价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896B9B9">
      <w:pPr>
        <w:snapToGrid w:val="0"/>
        <w:spacing w:before="156" w:beforeLines="50" w:after="50" w:afterLines="0" w:line="288"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393CBD94">
      <w:pPr>
        <w:snapToGrid w:val="0"/>
        <w:spacing w:before="156" w:beforeLines="50" w:after="50" w:afterLines="0" w:line="288"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66BB138B">
      <w:pPr>
        <w:adjustRightInd w:val="0"/>
        <w:snapToGrid w:val="0"/>
        <w:spacing w:line="360" w:lineRule="auto"/>
        <w:ind w:firstLine="480"/>
        <w:rPr>
          <w:rFonts w:ascii="宋体" w:hAnsi="宋体" w:cs="仿宋_GB2312"/>
          <w:color w:val="auto"/>
          <w:kern w:val="0"/>
          <w:sz w:val="24"/>
          <w:highlight w:val="none"/>
        </w:rPr>
      </w:pPr>
    </w:p>
    <w:p w14:paraId="5AE068A8">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供应商名称(公章)：</w:t>
      </w:r>
    </w:p>
    <w:p w14:paraId="6A87B15B">
      <w:pPr>
        <w:adjustRightInd w:val="0"/>
        <w:snapToGrid w:val="0"/>
        <w:spacing w:line="360" w:lineRule="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14:paraId="5A186CE9">
      <w:pPr>
        <w:adjustRightInd w:val="0"/>
        <w:snapToGrid w:val="0"/>
        <w:spacing w:line="360" w:lineRule="auto"/>
        <w:ind w:right="480"/>
        <w:jc w:val="center"/>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日期：年  月   日</w:t>
      </w:r>
    </w:p>
    <w:p w14:paraId="19E6BE53">
      <w:pPr>
        <w:adjustRightInd w:val="0"/>
        <w:snapToGrid w:val="0"/>
        <w:spacing w:line="360" w:lineRule="auto"/>
        <w:ind w:right="480"/>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4AC30AB">
      <w:pPr>
        <w:adjustRightInd w:val="0"/>
        <w:snapToGrid w:val="0"/>
        <w:spacing w:line="360" w:lineRule="auto"/>
        <w:ind w:right="480"/>
        <w:rPr>
          <w:rFonts w:hint="eastAsia" w:ascii="宋体"/>
          <w:b/>
          <w:color w:val="auto"/>
          <w:sz w:val="30"/>
          <w:szCs w:val="30"/>
          <w:highlight w:val="none"/>
        </w:rPr>
      </w:pPr>
      <w:r>
        <w:rPr>
          <w:rFonts w:hint="eastAsia" w:ascii="宋体" w:hAnsi="宋体"/>
          <w:b/>
          <w:color w:val="auto"/>
          <w:sz w:val="28"/>
          <w:highlight w:val="none"/>
        </w:rPr>
        <w:t>附件3</w:t>
      </w:r>
    </w:p>
    <w:p w14:paraId="3660869B">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1BFAD705">
      <w:pPr>
        <w:pStyle w:val="11"/>
        <w:spacing w:line="500" w:lineRule="exact"/>
        <w:rPr>
          <w:rFonts w:hAnsi="宋体"/>
          <w:b/>
          <w:color w:val="auto"/>
          <w:sz w:val="24"/>
          <w:highlight w:val="none"/>
        </w:rPr>
      </w:pPr>
      <w:r>
        <w:rPr>
          <w:rFonts w:hint="eastAsia" w:hAnsi="宋体"/>
          <w:b/>
          <w:color w:val="auto"/>
          <w:sz w:val="24"/>
          <w:highlight w:val="none"/>
          <w:lang w:eastAsia="zh-CN"/>
        </w:rPr>
        <w:t>玉环市特殊教育学校</w:t>
      </w:r>
      <w:r>
        <w:rPr>
          <w:rFonts w:hAnsi="宋体"/>
          <w:b/>
          <w:color w:val="auto"/>
          <w:sz w:val="24"/>
          <w:highlight w:val="none"/>
        </w:rPr>
        <w:t>：</w:t>
      </w:r>
    </w:p>
    <w:p w14:paraId="0F17E25C">
      <w:pPr>
        <w:pStyle w:val="11"/>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项目的采购活动，并代表我方全权办理针对上述项目的磋商、签约等具体事务和签署相关文件。</w:t>
      </w:r>
      <w:r>
        <w:rPr>
          <w:rFonts w:hint="eastAsia" w:hAnsi="宋体"/>
          <w:color w:val="auto"/>
          <w:sz w:val="24"/>
          <w:highlight w:val="none"/>
        </w:rPr>
        <w:t>我方对全权代表的签字事项负全部责任。</w:t>
      </w:r>
    </w:p>
    <w:p w14:paraId="072FDD5F">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63865DC5">
      <w:pPr>
        <w:pStyle w:val="11"/>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14:paraId="320F7EB5">
      <w:pPr>
        <w:spacing w:line="360" w:lineRule="auto"/>
        <w:rPr>
          <w:color w:val="auto"/>
          <w:sz w:val="24"/>
          <w:highlight w:val="none"/>
        </w:rPr>
      </w:pPr>
    </w:p>
    <w:p w14:paraId="647E6998">
      <w:pPr>
        <w:spacing w:line="360" w:lineRule="auto"/>
        <w:rPr>
          <w:color w:val="auto"/>
          <w:sz w:val="24"/>
          <w:highlight w:val="none"/>
        </w:rPr>
      </w:pPr>
      <w:r>
        <w:rPr>
          <w:rFonts w:hint="eastAsia" w:ascii="宋体"/>
          <w:color w:val="auto"/>
          <w:sz w:val="24"/>
          <w:highlight w:val="none"/>
        </w:rPr>
        <w:t>法定代表人签字或盖章：</w:t>
      </w:r>
    </w:p>
    <w:p w14:paraId="3219859C">
      <w:pPr>
        <w:spacing w:line="360" w:lineRule="auto"/>
        <w:rPr>
          <w:color w:val="auto"/>
          <w:sz w:val="24"/>
          <w:highlight w:val="none"/>
        </w:rPr>
      </w:pPr>
    </w:p>
    <w:p w14:paraId="47446550">
      <w:pPr>
        <w:spacing w:line="360" w:lineRule="auto"/>
        <w:rPr>
          <w:color w:val="auto"/>
          <w:sz w:val="24"/>
          <w:highlight w:val="none"/>
        </w:rPr>
      </w:pPr>
      <w:r>
        <w:rPr>
          <w:rFonts w:hint="eastAsia" w:ascii="宋体"/>
          <w:color w:val="auto"/>
          <w:sz w:val="24"/>
          <w:highlight w:val="none"/>
        </w:rPr>
        <w:t>供应商全称（公章）：                              日期：</w:t>
      </w:r>
    </w:p>
    <w:p w14:paraId="3121A82A">
      <w:pPr>
        <w:spacing w:line="360" w:lineRule="auto"/>
        <w:rPr>
          <w:color w:val="auto"/>
          <w:sz w:val="24"/>
          <w:highlight w:val="none"/>
        </w:rPr>
      </w:pPr>
    </w:p>
    <w:p w14:paraId="26B89CE7">
      <w:pPr>
        <w:spacing w:line="360" w:lineRule="auto"/>
        <w:rPr>
          <w:b/>
          <w:color w:val="auto"/>
          <w:sz w:val="24"/>
          <w:highlight w:val="none"/>
        </w:rPr>
      </w:pPr>
      <w:r>
        <w:rPr>
          <w:rFonts w:hint="eastAsia" w:ascii="宋体"/>
          <w:b/>
          <w:color w:val="auto"/>
          <w:sz w:val="24"/>
          <w:highlight w:val="none"/>
        </w:rPr>
        <w:t>附：</w:t>
      </w:r>
    </w:p>
    <w:tbl>
      <w:tblPr>
        <w:tblStyle w:val="1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C9E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8803CA1">
            <w:pPr>
              <w:spacing w:line="360" w:lineRule="auto"/>
              <w:rPr>
                <w:rFonts w:ascii="宋体"/>
                <w:b/>
                <w:color w:val="auto"/>
                <w:sz w:val="24"/>
                <w:highlight w:val="none"/>
              </w:rPr>
            </w:pPr>
          </w:p>
          <w:p w14:paraId="229B5346">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14:paraId="6E336ED2">
      <w:pPr>
        <w:spacing w:line="360" w:lineRule="auto"/>
        <w:rPr>
          <w:color w:val="auto"/>
          <w:sz w:val="24"/>
          <w:highlight w:val="none"/>
        </w:rPr>
      </w:pPr>
      <w:r>
        <w:rPr>
          <w:rFonts w:hint="eastAsia" w:ascii="宋体"/>
          <w:color w:val="auto"/>
          <w:sz w:val="24"/>
          <w:highlight w:val="none"/>
        </w:rPr>
        <w:t xml:space="preserve">法定代表人姓名：                                 </w:t>
      </w:r>
    </w:p>
    <w:p w14:paraId="0C9603BC">
      <w:pPr>
        <w:spacing w:line="360" w:lineRule="auto"/>
        <w:rPr>
          <w:color w:val="auto"/>
          <w:sz w:val="24"/>
          <w:highlight w:val="none"/>
        </w:rPr>
      </w:pPr>
      <w:r>
        <w:rPr>
          <w:rFonts w:hint="eastAsia" w:ascii="宋体"/>
          <w:color w:val="auto"/>
          <w:sz w:val="24"/>
          <w:highlight w:val="none"/>
        </w:rPr>
        <w:t>传真：</w:t>
      </w:r>
    </w:p>
    <w:p w14:paraId="133765D7">
      <w:pPr>
        <w:spacing w:line="360" w:lineRule="auto"/>
        <w:rPr>
          <w:rFonts w:ascii="宋体"/>
          <w:color w:val="auto"/>
          <w:sz w:val="24"/>
          <w:highlight w:val="none"/>
        </w:rPr>
      </w:pPr>
      <w:r>
        <w:rPr>
          <w:rFonts w:hint="eastAsia" w:ascii="宋体"/>
          <w:color w:val="auto"/>
          <w:sz w:val="24"/>
          <w:highlight w:val="none"/>
        </w:rPr>
        <w:t>电话：</w:t>
      </w:r>
    </w:p>
    <w:p w14:paraId="02C8EDEA">
      <w:pPr>
        <w:spacing w:line="360" w:lineRule="auto"/>
        <w:rPr>
          <w:color w:val="auto"/>
          <w:sz w:val="24"/>
          <w:highlight w:val="none"/>
        </w:rPr>
      </w:pPr>
      <w:r>
        <w:rPr>
          <w:rFonts w:hint="eastAsia" w:ascii="宋体"/>
          <w:color w:val="auto"/>
          <w:sz w:val="24"/>
          <w:highlight w:val="none"/>
        </w:rPr>
        <w:t>详细通讯地址：</w:t>
      </w:r>
    </w:p>
    <w:p w14:paraId="6720B83A">
      <w:pPr>
        <w:spacing w:line="360" w:lineRule="auto"/>
        <w:rPr>
          <w:b/>
          <w:color w:val="auto"/>
          <w:sz w:val="24"/>
          <w:highlight w:val="none"/>
        </w:rPr>
      </w:pPr>
    </w:p>
    <w:tbl>
      <w:tblPr>
        <w:tblStyle w:val="1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AA5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4080" w:type="dxa"/>
            <w:noWrap w:val="0"/>
            <w:vAlign w:val="top"/>
          </w:tcPr>
          <w:p w14:paraId="2B2D8C8E">
            <w:pPr>
              <w:spacing w:line="360" w:lineRule="auto"/>
              <w:rPr>
                <w:rFonts w:ascii="宋体"/>
                <w:b/>
                <w:color w:val="auto"/>
                <w:sz w:val="24"/>
                <w:highlight w:val="none"/>
              </w:rPr>
            </w:pPr>
          </w:p>
          <w:p w14:paraId="1DA63A1C">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14:paraId="347B9174">
      <w:pPr>
        <w:spacing w:line="360" w:lineRule="auto"/>
        <w:rPr>
          <w:rFonts w:ascii="宋体"/>
          <w:color w:val="auto"/>
          <w:sz w:val="24"/>
          <w:highlight w:val="none"/>
        </w:rPr>
      </w:pPr>
      <w:r>
        <w:rPr>
          <w:rFonts w:hint="eastAsia" w:ascii="宋体"/>
          <w:color w:val="auto"/>
          <w:sz w:val="24"/>
          <w:highlight w:val="none"/>
        </w:rPr>
        <w:t xml:space="preserve">全权代表姓名：       </w:t>
      </w:r>
    </w:p>
    <w:p w14:paraId="6CE75E2C">
      <w:pPr>
        <w:spacing w:line="360" w:lineRule="auto"/>
        <w:rPr>
          <w:color w:val="auto"/>
          <w:sz w:val="24"/>
          <w:highlight w:val="none"/>
        </w:rPr>
      </w:pPr>
      <w:r>
        <w:rPr>
          <w:rFonts w:hint="eastAsia" w:ascii="宋体"/>
          <w:color w:val="auto"/>
          <w:sz w:val="24"/>
          <w:highlight w:val="none"/>
        </w:rPr>
        <w:t xml:space="preserve">职务：                           </w:t>
      </w:r>
    </w:p>
    <w:p w14:paraId="26F89A13">
      <w:pPr>
        <w:spacing w:line="360" w:lineRule="auto"/>
        <w:rPr>
          <w:color w:val="auto"/>
          <w:sz w:val="24"/>
          <w:highlight w:val="none"/>
        </w:rPr>
      </w:pPr>
      <w:r>
        <w:rPr>
          <w:rFonts w:hint="eastAsia" w:ascii="宋体"/>
          <w:color w:val="auto"/>
          <w:sz w:val="24"/>
          <w:highlight w:val="none"/>
        </w:rPr>
        <w:t>传真：</w:t>
      </w:r>
    </w:p>
    <w:p w14:paraId="710A4375">
      <w:pPr>
        <w:spacing w:line="360" w:lineRule="auto"/>
        <w:rPr>
          <w:rFonts w:ascii="宋体"/>
          <w:color w:val="auto"/>
          <w:sz w:val="24"/>
          <w:highlight w:val="none"/>
        </w:rPr>
      </w:pPr>
      <w:r>
        <w:rPr>
          <w:rFonts w:hint="eastAsia" w:ascii="宋体"/>
          <w:color w:val="auto"/>
          <w:sz w:val="24"/>
          <w:highlight w:val="none"/>
        </w:rPr>
        <w:t>电话：</w:t>
      </w:r>
    </w:p>
    <w:p w14:paraId="4916BA4F">
      <w:pPr>
        <w:spacing w:line="360" w:lineRule="auto"/>
        <w:rPr>
          <w:color w:val="auto"/>
          <w:sz w:val="24"/>
          <w:highlight w:val="none"/>
        </w:rPr>
      </w:pPr>
      <w:r>
        <w:rPr>
          <w:rFonts w:hint="eastAsia" w:ascii="宋体"/>
          <w:color w:val="auto"/>
          <w:sz w:val="24"/>
          <w:highlight w:val="none"/>
        </w:rPr>
        <w:t>详细通讯地址：</w:t>
      </w:r>
    </w:p>
    <w:p w14:paraId="5C472714">
      <w:pPr>
        <w:pStyle w:val="25"/>
        <w:shd w:val="clear" w:color="auto" w:fill="FFFFFF"/>
        <w:spacing w:before="0" w:beforeLines="0" w:beforeAutospacing="0" w:after="0" w:afterLines="0" w:afterAutospacing="0" w:line="360" w:lineRule="auto"/>
        <w:rPr>
          <w:rFonts w:hint="eastAsia"/>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0B5431B0">
      <w:pPr>
        <w:pStyle w:val="25"/>
        <w:shd w:val="clear" w:color="auto" w:fill="FFFFFF"/>
        <w:spacing w:before="0" w:beforeLines="0" w:beforeAutospacing="0" w:after="0" w:afterLines="0" w:afterAutospacing="0" w:line="360" w:lineRule="auto"/>
        <w:rPr>
          <w:b/>
          <w:color w:val="auto"/>
          <w:sz w:val="28"/>
          <w:highlight w:val="none"/>
        </w:rPr>
      </w:pPr>
      <w:r>
        <w:rPr>
          <w:rFonts w:hint="eastAsia"/>
          <w:b/>
          <w:color w:val="auto"/>
          <w:sz w:val="28"/>
          <w:highlight w:val="none"/>
        </w:rPr>
        <w:t xml:space="preserve">附件4：       </w:t>
      </w:r>
    </w:p>
    <w:p w14:paraId="52CDC4D1">
      <w:pPr>
        <w:pStyle w:val="25"/>
        <w:shd w:val="clear" w:color="auto" w:fill="FFFFFF"/>
        <w:spacing w:before="0" w:beforeLines="0" w:beforeAutospacing="0" w:after="0" w:afterLines="0" w:afterAutospacing="0" w:line="360" w:lineRule="auto"/>
        <w:jc w:val="center"/>
        <w:rPr>
          <w:b/>
          <w:bCs/>
          <w:color w:val="auto"/>
          <w:spacing w:val="21"/>
          <w:sz w:val="32"/>
          <w:szCs w:val="32"/>
          <w:highlight w:val="none"/>
        </w:rPr>
      </w:pPr>
      <w:r>
        <w:rPr>
          <w:rFonts w:hint="eastAsia"/>
          <w:b/>
          <w:color w:val="auto"/>
          <w:sz w:val="32"/>
          <w:szCs w:val="32"/>
          <w:highlight w:val="none"/>
        </w:rPr>
        <w:t xml:space="preserve">  供应商</w:t>
      </w:r>
      <w:r>
        <w:rPr>
          <w:rFonts w:hint="eastAsia"/>
          <w:b/>
          <w:bCs/>
          <w:color w:val="auto"/>
          <w:spacing w:val="21"/>
          <w:sz w:val="32"/>
          <w:szCs w:val="32"/>
          <w:highlight w:val="none"/>
        </w:rPr>
        <w:t>基本情况表</w:t>
      </w:r>
    </w:p>
    <w:p w14:paraId="16894496">
      <w:pPr>
        <w:pStyle w:val="25"/>
        <w:shd w:val="clear" w:color="auto" w:fill="FFFFFF"/>
        <w:spacing w:before="0" w:beforeLines="0" w:beforeAutospacing="0" w:after="0" w:afterLines="0" w:afterAutospacing="0" w:line="360" w:lineRule="auto"/>
        <w:jc w:val="center"/>
        <w:rPr>
          <w:rFonts w:eastAsia="微软雅黑"/>
          <w:color w:val="auto"/>
          <w:sz w:val="36"/>
          <w:szCs w:val="36"/>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42CE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0"/>
            <w:vAlign w:val="top"/>
          </w:tcPr>
          <w:p w14:paraId="2FFAB80A">
            <w:pPr>
              <w:pStyle w:val="25"/>
              <w:shd w:val="clear" w:color="auto" w:fill="FFFFFF"/>
              <w:spacing w:line="360" w:lineRule="auto"/>
              <w:jc w:val="center"/>
              <w:rPr>
                <w:bCs/>
                <w:color w:val="auto"/>
                <w:highlight w:val="none"/>
              </w:rPr>
            </w:pPr>
            <w:r>
              <w:rPr>
                <w:rFonts w:hint="eastAsia"/>
                <w:bCs/>
                <w:color w:val="auto"/>
                <w:spacing w:val="27"/>
                <w:highlight w:val="none"/>
              </w:rPr>
              <w:t>企业名称</w:t>
            </w:r>
          </w:p>
        </w:tc>
        <w:tc>
          <w:tcPr>
            <w:tcW w:w="3979" w:type="dxa"/>
            <w:gridSpan w:val="6"/>
            <w:noWrap w:val="0"/>
            <w:vAlign w:val="top"/>
          </w:tcPr>
          <w:p w14:paraId="19929B91">
            <w:pPr>
              <w:pStyle w:val="25"/>
              <w:shd w:val="clear" w:color="auto" w:fill="FFFFFF"/>
              <w:spacing w:line="360" w:lineRule="auto"/>
              <w:rPr>
                <w:bCs/>
                <w:color w:val="auto"/>
                <w:highlight w:val="none"/>
              </w:rPr>
            </w:pPr>
          </w:p>
        </w:tc>
        <w:tc>
          <w:tcPr>
            <w:tcW w:w="2001" w:type="dxa"/>
            <w:gridSpan w:val="3"/>
            <w:noWrap w:val="0"/>
            <w:vAlign w:val="top"/>
          </w:tcPr>
          <w:p w14:paraId="0858486D">
            <w:pPr>
              <w:pStyle w:val="25"/>
              <w:shd w:val="clear" w:color="auto" w:fill="FFFFFF"/>
              <w:spacing w:line="360" w:lineRule="auto"/>
              <w:jc w:val="left"/>
              <w:rPr>
                <w:bCs/>
                <w:color w:val="auto"/>
                <w:highlight w:val="none"/>
              </w:rPr>
            </w:pPr>
            <w:r>
              <w:rPr>
                <w:rFonts w:hint="eastAsia"/>
                <w:bCs/>
                <w:color w:val="auto"/>
                <w:spacing w:val="16"/>
                <w:highlight w:val="none"/>
              </w:rPr>
              <w:t>法人代表</w:t>
            </w:r>
          </w:p>
        </w:tc>
        <w:tc>
          <w:tcPr>
            <w:tcW w:w="2151" w:type="dxa"/>
            <w:gridSpan w:val="2"/>
            <w:noWrap w:val="0"/>
            <w:vAlign w:val="top"/>
          </w:tcPr>
          <w:p w14:paraId="7861AF68">
            <w:pPr>
              <w:pStyle w:val="25"/>
              <w:shd w:val="clear" w:color="auto" w:fill="FFFFFF"/>
              <w:spacing w:line="360" w:lineRule="auto"/>
              <w:rPr>
                <w:bCs/>
                <w:color w:val="auto"/>
                <w:highlight w:val="none"/>
              </w:rPr>
            </w:pPr>
          </w:p>
        </w:tc>
      </w:tr>
      <w:tr w14:paraId="60A2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0"/>
            <w:vAlign w:val="top"/>
          </w:tcPr>
          <w:p w14:paraId="0E598EC3">
            <w:pPr>
              <w:pStyle w:val="25"/>
              <w:shd w:val="clear" w:color="auto" w:fill="FFFFFF"/>
              <w:spacing w:line="360" w:lineRule="auto"/>
              <w:jc w:val="center"/>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noWrap w:val="0"/>
            <w:vAlign w:val="top"/>
          </w:tcPr>
          <w:p w14:paraId="64B1A4CF">
            <w:pPr>
              <w:pStyle w:val="25"/>
              <w:shd w:val="clear" w:color="auto" w:fill="FFFFFF"/>
              <w:spacing w:line="360" w:lineRule="auto"/>
              <w:rPr>
                <w:bCs/>
                <w:color w:val="auto"/>
                <w:spacing w:val="16"/>
                <w:highlight w:val="none"/>
              </w:rPr>
            </w:pPr>
          </w:p>
        </w:tc>
        <w:tc>
          <w:tcPr>
            <w:tcW w:w="2001" w:type="dxa"/>
            <w:gridSpan w:val="3"/>
            <w:noWrap w:val="0"/>
            <w:vAlign w:val="top"/>
          </w:tcPr>
          <w:p w14:paraId="73245109">
            <w:pPr>
              <w:pStyle w:val="25"/>
              <w:shd w:val="clear" w:color="auto" w:fill="FFFFFF"/>
              <w:spacing w:line="360" w:lineRule="auto"/>
              <w:jc w:val="left"/>
              <w:rPr>
                <w:bCs/>
                <w:color w:val="auto"/>
                <w:spacing w:val="16"/>
                <w:highlight w:val="none"/>
              </w:rPr>
            </w:pPr>
            <w:r>
              <w:rPr>
                <w:rFonts w:hint="eastAsia"/>
                <w:bCs/>
                <w:color w:val="auto"/>
                <w:spacing w:val="16"/>
                <w:highlight w:val="none"/>
              </w:rPr>
              <w:t>企业性质</w:t>
            </w:r>
          </w:p>
        </w:tc>
        <w:tc>
          <w:tcPr>
            <w:tcW w:w="2151" w:type="dxa"/>
            <w:gridSpan w:val="2"/>
            <w:noWrap w:val="0"/>
            <w:vAlign w:val="top"/>
          </w:tcPr>
          <w:p w14:paraId="2061EED8">
            <w:pPr>
              <w:pStyle w:val="25"/>
              <w:shd w:val="clear" w:color="auto" w:fill="FFFFFF"/>
              <w:spacing w:line="360" w:lineRule="auto"/>
              <w:rPr>
                <w:bCs/>
                <w:color w:val="auto"/>
                <w:spacing w:val="16"/>
                <w:highlight w:val="none"/>
              </w:rPr>
            </w:pPr>
          </w:p>
        </w:tc>
      </w:tr>
      <w:tr w14:paraId="1561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noWrap w:val="0"/>
            <w:vAlign w:val="top"/>
          </w:tcPr>
          <w:p w14:paraId="6ABFEFD1">
            <w:pPr>
              <w:pStyle w:val="25"/>
              <w:shd w:val="clear" w:color="auto" w:fill="FFFFFF"/>
              <w:spacing w:line="360" w:lineRule="auto"/>
              <w:jc w:val="center"/>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noWrap w:val="0"/>
            <w:vAlign w:val="top"/>
          </w:tcPr>
          <w:p w14:paraId="51135AC1">
            <w:pPr>
              <w:pStyle w:val="25"/>
              <w:shd w:val="clear" w:color="auto" w:fill="FFFFFF"/>
              <w:spacing w:before="0" w:beforeLines="0" w:beforeAutospacing="0" w:after="0" w:afterLines="0" w:afterAutospacing="0" w:line="360" w:lineRule="auto"/>
              <w:rPr>
                <w:bCs/>
                <w:color w:val="auto"/>
                <w:spacing w:val="16"/>
                <w:highlight w:val="none"/>
              </w:rPr>
            </w:pPr>
          </w:p>
        </w:tc>
        <w:tc>
          <w:tcPr>
            <w:tcW w:w="910" w:type="dxa"/>
            <w:gridSpan w:val="2"/>
            <w:tcBorders>
              <w:bottom w:val="single" w:color="auto" w:sz="4" w:space="0"/>
            </w:tcBorders>
            <w:noWrap w:val="0"/>
            <w:vAlign w:val="top"/>
          </w:tcPr>
          <w:p w14:paraId="68F961CD">
            <w:pPr>
              <w:pStyle w:val="25"/>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noWrap w:val="0"/>
            <w:vAlign w:val="top"/>
          </w:tcPr>
          <w:p w14:paraId="5FBEC025">
            <w:pPr>
              <w:widowControl/>
              <w:spacing w:line="360" w:lineRule="auto"/>
              <w:jc w:val="left"/>
              <w:rPr>
                <w:rFonts w:ascii="宋体" w:hAnsi="宋体" w:cs="宋体"/>
                <w:bCs/>
                <w:color w:val="auto"/>
                <w:spacing w:val="16"/>
                <w:kern w:val="0"/>
                <w:sz w:val="24"/>
                <w:highlight w:val="none"/>
              </w:rPr>
            </w:pPr>
          </w:p>
          <w:p w14:paraId="1F4E9445">
            <w:pPr>
              <w:pStyle w:val="25"/>
              <w:shd w:val="clear" w:color="auto" w:fill="FFFFFF"/>
              <w:spacing w:line="360" w:lineRule="auto"/>
              <w:rPr>
                <w:bCs/>
                <w:color w:val="auto"/>
                <w:spacing w:val="16"/>
                <w:highlight w:val="none"/>
              </w:rPr>
            </w:pPr>
          </w:p>
        </w:tc>
        <w:tc>
          <w:tcPr>
            <w:tcW w:w="2001" w:type="dxa"/>
            <w:gridSpan w:val="3"/>
            <w:noWrap w:val="0"/>
            <w:vAlign w:val="top"/>
          </w:tcPr>
          <w:p w14:paraId="43BD35F7">
            <w:pPr>
              <w:pStyle w:val="25"/>
              <w:shd w:val="clear" w:color="auto" w:fill="FFFFFF"/>
              <w:spacing w:line="360" w:lineRule="auto"/>
              <w:jc w:val="left"/>
              <w:rPr>
                <w:bCs/>
                <w:color w:val="auto"/>
                <w:spacing w:val="16"/>
                <w:highlight w:val="none"/>
              </w:rPr>
            </w:pPr>
            <w:r>
              <w:rPr>
                <w:rFonts w:hint="eastAsia"/>
                <w:bCs/>
                <w:color w:val="auto"/>
                <w:spacing w:val="16"/>
                <w:highlight w:val="none"/>
              </w:rPr>
              <w:t>股东关系</w:t>
            </w:r>
          </w:p>
        </w:tc>
        <w:tc>
          <w:tcPr>
            <w:tcW w:w="2151" w:type="dxa"/>
            <w:gridSpan w:val="2"/>
            <w:noWrap w:val="0"/>
            <w:vAlign w:val="top"/>
          </w:tcPr>
          <w:p w14:paraId="0686B27B">
            <w:pPr>
              <w:pStyle w:val="25"/>
              <w:shd w:val="clear" w:color="auto" w:fill="FFFFFF"/>
              <w:spacing w:line="360" w:lineRule="auto"/>
              <w:ind w:left="107"/>
              <w:rPr>
                <w:bCs/>
                <w:color w:val="auto"/>
                <w:spacing w:val="16"/>
                <w:highlight w:val="none"/>
              </w:rPr>
            </w:pPr>
          </w:p>
        </w:tc>
      </w:tr>
      <w:tr w14:paraId="609E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noWrap w:val="0"/>
            <w:vAlign w:val="top"/>
          </w:tcPr>
          <w:p w14:paraId="0B3938DB">
            <w:pPr>
              <w:pStyle w:val="25"/>
              <w:shd w:val="clear" w:color="auto" w:fill="FFFFFF"/>
              <w:spacing w:line="360" w:lineRule="auto"/>
              <w:jc w:val="center"/>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noWrap w:val="0"/>
            <w:vAlign w:val="top"/>
          </w:tcPr>
          <w:p w14:paraId="44122A19">
            <w:pPr>
              <w:pStyle w:val="25"/>
              <w:shd w:val="clear" w:color="auto" w:fill="FFFFFF"/>
              <w:spacing w:line="360" w:lineRule="auto"/>
              <w:rPr>
                <w:bCs/>
                <w:color w:val="auto"/>
                <w:spacing w:val="16"/>
                <w:highlight w:val="none"/>
              </w:rPr>
            </w:pPr>
          </w:p>
        </w:tc>
        <w:tc>
          <w:tcPr>
            <w:tcW w:w="910" w:type="dxa"/>
            <w:gridSpan w:val="2"/>
            <w:tcBorders>
              <w:top w:val="nil"/>
              <w:bottom w:val="single" w:color="auto" w:sz="4" w:space="0"/>
            </w:tcBorders>
            <w:noWrap w:val="0"/>
            <w:vAlign w:val="top"/>
          </w:tcPr>
          <w:p w14:paraId="2DA58964">
            <w:pPr>
              <w:pStyle w:val="25"/>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noWrap w:val="0"/>
            <w:vAlign w:val="top"/>
          </w:tcPr>
          <w:p w14:paraId="00A974D2">
            <w:pPr>
              <w:widowControl/>
              <w:spacing w:line="360" w:lineRule="auto"/>
              <w:jc w:val="left"/>
              <w:rPr>
                <w:rFonts w:ascii="宋体" w:hAnsi="宋体" w:cs="宋体"/>
                <w:bCs/>
                <w:color w:val="auto"/>
                <w:spacing w:val="16"/>
                <w:kern w:val="0"/>
                <w:sz w:val="24"/>
                <w:highlight w:val="none"/>
              </w:rPr>
            </w:pPr>
          </w:p>
          <w:p w14:paraId="6F307068">
            <w:pPr>
              <w:pStyle w:val="25"/>
              <w:shd w:val="clear" w:color="auto" w:fill="FFFFFF"/>
              <w:spacing w:line="360" w:lineRule="auto"/>
              <w:rPr>
                <w:bCs/>
                <w:color w:val="auto"/>
                <w:spacing w:val="16"/>
                <w:highlight w:val="none"/>
              </w:rPr>
            </w:pPr>
          </w:p>
        </w:tc>
        <w:tc>
          <w:tcPr>
            <w:tcW w:w="2001" w:type="dxa"/>
            <w:gridSpan w:val="3"/>
            <w:vMerge w:val="restart"/>
            <w:noWrap w:val="0"/>
            <w:vAlign w:val="top"/>
          </w:tcPr>
          <w:p w14:paraId="6F9BE4D5">
            <w:pPr>
              <w:pStyle w:val="25"/>
              <w:shd w:val="clear" w:color="auto" w:fill="FFFFFF"/>
              <w:spacing w:before="0" w:beforeLines="0" w:beforeAutospacing="0" w:after="0" w:afterLines="0" w:afterAutospacing="0" w:line="360" w:lineRule="auto"/>
              <w:jc w:val="left"/>
              <w:rPr>
                <w:bCs/>
                <w:color w:val="auto"/>
                <w:spacing w:val="16"/>
                <w:highlight w:val="none"/>
              </w:rPr>
            </w:pPr>
            <w:r>
              <w:rPr>
                <w:rFonts w:hint="eastAsia"/>
                <w:bCs/>
                <w:color w:val="auto"/>
                <w:spacing w:val="16"/>
                <w:highlight w:val="none"/>
              </w:rPr>
              <w:t>传真</w:t>
            </w:r>
          </w:p>
        </w:tc>
        <w:tc>
          <w:tcPr>
            <w:tcW w:w="2151" w:type="dxa"/>
            <w:gridSpan w:val="2"/>
            <w:vMerge w:val="restart"/>
            <w:noWrap w:val="0"/>
            <w:vAlign w:val="top"/>
          </w:tcPr>
          <w:p w14:paraId="132922F7">
            <w:pPr>
              <w:pStyle w:val="25"/>
              <w:shd w:val="clear" w:color="auto" w:fill="FFFFFF"/>
              <w:spacing w:line="360" w:lineRule="auto"/>
              <w:rPr>
                <w:bCs/>
                <w:color w:val="auto"/>
                <w:spacing w:val="16"/>
                <w:highlight w:val="none"/>
              </w:rPr>
            </w:pPr>
          </w:p>
        </w:tc>
      </w:tr>
      <w:tr w14:paraId="0E2C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noWrap w:val="0"/>
            <w:vAlign w:val="top"/>
          </w:tcPr>
          <w:p w14:paraId="01559856">
            <w:pPr>
              <w:pStyle w:val="25"/>
              <w:shd w:val="clear" w:color="auto" w:fill="FFFFFF"/>
              <w:spacing w:line="360" w:lineRule="auto"/>
              <w:ind w:left="107"/>
              <w:rPr>
                <w:bCs/>
                <w:color w:val="auto"/>
                <w:highlight w:val="none"/>
              </w:rPr>
            </w:pPr>
          </w:p>
        </w:tc>
        <w:tc>
          <w:tcPr>
            <w:tcW w:w="701" w:type="dxa"/>
            <w:vMerge w:val="continue"/>
            <w:tcBorders>
              <w:bottom w:val="single" w:color="auto" w:sz="4" w:space="0"/>
            </w:tcBorders>
            <w:noWrap w:val="0"/>
            <w:vAlign w:val="top"/>
          </w:tcPr>
          <w:p w14:paraId="46A775D0">
            <w:pPr>
              <w:pStyle w:val="25"/>
              <w:shd w:val="clear" w:color="auto" w:fill="FFFFFF"/>
              <w:spacing w:line="360" w:lineRule="auto"/>
              <w:rPr>
                <w:bCs/>
                <w:color w:val="auto"/>
                <w:spacing w:val="16"/>
                <w:highlight w:val="none"/>
              </w:rPr>
            </w:pPr>
          </w:p>
        </w:tc>
        <w:tc>
          <w:tcPr>
            <w:tcW w:w="910" w:type="dxa"/>
            <w:gridSpan w:val="2"/>
            <w:tcBorders>
              <w:bottom w:val="single" w:color="auto" w:sz="4" w:space="0"/>
            </w:tcBorders>
            <w:noWrap w:val="0"/>
            <w:vAlign w:val="top"/>
          </w:tcPr>
          <w:p w14:paraId="62BE1D6B">
            <w:pPr>
              <w:pStyle w:val="25"/>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noWrap w:val="0"/>
            <w:vAlign w:val="top"/>
          </w:tcPr>
          <w:p w14:paraId="68FDB1D2">
            <w:pPr>
              <w:pStyle w:val="25"/>
              <w:shd w:val="clear" w:color="auto" w:fill="FFFFFF"/>
              <w:spacing w:line="360" w:lineRule="auto"/>
              <w:rPr>
                <w:bCs/>
                <w:color w:val="auto"/>
                <w:spacing w:val="16"/>
                <w:highlight w:val="none"/>
              </w:rPr>
            </w:pPr>
          </w:p>
        </w:tc>
        <w:tc>
          <w:tcPr>
            <w:tcW w:w="2001" w:type="dxa"/>
            <w:gridSpan w:val="3"/>
            <w:vMerge w:val="continue"/>
            <w:tcBorders>
              <w:bottom w:val="single" w:color="auto" w:sz="4" w:space="0"/>
            </w:tcBorders>
            <w:noWrap w:val="0"/>
            <w:vAlign w:val="top"/>
          </w:tcPr>
          <w:p w14:paraId="7C87D732">
            <w:pPr>
              <w:pStyle w:val="25"/>
              <w:shd w:val="clear" w:color="auto" w:fill="FFFFFF"/>
              <w:spacing w:line="360" w:lineRule="auto"/>
              <w:rPr>
                <w:bCs/>
                <w:color w:val="auto"/>
                <w:spacing w:val="16"/>
                <w:highlight w:val="none"/>
              </w:rPr>
            </w:pPr>
          </w:p>
        </w:tc>
        <w:tc>
          <w:tcPr>
            <w:tcW w:w="2151" w:type="dxa"/>
            <w:gridSpan w:val="2"/>
            <w:vMerge w:val="continue"/>
            <w:tcBorders>
              <w:bottom w:val="single" w:color="auto" w:sz="4" w:space="0"/>
            </w:tcBorders>
            <w:noWrap w:val="0"/>
            <w:vAlign w:val="top"/>
          </w:tcPr>
          <w:p w14:paraId="66E5CF84">
            <w:pPr>
              <w:pStyle w:val="25"/>
              <w:shd w:val="clear" w:color="auto" w:fill="FFFFFF"/>
              <w:spacing w:line="360" w:lineRule="auto"/>
              <w:rPr>
                <w:bCs/>
                <w:color w:val="auto"/>
                <w:spacing w:val="16"/>
                <w:highlight w:val="none"/>
              </w:rPr>
            </w:pPr>
          </w:p>
        </w:tc>
      </w:tr>
      <w:tr w14:paraId="6602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noWrap w:val="0"/>
            <w:vAlign w:val="top"/>
          </w:tcPr>
          <w:p w14:paraId="207227F0">
            <w:pPr>
              <w:pStyle w:val="25"/>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14:paraId="094DA929">
            <w:pPr>
              <w:pStyle w:val="25"/>
              <w:shd w:val="clear" w:color="auto" w:fill="FFFFFF"/>
              <w:spacing w:line="360" w:lineRule="auto"/>
              <w:ind w:left="107"/>
              <w:rPr>
                <w:bCs/>
                <w:color w:val="auto"/>
                <w:highlight w:val="none"/>
              </w:rPr>
            </w:pPr>
            <w:r>
              <w:rPr>
                <w:rFonts w:hint="eastAsia"/>
                <w:bCs/>
                <w:color w:val="auto"/>
                <w:highlight w:val="none"/>
              </w:rPr>
              <w:t>企</w:t>
            </w:r>
          </w:p>
          <w:p w14:paraId="4FC4563D">
            <w:pPr>
              <w:pStyle w:val="25"/>
              <w:shd w:val="clear" w:color="auto" w:fill="FFFFFF"/>
              <w:spacing w:line="360" w:lineRule="auto"/>
              <w:ind w:left="107"/>
              <w:rPr>
                <w:bCs/>
                <w:color w:val="auto"/>
                <w:highlight w:val="none"/>
              </w:rPr>
            </w:pPr>
            <w:r>
              <w:rPr>
                <w:rFonts w:hint="eastAsia"/>
                <w:bCs/>
                <w:color w:val="auto"/>
                <w:highlight w:val="none"/>
              </w:rPr>
              <w:t>业</w:t>
            </w:r>
          </w:p>
          <w:p w14:paraId="6BCEAA2B">
            <w:pPr>
              <w:pStyle w:val="25"/>
              <w:shd w:val="clear" w:color="auto" w:fill="FFFFFF"/>
              <w:spacing w:line="360" w:lineRule="auto"/>
              <w:ind w:left="107"/>
              <w:rPr>
                <w:bCs/>
                <w:color w:val="auto"/>
                <w:spacing w:val="27"/>
                <w:highlight w:val="none"/>
              </w:rPr>
            </w:pPr>
            <w:r>
              <w:rPr>
                <w:rFonts w:hint="eastAsia"/>
                <w:bCs/>
                <w:color w:val="auto"/>
                <w:spacing w:val="27"/>
                <w:highlight w:val="none"/>
              </w:rPr>
              <w:t>概</w:t>
            </w:r>
          </w:p>
          <w:p w14:paraId="599C0D01">
            <w:pPr>
              <w:pStyle w:val="25"/>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single" w:color="auto" w:sz="4" w:space="0"/>
            </w:tcBorders>
            <w:noWrap w:val="0"/>
            <w:vAlign w:val="top"/>
          </w:tcPr>
          <w:p w14:paraId="6D93D254">
            <w:pPr>
              <w:pStyle w:val="25"/>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single" w:color="auto" w:sz="4" w:space="0"/>
            </w:tcBorders>
            <w:noWrap w:val="0"/>
            <w:vAlign w:val="top"/>
          </w:tcPr>
          <w:p w14:paraId="1754F91A">
            <w:pPr>
              <w:pStyle w:val="25"/>
              <w:shd w:val="clear" w:color="auto" w:fill="FFFFFF"/>
              <w:spacing w:line="360" w:lineRule="auto"/>
              <w:rPr>
                <w:bCs/>
                <w:color w:val="auto"/>
                <w:spacing w:val="16"/>
                <w:highlight w:val="none"/>
              </w:rPr>
            </w:pPr>
          </w:p>
        </w:tc>
        <w:tc>
          <w:tcPr>
            <w:tcW w:w="1163" w:type="dxa"/>
            <w:tcBorders>
              <w:top w:val="single" w:color="auto" w:sz="4" w:space="0"/>
            </w:tcBorders>
            <w:noWrap w:val="0"/>
            <w:vAlign w:val="top"/>
          </w:tcPr>
          <w:p w14:paraId="2E77A3A8">
            <w:pPr>
              <w:pStyle w:val="25"/>
              <w:shd w:val="clear" w:color="auto" w:fill="FFFFFF"/>
              <w:spacing w:before="0" w:beforeLines="0" w:beforeAutospacing="0" w:after="0" w:afterLines="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single" w:color="auto" w:sz="4" w:space="0"/>
            </w:tcBorders>
            <w:noWrap w:val="0"/>
            <w:vAlign w:val="top"/>
          </w:tcPr>
          <w:p w14:paraId="60DDC1FE">
            <w:pPr>
              <w:widowControl/>
              <w:spacing w:line="360" w:lineRule="auto"/>
              <w:jc w:val="left"/>
              <w:rPr>
                <w:rFonts w:ascii="宋体" w:hAnsi="宋体" w:cs="宋体"/>
                <w:bCs/>
                <w:color w:val="auto"/>
                <w:spacing w:val="16"/>
                <w:kern w:val="0"/>
                <w:sz w:val="24"/>
                <w:highlight w:val="none"/>
              </w:rPr>
            </w:pPr>
          </w:p>
          <w:p w14:paraId="6FB6E429">
            <w:pPr>
              <w:widowControl/>
              <w:spacing w:line="360" w:lineRule="auto"/>
              <w:jc w:val="left"/>
              <w:rPr>
                <w:rFonts w:ascii="宋体" w:hAnsi="宋体" w:cs="宋体"/>
                <w:bCs/>
                <w:color w:val="auto"/>
                <w:spacing w:val="16"/>
                <w:kern w:val="0"/>
                <w:sz w:val="24"/>
                <w:highlight w:val="none"/>
              </w:rPr>
            </w:pPr>
          </w:p>
          <w:p w14:paraId="49B05AA4">
            <w:pPr>
              <w:pStyle w:val="25"/>
              <w:shd w:val="clear" w:color="auto" w:fill="FFFFFF"/>
              <w:spacing w:line="360" w:lineRule="auto"/>
              <w:rPr>
                <w:bCs/>
                <w:color w:val="auto"/>
                <w:spacing w:val="16"/>
                <w:highlight w:val="none"/>
              </w:rPr>
            </w:pPr>
          </w:p>
        </w:tc>
        <w:tc>
          <w:tcPr>
            <w:tcW w:w="2001" w:type="dxa"/>
            <w:gridSpan w:val="3"/>
            <w:tcBorders>
              <w:top w:val="single" w:color="auto" w:sz="4" w:space="0"/>
            </w:tcBorders>
            <w:noWrap w:val="0"/>
            <w:vAlign w:val="top"/>
          </w:tcPr>
          <w:p w14:paraId="675F877E">
            <w:pPr>
              <w:pStyle w:val="25"/>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Borders>
              <w:top w:val="single" w:color="auto" w:sz="4" w:space="0"/>
            </w:tcBorders>
            <w:noWrap w:val="0"/>
            <w:vAlign w:val="top"/>
          </w:tcPr>
          <w:p w14:paraId="041D2E5C">
            <w:pPr>
              <w:widowControl/>
              <w:spacing w:line="360" w:lineRule="auto"/>
              <w:jc w:val="left"/>
              <w:rPr>
                <w:rFonts w:ascii="宋体" w:hAnsi="宋体" w:cs="宋体"/>
                <w:bCs/>
                <w:color w:val="auto"/>
                <w:spacing w:val="16"/>
                <w:kern w:val="0"/>
                <w:sz w:val="24"/>
                <w:highlight w:val="none"/>
              </w:rPr>
            </w:pPr>
          </w:p>
          <w:p w14:paraId="74E89A69">
            <w:pPr>
              <w:pStyle w:val="25"/>
              <w:shd w:val="clear" w:color="auto" w:fill="FFFFFF"/>
              <w:spacing w:line="360" w:lineRule="auto"/>
              <w:rPr>
                <w:bCs/>
                <w:color w:val="auto"/>
                <w:spacing w:val="16"/>
                <w:highlight w:val="none"/>
              </w:rPr>
            </w:pPr>
          </w:p>
        </w:tc>
      </w:tr>
      <w:tr w14:paraId="4C83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noWrap w:val="0"/>
            <w:vAlign w:val="top"/>
          </w:tcPr>
          <w:p w14:paraId="132FCCFD">
            <w:pPr>
              <w:pStyle w:val="25"/>
              <w:shd w:val="clear" w:color="auto" w:fill="FFFFFF"/>
              <w:spacing w:line="360" w:lineRule="auto"/>
              <w:ind w:left="107"/>
              <w:rPr>
                <w:bCs/>
                <w:color w:val="auto"/>
                <w:highlight w:val="none"/>
              </w:rPr>
            </w:pPr>
          </w:p>
        </w:tc>
        <w:tc>
          <w:tcPr>
            <w:tcW w:w="701" w:type="dxa"/>
            <w:noWrap w:val="0"/>
            <w:vAlign w:val="top"/>
          </w:tcPr>
          <w:p w14:paraId="2F5A6FAC">
            <w:pPr>
              <w:pStyle w:val="25"/>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noWrap w:val="0"/>
            <w:vAlign w:val="top"/>
          </w:tcPr>
          <w:p w14:paraId="69120034">
            <w:pPr>
              <w:pStyle w:val="25"/>
              <w:shd w:val="clear" w:color="auto" w:fill="FFFFFF"/>
              <w:spacing w:line="360" w:lineRule="auto"/>
              <w:rPr>
                <w:bCs/>
                <w:color w:val="auto"/>
                <w:highlight w:val="none"/>
              </w:rPr>
            </w:pPr>
          </w:p>
        </w:tc>
        <w:tc>
          <w:tcPr>
            <w:tcW w:w="1163" w:type="dxa"/>
            <w:noWrap w:val="0"/>
            <w:vAlign w:val="top"/>
          </w:tcPr>
          <w:p w14:paraId="4D8BDFF7">
            <w:pPr>
              <w:pStyle w:val="25"/>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noWrap w:val="0"/>
            <w:vAlign w:val="top"/>
          </w:tcPr>
          <w:p w14:paraId="494AEE1D">
            <w:pPr>
              <w:pStyle w:val="25"/>
              <w:shd w:val="clear" w:color="auto" w:fill="FFFFFF"/>
              <w:spacing w:line="360" w:lineRule="auto"/>
              <w:ind w:firstLine="480" w:firstLineChars="200"/>
              <w:rPr>
                <w:bCs/>
                <w:color w:val="auto"/>
                <w:highlight w:val="none"/>
              </w:rPr>
            </w:pPr>
            <w:r>
              <w:rPr>
                <w:rFonts w:hint="eastAsia"/>
                <w:bCs/>
                <w:color w:val="auto"/>
                <w:highlight w:val="none"/>
              </w:rPr>
              <w:t xml:space="preserve">平方米 </w:t>
            </w:r>
          </w:p>
          <w:p w14:paraId="2816C649">
            <w:pPr>
              <w:pStyle w:val="25"/>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noWrap w:val="0"/>
            <w:vAlign w:val="top"/>
          </w:tcPr>
          <w:p w14:paraId="538B1AA5">
            <w:pPr>
              <w:pStyle w:val="25"/>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noWrap w:val="0"/>
            <w:vAlign w:val="top"/>
          </w:tcPr>
          <w:p w14:paraId="7AEF7FF6">
            <w:pPr>
              <w:pStyle w:val="25"/>
              <w:shd w:val="clear" w:color="auto" w:fill="FFFFFF"/>
              <w:spacing w:before="0" w:beforeLines="0" w:beforeAutospacing="0" w:after="0" w:afterLines="0" w:afterAutospacing="0" w:line="360" w:lineRule="auto"/>
              <w:rPr>
                <w:bCs/>
                <w:color w:val="auto"/>
                <w:spacing w:val="16"/>
                <w:highlight w:val="none"/>
              </w:rPr>
            </w:pPr>
          </w:p>
        </w:tc>
      </w:tr>
      <w:tr w14:paraId="3CDD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0"/>
            <w:vAlign w:val="top"/>
          </w:tcPr>
          <w:p w14:paraId="455FF184">
            <w:pPr>
              <w:pStyle w:val="25"/>
              <w:shd w:val="clear" w:color="auto" w:fill="FFFFFF"/>
              <w:spacing w:line="360" w:lineRule="auto"/>
              <w:ind w:left="107"/>
              <w:rPr>
                <w:bCs/>
                <w:color w:val="auto"/>
                <w:highlight w:val="none"/>
              </w:rPr>
            </w:pPr>
          </w:p>
        </w:tc>
        <w:tc>
          <w:tcPr>
            <w:tcW w:w="701" w:type="dxa"/>
            <w:noWrap w:val="0"/>
            <w:vAlign w:val="top"/>
          </w:tcPr>
          <w:p w14:paraId="0A4F6D40">
            <w:pPr>
              <w:pStyle w:val="25"/>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noWrap w:val="0"/>
            <w:vAlign w:val="top"/>
          </w:tcPr>
          <w:p w14:paraId="2AD6B262">
            <w:pPr>
              <w:pStyle w:val="25"/>
              <w:shd w:val="clear" w:color="auto" w:fill="FFFFFF"/>
              <w:spacing w:line="360" w:lineRule="auto"/>
              <w:ind w:left="2"/>
              <w:rPr>
                <w:bCs/>
                <w:color w:val="auto"/>
                <w:highlight w:val="none"/>
              </w:rPr>
            </w:pPr>
          </w:p>
        </w:tc>
        <w:tc>
          <w:tcPr>
            <w:tcW w:w="1163" w:type="dxa"/>
            <w:noWrap w:val="0"/>
            <w:vAlign w:val="top"/>
          </w:tcPr>
          <w:p w14:paraId="512D3A72">
            <w:pPr>
              <w:pStyle w:val="25"/>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noWrap w:val="0"/>
            <w:vAlign w:val="top"/>
          </w:tcPr>
          <w:p w14:paraId="4D33FB09">
            <w:pPr>
              <w:widowControl/>
              <w:spacing w:line="360" w:lineRule="auto"/>
              <w:jc w:val="left"/>
              <w:rPr>
                <w:rFonts w:ascii="宋体" w:hAnsi="宋体" w:cs="宋体"/>
                <w:bCs/>
                <w:color w:val="auto"/>
                <w:kern w:val="0"/>
                <w:sz w:val="24"/>
                <w:highlight w:val="none"/>
              </w:rPr>
            </w:pPr>
          </w:p>
          <w:p w14:paraId="7EE3E7BB">
            <w:pPr>
              <w:pStyle w:val="25"/>
              <w:shd w:val="clear" w:color="auto" w:fill="FFFFFF"/>
              <w:spacing w:line="360" w:lineRule="auto"/>
              <w:ind w:left="107"/>
              <w:rPr>
                <w:bCs/>
                <w:color w:val="auto"/>
                <w:highlight w:val="none"/>
              </w:rPr>
            </w:pPr>
          </w:p>
        </w:tc>
        <w:tc>
          <w:tcPr>
            <w:tcW w:w="1218" w:type="dxa"/>
            <w:noWrap w:val="0"/>
            <w:vAlign w:val="top"/>
          </w:tcPr>
          <w:p w14:paraId="199BD560">
            <w:pPr>
              <w:pStyle w:val="25"/>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noWrap w:val="0"/>
            <w:vAlign w:val="top"/>
          </w:tcPr>
          <w:p w14:paraId="6EA71F37">
            <w:pPr>
              <w:pStyle w:val="25"/>
              <w:shd w:val="clear" w:color="auto" w:fill="FFFFFF"/>
              <w:spacing w:line="360" w:lineRule="auto"/>
              <w:ind w:left="107"/>
              <w:rPr>
                <w:bCs/>
                <w:color w:val="auto"/>
                <w:highlight w:val="none"/>
              </w:rPr>
            </w:pPr>
          </w:p>
        </w:tc>
      </w:tr>
      <w:tr w14:paraId="2031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0"/>
            <w:vAlign w:val="top"/>
          </w:tcPr>
          <w:p w14:paraId="0159C55A">
            <w:pPr>
              <w:pStyle w:val="25"/>
              <w:shd w:val="clear" w:color="auto" w:fill="FFFFFF"/>
              <w:spacing w:line="360" w:lineRule="auto"/>
              <w:ind w:left="107"/>
              <w:rPr>
                <w:bCs/>
                <w:color w:val="auto"/>
                <w:highlight w:val="none"/>
              </w:rPr>
            </w:pPr>
          </w:p>
        </w:tc>
        <w:tc>
          <w:tcPr>
            <w:tcW w:w="701" w:type="dxa"/>
            <w:noWrap w:val="0"/>
            <w:vAlign w:val="top"/>
          </w:tcPr>
          <w:p w14:paraId="453D03D7">
            <w:pPr>
              <w:pStyle w:val="25"/>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noWrap w:val="0"/>
            <w:vAlign w:val="top"/>
          </w:tcPr>
          <w:p w14:paraId="686D3F80">
            <w:pPr>
              <w:pStyle w:val="25"/>
              <w:shd w:val="clear" w:color="auto" w:fill="FFFFFF"/>
              <w:spacing w:line="360" w:lineRule="auto"/>
              <w:ind w:left="107"/>
              <w:rPr>
                <w:bCs/>
                <w:color w:val="auto"/>
                <w:highlight w:val="none"/>
              </w:rPr>
            </w:pPr>
          </w:p>
        </w:tc>
      </w:tr>
      <w:tr w14:paraId="7A7C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noWrap w:val="0"/>
            <w:vAlign w:val="top"/>
          </w:tcPr>
          <w:p w14:paraId="087AA015">
            <w:pPr>
              <w:pStyle w:val="25"/>
              <w:shd w:val="clear" w:color="auto" w:fill="FFFFFF"/>
              <w:spacing w:line="360" w:lineRule="auto"/>
              <w:ind w:left="107"/>
              <w:rPr>
                <w:bCs/>
                <w:color w:val="auto"/>
                <w:highlight w:val="none"/>
              </w:rPr>
            </w:pPr>
          </w:p>
        </w:tc>
        <w:tc>
          <w:tcPr>
            <w:tcW w:w="8131" w:type="dxa"/>
            <w:gridSpan w:val="11"/>
            <w:noWrap w:val="0"/>
            <w:vAlign w:val="top"/>
          </w:tcPr>
          <w:p w14:paraId="5B53A3B7">
            <w:pPr>
              <w:pStyle w:val="25"/>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14:paraId="504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0"/>
            <w:vAlign w:val="top"/>
          </w:tcPr>
          <w:p w14:paraId="2997D28B">
            <w:pPr>
              <w:pStyle w:val="25"/>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14:paraId="437D7BB0">
            <w:pPr>
              <w:pStyle w:val="25"/>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noWrap w:val="0"/>
            <w:vAlign w:val="top"/>
          </w:tcPr>
          <w:p w14:paraId="473E21FB">
            <w:pPr>
              <w:pStyle w:val="25"/>
              <w:shd w:val="clear" w:color="auto" w:fill="FFFFFF"/>
              <w:spacing w:before="0" w:beforeLines="0" w:beforeAutospacing="0" w:after="0" w:afterLines="0" w:afterAutospacing="0" w:line="360" w:lineRule="auto"/>
              <w:rPr>
                <w:bCs/>
                <w:color w:val="auto"/>
                <w:spacing w:val="16"/>
                <w:highlight w:val="none"/>
              </w:rPr>
            </w:pPr>
            <w:r>
              <w:rPr>
                <w:rFonts w:hint="eastAsia"/>
                <w:bCs/>
                <w:color w:val="auto"/>
                <w:spacing w:val="12"/>
                <w:highlight w:val="none"/>
              </w:rPr>
              <w:t>相关资质证书</w:t>
            </w:r>
          </w:p>
        </w:tc>
        <w:tc>
          <w:tcPr>
            <w:tcW w:w="1333" w:type="dxa"/>
            <w:gridSpan w:val="3"/>
            <w:noWrap w:val="0"/>
            <w:vAlign w:val="top"/>
          </w:tcPr>
          <w:p w14:paraId="17B025C5">
            <w:pPr>
              <w:pStyle w:val="25"/>
              <w:shd w:val="clear" w:color="auto" w:fill="FFFFFF"/>
              <w:spacing w:line="360" w:lineRule="auto"/>
              <w:ind w:right="-78" w:rightChars="-37"/>
              <w:rPr>
                <w:bCs/>
                <w:color w:val="auto"/>
                <w:spacing w:val="16"/>
                <w:highlight w:val="none"/>
              </w:rPr>
            </w:pPr>
            <w:r>
              <w:rPr>
                <w:rFonts w:hint="eastAsia"/>
                <w:bCs/>
                <w:color w:val="auto"/>
                <w:spacing w:val="16"/>
                <w:highlight w:val="none"/>
              </w:rPr>
              <w:t>资质证书名称</w:t>
            </w:r>
          </w:p>
        </w:tc>
        <w:tc>
          <w:tcPr>
            <w:tcW w:w="1418" w:type="dxa"/>
            <w:gridSpan w:val="2"/>
            <w:noWrap w:val="0"/>
            <w:vAlign w:val="top"/>
          </w:tcPr>
          <w:p w14:paraId="165F9A51">
            <w:pPr>
              <w:pStyle w:val="25"/>
              <w:shd w:val="clear" w:color="auto" w:fill="FFFFFF"/>
              <w:spacing w:before="0" w:beforeLines="0" w:beforeAutospacing="0" w:after="0" w:afterLines="0" w:afterAutospacing="0" w:line="360" w:lineRule="auto"/>
              <w:rPr>
                <w:bCs/>
                <w:color w:val="auto"/>
                <w:highlight w:val="none"/>
              </w:rPr>
            </w:pPr>
            <w:r>
              <w:rPr>
                <w:rFonts w:hint="eastAsia"/>
                <w:bCs/>
                <w:color w:val="auto"/>
                <w:spacing w:val="16"/>
                <w:highlight w:val="none"/>
              </w:rPr>
              <w:t>发证机关</w:t>
            </w:r>
          </w:p>
        </w:tc>
        <w:tc>
          <w:tcPr>
            <w:tcW w:w="1276" w:type="dxa"/>
            <w:noWrap w:val="0"/>
            <w:vAlign w:val="top"/>
          </w:tcPr>
          <w:p w14:paraId="2A7474A4">
            <w:pPr>
              <w:pStyle w:val="25"/>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noWrap w:val="0"/>
            <w:vAlign w:val="top"/>
          </w:tcPr>
          <w:p w14:paraId="28668563">
            <w:pPr>
              <w:pStyle w:val="25"/>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noWrap w:val="0"/>
            <w:vAlign w:val="top"/>
          </w:tcPr>
          <w:p w14:paraId="1EB2BE5F">
            <w:pPr>
              <w:pStyle w:val="25"/>
              <w:shd w:val="clear" w:color="auto" w:fill="FFFFFF"/>
              <w:spacing w:before="0" w:beforeLines="0" w:beforeAutospacing="0" w:after="0" w:afterLines="0" w:afterAutospacing="0" w:line="360" w:lineRule="auto"/>
              <w:jc w:val="center"/>
              <w:rPr>
                <w:bCs/>
                <w:color w:val="auto"/>
                <w:highlight w:val="none"/>
              </w:rPr>
            </w:pPr>
            <w:r>
              <w:rPr>
                <w:rFonts w:hint="eastAsia"/>
                <w:bCs/>
                <w:color w:val="auto"/>
                <w:spacing w:val="27"/>
                <w:highlight w:val="none"/>
              </w:rPr>
              <w:t>期限</w:t>
            </w:r>
          </w:p>
        </w:tc>
      </w:tr>
      <w:tr w14:paraId="6056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0"/>
            <w:vAlign w:val="top"/>
          </w:tcPr>
          <w:p w14:paraId="066AABA5">
            <w:pPr>
              <w:pStyle w:val="25"/>
              <w:shd w:val="clear" w:color="auto" w:fill="FFFFFF"/>
              <w:spacing w:line="360" w:lineRule="auto"/>
              <w:ind w:left="107"/>
              <w:rPr>
                <w:bCs/>
                <w:color w:val="auto"/>
                <w:highlight w:val="none"/>
              </w:rPr>
            </w:pPr>
          </w:p>
        </w:tc>
        <w:tc>
          <w:tcPr>
            <w:tcW w:w="1553" w:type="dxa"/>
            <w:gridSpan w:val="2"/>
            <w:vMerge w:val="continue"/>
            <w:noWrap w:val="0"/>
            <w:vAlign w:val="top"/>
          </w:tcPr>
          <w:p w14:paraId="4F4E66EC">
            <w:pPr>
              <w:pStyle w:val="25"/>
              <w:shd w:val="clear" w:color="auto" w:fill="FFFFFF"/>
              <w:spacing w:line="360" w:lineRule="auto"/>
              <w:rPr>
                <w:bCs/>
                <w:color w:val="auto"/>
                <w:highlight w:val="none"/>
              </w:rPr>
            </w:pPr>
          </w:p>
        </w:tc>
        <w:tc>
          <w:tcPr>
            <w:tcW w:w="1333" w:type="dxa"/>
            <w:gridSpan w:val="3"/>
            <w:noWrap w:val="0"/>
            <w:vAlign w:val="top"/>
          </w:tcPr>
          <w:p w14:paraId="2AD85D38">
            <w:pPr>
              <w:pStyle w:val="25"/>
              <w:shd w:val="clear" w:color="auto" w:fill="FFFFFF"/>
              <w:spacing w:line="360" w:lineRule="auto"/>
              <w:rPr>
                <w:bCs/>
                <w:color w:val="auto"/>
                <w:highlight w:val="none"/>
              </w:rPr>
            </w:pPr>
          </w:p>
        </w:tc>
        <w:tc>
          <w:tcPr>
            <w:tcW w:w="1418" w:type="dxa"/>
            <w:gridSpan w:val="2"/>
            <w:noWrap w:val="0"/>
            <w:vAlign w:val="top"/>
          </w:tcPr>
          <w:p w14:paraId="0385E5A5">
            <w:pPr>
              <w:pStyle w:val="25"/>
              <w:shd w:val="clear" w:color="auto" w:fill="FFFFFF"/>
              <w:spacing w:line="360" w:lineRule="auto"/>
              <w:rPr>
                <w:bCs/>
                <w:color w:val="auto"/>
                <w:highlight w:val="none"/>
              </w:rPr>
            </w:pPr>
          </w:p>
        </w:tc>
        <w:tc>
          <w:tcPr>
            <w:tcW w:w="1276" w:type="dxa"/>
            <w:noWrap w:val="0"/>
            <w:vAlign w:val="top"/>
          </w:tcPr>
          <w:p w14:paraId="75D9FFBC">
            <w:pPr>
              <w:pStyle w:val="25"/>
              <w:shd w:val="clear" w:color="auto" w:fill="FFFFFF"/>
              <w:spacing w:line="360" w:lineRule="auto"/>
              <w:rPr>
                <w:bCs/>
                <w:color w:val="auto"/>
                <w:highlight w:val="none"/>
              </w:rPr>
            </w:pPr>
          </w:p>
        </w:tc>
        <w:tc>
          <w:tcPr>
            <w:tcW w:w="2551" w:type="dxa"/>
            <w:gridSpan w:val="3"/>
            <w:noWrap w:val="0"/>
            <w:vAlign w:val="top"/>
          </w:tcPr>
          <w:p w14:paraId="32BFC9DA">
            <w:pPr>
              <w:pStyle w:val="25"/>
              <w:shd w:val="clear" w:color="auto" w:fill="FFFFFF"/>
              <w:spacing w:line="360" w:lineRule="auto"/>
              <w:rPr>
                <w:bCs/>
                <w:color w:val="auto"/>
                <w:highlight w:val="none"/>
              </w:rPr>
            </w:pPr>
          </w:p>
        </w:tc>
      </w:tr>
      <w:tr w14:paraId="753D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0"/>
            <w:vAlign w:val="top"/>
          </w:tcPr>
          <w:p w14:paraId="54B1091B">
            <w:pPr>
              <w:pStyle w:val="25"/>
              <w:shd w:val="clear" w:color="auto" w:fill="FFFFFF"/>
              <w:spacing w:line="360" w:lineRule="auto"/>
              <w:ind w:left="107"/>
              <w:rPr>
                <w:bCs/>
                <w:color w:val="auto"/>
                <w:spacing w:val="16"/>
                <w:highlight w:val="none"/>
              </w:rPr>
            </w:pPr>
          </w:p>
        </w:tc>
        <w:tc>
          <w:tcPr>
            <w:tcW w:w="1553" w:type="dxa"/>
            <w:gridSpan w:val="2"/>
            <w:noWrap w:val="0"/>
            <w:vAlign w:val="top"/>
          </w:tcPr>
          <w:p w14:paraId="6DAA0624">
            <w:pPr>
              <w:pStyle w:val="25"/>
              <w:shd w:val="clear" w:color="auto" w:fill="FFFFFF"/>
              <w:spacing w:before="0" w:beforeLines="0" w:beforeAutospacing="0" w:after="0" w:afterLines="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体系、职业健康安全、计量等认证情况</w:t>
            </w:r>
          </w:p>
        </w:tc>
        <w:tc>
          <w:tcPr>
            <w:tcW w:w="6578" w:type="dxa"/>
            <w:gridSpan w:val="9"/>
            <w:noWrap w:val="0"/>
            <w:vAlign w:val="top"/>
          </w:tcPr>
          <w:p w14:paraId="11C3737D">
            <w:pPr>
              <w:pStyle w:val="25"/>
              <w:shd w:val="clear" w:color="auto" w:fill="FFFFFF"/>
              <w:spacing w:line="360" w:lineRule="auto"/>
              <w:rPr>
                <w:bCs/>
                <w:color w:val="auto"/>
                <w:spacing w:val="16"/>
                <w:highlight w:val="none"/>
              </w:rPr>
            </w:pPr>
          </w:p>
        </w:tc>
      </w:tr>
      <w:tr w14:paraId="281E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0"/>
            <w:vAlign w:val="top"/>
          </w:tcPr>
          <w:p w14:paraId="6ABEEF64">
            <w:pPr>
              <w:pStyle w:val="25"/>
              <w:shd w:val="clear" w:color="auto" w:fill="FFFFFF"/>
              <w:spacing w:line="360" w:lineRule="auto"/>
              <w:ind w:left="107"/>
              <w:rPr>
                <w:bCs/>
                <w:color w:val="auto"/>
                <w:spacing w:val="27"/>
                <w:highlight w:val="none"/>
              </w:rPr>
            </w:pPr>
          </w:p>
        </w:tc>
        <w:tc>
          <w:tcPr>
            <w:tcW w:w="1553" w:type="dxa"/>
            <w:gridSpan w:val="2"/>
            <w:noWrap w:val="0"/>
            <w:vAlign w:val="top"/>
          </w:tcPr>
          <w:p w14:paraId="0BC3BF7C">
            <w:pPr>
              <w:pStyle w:val="25"/>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noWrap w:val="0"/>
            <w:vAlign w:val="top"/>
          </w:tcPr>
          <w:p w14:paraId="3ACD31AE">
            <w:pPr>
              <w:pStyle w:val="25"/>
              <w:shd w:val="clear" w:color="auto" w:fill="FFFFFF"/>
              <w:spacing w:line="360" w:lineRule="auto"/>
              <w:rPr>
                <w:bCs/>
                <w:color w:val="auto"/>
                <w:spacing w:val="16"/>
                <w:highlight w:val="none"/>
              </w:rPr>
            </w:pPr>
          </w:p>
        </w:tc>
      </w:tr>
    </w:tbl>
    <w:p w14:paraId="150E6FB5">
      <w:pPr>
        <w:pStyle w:val="25"/>
        <w:shd w:val="clear" w:color="auto" w:fill="FFFFFF"/>
        <w:spacing w:before="0" w:beforeLines="0" w:beforeAutospacing="0" w:after="0" w:afterLines="0" w:afterAutospacing="0" w:line="360" w:lineRule="auto"/>
        <w:rPr>
          <w:rFonts w:ascii="仿宋_GB2312" w:eastAsia="仿宋_GB2312"/>
          <w:color w:val="auto"/>
          <w:highlight w:val="none"/>
        </w:rPr>
      </w:pPr>
    </w:p>
    <w:p w14:paraId="621A7C56">
      <w:pPr>
        <w:pStyle w:val="25"/>
        <w:shd w:val="clear" w:color="auto" w:fill="FFFFFF"/>
        <w:spacing w:before="0" w:beforeLines="0" w:beforeAutospacing="0" w:after="0" w:afterLines="0" w:afterAutospacing="0" w:line="360" w:lineRule="auto"/>
        <w:rPr>
          <w:b/>
          <w:color w:val="auto"/>
          <w:sz w:val="21"/>
          <w:szCs w:val="21"/>
          <w:highlight w:val="none"/>
        </w:rPr>
      </w:pPr>
      <w:r>
        <w:rPr>
          <w:rFonts w:hint="eastAsia"/>
          <w:b/>
          <w:color w:val="auto"/>
          <w:sz w:val="21"/>
          <w:szCs w:val="21"/>
          <w:highlight w:val="none"/>
        </w:rPr>
        <w:t>要求：</w:t>
      </w:r>
    </w:p>
    <w:p w14:paraId="5B662A15">
      <w:pPr>
        <w:pStyle w:val="25"/>
        <w:shd w:val="clear" w:color="auto" w:fill="FFFFFF"/>
        <w:spacing w:before="0" w:beforeLines="0" w:beforeAutospacing="0" w:after="0" w:afterLines="0" w:afterAutospacing="0" w:line="360" w:lineRule="auto"/>
        <w:ind w:firstLine="424" w:firstLineChars="202"/>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3CE8E0E1">
      <w:pPr>
        <w:rPr>
          <w:rFonts w:ascii="宋体" w:hAnsi="宋体"/>
          <w:color w:val="auto"/>
          <w:sz w:val="24"/>
          <w:highlight w:val="none"/>
        </w:rPr>
      </w:pPr>
    </w:p>
    <w:p w14:paraId="452FDB77">
      <w:pPr>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14:paraId="2C2E6D58">
      <w:pPr>
        <w:ind w:left="420"/>
        <w:rPr>
          <w:rFonts w:ascii="宋体" w:hAnsi="宋体"/>
          <w:color w:val="auto"/>
          <w:sz w:val="24"/>
          <w:highlight w:val="none"/>
        </w:rPr>
      </w:pPr>
    </w:p>
    <w:p w14:paraId="0AA31595">
      <w:pPr>
        <w:ind w:firstLine="424" w:firstLineChars="177"/>
        <w:rPr>
          <w:rFonts w:ascii="宋体" w:hAnsi="宋体"/>
          <w:color w:val="auto"/>
          <w:sz w:val="24"/>
          <w:highlight w:val="none"/>
        </w:rPr>
      </w:pPr>
      <w:r>
        <w:rPr>
          <w:rFonts w:hint="eastAsia" w:ascii="宋体" w:hAnsi="宋体"/>
          <w:color w:val="auto"/>
          <w:sz w:val="24"/>
          <w:highlight w:val="none"/>
        </w:rPr>
        <w:t>磋商供应商代表签字：</w:t>
      </w:r>
      <w:r>
        <w:rPr>
          <w:rFonts w:hint="eastAsia" w:ascii="宋体" w:hAnsi="宋体"/>
          <w:color w:val="auto"/>
          <w:sz w:val="24"/>
          <w:highlight w:val="none"/>
          <w:u w:val="single"/>
        </w:rPr>
        <w:t xml:space="preserve">                          </w:t>
      </w:r>
    </w:p>
    <w:p w14:paraId="2E09AE68">
      <w:pPr>
        <w:ind w:firstLine="435"/>
        <w:rPr>
          <w:rFonts w:ascii="宋体" w:hAnsi="宋体"/>
          <w:color w:val="auto"/>
          <w:sz w:val="24"/>
          <w:highlight w:val="none"/>
        </w:rPr>
      </w:pPr>
    </w:p>
    <w:p w14:paraId="14D781E0">
      <w:pPr>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2AA4EA04">
      <w:pPr>
        <w:rPr>
          <w:rFonts w:ascii="宋体" w:hAnsi="宋体"/>
          <w:color w:val="auto"/>
          <w:sz w:val="24"/>
          <w:highlight w:val="none"/>
        </w:rPr>
      </w:pPr>
    </w:p>
    <w:p w14:paraId="3D8000CC">
      <w:pPr>
        <w:pStyle w:val="25"/>
        <w:shd w:val="clear" w:color="auto" w:fill="FFFFFF"/>
        <w:spacing w:before="0" w:beforeLines="0" w:beforeAutospacing="0" w:after="0" w:afterLines="0" w:afterAutospacing="0"/>
        <w:ind w:firstLine="424" w:firstLineChars="177"/>
        <w:rPr>
          <w:rFonts w:hint="eastAsia"/>
          <w:b/>
          <w:color w:val="auto"/>
          <w:sz w:val="28"/>
          <w:highlight w:val="none"/>
        </w:rPr>
      </w:pPr>
      <w:r>
        <w:rPr>
          <w:rFonts w:hint="eastAsia"/>
          <w:color w:val="auto"/>
          <w:highlight w:val="none"/>
        </w:rPr>
        <w:t>日        期：</w:t>
      </w:r>
      <w:r>
        <w:rPr>
          <w:rFonts w:hint="eastAsia"/>
          <w:color w:val="auto"/>
          <w:highlight w:val="none"/>
          <w:u w:val="single"/>
        </w:rPr>
        <w:t xml:space="preserve">                            </w:t>
      </w:r>
    </w:p>
    <w:p w14:paraId="639514D0">
      <w:pPr>
        <w:snapToGrid w:val="0"/>
        <w:spacing w:before="50" w:beforeLines="0" w:after="50" w:afterLines="0" w:line="360" w:lineRule="auto"/>
        <w:rPr>
          <w:rFonts w:hint="eastAsia" w:ascii="宋体" w:hAnsi="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E161A80">
      <w:pPr>
        <w:snapToGrid w:val="0"/>
        <w:spacing w:before="50" w:beforeLines="0" w:after="50" w:afterLines="0" w:line="360" w:lineRule="auto"/>
        <w:rPr>
          <w:rFonts w:hint="eastAsia" w:ascii="宋体" w:hAnsi="宋体"/>
          <w:b/>
          <w:color w:val="auto"/>
          <w:sz w:val="32"/>
          <w:szCs w:val="32"/>
          <w:highlight w:val="none"/>
        </w:rPr>
      </w:pPr>
      <w:r>
        <w:rPr>
          <w:rFonts w:hint="eastAsia" w:ascii="宋体" w:hAnsi="宋体"/>
          <w:b/>
          <w:color w:val="auto"/>
          <w:sz w:val="28"/>
          <w:highlight w:val="none"/>
        </w:rPr>
        <w:t>附件5：</w:t>
      </w:r>
    </w:p>
    <w:p w14:paraId="4E1A3E07">
      <w:pPr>
        <w:snapToGrid w:val="0"/>
        <w:spacing w:before="156" w:beforeLines="50" w:after="50" w:afterLines="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14:paraId="1DCEC1A0">
      <w:pPr>
        <w:snapToGrid w:val="0"/>
        <w:spacing w:before="156" w:beforeLines="50" w:after="50" w:afterLines="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17"/>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611"/>
        <w:gridCol w:w="1933"/>
      </w:tblGrid>
      <w:tr w14:paraId="32819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1" w:type="dxa"/>
            <w:tcBorders>
              <w:top w:val="single" w:color="auto" w:sz="4" w:space="0"/>
              <w:left w:val="single" w:color="auto" w:sz="4" w:space="0"/>
              <w:bottom w:val="single" w:color="auto" w:sz="4" w:space="0"/>
              <w:right w:val="single" w:color="auto" w:sz="4" w:space="0"/>
            </w:tcBorders>
            <w:noWrap w:val="0"/>
            <w:vAlign w:val="center"/>
          </w:tcPr>
          <w:p w14:paraId="2C4592D8">
            <w:pPr>
              <w:snapToGrid w:val="0"/>
              <w:spacing w:before="156" w:beforeLines="50" w:after="50" w:afterLines="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141A6D2B">
            <w:pPr>
              <w:snapToGrid w:val="0"/>
              <w:spacing w:before="156" w:beforeLines="50" w:after="50" w:afterLines="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C6B574D">
            <w:pPr>
              <w:snapToGrid w:val="0"/>
              <w:spacing w:before="156" w:beforeLines="50" w:after="50" w:afterLines="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E6689A6">
            <w:pPr>
              <w:snapToGrid w:val="0"/>
              <w:spacing w:before="156" w:beforeLines="50" w:after="50" w:afterLines="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67EF63">
            <w:pPr>
              <w:snapToGrid w:val="0"/>
              <w:spacing w:before="156" w:beforeLines="50" w:after="50" w:afterLines="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EAC7806">
            <w:pPr>
              <w:snapToGrid w:val="0"/>
              <w:spacing w:before="156" w:beforeLines="50" w:after="50" w:afterLines="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611" w:type="dxa"/>
            <w:tcBorders>
              <w:top w:val="single" w:color="auto" w:sz="4" w:space="0"/>
              <w:left w:val="single" w:color="auto" w:sz="4" w:space="0"/>
              <w:bottom w:val="single" w:color="auto" w:sz="4" w:space="0"/>
              <w:right w:val="single" w:color="auto" w:sz="4" w:space="0"/>
            </w:tcBorders>
            <w:noWrap w:val="0"/>
            <w:vAlign w:val="center"/>
          </w:tcPr>
          <w:p w14:paraId="10D1EED8">
            <w:pPr>
              <w:snapToGrid w:val="0"/>
              <w:spacing w:before="156" w:beforeLines="50" w:after="50" w:afterLines="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933" w:type="dxa"/>
            <w:tcBorders>
              <w:top w:val="single" w:color="auto" w:sz="4" w:space="0"/>
              <w:left w:val="single" w:color="auto" w:sz="4" w:space="0"/>
              <w:bottom w:val="single" w:color="auto" w:sz="4" w:space="0"/>
              <w:right w:val="single" w:color="auto" w:sz="4" w:space="0"/>
            </w:tcBorders>
            <w:noWrap w:val="0"/>
            <w:vAlign w:val="center"/>
          </w:tcPr>
          <w:p w14:paraId="12DD4A25">
            <w:pPr>
              <w:snapToGrid w:val="0"/>
              <w:spacing w:before="156" w:beforeLines="50" w:after="50" w:afterLines="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14:paraId="747ED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1" w:type="dxa"/>
            <w:tcBorders>
              <w:top w:val="single" w:color="auto" w:sz="4" w:space="0"/>
              <w:left w:val="single" w:color="auto" w:sz="4" w:space="0"/>
              <w:bottom w:val="single" w:color="auto" w:sz="4" w:space="0"/>
              <w:right w:val="single" w:color="auto" w:sz="4" w:space="0"/>
            </w:tcBorders>
            <w:noWrap w:val="0"/>
            <w:vAlign w:val="top"/>
          </w:tcPr>
          <w:p w14:paraId="452FC3B4">
            <w:pPr>
              <w:snapToGrid w:val="0"/>
              <w:spacing w:before="156" w:beforeLines="50" w:after="50" w:afterLines="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2F96BDE3">
            <w:pPr>
              <w:snapToGrid w:val="0"/>
              <w:spacing w:before="156" w:beforeLines="50" w:after="50" w:afterLines="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FBE19C8">
            <w:pPr>
              <w:snapToGrid w:val="0"/>
              <w:spacing w:before="156" w:beforeLines="50" w:after="50" w:afterLines="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471743D">
            <w:pPr>
              <w:snapToGrid w:val="0"/>
              <w:spacing w:before="156" w:beforeLines="50" w:after="50" w:afterLines="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E6F232">
            <w:pPr>
              <w:snapToGrid w:val="0"/>
              <w:spacing w:before="156" w:beforeLines="50" w:after="50" w:afterLines="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409D1FC">
            <w:pPr>
              <w:snapToGrid w:val="0"/>
              <w:spacing w:before="156" w:beforeLines="50" w:after="50" w:afterLines="0" w:line="360" w:lineRule="auto"/>
              <w:rPr>
                <w:rFonts w:ascii="宋体" w:hAnsi="宋体"/>
                <w:b/>
                <w:color w:val="auto"/>
                <w:kern w:val="44"/>
                <w:sz w:val="24"/>
                <w:szCs w:val="20"/>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14:paraId="3A070B3A">
            <w:pPr>
              <w:snapToGrid w:val="0"/>
              <w:spacing w:before="156" w:beforeLines="50" w:after="50" w:afterLines="0" w:line="360" w:lineRule="auto"/>
              <w:rPr>
                <w:rFonts w:ascii="宋体" w:hAnsi="宋体"/>
                <w:b/>
                <w:color w:val="auto"/>
                <w:kern w:val="44"/>
                <w:sz w:val="24"/>
                <w:szCs w:val="20"/>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top"/>
          </w:tcPr>
          <w:p w14:paraId="3D45375B">
            <w:pPr>
              <w:snapToGrid w:val="0"/>
              <w:spacing w:before="156" w:beforeLines="50" w:after="50" w:afterLines="0" w:line="360" w:lineRule="auto"/>
              <w:rPr>
                <w:rFonts w:ascii="宋体" w:hAnsi="宋体"/>
                <w:b/>
                <w:color w:val="auto"/>
                <w:kern w:val="44"/>
                <w:sz w:val="24"/>
                <w:szCs w:val="20"/>
                <w:highlight w:val="none"/>
              </w:rPr>
            </w:pPr>
          </w:p>
        </w:tc>
      </w:tr>
      <w:tr w14:paraId="45B56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1" w:type="dxa"/>
            <w:tcBorders>
              <w:top w:val="single" w:color="auto" w:sz="4" w:space="0"/>
              <w:left w:val="single" w:color="auto" w:sz="4" w:space="0"/>
              <w:bottom w:val="single" w:color="auto" w:sz="4" w:space="0"/>
              <w:right w:val="single" w:color="auto" w:sz="4" w:space="0"/>
            </w:tcBorders>
            <w:noWrap w:val="0"/>
            <w:vAlign w:val="top"/>
          </w:tcPr>
          <w:p w14:paraId="248B83EE">
            <w:pPr>
              <w:snapToGrid w:val="0"/>
              <w:spacing w:before="156" w:beforeLines="50" w:after="50" w:afterLines="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465D878C">
            <w:pPr>
              <w:snapToGrid w:val="0"/>
              <w:spacing w:before="156" w:beforeLines="50" w:after="50" w:afterLines="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3C18AC3">
            <w:pPr>
              <w:snapToGrid w:val="0"/>
              <w:spacing w:before="156" w:beforeLines="50" w:after="50" w:afterLines="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8CBB5B6">
            <w:pPr>
              <w:snapToGrid w:val="0"/>
              <w:spacing w:before="156" w:beforeLines="50" w:after="50" w:afterLines="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9E023D">
            <w:pPr>
              <w:snapToGrid w:val="0"/>
              <w:spacing w:before="156" w:beforeLines="50" w:after="50" w:afterLines="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72A5D0D">
            <w:pPr>
              <w:snapToGrid w:val="0"/>
              <w:spacing w:before="156" w:beforeLines="50" w:after="50" w:afterLines="0" w:line="360" w:lineRule="auto"/>
              <w:rPr>
                <w:rFonts w:ascii="宋体" w:hAnsi="宋体"/>
                <w:b/>
                <w:color w:val="auto"/>
                <w:kern w:val="44"/>
                <w:sz w:val="24"/>
                <w:szCs w:val="20"/>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14:paraId="681BB0BD">
            <w:pPr>
              <w:snapToGrid w:val="0"/>
              <w:spacing w:before="156" w:beforeLines="50" w:after="50" w:afterLines="0" w:line="360" w:lineRule="auto"/>
              <w:rPr>
                <w:rFonts w:ascii="宋体" w:hAnsi="宋体"/>
                <w:b/>
                <w:color w:val="auto"/>
                <w:kern w:val="44"/>
                <w:sz w:val="24"/>
                <w:szCs w:val="20"/>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top"/>
          </w:tcPr>
          <w:p w14:paraId="68462C5C">
            <w:pPr>
              <w:snapToGrid w:val="0"/>
              <w:spacing w:before="156" w:beforeLines="50" w:after="50" w:afterLines="0" w:line="360" w:lineRule="auto"/>
              <w:rPr>
                <w:rFonts w:ascii="宋体" w:hAnsi="宋体"/>
                <w:b/>
                <w:color w:val="auto"/>
                <w:kern w:val="44"/>
                <w:sz w:val="24"/>
                <w:szCs w:val="20"/>
                <w:highlight w:val="none"/>
              </w:rPr>
            </w:pPr>
          </w:p>
        </w:tc>
      </w:tr>
      <w:tr w14:paraId="39095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1" w:type="dxa"/>
            <w:tcBorders>
              <w:top w:val="single" w:color="auto" w:sz="4" w:space="0"/>
              <w:left w:val="single" w:color="auto" w:sz="4" w:space="0"/>
              <w:bottom w:val="single" w:color="auto" w:sz="4" w:space="0"/>
              <w:right w:val="single" w:color="auto" w:sz="4" w:space="0"/>
            </w:tcBorders>
            <w:noWrap w:val="0"/>
            <w:vAlign w:val="top"/>
          </w:tcPr>
          <w:p w14:paraId="06F2FD5A">
            <w:pPr>
              <w:snapToGrid w:val="0"/>
              <w:spacing w:before="156" w:beforeLines="50" w:after="50" w:afterLines="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6F880346">
            <w:pPr>
              <w:snapToGrid w:val="0"/>
              <w:spacing w:before="156" w:beforeLines="50" w:after="50" w:afterLines="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7CE113A">
            <w:pPr>
              <w:snapToGrid w:val="0"/>
              <w:spacing w:before="156" w:beforeLines="50" w:after="50" w:afterLines="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4BA183D">
            <w:pPr>
              <w:pStyle w:val="12"/>
              <w:snapToGrid w:val="0"/>
              <w:spacing w:before="156" w:beforeLines="50" w:after="50" w:afterLines="0" w:line="360" w:lineRule="auto"/>
              <w:ind w:left="5250"/>
              <w:rPr>
                <w:rFonts w:ascii="宋体" w:hAnsi="宋体"/>
                <w:b/>
                <w:color w:val="auto"/>
                <w:kern w:val="4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76BA05">
            <w:pPr>
              <w:pStyle w:val="12"/>
              <w:snapToGrid w:val="0"/>
              <w:spacing w:before="156" w:beforeLines="50" w:after="50" w:afterLines="0" w:line="360" w:lineRule="auto"/>
              <w:ind w:left="5250"/>
              <w:rPr>
                <w:rFonts w:ascii="宋体" w:hAnsi="宋体"/>
                <w:b/>
                <w:color w:val="auto"/>
                <w:kern w:val="4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7B1F5AD">
            <w:pPr>
              <w:pStyle w:val="12"/>
              <w:spacing w:line="360" w:lineRule="auto"/>
              <w:ind w:left="5250"/>
              <w:rPr>
                <w:rFonts w:ascii="宋体" w:hAnsi="宋体"/>
                <w:color w:val="auto"/>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14:paraId="181DA8A1">
            <w:pPr>
              <w:snapToGrid w:val="0"/>
              <w:spacing w:before="156" w:beforeLines="50" w:after="50" w:afterLines="0" w:line="360" w:lineRule="auto"/>
              <w:rPr>
                <w:rFonts w:ascii="宋体" w:hAnsi="宋体"/>
                <w:color w:val="auto"/>
                <w:sz w:val="24"/>
                <w:szCs w:val="20"/>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top"/>
          </w:tcPr>
          <w:p w14:paraId="7D7F89AA">
            <w:pPr>
              <w:snapToGrid w:val="0"/>
              <w:spacing w:before="156" w:beforeLines="50" w:after="50" w:afterLines="0" w:line="360" w:lineRule="auto"/>
              <w:rPr>
                <w:rFonts w:ascii="宋体" w:hAnsi="宋体"/>
                <w:b/>
                <w:color w:val="auto"/>
                <w:kern w:val="44"/>
                <w:sz w:val="24"/>
                <w:szCs w:val="20"/>
                <w:highlight w:val="none"/>
              </w:rPr>
            </w:pPr>
          </w:p>
        </w:tc>
      </w:tr>
      <w:tr w14:paraId="60F3E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1" w:type="dxa"/>
            <w:tcBorders>
              <w:top w:val="single" w:color="auto" w:sz="4" w:space="0"/>
              <w:left w:val="single" w:color="auto" w:sz="4" w:space="0"/>
              <w:bottom w:val="single" w:color="auto" w:sz="4" w:space="0"/>
              <w:right w:val="single" w:color="auto" w:sz="4" w:space="0"/>
            </w:tcBorders>
            <w:noWrap w:val="0"/>
            <w:vAlign w:val="top"/>
          </w:tcPr>
          <w:p w14:paraId="0CB5C0B5">
            <w:pPr>
              <w:snapToGrid w:val="0"/>
              <w:spacing w:before="156" w:beforeLines="50" w:after="50" w:afterLines="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2FBE01DF">
            <w:pPr>
              <w:snapToGrid w:val="0"/>
              <w:spacing w:before="156" w:beforeLines="50" w:after="50" w:afterLines="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2CFC074">
            <w:pPr>
              <w:snapToGrid w:val="0"/>
              <w:spacing w:before="156" w:beforeLines="50" w:after="50" w:afterLines="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EBF2CA8">
            <w:pPr>
              <w:snapToGrid w:val="0"/>
              <w:spacing w:before="156" w:beforeLines="50" w:after="50" w:afterLines="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EC3ABAE">
            <w:pPr>
              <w:snapToGrid w:val="0"/>
              <w:spacing w:before="156" w:beforeLines="50" w:after="50" w:afterLines="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9C47689">
            <w:pPr>
              <w:snapToGrid w:val="0"/>
              <w:spacing w:before="156" w:beforeLines="50" w:after="50" w:afterLines="0" w:line="360" w:lineRule="auto"/>
              <w:rPr>
                <w:rFonts w:ascii="宋体" w:hAnsi="宋体"/>
                <w:b/>
                <w:color w:val="auto"/>
                <w:kern w:val="44"/>
                <w:sz w:val="24"/>
                <w:szCs w:val="20"/>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14:paraId="4D606B88">
            <w:pPr>
              <w:snapToGrid w:val="0"/>
              <w:spacing w:before="156" w:beforeLines="50" w:after="50" w:afterLines="0" w:line="360" w:lineRule="auto"/>
              <w:rPr>
                <w:rFonts w:ascii="宋体" w:hAnsi="宋体"/>
                <w:b/>
                <w:color w:val="auto"/>
                <w:kern w:val="44"/>
                <w:sz w:val="24"/>
                <w:szCs w:val="20"/>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top"/>
          </w:tcPr>
          <w:p w14:paraId="62D65461">
            <w:pPr>
              <w:snapToGrid w:val="0"/>
              <w:spacing w:before="156" w:beforeLines="50" w:after="50" w:afterLines="0" w:line="360" w:lineRule="auto"/>
              <w:rPr>
                <w:rFonts w:ascii="宋体" w:hAnsi="宋体"/>
                <w:b/>
                <w:color w:val="auto"/>
                <w:kern w:val="44"/>
                <w:sz w:val="24"/>
                <w:szCs w:val="20"/>
                <w:highlight w:val="none"/>
              </w:rPr>
            </w:pPr>
          </w:p>
        </w:tc>
      </w:tr>
      <w:tr w14:paraId="5EBC4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61" w:type="dxa"/>
            <w:tcBorders>
              <w:top w:val="single" w:color="auto" w:sz="4" w:space="0"/>
              <w:left w:val="single" w:color="auto" w:sz="4" w:space="0"/>
              <w:bottom w:val="single" w:color="auto" w:sz="4" w:space="0"/>
              <w:right w:val="single" w:color="auto" w:sz="4" w:space="0"/>
            </w:tcBorders>
            <w:noWrap w:val="0"/>
            <w:vAlign w:val="top"/>
          </w:tcPr>
          <w:p w14:paraId="516F8D8B">
            <w:pPr>
              <w:snapToGrid w:val="0"/>
              <w:spacing w:before="156" w:beforeLines="50" w:after="50" w:afterLines="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708A1497">
            <w:pPr>
              <w:snapToGrid w:val="0"/>
              <w:spacing w:before="156" w:beforeLines="50" w:after="50" w:afterLines="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A04F5F5">
            <w:pPr>
              <w:snapToGrid w:val="0"/>
              <w:spacing w:before="156" w:beforeLines="50" w:after="50" w:afterLines="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306D1C4">
            <w:pPr>
              <w:snapToGrid w:val="0"/>
              <w:spacing w:before="156" w:beforeLines="50" w:after="50" w:afterLines="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6599488">
            <w:pPr>
              <w:snapToGrid w:val="0"/>
              <w:spacing w:before="156" w:beforeLines="50" w:after="50" w:afterLines="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0BDADA1">
            <w:pPr>
              <w:snapToGrid w:val="0"/>
              <w:spacing w:before="156" w:beforeLines="50" w:after="50" w:afterLines="0" w:line="360" w:lineRule="auto"/>
              <w:rPr>
                <w:rFonts w:ascii="宋体" w:hAnsi="宋体"/>
                <w:b/>
                <w:color w:val="auto"/>
                <w:kern w:val="44"/>
                <w:sz w:val="24"/>
                <w:szCs w:val="20"/>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14:paraId="710239A6">
            <w:pPr>
              <w:snapToGrid w:val="0"/>
              <w:spacing w:before="156" w:beforeLines="50" w:after="50" w:afterLines="0" w:line="360" w:lineRule="auto"/>
              <w:rPr>
                <w:rFonts w:ascii="宋体" w:hAnsi="宋体"/>
                <w:b/>
                <w:color w:val="auto"/>
                <w:kern w:val="44"/>
                <w:sz w:val="24"/>
                <w:szCs w:val="20"/>
                <w:highlight w:val="none"/>
              </w:rPr>
            </w:pPr>
          </w:p>
        </w:tc>
        <w:tc>
          <w:tcPr>
            <w:tcW w:w="1933" w:type="dxa"/>
            <w:tcBorders>
              <w:top w:val="single" w:color="auto" w:sz="4" w:space="0"/>
              <w:left w:val="single" w:color="auto" w:sz="4" w:space="0"/>
              <w:bottom w:val="single" w:color="auto" w:sz="4" w:space="0"/>
              <w:right w:val="single" w:color="auto" w:sz="4" w:space="0"/>
            </w:tcBorders>
            <w:noWrap w:val="0"/>
            <w:vAlign w:val="top"/>
          </w:tcPr>
          <w:p w14:paraId="6D76D451">
            <w:pPr>
              <w:snapToGrid w:val="0"/>
              <w:spacing w:before="156" w:beforeLines="50" w:after="50" w:afterLines="0" w:line="360" w:lineRule="auto"/>
              <w:rPr>
                <w:rFonts w:ascii="宋体" w:hAnsi="宋体"/>
                <w:b/>
                <w:color w:val="auto"/>
                <w:kern w:val="44"/>
                <w:sz w:val="24"/>
                <w:szCs w:val="20"/>
                <w:highlight w:val="none"/>
              </w:rPr>
            </w:pPr>
          </w:p>
        </w:tc>
      </w:tr>
    </w:tbl>
    <w:p w14:paraId="64E04A48">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2412A397">
      <w:pPr>
        <w:spacing w:line="360" w:lineRule="auto"/>
        <w:ind w:left="437"/>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14:paraId="5672EDD2">
      <w:pPr>
        <w:pStyle w:val="26"/>
        <w:spacing w:line="360" w:lineRule="auto"/>
        <w:ind w:left="424" w:leftChars="202"/>
        <w:rPr>
          <w:rFonts w:hint="eastAsia" w:ascii="宋体" w:hAnsi="宋体"/>
          <w:color w:val="auto"/>
          <w:szCs w:val="21"/>
          <w:highlight w:val="none"/>
        </w:rPr>
      </w:pPr>
      <w:r>
        <w:rPr>
          <w:rFonts w:hint="eastAsia" w:ascii="宋体" w:hAnsi="宋体"/>
          <w:color w:val="auto"/>
          <w:szCs w:val="21"/>
          <w:highlight w:val="none"/>
        </w:rPr>
        <w:t>2.附人员证书复印件。</w:t>
      </w:r>
    </w:p>
    <w:p w14:paraId="3E97007D">
      <w:pPr>
        <w:pStyle w:val="26"/>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3.出具上述人员在本单位服务的外部证明，如：</w:t>
      </w:r>
      <w:r>
        <w:rPr>
          <w:rFonts w:ascii="宋体" w:hAnsi="宋体"/>
          <w:b/>
          <w:bCs/>
          <w:color w:val="auto"/>
          <w:szCs w:val="21"/>
          <w:highlight w:val="none"/>
        </w:rPr>
        <w:t>投标截止日之前</w:t>
      </w:r>
      <w:r>
        <w:rPr>
          <w:rFonts w:hint="eastAsia" w:ascii="宋体" w:hAnsi="宋体" w:eastAsia="宋体" w:cs="宋体"/>
          <w:b/>
          <w:bCs/>
          <w:color w:val="auto"/>
          <w:kern w:val="0"/>
          <w:sz w:val="21"/>
          <w:szCs w:val="21"/>
          <w:highlight w:val="none"/>
          <w:lang w:eastAsia="zh-CN"/>
        </w:rPr>
        <w:t>在投标人本单位近6个月</w:t>
      </w:r>
      <w:r>
        <w:rPr>
          <w:rFonts w:ascii="宋体" w:hAnsi="宋体"/>
          <w:color w:val="auto"/>
          <w:szCs w:val="21"/>
          <w:highlight w:val="none"/>
        </w:rPr>
        <w:t>的</w:t>
      </w:r>
      <w:r>
        <w:rPr>
          <w:rFonts w:hint="eastAsia" w:ascii="宋体" w:hAnsi="宋体"/>
          <w:color w:val="auto"/>
          <w:szCs w:val="21"/>
          <w:highlight w:val="none"/>
        </w:rPr>
        <w:t>代缴个税税单、参加社会保险的《投保单》或《社会保险参保人员证明》等。</w:t>
      </w:r>
    </w:p>
    <w:p w14:paraId="18037D0E">
      <w:pPr>
        <w:snapToGrid w:val="0"/>
        <w:spacing w:before="50" w:beforeLines="0" w:after="156" w:afterLines="50" w:line="360" w:lineRule="auto"/>
        <w:jc w:val="left"/>
        <w:rPr>
          <w:rFonts w:ascii="宋体" w:hAnsi="宋体"/>
          <w:color w:val="auto"/>
          <w:sz w:val="24"/>
          <w:szCs w:val="20"/>
          <w:highlight w:val="none"/>
        </w:rPr>
      </w:pPr>
    </w:p>
    <w:p w14:paraId="60B791EA">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14:paraId="3A42429B">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14:paraId="2CE75A13">
      <w:pPr>
        <w:spacing w:line="360" w:lineRule="auto"/>
        <w:ind w:firstLine="435"/>
        <w:rPr>
          <w:rFonts w:ascii="宋体" w:hAnsi="宋体"/>
          <w:color w:val="auto"/>
          <w:sz w:val="24"/>
          <w:highlight w:val="none"/>
        </w:rPr>
      </w:pPr>
      <w:r>
        <w:rPr>
          <w:rFonts w:hint="eastAsia" w:ascii="宋体" w:hAnsi="宋体"/>
          <w:color w:val="auto"/>
          <w:sz w:val="24"/>
          <w:highlight w:val="none"/>
        </w:rPr>
        <w:t>磋商供应商代表</w:t>
      </w:r>
      <w:r>
        <w:rPr>
          <w:rFonts w:hint="eastAsia" w:ascii="宋体" w:hAnsi="宋体"/>
          <w:color w:val="auto"/>
          <w:sz w:val="24"/>
          <w:highlight w:val="none"/>
          <w:lang w:eastAsia="zh-CN"/>
        </w:rPr>
        <w:t>签字</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480A1C8B">
      <w:pPr>
        <w:spacing w:line="360" w:lineRule="auto"/>
        <w:ind w:firstLine="435"/>
        <w:rPr>
          <w:rFonts w:ascii="宋体" w:hAnsi="宋体"/>
          <w:color w:val="auto"/>
          <w:sz w:val="24"/>
          <w:highlight w:val="none"/>
        </w:rPr>
      </w:pPr>
    </w:p>
    <w:p w14:paraId="7A64B710">
      <w:pPr>
        <w:spacing w:line="360" w:lineRule="auto"/>
        <w:ind w:firstLine="435"/>
        <w:rPr>
          <w:rFonts w:ascii="宋体" w:hAnsi="宋体"/>
          <w:color w:val="auto"/>
          <w:sz w:val="24"/>
          <w:highlight w:val="non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5729E435">
      <w:pPr>
        <w:spacing w:line="360" w:lineRule="auto"/>
        <w:ind w:firstLine="435"/>
        <w:rPr>
          <w:rFonts w:ascii="宋体" w:hAnsi="宋体"/>
          <w:color w:val="auto"/>
          <w:sz w:val="24"/>
          <w:highlight w:val="none"/>
        </w:rPr>
      </w:pPr>
    </w:p>
    <w:p w14:paraId="54580D30">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3E507E7A">
      <w:pPr>
        <w:spacing w:line="360" w:lineRule="auto"/>
        <w:ind w:firstLine="435"/>
        <w:rPr>
          <w:rFonts w:ascii="宋体" w:hAnsi="宋体"/>
          <w:color w:val="auto"/>
          <w:highlight w:val="none"/>
        </w:rPr>
      </w:pPr>
      <w:r>
        <w:rPr>
          <w:rFonts w:hint="eastAsia" w:ascii="宋体" w:hAnsi="宋体"/>
          <w:b/>
          <w:color w:val="auto"/>
          <w:sz w:val="28"/>
          <w:highlight w:val="none"/>
        </w:rPr>
        <w:br w:type="page"/>
      </w:r>
      <w:r>
        <w:rPr>
          <w:rFonts w:hint="eastAsia" w:ascii="宋体" w:hAnsi="宋体"/>
          <w:b/>
          <w:color w:val="auto"/>
          <w:sz w:val="28"/>
          <w:highlight w:val="none"/>
        </w:rPr>
        <w:t>附件6：</w:t>
      </w:r>
    </w:p>
    <w:p w14:paraId="55C6007B">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14:paraId="34BEFAA2">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17"/>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915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14:paraId="0CDD4ED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14:paraId="7B0B547C">
            <w:pPr>
              <w:autoSpaceDE w:val="0"/>
              <w:autoSpaceDN w:val="0"/>
              <w:adjustRightInd w:val="0"/>
              <w:snapToGrid w:val="0"/>
              <w:spacing w:line="360" w:lineRule="auto"/>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14:paraId="3DF0DB6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15BD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05EF193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203B6B69">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14:paraId="447FD3FF">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0A33BD08">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（供货合同或成交通知书）。</w:t>
            </w:r>
          </w:p>
        </w:tc>
      </w:tr>
      <w:tr w14:paraId="31EA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72EE43B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B00BAB0">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662183B6">
            <w:pPr>
              <w:autoSpaceDE w:val="0"/>
              <w:autoSpaceDN w:val="0"/>
              <w:adjustRightInd w:val="0"/>
              <w:snapToGrid w:val="0"/>
              <w:spacing w:line="360" w:lineRule="auto"/>
              <w:jc w:val="center"/>
              <w:rPr>
                <w:rFonts w:ascii="宋体" w:hAnsi="宋体"/>
                <w:color w:val="auto"/>
                <w:highlight w:val="none"/>
                <w:lang w:val="zh-CN"/>
              </w:rPr>
            </w:pPr>
          </w:p>
        </w:tc>
      </w:tr>
      <w:tr w14:paraId="1F1F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46A6DE0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7E425B02">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040D1D17">
            <w:pPr>
              <w:autoSpaceDE w:val="0"/>
              <w:autoSpaceDN w:val="0"/>
              <w:adjustRightInd w:val="0"/>
              <w:snapToGrid w:val="0"/>
              <w:spacing w:line="360" w:lineRule="auto"/>
              <w:jc w:val="center"/>
              <w:rPr>
                <w:rFonts w:ascii="宋体" w:hAnsi="宋体"/>
                <w:color w:val="auto"/>
                <w:highlight w:val="none"/>
                <w:lang w:val="zh-CN"/>
              </w:rPr>
            </w:pPr>
          </w:p>
        </w:tc>
      </w:tr>
      <w:tr w14:paraId="4B5D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37D29EAD">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02E47F4C">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35884A72">
            <w:pPr>
              <w:autoSpaceDE w:val="0"/>
              <w:autoSpaceDN w:val="0"/>
              <w:adjustRightInd w:val="0"/>
              <w:snapToGrid w:val="0"/>
              <w:spacing w:line="360" w:lineRule="auto"/>
              <w:jc w:val="center"/>
              <w:rPr>
                <w:rFonts w:ascii="宋体" w:hAnsi="宋体"/>
                <w:color w:val="auto"/>
                <w:highlight w:val="none"/>
                <w:lang w:val="zh-CN"/>
              </w:rPr>
            </w:pPr>
          </w:p>
        </w:tc>
      </w:tr>
      <w:tr w14:paraId="7388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437D059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64FC3F4">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60C21356">
            <w:pPr>
              <w:autoSpaceDE w:val="0"/>
              <w:autoSpaceDN w:val="0"/>
              <w:adjustRightInd w:val="0"/>
              <w:snapToGrid w:val="0"/>
              <w:spacing w:line="360" w:lineRule="auto"/>
              <w:jc w:val="center"/>
              <w:rPr>
                <w:rFonts w:ascii="宋体" w:hAnsi="宋体"/>
                <w:color w:val="auto"/>
                <w:highlight w:val="none"/>
                <w:lang w:val="zh-CN"/>
              </w:rPr>
            </w:pPr>
          </w:p>
        </w:tc>
      </w:tr>
      <w:tr w14:paraId="1D2D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1B06F96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72882D7A">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510B4CDB">
            <w:pPr>
              <w:autoSpaceDE w:val="0"/>
              <w:autoSpaceDN w:val="0"/>
              <w:adjustRightInd w:val="0"/>
              <w:snapToGrid w:val="0"/>
              <w:spacing w:line="360" w:lineRule="auto"/>
              <w:jc w:val="center"/>
              <w:rPr>
                <w:rFonts w:ascii="宋体" w:hAnsi="宋体"/>
                <w:color w:val="auto"/>
                <w:highlight w:val="none"/>
                <w:lang w:val="zh-CN"/>
              </w:rPr>
            </w:pPr>
          </w:p>
        </w:tc>
      </w:tr>
      <w:tr w14:paraId="03E4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0E24197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34C7D72">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71F8AC3E">
            <w:pPr>
              <w:autoSpaceDE w:val="0"/>
              <w:autoSpaceDN w:val="0"/>
              <w:adjustRightInd w:val="0"/>
              <w:snapToGrid w:val="0"/>
              <w:spacing w:line="360" w:lineRule="auto"/>
              <w:jc w:val="center"/>
              <w:rPr>
                <w:rFonts w:ascii="宋体" w:hAnsi="宋体"/>
                <w:color w:val="auto"/>
                <w:highlight w:val="none"/>
                <w:lang w:val="zh-CN"/>
              </w:rPr>
            </w:pPr>
          </w:p>
        </w:tc>
      </w:tr>
      <w:tr w14:paraId="3266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14:paraId="2865738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14:paraId="65D2246B">
            <w:pPr>
              <w:autoSpaceDE w:val="0"/>
              <w:autoSpaceDN w:val="0"/>
              <w:adjustRightInd w:val="0"/>
              <w:snapToGrid w:val="0"/>
              <w:spacing w:line="360" w:lineRule="auto"/>
              <w:jc w:val="center"/>
              <w:rPr>
                <w:rFonts w:ascii="宋体" w:hAnsi="宋体"/>
                <w:color w:val="auto"/>
                <w:highlight w:val="none"/>
                <w:lang w:val="zh-CN"/>
              </w:rPr>
            </w:pPr>
          </w:p>
        </w:tc>
      </w:tr>
    </w:tbl>
    <w:p w14:paraId="2F89AB8D">
      <w:pPr>
        <w:spacing w:line="360" w:lineRule="auto"/>
        <w:ind w:left="420"/>
        <w:rPr>
          <w:rFonts w:ascii="宋体" w:hAnsi="宋体"/>
          <w:color w:val="auto"/>
          <w:sz w:val="24"/>
          <w:highlight w:val="none"/>
        </w:rPr>
      </w:pPr>
    </w:p>
    <w:p w14:paraId="7962ACD4">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磋商供应商名称（盖章）：</w:t>
      </w:r>
      <w:r>
        <w:rPr>
          <w:rFonts w:hint="eastAsia" w:ascii="宋体" w:hAnsi="宋体"/>
          <w:color w:val="auto"/>
          <w:sz w:val="24"/>
          <w:highlight w:val="none"/>
          <w:u w:val="single"/>
        </w:rPr>
        <w:t xml:space="preserve">                      </w:t>
      </w:r>
    </w:p>
    <w:p w14:paraId="01678527">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14:paraId="6BF4C3D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磋商供应商代表</w:t>
      </w:r>
      <w:r>
        <w:rPr>
          <w:rFonts w:hint="eastAsia" w:ascii="宋体" w:hAnsi="宋体"/>
          <w:color w:val="auto"/>
          <w:sz w:val="24"/>
          <w:highlight w:val="none"/>
          <w:lang w:eastAsia="zh-CN"/>
        </w:rPr>
        <w:t>签字</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4065C6D6">
      <w:pPr>
        <w:spacing w:line="360" w:lineRule="auto"/>
        <w:ind w:firstLine="435"/>
        <w:rPr>
          <w:rFonts w:ascii="宋体" w:hAnsi="宋体"/>
          <w:color w:val="auto"/>
          <w:sz w:val="24"/>
          <w:highlight w:val="none"/>
        </w:rPr>
      </w:pPr>
    </w:p>
    <w:p w14:paraId="19F2D6F5">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751BEE7A">
      <w:pPr>
        <w:spacing w:line="360" w:lineRule="auto"/>
        <w:ind w:firstLine="435"/>
        <w:rPr>
          <w:rFonts w:hint="eastAsia" w:ascii="宋体" w:hAnsi="宋体"/>
          <w:color w:val="auto"/>
          <w:sz w:val="24"/>
          <w:highlight w:val="none"/>
          <w:u w:val="single"/>
        </w:rPr>
      </w:pPr>
    </w:p>
    <w:p w14:paraId="76F5FA55">
      <w:pPr>
        <w:spacing w:line="360" w:lineRule="auto"/>
        <w:ind w:firstLine="480" w:firstLineChars="200"/>
        <w:rPr>
          <w:rFonts w:hint="eastAsia" w:ascii="宋体" w:hAnsi="宋体" w:eastAsia="宋体" w:cs="Times New Roman"/>
          <w:b/>
          <w:color w:val="auto"/>
          <w:sz w:val="28"/>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b/>
          <w:color w:val="auto"/>
          <w:sz w:val="28"/>
          <w:highlight w:val="none"/>
        </w:rPr>
        <w:br w:type="page"/>
      </w:r>
      <w:r>
        <w:rPr>
          <w:rFonts w:hint="eastAsia" w:ascii="宋体" w:hAnsi="宋体" w:eastAsia="宋体" w:cs="Times New Roman"/>
          <w:b/>
          <w:color w:val="auto"/>
          <w:sz w:val="28"/>
        </w:rPr>
        <w:t>附件7：</w:t>
      </w:r>
    </w:p>
    <w:p w14:paraId="0DA212EF">
      <w:pPr>
        <w:spacing w:line="360" w:lineRule="auto"/>
        <w:ind w:left="480"/>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供货</w:t>
      </w:r>
      <w:r>
        <w:rPr>
          <w:rFonts w:ascii="宋体" w:hAnsi="宋体" w:eastAsia="宋体" w:cs="Times New Roman"/>
          <w:b/>
          <w:color w:val="auto"/>
          <w:sz w:val="32"/>
          <w:szCs w:val="32"/>
        </w:rPr>
        <w:t>清单</w:t>
      </w:r>
      <w:r>
        <w:rPr>
          <w:rFonts w:hint="eastAsia" w:ascii="宋体" w:hAnsi="宋体" w:eastAsia="宋体" w:cs="Times New Roman"/>
          <w:b/>
          <w:color w:val="auto"/>
          <w:sz w:val="32"/>
          <w:szCs w:val="32"/>
        </w:rPr>
        <w:t xml:space="preserve"> </w:t>
      </w:r>
    </w:p>
    <w:p w14:paraId="784DCDB2">
      <w:pPr>
        <w:spacing w:line="360" w:lineRule="auto"/>
        <w:ind w:left="480"/>
        <w:rPr>
          <w:rFonts w:ascii="宋体" w:hAnsi="宋体" w:eastAsia="宋体" w:cs="Times New Roman"/>
          <w:color w:val="auto"/>
        </w:rPr>
      </w:pPr>
      <w:r>
        <w:rPr>
          <w:rFonts w:hint="eastAsia" w:ascii="宋体" w:hAnsi="宋体" w:eastAsia="宋体" w:cs="Times New Roman"/>
          <w:color w:val="auto"/>
          <w:sz w:val="24"/>
        </w:rPr>
        <w:t xml:space="preserve">                                                                                                                                                      </w:t>
      </w:r>
    </w:p>
    <w:p w14:paraId="61C27804">
      <w:pPr>
        <w:spacing w:line="360" w:lineRule="auto"/>
        <w:rPr>
          <w:rFonts w:ascii="宋体" w:hAnsi="宋体" w:eastAsia="宋体" w:cs="Times New Roman"/>
          <w:color w:val="auto"/>
          <w:sz w:val="24"/>
        </w:rPr>
      </w:pPr>
      <w:r>
        <w:rPr>
          <w:rFonts w:hint="eastAsia" w:ascii="宋体" w:hAnsi="宋体" w:eastAsia="宋体" w:cs="Times New Roman"/>
          <w:color w:val="auto"/>
          <w:sz w:val="24"/>
        </w:rPr>
        <w:t xml:space="preserve">  项目编号：</w:t>
      </w:r>
      <w:r>
        <w:rPr>
          <w:rFonts w:hint="eastAsia" w:ascii="宋体" w:hAnsi="宋体" w:eastAsia="宋体" w:cs="Times New Roman"/>
          <w:color w:val="auto"/>
          <w:sz w:val="24"/>
          <w:u w:val="single"/>
        </w:rPr>
        <w:t xml:space="preserve">             </w:t>
      </w:r>
    </w:p>
    <w:p w14:paraId="02F0FA7B">
      <w:pPr>
        <w:spacing w:line="360" w:lineRule="auto"/>
        <w:ind w:left="420"/>
        <w:rPr>
          <w:rFonts w:ascii="宋体" w:hAnsi="宋体" w:eastAsia="宋体" w:cs="Times New Roman"/>
          <w:color w:val="auto"/>
          <w:sz w:val="24"/>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14:paraId="1FF6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noWrap w:val="0"/>
            <w:vAlign w:val="center"/>
          </w:tcPr>
          <w:p w14:paraId="14C85E22">
            <w:pPr>
              <w:spacing w:line="360" w:lineRule="auto"/>
              <w:rPr>
                <w:rFonts w:ascii="宋体" w:hAnsi="宋体" w:eastAsia="宋体" w:cs="Times New Roman"/>
                <w:b/>
                <w:color w:val="auto"/>
                <w:sz w:val="24"/>
              </w:rPr>
            </w:pPr>
            <w:r>
              <w:rPr>
                <w:rFonts w:hint="eastAsia" w:ascii="宋体" w:hAnsi="宋体" w:eastAsia="宋体" w:cs="Times New Roman"/>
                <w:b/>
                <w:color w:val="auto"/>
                <w:sz w:val="24"/>
              </w:rPr>
              <w:t>序号</w:t>
            </w:r>
          </w:p>
        </w:tc>
        <w:tc>
          <w:tcPr>
            <w:tcW w:w="2169" w:type="dxa"/>
            <w:noWrap w:val="0"/>
            <w:vAlign w:val="center"/>
          </w:tcPr>
          <w:p w14:paraId="693E3685">
            <w:pPr>
              <w:tabs>
                <w:tab w:val="left" w:pos="8280"/>
              </w:tabs>
              <w:autoSpaceDE w:val="0"/>
              <w:autoSpaceDN w:val="0"/>
              <w:adjustRightInd w:val="0"/>
              <w:spacing w:line="360" w:lineRule="auto"/>
              <w:ind w:right="25" w:firstLine="361" w:firstLineChars="150"/>
              <w:jc w:val="center"/>
              <w:rPr>
                <w:rFonts w:ascii="宋体" w:hAnsi="宋体" w:eastAsia="宋体" w:cs="Times New Roman"/>
                <w:b/>
                <w:color w:val="auto"/>
                <w:sz w:val="24"/>
              </w:rPr>
            </w:pPr>
            <w:r>
              <w:rPr>
                <w:rFonts w:hint="eastAsia" w:ascii="宋体" w:hAnsi="宋体" w:eastAsia="宋体" w:cs="Times New Roman"/>
                <w:b/>
                <w:color w:val="auto"/>
                <w:sz w:val="24"/>
              </w:rPr>
              <w:t>名称</w:t>
            </w:r>
          </w:p>
        </w:tc>
        <w:tc>
          <w:tcPr>
            <w:tcW w:w="1134" w:type="dxa"/>
            <w:noWrap w:val="0"/>
            <w:vAlign w:val="center"/>
          </w:tcPr>
          <w:p w14:paraId="075CE61D">
            <w:pPr>
              <w:tabs>
                <w:tab w:val="left" w:pos="8280"/>
              </w:tabs>
              <w:autoSpaceDE w:val="0"/>
              <w:autoSpaceDN w:val="0"/>
              <w:adjustRightInd w:val="0"/>
              <w:spacing w:line="360" w:lineRule="auto"/>
              <w:ind w:right="25"/>
              <w:jc w:val="center"/>
              <w:rPr>
                <w:rFonts w:ascii="宋体" w:hAnsi="宋体" w:eastAsia="宋体" w:cs="Times New Roman"/>
                <w:b/>
                <w:color w:val="auto"/>
                <w:sz w:val="24"/>
              </w:rPr>
            </w:pPr>
            <w:r>
              <w:rPr>
                <w:rFonts w:hint="eastAsia" w:ascii="宋体" w:hAnsi="宋体" w:eastAsia="宋体" w:cs="Times New Roman"/>
                <w:b/>
                <w:color w:val="auto"/>
                <w:sz w:val="24"/>
              </w:rPr>
              <w:t>品牌</w:t>
            </w:r>
          </w:p>
        </w:tc>
        <w:tc>
          <w:tcPr>
            <w:tcW w:w="1842" w:type="dxa"/>
            <w:noWrap w:val="0"/>
            <w:vAlign w:val="center"/>
          </w:tcPr>
          <w:p w14:paraId="569FDEC0">
            <w:pPr>
              <w:tabs>
                <w:tab w:val="left" w:pos="8280"/>
              </w:tabs>
              <w:autoSpaceDE w:val="0"/>
              <w:autoSpaceDN w:val="0"/>
              <w:adjustRightInd w:val="0"/>
              <w:spacing w:line="360" w:lineRule="auto"/>
              <w:ind w:right="25"/>
              <w:jc w:val="center"/>
              <w:rPr>
                <w:rFonts w:ascii="宋体" w:hAnsi="宋体" w:eastAsia="宋体" w:cs="Times New Roman"/>
                <w:b/>
                <w:color w:val="auto"/>
                <w:sz w:val="24"/>
              </w:rPr>
            </w:pPr>
            <w:r>
              <w:rPr>
                <w:rFonts w:hint="eastAsia" w:ascii="宋体" w:hAnsi="宋体" w:eastAsia="宋体" w:cs="Times New Roman"/>
                <w:b/>
                <w:color w:val="auto"/>
                <w:sz w:val="24"/>
              </w:rPr>
              <w:t>规格型号</w:t>
            </w:r>
          </w:p>
        </w:tc>
        <w:tc>
          <w:tcPr>
            <w:tcW w:w="993" w:type="dxa"/>
            <w:noWrap w:val="0"/>
            <w:vAlign w:val="center"/>
          </w:tcPr>
          <w:p w14:paraId="269D551B">
            <w:pPr>
              <w:spacing w:line="360" w:lineRule="auto"/>
              <w:ind w:left="52"/>
              <w:jc w:val="center"/>
              <w:rPr>
                <w:rFonts w:ascii="宋体" w:hAnsi="宋体" w:eastAsia="宋体" w:cs="Times New Roman"/>
                <w:b/>
                <w:color w:val="auto"/>
                <w:sz w:val="24"/>
              </w:rPr>
            </w:pPr>
            <w:r>
              <w:rPr>
                <w:rFonts w:hint="eastAsia" w:ascii="宋体" w:hAnsi="宋体" w:eastAsia="宋体" w:cs="Times New Roman"/>
                <w:b/>
                <w:color w:val="auto"/>
                <w:sz w:val="24"/>
              </w:rPr>
              <w:t>产地</w:t>
            </w:r>
          </w:p>
        </w:tc>
        <w:tc>
          <w:tcPr>
            <w:tcW w:w="1559" w:type="dxa"/>
            <w:noWrap w:val="0"/>
            <w:vAlign w:val="center"/>
          </w:tcPr>
          <w:p w14:paraId="4830DDD5">
            <w:pPr>
              <w:spacing w:line="360" w:lineRule="auto"/>
              <w:ind w:left="152"/>
              <w:jc w:val="center"/>
              <w:rPr>
                <w:rFonts w:ascii="宋体" w:hAnsi="宋体" w:eastAsia="宋体" w:cs="Times New Roman"/>
                <w:b/>
                <w:color w:val="auto"/>
                <w:sz w:val="24"/>
              </w:rPr>
            </w:pPr>
            <w:r>
              <w:rPr>
                <w:rFonts w:hint="eastAsia" w:ascii="宋体" w:hAnsi="宋体" w:eastAsia="宋体" w:cs="Times New Roman"/>
                <w:b/>
                <w:color w:val="auto"/>
                <w:sz w:val="24"/>
              </w:rPr>
              <w:t>数量</w:t>
            </w:r>
          </w:p>
        </w:tc>
      </w:tr>
      <w:tr w14:paraId="6F32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noWrap w:val="0"/>
            <w:vAlign w:val="center"/>
          </w:tcPr>
          <w:p w14:paraId="6F3453AF">
            <w:pPr>
              <w:spacing w:line="360" w:lineRule="auto"/>
              <w:rPr>
                <w:rFonts w:ascii="宋体" w:hAnsi="宋体" w:eastAsia="宋体" w:cs="Times New Roman"/>
                <w:color w:val="auto"/>
                <w:sz w:val="24"/>
              </w:rPr>
            </w:pPr>
          </w:p>
        </w:tc>
        <w:tc>
          <w:tcPr>
            <w:tcW w:w="2169" w:type="dxa"/>
            <w:noWrap w:val="0"/>
            <w:vAlign w:val="center"/>
          </w:tcPr>
          <w:p w14:paraId="3F906795">
            <w:pPr>
              <w:spacing w:line="360" w:lineRule="auto"/>
              <w:rPr>
                <w:rFonts w:ascii="宋体" w:hAnsi="宋体" w:eastAsia="宋体" w:cs="Times New Roman"/>
                <w:color w:val="auto"/>
                <w:sz w:val="24"/>
              </w:rPr>
            </w:pPr>
          </w:p>
        </w:tc>
        <w:tc>
          <w:tcPr>
            <w:tcW w:w="1134" w:type="dxa"/>
            <w:noWrap w:val="0"/>
            <w:vAlign w:val="center"/>
          </w:tcPr>
          <w:p w14:paraId="3819D2C8">
            <w:pPr>
              <w:spacing w:line="360" w:lineRule="auto"/>
              <w:rPr>
                <w:rFonts w:ascii="宋体" w:hAnsi="宋体" w:eastAsia="宋体" w:cs="Times New Roman"/>
                <w:color w:val="auto"/>
                <w:sz w:val="24"/>
              </w:rPr>
            </w:pPr>
          </w:p>
        </w:tc>
        <w:tc>
          <w:tcPr>
            <w:tcW w:w="1842" w:type="dxa"/>
            <w:noWrap w:val="0"/>
            <w:vAlign w:val="center"/>
          </w:tcPr>
          <w:p w14:paraId="73D0D132">
            <w:pPr>
              <w:spacing w:line="360" w:lineRule="auto"/>
              <w:rPr>
                <w:rFonts w:ascii="宋体" w:hAnsi="宋体" w:eastAsia="宋体" w:cs="Times New Roman"/>
                <w:color w:val="auto"/>
                <w:sz w:val="24"/>
              </w:rPr>
            </w:pPr>
          </w:p>
        </w:tc>
        <w:tc>
          <w:tcPr>
            <w:tcW w:w="993" w:type="dxa"/>
            <w:noWrap w:val="0"/>
            <w:vAlign w:val="center"/>
          </w:tcPr>
          <w:p w14:paraId="3A09274B">
            <w:pPr>
              <w:spacing w:line="360" w:lineRule="auto"/>
              <w:rPr>
                <w:rFonts w:ascii="宋体" w:hAnsi="宋体" w:eastAsia="宋体" w:cs="Times New Roman"/>
                <w:color w:val="auto"/>
                <w:sz w:val="24"/>
              </w:rPr>
            </w:pPr>
          </w:p>
        </w:tc>
        <w:tc>
          <w:tcPr>
            <w:tcW w:w="1559" w:type="dxa"/>
            <w:noWrap w:val="0"/>
            <w:vAlign w:val="center"/>
          </w:tcPr>
          <w:p w14:paraId="30DE23AD">
            <w:pPr>
              <w:spacing w:line="360" w:lineRule="auto"/>
              <w:rPr>
                <w:rFonts w:ascii="宋体" w:hAnsi="宋体" w:eastAsia="宋体" w:cs="Times New Roman"/>
                <w:color w:val="auto"/>
                <w:sz w:val="24"/>
              </w:rPr>
            </w:pPr>
          </w:p>
        </w:tc>
      </w:tr>
      <w:tr w14:paraId="2553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noWrap w:val="0"/>
            <w:vAlign w:val="center"/>
          </w:tcPr>
          <w:p w14:paraId="2F7C9BA3">
            <w:pPr>
              <w:spacing w:line="360" w:lineRule="auto"/>
              <w:rPr>
                <w:rFonts w:ascii="宋体" w:hAnsi="宋体" w:eastAsia="宋体" w:cs="Times New Roman"/>
                <w:color w:val="auto"/>
                <w:sz w:val="24"/>
              </w:rPr>
            </w:pPr>
          </w:p>
        </w:tc>
        <w:tc>
          <w:tcPr>
            <w:tcW w:w="2169" w:type="dxa"/>
            <w:noWrap w:val="0"/>
            <w:vAlign w:val="center"/>
          </w:tcPr>
          <w:p w14:paraId="26F48259">
            <w:pPr>
              <w:spacing w:line="360" w:lineRule="auto"/>
              <w:rPr>
                <w:rFonts w:ascii="宋体" w:hAnsi="宋体" w:eastAsia="宋体" w:cs="Times New Roman"/>
                <w:color w:val="auto"/>
                <w:sz w:val="24"/>
              </w:rPr>
            </w:pPr>
          </w:p>
        </w:tc>
        <w:tc>
          <w:tcPr>
            <w:tcW w:w="1134" w:type="dxa"/>
            <w:noWrap w:val="0"/>
            <w:vAlign w:val="center"/>
          </w:tcPr>
          <w:p w14:paraId="2FC59A04">
            <w:pPr>
              <w:spacing w:line="360" w:lineRule="auto"/>
              <w:rPr>
                <w:rFonts w:ascii="宋体" w:hAnsi="宋体" w:eastAsia="宋体" w:cs="Times New Roman"/>
                <w:color w:val="auto"/>
                <w:sz w:val="24"/>
              </w:rPr>
            </w:pPr>
          </w:p>
        </w:tc>
        <w:tc>
          <w:tcPr>
            <w:tcW w:w="1842" w:type="dxa"/>
            <w:noWrap w:val="0"/>
            <w:vAlign w:val="center"/>
          </w:tcPr>
          <w:p w14:paraId="63D281ED">
            <w:pPr>
              <w:spacing w:line="360" w:lineRule="auto"/>
              <w:rPr>
                <w:rFonts w:ascii="宋体" w:hAnsi="宋体" w:eastAsia="宋体" w:cs="Times New Roman"/>
                <w:color w:val="auto"/>
                <w:sz w:val="24"/>
              </w:rPr>
            </w:pPr>
          </w:p>
        </w:tc>
        <w:tc>
          <w:tcPr>
            <w:tcW w:w="993" w:type="dxa"/>
            <w:noWrap w:val="0"/>
            <w:vAlign w:val="center"/>
          </w:tcPr>
          <w:p w14:paraId="082B2AA0">
            <w:pPr>
              <w:spacing w:line="360" w:lineRule="auto"/>
              <w:rPr>
                <w:rFonts w:ascii="宋体" w:hAnsi="宋体" w:eastAsia="宋体" w:cs="Times New Roman"/>
                <w:color w:val="auto"/>
                <w:sz w:val="24"/>
              </w:rPr>
            </w:pPr>
          </w:p>
        </w:tc>
        <w:tc>
          <w:tcPr>
            <w:tcW w:w="1559" w:type="dxa"/>
            <w:noWrap w:val="0"/>
            <w:vAlign w:val="center"/>
          </w:tcPr>
          <w:p w14:paraId="1D683FB4">
            <w:pPr>
              <w:spacing w:line="360" w:lineRule="auto"/>
              <w:rPr>
                <w:rFonts w:ascii="宋体" w:hAnsi="宋体" w:eastAsia="宋体" w:cs="Times New Roman"/>
                <w:color w:val="auto"/>
                <w:sz w:val="24"/>
              </w:rPr>
            </w:pPr>
          </w:p>
        </w:tc>
      </w:tr>
      <w:tr w14:paraId="47B3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14:paraId="1F8CB6CD">
            <w:pPr>
              <w:spacing w:line="360" w:lineRule="auto"/>
              <w:rPr>
                <w:rFonts w:ascii="宋体" w:hAnsi="宋体" w:eastAsia="宋体" w:cs="Times New Roman"/>
                <w:color w:val="auto"/>
                <w:sz w:val="24"/>
              </w:rPr>
            </w:pPr>
          </w:p>
        </w:tc>
        <w:tc>
          <w:tcPr>
            <w:tcW w:w="2169" w:type="dxa"/>
            <w:noWrap w:val="0"/>
            <w:vAlign w:val="center"/>
          </w:tcPr>
          <w:p w14:paraId="2B939CCF">
            <w:pPr>
              <w:spacing w:line="360" w:lineRule="auto"/>
              <w:rPr>
                <w:rFonts w:ascii="宋体" w:hAnsi="宋体" w:eastAsia="宋体" w:cs="Times New Roman"/>
                <w:color w:val="auto"/>
                <w:sz w:val="24"/>
              </w:rPr>
            </w:pPr>
          </w:p>
        </w:tc>
        <w:tc>
          <w:tcPr>
            <w:tcW w:w="1134" w:type="dxa"/>
            <w:noWrap w:val="0"/>
            <w:vAlign w:val="center"/>
          </w:tcPr>
          <w:p w14:paraId="0449E269">
            <w:pPr>
              <w:spacing w:line="360" w:lineRule="auto"/>
              <w:rPr>
                <w:rFonts w:ascii="宋体" w:hAnsi="宋体" w:eastAsia="宋体" w:cs="Times New Roman"/>
                <w:color w:val="auto"/>
                <w:sz w:val="24"/>
              </w:rPr>
            </w:pPr>
          </w:p>
        </w:tc>
        <w:tc>
          <w:tcPr>
            <w:tcW w:w="1842" w:type="dxa"/>
            <w:noWrap w:val="0"/>
            <w:vAlign w:val="center"/>
          </w:tcPr>
          <w:p w14:paraId="5BF790F0">
            <w:pPr>
              <w:spacing w:line="360" w:lineRule="auto"/>
              <w:rPr>
                <w:rFonts w:ascii="宋体" w:hAnsi="宋体" w:eastAsia="宋体" w:cs="Times New Roman"/>
                <w:color w:val="auto"/>
                <w:sz w:val="24"/>
              </w:rPr>
            </w:pPr>
          </w:p>
        </w:tc>
        <w:tc>
          <w:tcPr>
            <w:tcW w:w="993" w:type="dxa"/>
            <w:noWrap w:val="0"/>
            <w:vAlign w:val="center"/>
          </w:tcPr>
          <w:p w14:paraId="6EFBD983">
            <w:pPr>
              <w:spacing w:line="360" w:lineRule="auto"/>
              <w:rPr>
                <w:rFonts w:ascii="宋体" w:hAnsi="宋体" w:eastAsia="宋体" w:cs="Times New Roman"/>
                <w:color w:val="auto"/>
                <w:sz w:val="24"/>
              </w:rPr>
            </w:pPr>
          </w:p>
        </w:tc>
        <w:tc>
          <w:tcPr>
            <w:tcW w:w="1559" w:type="dxa"/>
            <w:noWrap w:val="0"/>
            <w:vAlign w:val="center"/>
          </w:tcPr>
          <w:p w14:paraId="2B8DAD91">
            <w:pPr>
              <w:spacing w:line="360" w:lineRule="auto"/>
              <w:rPr>
                <w:rFonts w:ascii="宋体" w:hAnsi="宋体" w:eastAsia="宋体" w:cs="Times New Roman"/>
                <w:color w:val="auto"/>
                <w:sz w:val="24"/>
              </w:rPr>
            </w:pPr>
          </w:p>
        </w:tc>
      </w:tr>
      <w:tr w14:paraId="2998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14:paraId="0E9D93A0">
            <w:pPr>
              <w:spacing w:line="360" w:lineRule="auto"/>
              <w:rPr>
                <w:rFonts w:ascii="宋体" w:hAnsi="宋体" w:eastAsia="宋体" w:cs="Times New Roman"/>
                <w:color w:val="auto"/>
                <w:sz w:val="24"/>
              </w:rPr>
            </w:pPr>
          </w:p>
        </w:tc>
        <w:tc>
          <w:tcPr>
            <w:tcW w:w="2169" w:type="dxa"/>
            <w:noWrap w:val="0"/>
            <w:vAlign w:val="center"/>
          </w:tcPr>
          <w:p w14:paraId="3FFC8C03">
            <w:pPr>
              <w:spacing w:line="360" w:lineRule="auto"/>
              <w:rPr>
                <w:rFonts w:ascii="宋体" w:hAnsi="宋体" w:eastAsia="宋体" w:cs="Times New Roman"/>
                <w:color w:val="auto"/>
                <w:sz w:val="24"/>
              </w:rPr>
            </w:pPr>
          </w:p>
        </w:tc>
        <w:tc>
          <w:tcPr>
            <w:tcW w:w="1134" w:type="dxa"/>
            <w:noWrap w:val="0"/>
            <w:vAlign w:val="center"/>
          </w:tcPr>
          <w:p w14:paraId="1B5410E0">
            <w:pPr>
              <w:spacing w:line="360" w:lineRule="auto"/>
              <w:rPr>
                <w:rFonts w:ascii="宋体" w:hAnsi="宋体" w:eastAsia="宋体" w:cs="Times New Roman"/>
                <w:color w:val="auto"/>
                <w:sz w:val="24"/>
              </w:rPr>
            </w:pPr>
          </w:p>
        </w:tc>
        <w:tc>
          <w:tcPr>
            <w:tcW w:w="1842" w:type="dxa"/>
            <w:noWrap w:val="0"/>
            <w:vAlign w:val="center"/>
          </w:tcPr>
          <w:p w14:paraId="75F3777F">
            <w:pPr>
              <w:spacing w:line="360" w:lineRule="auto"/>
              <w:rPr>
                <w:rFonts w:ascii="宋体" w:hAnsi="宋体" w:eastAsia="宋体" w:cs="Times New Roman"/>
                <w:color w:val="auto"/>
                <w:sz w:val="24"/>
              </w:rPr>
            </w:pPr>
          </w:p>
        </w:tc>
        <w:tc>
          <w:tcPr>
            <w:tcW w:w="993" w:type="dxa"/>
            <w:noWrap w:val="0"/>
            <w:vAlign w:val="center"/>
          </w:tcPr>
          <w:p w14:paraId="0F8972E0">
            <w:pPr>
              <w:spacing w:line="360" w:lineRule="auto"/>
              <w:rPr>
                <w:rFonts w:ascii="宋体" w:hAnsi="宋体" w:eastAsia="宋体" w:cs="Times New Roman"/>
                <w:color w:val="auto"/>
                <w:sz w:val="24"/>
              </w:rPr>
            </w:pPr>
          </w:p>
        </w:tc>
        <w:tc>
          <w:tcPr>
            <w:tcW w:w="1559" w:type="dxa"/>
            <w:noWrap w:val="0"/>
            <w:vAlign w:val="center"/>
          </w:tcPr>
          <w:p w14:paraId="46304EB7">
            <w:pPr>
              <w:spacing w:line="360" w:lineRule="auto"/>
              <w:rPr>
                <w:rFonts w:ascii="宋体" w:hAnsi="宋体" w:eastAsia="宋体" w:cs="Times New Roman"/>
                <w:color w:val="auto"/>
                <w:sz w:val="24"/>
              </w:rPr>
            </w:pPr>
          </w:p>
        </w:tc>
      </w:tr>
      <w:tr w14:paraId="7071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noWrap w:val="0"/>
            <w:vAlign w:val="center"/>
          </w:tcPr>
          <w:p w14:paraId="1C7E01DE">
            <w:pPr>
              <w:spacing w:line="360" w:lineRule="auto"/>
              <w:rPr>
                <w:rFonts w:ascii="宋体" w:hAnsi="宋体" w:eastAsia="宋体" w:cs="Times New Roman"/>
                <w:color w:val="auto"/>
                <w:sz w:val="24"/>
              </w:rPr>
            </w:pPr>
          </w:p>
        </w:tc>
        <w:tc>
          <w:tcPr>
            <w:tcW w:w="2169" w:type="dxa"/>
            <w:noWrap w:val="0"/>
            <w:vAlign w:val="center"/>
          </w:tcPr>
          <w:p w14:paraId="56C2088F">
            <w:pPr>
              <w:spacing w:line="360" w:lineRule="auto"/>
              <w:rPr>
                <w:rFonts w:ascii="宋体" w:hAnsi="宋体" w:eastAsia="宋体" w:cs="Times New Roman"/>
                <w:color w:val="auto"/>
                <w:sz w:val="24"/>
              </w:rPr>
            </w:pPr>
          </w:p>
        </w:tc>
        <w:tc>
          <w:tcPr>
            <w:tcW w:w="1134" w:type="dxa"/>
            <w:noWrap w:val="0"/>
            <w:vAlign w:val="center"/>
          </w:tcPr>
          <w:p w14:paraId="58AD5CFD">
            <w:pPr>
              <w:spacing w:line="360" w:lineRule="auto"/>
              <w:rPr>
                <w:rFonts w:ascii="宋体" w:hAnsi="宋体" w:eastAsia="宋体" w:cs="Times New Roman"/>
                <w:color w:val="auto"/>
                <w:sz w:val="24"/>
              </w:rPr>
            </w:pPr>
          </w:p>
        </w:tc>
        <w:tc>
          <w:tcPr>
            <w:tcW w:w="1842" w:type="dxa"/>
            <w:noWrap w:val="0"/>
            <w:vAlign w:val="center"/>
          </w:tcPr>
          <w:p w14:paraId="469796BE">
            <w:pPr>
              <w:spacing w:line="360" w:lineRule="auto"/>
              <w:rPr>
                <w:rFonts w:ascii="宋体" w:hAnsi="宋体" w:eastAsia="宋体" w:cs="Times New Roman"/>
                <w:color w:val="auto"/>
                <w:sz w:val="24"/>
              </w:rPr>
            </w:pPr>
          </w:p>
        </w:tc>
        <w:tc>
          <w:tcPr>
            <w:tcW w:w="993" w:type="dxa"/>
            <w:noWrap w:val="0"/>
            <w:vAlign w:val="center"/>
          </w:tcPr>
          <w:p w14:paraId="77093723">
            <w:pPr>
              <w:spacing w:line="360" w:lineRule="auto"/>
              <w:rPr>
                <w:rFonts w:ascii="宋体" w:hAnsi="宋体" w:eastAsia="宋体" w:cs="Times New Roman"/>
                <w:color w:val="auto"/>
                <w:sz w:val="24"/>
              </w:rPr>
            </w:pPr>
          </w:p>
        </w:tc>
        <w:tc>
          <w:tcPr>
            <w:tcW w:w="1559" w:type="dxa"/>
            <w:noWrap w:val="0"/>
            <w:vAlign w:val="center"/>
          </w:tcPr>
          <w:p w14:paraId="4343C80D">
            <w:pPr>
              <w:spacing w:line="360" w:lineRule="auto"/>
              <w:rPr>
                <w:rFonts w:ascii="宋体" w:hAnsi="宋体" w:eastAsia="宋体" w:cs="Times New Roman"/>
                <w:color w:val="auto"/>
                <w:sz w:val="24"/>
              </w:rPr>
            </w:pPr>
          </w:p>
        </w:tc>
      </w:tr>
      <w:tr w14:paraId="1346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noWrap w:val="0"/>
            <w:vAlign w:val="center"/>
          </w:tcPr>
          <w:p w14:paraId="15125E42">
            <w:pPr>
              <w:spacing w:line="360" w:lineRule="auto"/>
              <w:rPr>
                <w:rFonts w:ascii="宋体" w:hAnsi="宋体" w:eastAsia="宋体" w:cs="Times New Roman"/>
                <w:color w:val="auto"/>
                <w:sz w:val="24"/>
              </w:rPr>
            </w:pPr>
          </w:p>
        </w:tc>
        <w:tc>
          <w:tcPr>
            <w:tcW w:w="2169" w:type="dxa"/>
            <w:noWrap w:val="0"/>
            <w:vAlign w:val="center"/>
          </w:tcPr>
          <w:p w14:paraId="7445A5EA">
            <w:pPr>
              <w:spacing w:line="360" w:lineRule="auto"/>
              <w:rPr>
                <w:rFonts w:ascii="宋体" w:hAnsi="宋体" w:eastAsia="宋体" w:cs="Times New Roman"/>
                <w:color w:val="auto"/>
                <w:sz w:val="24"/>
              </w:rPr>
            </w:pPr>
          </w:p>
        </w:tc>
        <w:tc>
          <w:tcPr>
            <w:tcW w:w="1134" w:type="dxa"/>
            <w:noWrap w:val="0"/>
            <w:vAlign w:val="center"/>
          </w:tcPr>
          <w:p w14:paraId="256B759B">
            <w:pPr>
              <w:spacing w:line="360" w:lineRule="auto"/>
              <w:rPr>
                <w:rFonts w:ascii="宋体" w:hAnsi="宋体" w:eastAsia="宋体" w:cs="Times New Roman"/>
                <w:color w:val="auto"/>
                <w:sz w:val="24"/>
              </w:rPr>
            </w:pPr>
          </w:p>
        </w:tc>
        <w:tc>
          <w:tcPr>
            <w:tcW w:w="1842" w:type="dxa"/>
            <w:noWrap w:val="0"/>
            <w:vAlign w:val="center"/>
          </w:tcPr>
          <w:p w14:paraId="2AC78CCB">
            <w:pPr>
              <w:spacing w:line="360" w:lineRule="auto"/>
              <w:rPr>
                <w:rFonts w:ascii="宋体" w:hAnsi="宋体" w:eastAsia="宋体" w:cs="Times New Roman"/>
                <w:color w:val="auto"/>
                <w:sz w:val="24"/>
              </w:rPr>
            </w:pPr>
          </w:p>
        </w:tc>
        <w:tc>
          <w:tcPr>
            <w:tcW w:w="993" w:type="dxa"/>
            <w:noWrap w:val="0"/>
            <w:vAlign w:val="center"/>
          </w:tcPr>
          <w:p w14:paraId="3580119E">
            <w:pPr>
              <w:spacing w:line="360" w:lineRule="auto"/>
              <w:rPr>
                <w:rFonts w:ascii="宋体" w:hAnsi="宋体" w:eastAsia="宋体" w:cs="Times New Roman"/>
                <w:color w:val="auto"/>
                <w:sz w:val="24"/>
              </w:rPr>
            </w:pPr>
          </w:p>
        </w:tc>
        <w:tc>
          <w:tcPr>
            <w:tcW w:w="1559" w:type="dxa"/>
            <w:noWrap w:val="0"/>
            <w:vAlign w:val="center"/>
          </w:tcPr>
          <w:p w14:paraId="07627A83">
            <w:pPr>
              <w:spacing w:line="360" w:lineRule="auto"/>
              <w:rPr>
                <w:rFonts w:ascii="宋体" w:hAnsi="宋体" w:eastAsia="宋体" w:cs="Times New Roman"/>
                <w:color w:val="auto"/>
                <w:sz w:val="24"/>
              </w:rPr>
            </w:pPr>
          </w:p>
        </w:tc>
      </w:tr>
      <w:tr w14:paraId="49D9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noWrap w:val="0"/>
            <w:vAlign w:val="center"/>
          </w:tcPr>
          <w:p w14:paraId="40F4DE52">
            <w:pPr>
              <w:spacing w:line="360" w:lineRule="auto"/>
              <w:rPr>
                <w:rFonts w:ascii="宋体" w:hAnsi="宋体" w:eastAsia="宋体" w:cs="Times New Roman"/>
                <w:color w:val="auto"/>
                <w:sz w:val="24"/>
              </w:rPr>
            </w:pPr>
          </w:p>
        </w:tc>
        <w:tc>
          <w:tcPr>
            <w:tcW w:w="2169" w:type="dxa"/>
            <w:noWrap w:val="0"/>
            <w:vAlign w:val="center"/>
          </w:tcPr>
          <w:p w14:paraId="7521A030">
            <w:pPr>
              <w:spacing w:line="360" w:lineRule="auto"/>
              <w:rPr>
                <w:rFonts w:ascii="宋体" w:hAnsi="宋体" w:eastAsia="宋体" w:cs="Times New Roman"/>
                <w:color w:val="auto"/>
                <w:sz w:val="24"/>
              </w:rPr>
            </w:pPr>
          </w:p>
        </w:tc>
        <w:tc>
          <w:tcPr>
            <w:tcW w:w="1134" w:type="dxa"/>
            <w:noWrap w:val="0"/>
            <w:vAlign w:val="center"/>
          </w:tcPr>
          <w:p w14:paraId="54C12D6C">
            <w:pPr>
              <w:spacing w:line="360" w:lineRule="auto"/>
              <w:rPr>
                <w:rFonts w:ascii="宋体" w:hAnsi="宋体" w:eastAsia="宋体" w:cs="Times New Roman"/>
                <w:color w:val="auto"/>
                <w:sz w:val="24"/>
              </w:rPr>
            </w:pPr>
          </w:p>
        </w:tc>
        <w:tc>
          <w:tcPr>
            <w:tcW w:w="1842" w:type="dxa"/>
            <w:noWrap w:val="0"/>
            <w:vAlign w:val="center"/>
          </w:tcPr>
          <w:p w14:paraId="259D4548">
            <w:pPr>
              <w:spacing w:line="360" w:lineRule="auto"/>
              <w:rPr>
                <w:rFonts w:ascii="宋体" w:hAnsi="宋体" w:eastAsia="宋体" w:cs="Times New Roman"/>
                <w:color w:val="auto"/>
                <w:sz w:val="24"/>
              </w:rPr>
            </w:pPr>
          </w:p>
        </w:tc>
        <w:tc>
          <w:tcPr>
            <w:tcW w:w="993" w:type="dxa"/>
            <w:noWrap w:val="0"/>
            <w:vAlign w:val="center"/>
          </w:tcPr>
          <w:p w14:paraId="73D653D4">
            <w:pPr>
              <w:spacing w:line="360" w:lineRule="auto"/>
              <w:rPr>
                <w:rFonts w:ascii="宋体" w:hAnsi="宋体" w:eastAsia="宋体" w:cs="Times New Roman"/>
                <w:color w:val="auto"/>
                <w:sz w:val="24"/>
              </w:rPr>
            </w:pPr>
          </w:p>
        </w:tc>
        <w:tc>
          <w:tcPr>
            <w:tcW w:w="1559" w:type="dxa"/>
            <w:noWrap w:val="0"/>
            <w:vAlign w:val="center"/>
          </w:tcPr>
          <w:p w14:paraId="1627E065">
            <w:pPr>
              <w:spacing w:line="360" w:lineRule="auto"/>
              <w:rPr>
                <w:rFonts w:ascii="宋体" w:hAnsi="宋体" w:eastAsia="宋体" w:cs="Times New Roman"/>
                <w:color w:val="auto"/>
                <w:sz w:val="24"/>
              </w:rPr>
            </w:pPr>
          </w:p>
        </w:tc>
      </w:tr>
    </w:tbl>
    <w:p w14:paraId="4BB97C03">
      <w:pPr>
        <w:spacing w:line="360" w:lineRule="auto"/>
        <w:ind w:left="420"/>
        <w:rPr>
          <w:rFonts w:ascii="宋体" w:hAnsi="宋体" w:eastAsia="宋体" w:cs="Times New Roman"/>
          <w:color w:val="auto"/>
          <w:sz w:val="24"/>
        </w:rPr>
      </w:pPr>
    </w:p>
    <w:p w14:paraId="1D921C14">
      <w:pPr>
        <w:spacing w:line="360" w:lineRule="auto"/>
        <w:ind w:left="435"/>
        <w:rPr>
          <w:rFonts w:ascii="宋体" w:hAnsi="宋体" w:eastAsia="宋体" w:cs="Times New Roman"/>
          <w:b/>
          <w:color w:val="auto"/>
          <w:szCs w:val="21"/>
        </w:rPr>
      </w:pPr>
      <w:r>
        <w:rPr>
          <w:rFonts w:hint="eastAsia" w:ascii="宋体" w:hAnsi="宋体" w:eastAsia="宋体" w:cs="Times New Roman"/>
          <w:b/>
          <w:color w:val="auto"/>
          <w:szCs w:val="21"/>
        </w:rPr>
        <w:t>要求：</w:t>
      </w:r>
    </w:p>
    <w:p w14:paraId="64B77A8C">
      <w:pPr>
        <w:spacing w:line="360" w:lineRule="auto"/>
        <w:ind w:left="435" w:firstLine="559" w:firstLineChars="265"/>
        <w:rPr>
          <w:rFonts w:ascii="宋体" w:hAnsi="宋体" w:eastAsia="宋体" w:cs="Times New Roman"/>
          <w:color w:val="auto"/>
          <w:szCs w:val="21"/>
        </w:rPr>
      </w:pPr>
      <w:r>
        <w:rPr>
          <w:rFonts w:hint="eastAsia" w:ascii="宋体" w:hAnsi="宋体" w:eastAsia="宋体" w:cs="Times New Roman"/>
          <w:b/>
          <w:color w:val="auto"/>
          <w:szCs w:val="21"/>
        </w:rPr>
        <w:t>1.</w:t>
      </w:r>
      <w:r>
        <w:rPr>
          <w:rFonts w:hint="eastAsia" w:ascii="宋体" w:hAnsi="宋体" w:eastAsia="宋体" w:cs="Times New Roman"/>
          <w:color w:val="auto"/>
          <w:szCs w:val="21"/>
        </w:rPr>
        <w:t>本表中的名称、数量应与报价明细表中相对应的报价名称、数量一致</w:t>
      </w:r>
    </w:p>
    <w:p w14:paraId="6BF702AE">
      <w:pPr>
        <w:spacing w:line="360" w:lineRule="auto"/>
        <w:ind w:left="420"/>
        <w:rPr>
          <w:rFonts w:ascii="宋体" w:hAnsi="宋体" w:eastAsia="宋体" w:cs="Times New Roman"/>
          <w:color w:val="auto"/>
          <w:sz w:val="24"/>
        </w:rPr>
      </w:pPr>
    </w:p>
    <w:p w14:paraId="3C909DDE">
      <w:pPr>
        <w:spacing w:line="360" w:lineRule="auto"/>
        <w:ind w:left="420"/>
        <w:rPr>
          <w:rFonts w:ascii="宋体" w:hAnsi="宋体" w:eastAsia="宋体" w:cs="Times New Roman"/>
          <w:color w:val="auto"/>
          <w:sz w:val="24"/>
        </w:rPr>
      </w:pPr>
    </w:p>
    <w:p w14:paraId="22506AB7">
      <w:pPr>
        <w:spacing w:line="360" w:lineRule="auto"/>
        <w:ind w:left="420" w:firstLine="571" w:firstLineChars="238"/>
        <w:rPr>
          <w:rFonts w:ascii="宋体" w:hAnsi="宋体" w:eastAsia="宋体" w:cs="Times New Roman"/>
          <w:color w:val="auto"/>
          <w:sz w:val="24"/>
          <w:u w:val="single"/>
        </w:rPr>
      </w:pPr>
      <w:r>
        <w:rPr>
          <w:rFonts w:hint="eastAsia" w:ascii="宋体" w:hAnsi="宋体" w:eastAsia="宋体" w:cs="Times New Roman"/>
          <w:color w:val="auto"/>
          <w:sz w:val="24"/>
        </w:rPr>
        <w:t>磋商供应商名称（盖章）：</w:t>
      </w:r>
      <w:r>
        <w:rPr>
          <w:rFonts w:hint="eastAsia" w:ascii="宋体" w:hAnsi="宋体" w:eastAsia="宋体" w:cs="Times New Roman"/>
          <w:color w:val="auto"/>
          <w:sz w:val="24"/>
          <w:u w:val="single"/>
        </w:rPr>
        <w:t xml:space="preserve">                     </w:t>
      </w:r>
    </w:p>
    <w:p w14:paraId="3D19B27D">
      <w:pPr>
        <w:spacing w:line="360" w:lineRule="auto"/>
        <w:ind w:left="420"/>
        <w:rPr>
          <w:rFonts w:ascii="宋体" w:hAnsi="宋体" w:eastAsia="宋体" w:cs="Times New Roman"/>
          <w:color w:val="auto"/>
          <w:sz w:val="24"/>
        </w:rPr>
      </w:pPr>
    </w:p>
    <w:p w14:paraId="2C50D3F1">
      <w:pPr>
        <w:spacing w:line="360" w:lineRule="auto"/>
        <w:ind w:firstLine="993"/>
        <w:rPr>
          <w:rFonts w:ascii="宋体" w:hAnsi="宋体" w:eastAsia="宋体" w:cs="Times New Roman"/>
          <w:color w:val="auto"/>
          <w:sz w:val="24"/>
        </w:rPr>
      </w:pPr>
      <w:r>
        <w:rPr>
          <w:rFonts w:hint="eastAsia" w:ascii="宋体" w:hAnsi="宋体" w:eastAsia="宋体" w:cs="Times New Roman"/>
          <w:color w:val="auto"/>
          <w:sz w:val="24"/>
        </w:rPr>
        <w:t>磋商供应商代表</w:t>
      </w:r>
      <w:r>
        <w:rPr>
          <w:rFonts w:hint="eastAsia" w:ascii="宋体" w:hAnsi="宋体" w:eastAsia="宋体" w:cs="Times New Roman"/>
          <w:color w:val="auto"/>
          <w:sz w:val="24"/>
          <w:lang w:eastAsia="zh-CN"/>
        </w:rPr>
        <w:t>签字</w:t>
      </w:r>
      <w:r>
        <w:rPr>
          <w:rFonts w:hint="eastAsia" w:ascii="宋体" w:hAnsi="宋体" w:eastAsia="宋体" w:cs="Times New Roman"/>
          <w:color w:val="auto"/>
          <w:sz w:val="24"/>
        </w:rPr>
        <w:t>：</w:t>
      </w:r>
      <w:r>
        <w:rPr>
          <w:rFonts w:hint="eastAsia" w:ascii="宋体" w:hAnsi="宋体" w:eastAsia="宋体" w:cs="Times New Roman"/>
          <w:color w:val="auto"/>
          <w:sz w:val="24"/>
          <w:u w:val="single"/>
        </w:rPr>
        <w:t xml:space="preserve">                         </w:t>
      </w:r>
    </w:p>
    <w:p w14:paraId="2E29EADB">
      <w:pPr>
        <w:spacing w:line="360" w:lineRule="auto"/>
        <w:ind w:firstLine="435"/>
        <w:rPr>
          <w:rFonts w:ascii="宋体" w:hAnsi="宋体" w:eastAsia="宋体" w:cs="Times New Roman"/>
          <w:color w:val="auto"/>
          <w:sz w:val="24"/>
        </w:rPr>
      </w:pPr>
    </w:p>
    <w:p w14:paraId="77E95DAC">
      <w:pPr>
        <w:spacing w:line="360" w:lineRule="auto"/>
        <w:ind w:firstLine="993"/>
        <w:rPr>
          <w:rFonts w:ascii="宋体" w:hAnsi="宋体" w:eastAsia="宋体" w:cs="Times New Roman"/>
          <w:color w:val="auto"/>
          <w:sz w:val="24"/>
        </w:rPr>
      </w:pPr>
      <w:r>
        <w:rPr>
          <w:rFonts w:hint="eastAsia" w:ascii="宋体" w:hAnsi="宋体" w:eastAsia="宋体" w:cs="Times New Roman"/>
          <w:color w:val="auto"/>
          <w:sz w:val="24"/>
        </w:rPr>
        <w:t>职        务：</w:t>
      </w:r>
      <w:r>
        <w:rPr>
          <w:rFonts w:hint="eastAsia" w:ascii="宋体" w:hAnsi="宋体" w:eastAsia="宋体" w:cs="Times New Roman"/>
          <w:color w:val="auto"/>
          <w:sz w:val="24"/>
          <w:u w:val="single"/>
        </w:rPr>
        <w:t xml:space="preserve">                             </w:t>
      </w:r>
    </w:p>
    <w:p w14:paraId="39D593E3">
      <w:pPr>
        <w:spacing w:line="360" w:lineRule="auto"/>
        <w:ind w:firstLine="435"/>
        <w:rPr>
          <w:rFonts w:ascii="宋体" w:hAnsi="宋体" w:eastAsia="宋体" w:cs="Times New Roman"/>
          <w:color w:val="auto"/>
          <w:sz w:val="24"/>
        </w:rPr>
      </w:pPr>
    </w:p>
    <w:p w14:paraId="5704DAC5">
      <w:pPr>
        <w:spacing w:line="360" w:lineRule="auto"/>
        <w:ind w:firstLine="993"/>
        <w:rPr>
          <w:rFonts w:ascii="宋体" w:hAnsi="宋体" w:eastAsia="宋体" w:cs="Times New Roman"/>
          <w:color w:val="auto"/>
          <w:sz w:val="24"/>
        </w:rPr>
      </w:pPr>
      <w:r>
        <w:rPr>
          <w:rFonts w:hint="eastAsia" w:ascii="宋体" w:hAnsi="宋体" w:eastAsia="宋体" w:cs="Times New Roman"/>
          <w:color w:val="auto"/>
          <w:sz w:val="24"/>
        </w:rPr>
        <w:t>日        期：</w:t>
      </w:r>
      <w:r>
        <w:rPr>
          <w:rFonts w:hint="eastAsia" w:ascii="宋体" w:hAnsi="宋体" w:eastAsia="宋体" w:cs="Times New Roman"/>
          <w:color w:val="auto"/>
          <w:sz w:val="24"/>
          <w:u w:val="single"/>
        </w:rPr>
        <w:t xml:space="preserve">                             </w:t>
      </w:r>
    </w:p>
    <w:p w14:paraId="602EFAC4">
      <w:pPr>
        <w:spacing w:line="360" w:lineRule="auto"/>
        <w:ind w:firstLine="435"/>
        <w:rPr>
          <w:rFonts w:hint="eastAsia" w:ascii="宋体" w:hAnsi="宋体" w:eastAsia="宋体" w:cs="Times New Roman"/>
          <w:b/>
          <w:color w:val="auto"/>
          <w:sz w:val="28"/>
        </w:rPr>
      </w:pPr>
    </w:p>
    <w:p w14:paraId="2E51B1BF">
      <w:pPr>
        <w:spacing w:line="360" w:lineRule="auto"/>
        <w:ind w:firstLine="435"/>
        <w:rPr>
          <w:rFonts w:hint="eastAsia" w:ascii="宋体" w:hAnsi="宋体" w:eastAsia="宋体" w:cs="Times New Roman"/>
          <w:b/>
          <w:color w:val="auto"/>
          <w:sz w:val="28"/>
        </w:rPr>
      </w:pPr>
      <w:r>
        <w:rPr>
          <w:rFonts w:hint="eastAsia" w:ascii="宋体" w:hAnsi="宋体" w:eastAsia="宋体" w:cs="Times New Roman"/>
          <w:b/>
          <w:color w:val="auto"/>
          <w:sz w:val="28"/>
        </w:rPr>
        <w:t>附件8：</w:t>
      </w:r>
    </w:p>
    <w:p w14:paraId="126E7077">
      <w:pPr>
        <w:widowControl w:val="0"/>
        <w:adjustRightInd w:val="0"/>
        <w:snapToGrid w:val="0"/>
        <w:spacing w:line="360" w:lineRule="auto"/>
        <w:jc w:val="center"/>
        <w:rPr>
          <w:rFonts w:hint="eastAsia" w:ascii="宋体" w:hAnsi="宋体" w:eastAsia="宋体" w:cs="Times New Roman"/>
          <w:b/>
          <w:color w:val="auto"/>
          <w:kern w:val="2"/>
          <w:sz w:val="32"/>
          <w:szCs w:val="32"/>
          <w:lang w:val="en-US" w:eastAsia="zh-CN" w:bidi="ar-SA"/>
        </w:rPr>
      </w:pPr>
      <w:r>
        <w:rPr>
          <w:rFonts w:hint="eastAsia" w:ascii="宋体" w:hAnsi="宋体" w:eastAsia="宋体" w:cs="Times New Roman"/>
          <w:b/>
          <w:color w:val="auto"/>
          <w:kern w:val="2"/>
          <w:sz w:val="32"/>
          <w:szCs w:val="32"/>
          <w:lang w:val="en-US" w:eastAsia="zh-CN" w:bidi="ar-SA"/>
        </w:rPr>
        <w:t>商务及技术响应表</w:t>
      </w:r>
    </w:p>
    <w:p w14:paraId="30356587">
      <w:pPr>
        <w:widowControl w:val="0"/>
        <w:adjustRightInd w:val="0"/>
        <w:snapToGrid w:val="0"/>
        <w:spacing w:line="360" w:lineRule="auto"/>
        <w:jc w:val="left"/>
        <w:rPr>
          <w:rFonts w:hint="eastAsia" w:ascii="宋体" w:hAnsi="宋体" w:eastAsia="宋体" w:cs="Arial"/>
          <w:b/>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项目名称及编号：</w:t>
      </w:r>
    </w:p>
    <w:tbl>
      <w:tblPr>
        <w:tblStyle w:val="17"/>
        <w:tblW w:w="8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886"/>
        <w:gridCol w:w="1547"/>
        <w:gridCol w:w="2057"/>
        <w:gridCol w:w="1350"/>
        <w:gridCol w:w="1091"/>
      </w:tblGrid>
      <w:tr w14:paraId="5FBD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902" w:type="dxa"/>
            <w:vAlign w:val="center"/>
          </w:tcPr>
          <w:p w14:paraId="5C273663">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886" w:type="dxa"/>
            <w:vAlign w:val="center"/>
          </w:tcPr>
          <w:p w14:paraId="2106405B">
            <w:pPr>
              <w:spacing w:line="360" w:lineRule="auto"/>
              <w:jc w:val="center"/>
              <w:rPr>
                <w:rFonts w:ascii="宋体" w:hAnsi="宋体"/>
                <w:b/>
                <w:color w:val="auto"/>
                <w:sz w:val="24"/>
                <w:highlight w:val="none"/>
              </w:rPr>
            </w:pPr>
            <w:r>
              <w:rPr>
                <w:rFonts w:hint="eastAsia" w:ascii="宋体" w:hAnsi="宋体"/>
                <w:b/>
                <w:color w:val="auto"/>
                <w:sz w:val="24"/>
                <w:highlight w:val="none"/>
              </w:rPr>
              <w:t>内容名称</w:t>
            </w:r>
          </w:p>
        </w:tc>
        <w:tc>
          <w:tcPr>
            <w:tcW w:w="1547" w:type="dxa"/>
            <w:vAlign w:val="center"/>
          </w:tcPr>
          <w:p w14:paraId="61E016CF">
            <w:pPr>
              <w:spacing w:line="360" w:lineRule="auto"/>
              <w:jc w:val="center"/>
              <w:rPr>
                <w:rFonts w:ascii="宋体" w:hAnsi="宋体"/>
                <w:b/>
                <w:color w:val="auto"/>
                <w:sz w:val="24"/>
                <w:highlight w:val="none"/>
              </w:rPr>
            </w:pPr>
            <w:r>
              <w:rPr>
                <w:rFonts w:hint="eastAsia" w:ascii="宋体" w:hAnsi="宋体"/>
                <w:b/>
                <w:color w:val="auto"/>
                <w:sz w:val="24"/>
                <w:highlight w:val="none"/>
                <w:lang w:val="en-US" w:eastAsia="zh-CN"/>
              </w:rPr>
              <w:t>项目</w:t>
            </w:r>
            <w:r>
              <w:rPr>
                <w:rFonts w:hint="eastAsia" w:ascii="宋体" w:hAnsi="宋体"/>
                <w:b/>
                <w:color w:val="auto"/>
                <w:sz w:val="24"/>
                <w:highlight w:val="none"/>
              </w:rPr>
              <w:t>需求</w:t>
            </w:r>
          </w:p>
        </w:tc>
        <w:tc>
          <w:tcPr>
            <w:tcW w:w="2057" w:type="dxa"/>
            <w:vAlign w:val="center"/>
          </w:tcPr>
          <w:p w14:paraId="2A53DDAC">
            <w:pPr>
              <w:spacing w:line="360" w:lineRule="auto"/>
              <w:jc w:val="center"/>
              <w:rPr>
                <w:rFonts w:ascii="宋体" w:hAnsi="宋体"/>
                <w:b/>
                <w:color w:val="auto"/>
                <w:sz w:val="24"/>
                <w:highlight w:val="none"/>
              </w:rPr>
            </w:pPr>
            <w:r>
              <w:rPr>
                <w:rFonts w:hint="eastAsia" w:ascii="宋体" w:hAnsi="宋体"/>
                <w:b/>
                <w:color w:val="auto"/>
                <w:sz w:val="24"/>
                <w:highlight w:val="none"/>
              </w:rPr>
              <w:t>是否响应</w:t>
            </w:r>
          </w:p>
        </w:tc>
        <w:tc>
          <w:tcPr>
            <w:tcW w:w="1350" w:type="dxa"/>
            <w:vAlign w:val="center"/>
          </w:tcPr>
          <w:p w14:paraId="2F86F24D">
            <w:pPr>
              <w:spacing w:line="360" w:lineRule="auto"/>
              <w:jc w:val="center"/>
              <w:rPr>
                <w:rFonts w:ascii="宋体" w:hAnsi="宋体"/>
                <w:b/>
                <w:color w:val="auto"/>
                <w:sz w:val="24"/>
                <w:highlight w:val="none"/>
              </w:rPr>
            </w:pPr>
            <w:r>
              <w:rPr>
                <w:rFonts w:hint="eastAsia" w:ascii="宋体" w:hAnsi="宋体"/>
                <w:b/>
                <w:color w:val="auto"/>
                <w:sz w:val="24"/>
                <w:highlight w:val="none"/>
              </w:rPr>
              <w:t>偏离情况</w:t>
            </w:r>
          </w:p>
        </w:tc>
        <w:tc>
          <w:tcPr>
            <w:tcW w:w="1091" w:type="dxa"/>
            <w:vAlign w:val="center"/>
          </w:tcPr>
          <w:p w14:paraId="336E8AE6">
            <w:pPr>
              <w:spacing w:line="360" w:lineRule="auto"/>
              <w:jc w:val="center"/>
              <w:rPr>
                <w:rFonts w:ascii="宋体" w:hAnsi="宋体"/>
                <w:b/>
                <w:color w:val="auto"/>
                <w:sz w:val="24"/>
                <w:highlight w:val="none"/>
              </w:rPr>
            </w:pPr>
            <w:r>
              <w:rPr>
                <w:rFonts w:hint="eastAsia" w:ascii="宋体" w:hAnsi="宋体"/>
                <w:b/>
                <w:color w:val="auto"/>
                <w:sz w:val="24"/>
                <w:highlight w:val="none"/>
              </w:rPr>
              <w:t>说明</w:t>
            </w:r>
          </w:p>
        </w:tc>
      </w:tr>
      <w:tr w14:paraId="6F86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02" w:type="dxa"/>
            <w:vAlign w:val="center"/>
          </w:tcPr>
          <w:p w14:paraId="18D11ECC">
            <w:pPr>
              <w:spacing w:line="360" w:lineRule="auto"/>
              <w:rPr>
                <w:rFonts w:ascii="宋体" w:hAnsi="宋体"/>
                <w:color w:val="auto"/>
                <w:sz w:val="24"/>
                <w:highlight w:val="none"/>
              </w:rPr>
            </w:pPr>
          </w:p>
        </w:tc>
        <w:tc>
          <w:tcPr>
            <w:tcW w:w="1886" w:type="dxa"/>
            <w:vAlign w:val="center"/>
          </w:tcPr>
          <w:p w14:paraId="23D05FF9">
            <w:pPr>
              <w:spacing w:line="360" w:lineRule="auto"/>
              <w:rPr>
                <w:rFonts w:ascii="宋体" w:hAnsi="宋体"/>
                <w:color w:val="auto"/>
                <w:sz w:val="24"/>
                <w:highlight w:val="none"/>
              </w:rPr>
            </w:pPr>
          </w:p>
        </w:tc>
        <w:tc>
          <w:tcPr>
            <w:tcW w:w="1547" w:type="dxa"/>
            <w:vAlign w:val="center"/>
          </w:tcPr>
          <w:p w14:paraId="2422F44A">
            <w:pPr>
              <w:spacing w:line="360" w:lineRule="auto"/>
              <w:rPr>
                <w:rFonts w:ascii="宋体" w:hAnsi="宋体"/>
                <w:color w:val="auto"/>
                <w:sz w:val="24"/>
                <w:highlight w:val="none"/>
              </w:rPr>
            </w:pPr>
          </w:p>
        </w:tc>
        <w:tc>
          <w:tcPr>
            <w:tcW w:w="2057" w:type="dxa"/>
            <w:vAlign w:val="center"/>
          </w:tcPr>
          <w:p w14:paraId="4DD85DA2">
            <w:pPr>
              <w:spacing w:line="360" w:lineRule="auto"/>
              <w:rPr>
                <w:rFonts w:ascii="宋体" w:hAnsi="宋体"/>
                <w:color w:val="auto"/>
                <w:sz w:val="24"/>
                <w:highlight w:val="none"/>
              </w:rPr>
            </w:pPr>
          </w:p>
        </w:tc>
        <w:tc>
          <w:tcPr>
            <w:tcW w:w="1350" w:type="dxa"/>
            <w:vAlign w:val="center"/>
          </w:tcPr>
          <w:p w14:paraId="5572827A">
            <w:pPr>
              <w:spacing w:line="360" w:lineRule="auto"/>
              <w:rPr>
                <w:rFonts w:ascii="宋体" w:hAnsi="宋体"/>
                <w:color w:val="auto"/>
                <w:sz w:val="24"/>
                <w:highlight w:val="none"/>
              </w:rPr>
            </w:pPr>
          </w:p>
        </w:tc>
        <w:tc>
          <w:tcPr>
            <w:tcW w:w="1091" w:type="dxa"/>
            <w:vAlign w:val="center"/>
          </w:tcPr>
          <w:p w14:paraId="02ACAD19">
            <w:pPr>
              <w:spacing w:line="360" w:lineRule="auto"/>
              <w:rPr>
                <w:rFonts w:ascii="宋体" w:hAnsi="宋体"/>
                <w:color w:val="auto"/>
                <w:sz w:val="24"/>
                <w:highlight w:val="none"/>
              </w:rPr>
            </w:pPr>
          </w:p>
        </w:tc>
      </w:tr>
      <w:tr w14:paraId="388B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02" w:type="dxa"/>
            <w:vAlign w:val="center"/>
          </w:tcPr>
          <w:p w14:paraId="077E5C6B">
            <w:pPr>
              <w:spacing w:line="360" w:lineRule="auto"/>
              <w:rPr>
                <w:rFonts w:ascii="宋体" w:hAnsi="宋体"/>
                <w:color w:val="auto"/>
                <w:sz w:val="24"/>
                <w:highlight w:val="none"/>
              </w:rPr>
            </w:pPr>
          </w:p>
        </w:tc>
        <w:tc>
          <w:tcPr>
            <w:tcW w:w="1886" w:type="dxa"/>
            <w:vAlign w:val="center"/>
          </w:tcPr>
          <w:p w14:paraId="2F9A4D70">
            <w:pPr>
              <w:spacing w:line="360" w:lineRule="auto"/>
              <w:rPr>
                <w:rFonts w:ascii="宋体" w:hAnsi="宋体"/>
                <w:color w:val="auto"/>
                <w:sz w:val="24"/>
                <w:highlight w:val="none"/>
              </w:rPr>
            </w:pPr>
          </w:p>
        </w:tc>
        <w:tc>
          <w:tcPr>
            <w:tcW w:w="1547" w:type="dxa"/>
            <w:vAlign w:val="center"/>
          </w:tcPr>
          <w:p w14:paraId="76D1757B">
            <w:pPr>
              <w:spacing w:line="360" w:lineRule="auto"/>
              <w:rPr>
                <w:rFonts w:ascii="宋体" w:hAnsi="宋体"/>
                <w:color w:val="auto"/>
                <w:sz w:val="24"/>
                <w:highlight w:val="none"/>
              </w:rPr>
            </w:pPr>
          </w:p>
        </w:tc>
        <w:tc>
          <w:tcPr>
            <w:tcW w:w="2057" w:type="dxa"/>
            <w:vAlign w:val="center"/>
          </w:tcPr>
          <w:p w14:paraId="16CDD8B1">
            <w:pPr>
              <w:spacing w:line="360" w:lineRule="auto"/>
              <w:rPr>
                <w:rFonts w:ascii="宋体" w:hAnsi="宋体"/>
                <w:color w:val="auto"/>
                <w:sz w:val="24"/>
                <w:highlight w:val="none"/>
              </w:rPr>
            </w:pPr>
          </w:p>
        </w:tc>
        <w:tc>
          <w:tcPr>
            <w:tcW w:w="1350" w:type="dxa"/>
            <w:vAlign w:val="center"/>
          </w:tcPr>
          <w:p w14:paraId="413EB541">
            <w:pPr>
              <w:spacing w:line="360" w:lineRule="auto"/>
              <w:rPr>
                <w:rFonts w:ascii="宋体" w:hAnsi="宋体"/>
                <w:color w:val="auto"/>
                <w:sz w:val="24"/>
                <w:highlight w:val="none"/>
              </w:rPr>
            </w:pPr>
          </w:p>
        </w:tc>
        <w:tc>
          <w:tcPr>
            <w:tcW w:w="1091" w:type="dxa"/>
            <w:vAlign w:val="center"/>
          </w:tcPr>
          <w:p w14:paraId="2396B410">
            <w:pPr>
              <w:spacing w:line="360" w:lineRule="auto"/>
              <w:rPr>
                <w:rFonts w:ascii="宋体" w:hAnsi="宋体"/>
                <w:color w:val="auto"/>
                <w:sz w:val="24"/>
                <w:highlight w:val="none"/>
              </w:rPr>
            </w:pPr>
          </w:p>
        </w:tc>
      </w:tr>
      <w:tr w14:paraId="0082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14:paraId="76E71FDD">
            <w:pPr>
              <w:spacing w:line="360" w:lineRule="auto"/>
              <w:rPr>
                <w:rFonts w:ascii="宋体" w:hAnsi="宋体"/>
                <w:color w:val="auto"/>
                <w:sz w:val="24"/>
                <w:highlight w:val="none"/>
              </w:rPr>
            </w:pPr>
          </w:p>
        </w:tc>
        <w:tc>
          <w:tcPr>
            <w:tcW w:w="1886" w:type="dxa"/>
            <w:vAlign w:val="center"/>
          </w:tcPr>
          <w:p w14:paraId="616F9786">
            <w:pPr>
              <w:spacing w:line="360" w:lineRule="auto"/>
              <w:rPr>
                <w:rFonts w:ascii="宋体" w:hAnsi="宋体"/>
                <w:color w:val="auto"/>
                <w:sz w:val="24"/>
                <w:highlight w:val="none"/>
              </w:rPr>
            </w:pPr>
          </w:p>
        </w:tc>
        <w:tc>
          <w:tcPr>
            <w:tcW w:w="1547" w:type="dxa"/>
            <w:vAlign w:val="center"/>
          </w:tcPr>
          <w:p w14:paraId="37B7A6F2">
            <w:pPr>
              <w:spacing w:line="360" w:lineRule="auto"/>
              <w:rPr>
                <w:rFonts w:ascii="宋体" w:hAnsi="宋体"/>
                <w:color w:val="auto"/>
                <w:sz w:val="24"/>
                <w:highlight w:val="none"/>
              </w:rPr>
            </w:pPr>
          </w:p>
        </w:tc>
        <w:tc>
          <w:tcPr>
            <w:tcW w:w="2057" w:type="dxa"/>
            <w:vAlign w:val="center"/>
          </w:tcPr>
          <w:p w14:paraId="42602F31">
            <w:pPr>
              <w:spacing w:line="360" w:lineRule="auto"/>
              <w:rPr>
                <w:rFonts w:ascii="宋体" w:hAnsi="宋体"/>
                <w:color w:val="auto"/>
                <w:sz w:val="24"/>
                <w:highlight w:val="none"/>
              </w:rPr>
            </w:pPr>
          </w:p>
        </w:tc>
        <w:tc>
          <w:tcPr>
            <w:tcW w:w="1350" w:type="dxa"/>
            <w:vAlign w:val="center"/>
          </w:tcPr>
          <w:p w14:paraId="1F40E4A0">
            <w:pPr>
              <w:spacing w:line="360" w:lineRule="auto"/>
              <w:rPr>
                <w:rFonts w:ascii="宋体" w:hAnsi="宋体"/>
                <w:color w:val="auto"/>
                <w:sz w:val="24"/>
                <w:highlight w:val="none"/>
              </w:rPr>
            </w:pPr>
          </w:p>
        </w:tc>
        <w:tc>
          <w:tcPr>
            <w:tcW w:w="1091" w:type="dxa"/>
            <w:vAlign w:val="center"/>
          </w:tcPr>
          <w:p w14:paraId="4841D0C3">
            <w:pPr>
              <w:spacing w:line="360" w:lineRule="auto"/>
              <w:rPr>
                <w:rFonts w:ascii="宋体" w:hAnsi="宋体"/>
                <w:color w:val="auto"/>
                <w:sz w:val="24"/>
                <w:highlight w:val="none"/>
              </w:rPr>
            </w:pPr>
          </w:p>
        </w:tc>
      </w:tr>
      <w:tr w14:paraId="4F55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14:paraId="32071FCF">
            <w:pPr>
              <w:spacing w:line="360" w:lineRule="auto"/>
              <w:rPr>
                <w:rFonts w:ascii="宋体" w:hAnsi="宋体"/>
                <w:color w:val="auto"/>
                <w:sz w:val="24"/>
                <w:highlight w:val="none"/>
              </w:rPr>
            </w:pPr>
          </w:p>
        </w:tc>
        <w:tc>
          <w:tcPr>
            <w:tcW w:w="1886" w:type="dxa"/>
            <w:vAlign w:val="center"/>
          </w:tcPr>
          <w:p w14:paraId="1D373B8A">
            <w:pPr>
              <w:spacing w:line="360" w:lineRule="auto"/>
              <w:rPr>
                <w:rFonts w:ascii="宋体" w:hAnsi="宋体"/>
                <w:color w:val="auto"/>
                <w:sz w:val="24"/>
                <w:highlight w:val="none"/>
              </w:rPr>
            </w:pPr>
          </w:p>
        </w:tc>
        <w:tc>
          <w:tcPr>
            <w:tcW w:w="1547" w:type="dxa"/>
            <w:vAlign w:val="center"/>
          </w:tcPr>
          <w:p w14:paraId="5A8AD777">
            <w:pPr>
              <w:spacing w:line="360" w:lineRule="auto"/>
              <w:rPr>
                <w:rFonts w:ascii="宋体" w:hAnsi="宋体"/>
                <w:color w:val="auto"/>
                <w:sz w:val="24"/>
                <w:highlight w:val="none"/>
              </w:rPr>
            </w:pPr>
          </w:p>
        </w:tc>
        <w:tc>
          <w:tcPr>
            <w:tcW w:w="2057" w:type="dxa"/>
            <w:vAlign w:val="center"/>
          </w:tcPr>
          <w:p w14:paraId="7C011635">
            <w:pPr>
              <w:spacing w:line="360" w:lineRule="auto"/>
              <w:rPr>
                <w:rFonts w:ascii="宋体" w:hAnsi="宋体"/>
                <w:color w:val="auto"/>
                <w:sz w:val="24"/>
                <w:highlight w:val="none"/>
              </w:rPr>
            </w:pPr>
          </w:p>
        </w:tc>
        <w:tc>
          <w:tcPr>
            <w:tcW w:w="1350" w:type="dxa"/>
            <w:vAlign w:val="center"/>
          </w:tcPr>
          <w:p w14:paraId="48074F78">
            <w:pPr>
              <w:spacing w:line="360" w:lineRule="auto"/>
              <w:rPr>
                <w:rFonts w:ascii="宋体" w:hAnsi="宋体"/>
                <w:color w:val="auto"/>
                <w:sz w:val="24"/>
                <w:highlight w:val="none"/>
              </w:rPr>
            </w:pPr>
          </w:p>
        </w:tc>
        <w:tc>
          <w:tcPr>
            <w:tcW w:w="1091" w:type="dxa"/>
            <w:vAlign w:val="center"/>
          </w:tcPr>
          <w:p w14:paraId="15EF01D0">
            <w:pPr>
              <w:spacing w:line="360" w:lineRule="auto"/>
              <w:rPr>
                <w:rFonts w:ascii="宋体" w:hAnsi="宋体"/>
                <w:color w:val="auto"/>
                <w:sz w:val="24"/>
                <w:highlight w:val="none"/>
              </w:rPr>
            </w:pPr>
          </w:p>
        </w:tc>
      </w:tr>
      <w:tr w14:paraId="1186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02" w:type="dxa"/>
            <w:vAlign w:val="center"/>
          </w:tcPr>
          <w:p w14:paraId="3A99824C">
            <w:pPr>
              <w:spacing w:line="360" w:lineRule="auto"/>
              <w:rPr>
                <w:rFonts w:ascii="宋体" w:hAnsi="宋体"/>
                <w:color w:val="auto"/>
                <w:sz w:val="24"/>
                <w:highlight w:val="none"/>
              </w:rPr>
            </w:pPr>
          </w:p>
        </w:tc>
        <w:tc>
          <w:tcPr>
            <w:tcW w:w="1886" w:type="dxa"/>
            <w:vAlign w:val="center"/>
          </w:tcPr>
          <w:p w14:paraId="4C69BE65">
            <w:pPr>
              <w:spacing w:line="360" w:lineRule="auto"/>
              <w:rPr>
                <w:rFonts w:ascii="宋体" w:hAnsi="宋体"/>
                <w:color w:val="auto"/>
                <w:sz w:val="24"/>
                <w:highlight w:val="none"/>
              </w:rPr>
            </w:pPr>
          </w:p>
        </w:tc>
        <w:tc>
          <w:tcPr>
            <w:tcW w:w="1547" w:type="dxa"/>
            <w:vAlign w:val="center"/>
          </w:tcPr>
          <w:p w14:paraId="1B1534C2">
            <w:pPr>
              <w:spacing w:line="360" w:lineRule="auto"/>
              <w:rPr>
                <w:rFonts w:ascii="宋体" w:hAnsi="宋体"/>
                <w:color w:val="auto"/>
                <w:sz w:val="24"/>
                <w:highlight w:val="none"/>
              </w:rPr>
            </w:pPr>
          </w:p>
        </w:tc>
        <w:tc>
          <w:tcPr>
            <w:tcW w:w="2057" w:type="dxa"/>
            <w:vAlign w:val="center"/>
          </w:tcPr>
          <w:p w14:paraId="11518CC5">
            <w:pPr>
              <w:spacing w:line="360" w:lineRule="auto"/>
              <w:rPr>
                <w:rFonts w:ascii="宋体" w:hAnsi="宋体"/>
                <w:color w:val="auto"/>
                <w:sz w:val="24"/>
                <w:highlight w:val="none"/>
              </w:rPr>
            </w:pPr>
          </w:p>
        </w:tc>
        <w:tc>
          <w:tcPr>
            <w:tcW w:w="1350" w:type="dxa"/>
            <w:vAlign w:val="center"/>
          </w:tcPr>
          <w:p w14:paraId="685574D7">
            <w:pPr>
              <w:spacing w:line="360" w:lineRule="auto"/>
              <w:rPr>
                <w:rFonts w:ascii="宋体" w:hAnsi="宋体"/>
                <w:color w:val="auto"/>
                <w:sz w:val="24"/>
                <w:highlight w:val="none"/>
              </w:rPr>
            </w:pPr>
          </w:p>
        </w:tc>
        <w:tc>
          <w:tcPr>
            <w:tcW w:w="1091" w:type="dxa"/>
            <w:vAlign w:val="center"/>
          </w:tcPr>
          <w:p w14:paraId="480CB290">
            <w:pPr>
              <w:spacing w:line="360" w:lineRule="auto"/>
              <w:rPr>
                <w:rFonts w:ascii="宋体" w:hAnsi="宋体"/>
                <w:color w:val="auto"/>
                <w:sz w:val="24"/>
                <w:highlight w:val="none"/>
              </w:rPr>
            </w:pPr>
          </w:p>
        </w:tc>
      </w:tr>
      <w:tr w14:paraId="1D89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2" w:type="dxa"/>
            <w:vAlign w:val="center"/>
          </w:tcPr>
          <w:p w14:paraId="6128B341">
            <w:pPr>
              <w:spacing w:line="360" w:lineRule="auto"/>
              <w:rPr>
                <w:rFonts w:ascii="宋体" w:hAnsi="宋体"/>
                <w:color w:val="auto"/>
                <w:sz w:val="24"/>
                <w:highlight w:val="none"/>
              </w:rPr>
            </w:pPr>
          </w:p>
        </w:tc>
        <w:tc>
          <w:tcPr>
            <w:tcW w:w="1886" w:type="dxa"/>
            <w:vAlign w:val="center"/>
          </w:tcPr>
          <w:p w14:paraId="28F2E6A9">
            <w:pPr>
              <w:spacing w:line="360" w:lineRule="auto"/>
              <w:rPr>
                <w:rFonts w:ascii="宋体" w:hAnsi="宋体"/>
                <w:color w:val="auto"/>
                <w:sz w:val="24"/>
                <w:highlight w:val="none"/>
              </w:rPr>
            </w:pPr>
          </w:p>
        </w:tc>
        <w:tc>
          <w:tcPr>
            <w:tcW w:w="1547" w:type="dxa"/>
            <w:vAlign w:val="center"/>
          </w:tcPr>
          <w:p w14:paraId="55C1F6E9">
            <w:pPr>
              <w:spacing w:line="360" w:lineRule="auto"/>
              <w:rPr>
                <w:rFonts w:ascii="宋体" w:hAnsi="宋体"/>
                <w:color w:val="auto"/>
                <w:sz w:val="24"/>
                <w:highlight w:val="none"/>
              </w:rPr>
            </w:pPr>
          </w:p>
        </w:tc>
        <w:tc>
          <w:tcPr>
            <w:tcW w:w="2057" w:type="dxa"/>
            <w:vAlign w:val="center"/>
          </w:tcPr>
          <w:p w14:paraId="4B69FB93">
            <w:pPr>
              <w:spacing w:line="360" w:lineRule="auto"/>
              <w:rPr>
                <w:rFonts w:ascii="宋体" w:hAnsi="宋体"/>
                <w:color w:val="auto"/>
                <w:sz w:val="24"/>
                <w:highlight w:val="none"/>
              </w:rPr>
            </w:pPr>
          </w:p>
        </w:tc>
        <w:tc>
          <w:tcPr>
            <w:tcW w:w="1350" w:type="dxa"/>
            <w:vAlign w:val="center"/>
          </w:tcPr>
          <w:p w14:paraId="25219E00">
            <w:pPr>
              <w:spacing w:line="360" w:lineRule="auto"/>
              <w:rPr>
                <w:rFonts w:ascii="宋体" w:hAnsi="宋体"/>
                <w:color w:val="auto"/>
                <w:sz w:val="24"/>
                <w:highlight w:val="none"/>
              </w:rPr>
            </w:pPr>
          </w:p>
        </w:tc>
        <w:tc>
          <w:tcPr>
            <w:tcW w:w="1091" w:type="dxa"/>
            <w:vAlign w:val="center"/>
          </w:tcPr>
          <w:p w14:paraId="03C0C93E">
            <w:pPr>
              <w:spacing w:line="360" w:lineRule="auto"/>
              <w:rPr>
                <w:rFonts w:ascii="宋体" w:hAnsi="宋体"/>
                <w:color w:val="auto"/>
                <w:sz w:val="24"/>
                <w:highlight w:val="none"/>
              </w:rPr>
            </w:pPr>
          </w:p>
        </w:tc>
      </w:tr>
    </w:tbl>
    <w:p w14:paraId="6EFA15BE">
      <w:pPr>
        <w:widowControl w:val="0"/>
        <w:adjustRightInd w:val="0"/>
        <w:snapToGrid w:val="0"/>
        <w:spacing w:line="360" w:lineRule="auto"/>
        <w:jc w:val="both"/>
        <w:rPr>
          <w:rFonts w:hint="eastAsia" w:ascii="宋体" w:hAnsi="宋体" w:eastAsia="宋体" w:cs="Times New Roman"/>
          <w:b w:val="0"/>
          <w:color w:val="auto"/>
          <w:spacing w:val="0"/>
          <w:kern w:val="2"/>
          <w:sz w:val="24"/>
          <w:szCs w:val="24"/>
          <w:lang w:val="en-US" w:eastAsia="zh-CN" w:bidi="ar-SA"/>
        </w:rPr>
      </w:pPr>
      <w:r>
        <w:rPr>
          <w:rFonts w:hint="eastAsia" w:ascii="宋体" w:hAnsi="宋体" w:eastAsia="宋体" w:cs="Times New Roman"/>
          <w:b w:val="0"/>
          <w:color w:val="auto"/>
          <w:spacing w:val="0"/>
          <w:kern w:val="2"/>
          <w:sz w:val="24"/>
          <w:szCs w:val="24"/>
          <w:lang w:val="en-US" w:eastAsia="zh-CN" w:bidi="ar-SA"/>
        </w:rPr>
        <w:t>备注：供应商在填写其中的“商务及技术响应表”内容时，必须对照本磋商文件“产品技术要求”中各指标项逐条说明，写出各磋商产品的具体参数响应内容，不得以“符合”或“满足”等词语作简单回答或者完全复制本项目需求中参数内容，否则磋商小组有权视其磋商响应文件未响应磋商文件要求。</w:t>
      </w:r>
    </w:p>
    <w:p w14:paraId="66E9007E">
      <w:pPr>
        <w:ind w:firstLine="424" w:firstLineChars="177"/>
        <w:rPr>
          <w:rFonts w:ascii="宋体" w:hAnsi="宋体" w:eastAsia="宋体" w:cs="Times New Roman"/>
          <w:color w:val="auto"/>
          <w:sz w:val="24"/>
          <w:u w:val="single"/>
        </w:rPr>
      </w:pPr>
      <w:r>
        <w:rPr>
          <w:rFonts w:hint="eastAsia" w:ascii="宋体" w:hAnsi="宋体" w:eastAsia="宋体" w:cs="Times New Roman"/>
          <w:color w:val="auto"/>
          <w:sz w:val="24"/>
        </w:rPr>
        <w:t>磋商供应商名称（盖章）：</w:t>
      </w:r>
      <w:r>
        <w:rPr>
          <w:rFonts w:hint="eastAsia" w:ascii="宋体" w:hAnsi="宋体" w:eastAsia="宋体" w:cs="Times New Roman"/>
          <w:color w:val="auto"/>
          <w:sz w:val="24"/>
          <w:u w:val="single"/>
        </w:rPr>
        <w:t xml:space="preserve">                       </w:t>
      </w:r>
    </w:p>
    <w:p w14:paraId="7BE38B85">
      <w:pPr>
        <w:ind w:left="420"/>
        <w:rPr>
          <w:rFonts w:ascii="宋体" w:hAnsi="宋体" w:eastAsia="宋体" w:cs="Times New Roman"/>
          <w:color w:val="auto"/>
          <w:sz w:val="24"/>
        </w:rPr>
      </w:pPr>
    </w:p>
    <w:p w14:paraId="3F5071D9">
      <w:pPr>
        <w:ind w:firstLine="424" w:firstLineChars="177"/>
        <w:rPr>
          <w:rFonts w:ascii="宋体" w:hAnsi="宋体" w:eastAsia="宋体" w:cs="Times New Roman"/>
          <w:color w:val="auto"/>
          <w:sz w:val="24"/>
        </w:rPr>
      </w:pPr>
      <w:r>
        <w:rPr>
          <w:rFonts w:hint="eastAsia" w:ascii="宋体" w:hAnsi="宋体" w:eastAsia="宋体" w:cs="Times New Roman"/>
          <w:color w:val="auto"/>
          <w:sz w:val="24"/>
        </w:rPr>
        <w:t>磋商供应商代表</w:t>
      </w:r>
      <w:r>
        <w:rPr>
          <w:rFonts w:hint="eastAsia" w:ascii="宋体" w:hAnsi="宋体" w:eastAsia="宋体" w:cs="Times New Roman"/>
          <w:color w:val="auto"/>
          <w:sz w:val="24"/>
          <w:lang w:eastAsia="zh-CN"/>
        </w:rPr>
        <w:t>签字</w:t>
      </w:r>
      <w:r>
        <w:rPr>
          <w:rFonts w:hint="eastAsia" w:ascii="宋体" w:hAnsi="宋体" w:eastAsia="宋体" w:cs="Times New Roman"/>
          <w:color w:val="auto"/>
          <w:sz w:val="24"/>
        </w:rPr>
        <w:t>：</w:t>
      </w:r>
      <w:r>
        <w:rPr>
          <w:rFonts w:hint="eastAsia" w:ascii="宋体" w:hAnsi="宋体" w:eastAsia="宋体" w:cs="Times New Roman"/>
          <w:color w:val="auto"/>
          <w:sz w:val="24"/>
          <w:u w:val="single"/>
        </w:rPr>
        <w:t xml:space="preserve">                          </w:t>
      </w:r>
    </w:p>
    <w:p w14:paraId="6CBDFC09">
      <w:pPr>
        <w:ind w:firstLine="435"/>
        <w:rPr>
          <w:rFonts w:ascii="宋体" w:hAnsi="宋体" w:eastAsia="宋体" w:cs="Times New Roman"/>
          <w:color w:val="auto"/>
          <w:sz w:val="24"/>
        </w:rPr>
      </w:pPr>
    </w:p>
    <w:p w14:paraId="07B0313E">
      <w:pPr>
        <w:ind w:firstLine="424" w:firstLineChars="177"/>
        <w:rPr>
          <w:rFonts w:ascii="宋体" w:hAnsi="宋体" w:eastAsia="宋体" w:cs="Times New Roman"/>
          <w:color w:val="auto"/>
          <w:sz w:val="24"/>
          <w:u w:val="single"/>
        </w:rPr>
      </w:pPr>
      <w:r>
        <w:rPr>
          <w:rFonts w:hint="eastAsia" w:ascii="宋体" w:hAnsi="宋体" w:eastAsia="宋体" w:cs="Times New Roman"/>
          <w:color w:val="auto"/>
          <w:sz w:val="24"/>
        </w:rPr>
        <w:t>职        务：</w:t>
      </w:r>
      <w:r>
        <w:rPr>
          <w:rFonts w:hint="eastAsia" w:ascii="宋体" w:hAnsi="宋体" w:eastAsia="宋体" w:cs="Times New Roman"/>
          <w:color w:val="auto"/>
          <w:sz w:val="24"/>
          <w:u w:val="single"/>
        </w:rPr>
        <w:t xml:space="preserve">                             </w:t>
      </w:r>
    </w:p>
    <w:p w14:paraId="51ED79E4">
      <w:pPr>
        <w:rPr>
          <w:rFonts w:ascii="宋体" w:hAnsi="宋体" w:eastAsia="宋体" w:cs="Times New Roman"/>
          <w:color w:val="auto"/>
          <w:sz w:val="24"/>
        </w:rPr>
      </w:pPr>
    </w:p>
    <w:p w14:paraId="2DFF21CE">
      <w:pPr>
        <w:widowControl/>
        <w:shd w:val="clear" w:color="auto" w:fill="FFFFFF"/>
        <w:spacing w:before="0" w:beforeAutospacing="0" w:after="0" w:afterAutospacing="0"/>
        <w:ind w:firstLine="424" w:firstLineChars="177"/>
        <w:jc w:val="left"/>
        <w:rPr>
          <w:rFonts w:hint="eastAsia" w:ascii="宋体" w:hAnsi="宋体" w:eastAsia="宋体" w:cs="宋体"/>
          <w:b/>
          <w:color w:val="auto"/>
          <w:kern w:val="0"/>
          <w:sz w:val="28"/>
          <w:szCs w:val="24"/>
          <w:lang w:val="en-US" w:eastAsia="zh-CN" w:bidi="ar-SA"/>
        </w:rPr>
      </w:pPr>
      <w:r>
        <w:rPr>
          <w:rFonts w:hint="eastAsia" w:ascii="宋体" w:hAnsi="宋体" w:eastAsia="宋体" w:cs="宋体"/>
          <w:color w:val="auto"/>
          <w:kern w:val="0"/>
          <w:sz w:val="24"/>
          <w:szCs w:val="24"/>
          <w:lang w:val="en-US" w:eastAsia="zh-CN" w:bidi="ar-SA"/>
        </w:rPr>
        <w:t>日        期：</w:t>
      </w:r>
      <w:r>
        <w:rPr>
          <w:rFonts w:hint="eastAsia" w:ascii="宋体" w:hAnsi="宋体" w:eastAsia="宋体" w:cs="宋体"/>
          <w:color w:val="auto"/>
          <w:kern w:val="0"/>
          <w:sz w:val="24"/>
          <w:szCs w:val="24"/>
          <w:u w:val="single"/>
          <w:lang w:val="en-US" w:eastAsia="zh-CN" w:bidi="ar-SA"/>
        </w:rPr>
        <w:t xml:space="preserve">                            </w:t>
      </w:r>
    </w:p>
    <w:p w14:paraId="23FE4862">
      <w:pPr>
        <w:snapToGrid w:val="0"/>
        <w:spacing w:before="156" w:beforeLines="50" w:after="50" w:line="360" w:lineRule="auto"/>
        <w:rPr>
          <w:rFonts w:hint="eastAsia" w:ascii="宋体" w:hAnsi="宋体" w:eastAsia="宋体" w:cs="Times New Roman"/>
          <w:b/>
          <w:color w:val="auto"/>
          <w:sz w:val="28"/>
        </w:rPr>
      </w:pPr>
    </w:p>
    <w:p w14:paraId="3E67A350">
      <w:pPr>
        <w:rPr>
          <w:rFonts w:hint="eastAsia" w:ascii="宋体" w:hAnsi="宋体" w:eastAsia="宋体" w:cs="Times New Roman"/>
          <w:b/>
          <w:color w:val="auto"/>
          <w:sz w:val="28"/>
        </w:rPr>
      </w:pPr>
      <w:r>
        <w:rPr>
          <w:rFonts w:hint="eastAsia" w:ascii="宋体" w:hAnsi="宋体" w:eastAsia="宋体" w:cs="Times New Roman"/>
          <w:b/>
          <w:color w:val="auto"/>
          <w:sz w:val="28"/>
        </w:rPr>
        <w:br w:type="page"/>
      </w:r>
    </w:p>
    <w:p w14:paraId="4D0F55ED">
      <w:pPr>
        <w:snapToGrid w:val="0"/>
        <w:spacing w:before="156" w:beforeLines="50" w:after="50" w:line="360" w:lineRule="auto"/>
        <w:rPr>
          <w:rFonts w:hint="eastAsia" w:ascii="宋体" w:hAnsi="宋体" w:eastAsia="宋体" w:cs="Times New Roman"/>
          <w:b/>
          <w:color w:val="auto"/>
          <w:sz w:val="28"/>
        </w:rPr>
      </w:pPr>
      <w:r>
        <w:rPr>
          <w:rFonts w:hint="eastAsia" w:ascii="宋体" w:hAnsi="宋体" w:eastAsia="宋体" w:cs="Times New Roman"/>
          <w:b/>
          <w:color w:val="auto"/>
          <w:sz w:val="28"/>
        </w:rPr>
        <w:t>附件9：</w:t>
      </w:r>
    </w:p>
    <w:p w14:paraId="1E32BC5C">
      <w:pPr>
        <w:pStyle w:val="27"/>
        <w:spacing w:line="360" w:lineRule="auto"/>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证书一览表</w:t>
      </w:r>
    </w:p>
    <w:p w14:paraId="2BE7CC78">
      <w:pPr>
        <w:pStyle w:val="27"/>
        <w:spacing w:line="360" w:lineRule="auto"/>
        <w:jc w:val="center"/>
        <w:rPr>
          <w:rFonts w:ascii="宋体" w:hAnsi="宋体" w:eastAsia="宋体" w:cs="Arial"/>
          <w:color w:val="auto"/>
          <w:sz w:val="28"/>
          <w:szCs w:val="28"/>
        </w:rPr>
      </w:pP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B1F4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41486126">
            <w:pPr>
              <w:pStyle w:val="27"/>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证书名称</w:t>
            </w:r>
          </w:p>
        </w:tc>
        <w:tc>
          <w:tcPr>
            <w:tcW w:w="2258" w:type="dxa"/>
            <w:tcBorders>
              <w:top w:val="single" w:color="auto" w:sz="4" w:space="0"/>
              <w:bottom w:val="single" w:color="auto" w:sz="4" w:space="0"/>
            </w:tcBorders>
            <w:noWrap w:val="0"/>
            <w:vAlign w:val="top"/>
          </w:tcPr>
          <w:p w14:paraId="47781557">
            <w:pPr>
              <w:pStyle w:val="27"/>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发证单位</w:t>
            </w:r>
          </w:p>
        </w:tc>
        <w:tc>
          <w:tcPr>
            <w:tcW w:w="2260" w:type="dxa"/>
            <w:tcBorders>
              <w:top w:val="single" w:color="auto" w:sz="4" w:space="0"/>
              <w:bottom w:val="single" w:color="auto" w:sz="4" w:space="0"/>
            </w:tcBorders>
            <w:noWrap w:val="0"/>
            <w:vAlign w:val="top"/>
          </w:tcPr>
          <w:p w14:paraId="11AF115B">
            <w:pPr>
              <w:pStyle w:val="27"/>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证书等级</w:t>
            </w:r>
          </w:p>
        </w:tc>
        <w:tc>
          <w:tcPr>
            <w:tcW w:w="2047" w:type="dxa"/>
            <w:tcBorders>
              <w:top w:val="single" w:color="auto" w:sz="4" w:space="0"/>
              <w:bottom w:val="single" w:color="auto" w:sz="4" w:space="0"/>
              <w:right w:val="single" w:color="auto" w:sz="4" w:space="0"/>
            </w:tcBorders>
            <w:noWrap w:val="0"/>
            <w:vAlign w:val="top"/>
          </w:tcPr>
          <w:p w14:paraId="0A5F3613">
            <w:pPr>
              <w:pStyle w:val="27"/>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证书有效期</w:t>
            </w:r>
          </w:p>
        </w:tc>
      </w:tr>
      <w:tr w14:paraId="1F6774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505C88C1">
            <w:pPr>
              <w:pStyle w:val="27"/>
              <w:spacing w:line="360" w:lineRule="auto"/>
              <w:jc w:val="center"/>
              <w:rPr>
                <w:rFonts w:ascii="宋体" w:hAnsi="宋体" w:eastAsia="宋体" w:cs="Arial"/>
                <w:color w:val="auto"/>
                <w:szCs w:val="21"/>
              </w:rPr>
            </w:pPr>
          </w:p>
        </w:tc>
        <w:tc>
          <w:tcPr>
            <w:tcW w:w="2258" w:type="dxa"/>
            <w:tcBorders>
              <w:top w:val="single" w:color="auto" w:sz="4" w:space="0"/>
            </w:tcBorders>
            <w:noWrap w:val="0"/>
            <w:vAlign w:val="top"/>
          </w:tcPr>
          <w:p w14:paraId="6B130679">
            <w:pPr>
              <w:pStyle w:val="27"/>
              <w:spacing w:line="360" w:lineRule="auto"/>
              <w:jc w:val="center"/>
              <w:rPr>
                <w:rFonts w:ascii="宋体" w:hAnsi="宋体" w:eastAsia="宋体" w:cs="Arial"/>
                <w:color w:val="auto"/>
                <w:szCs w:val="21"/>
              </w:rPr>
            </w:pPr>
          </w:p>
        </w:tc>
        <w:tc>
          <w:tcPr>
            <w:tcW w:w="2260" w:type="dxa"/>
            <w:tcBorders>
              <w:top w:val="single" w:color="auto" w:sz="4" w:space="0"/>
            </w:tcBorders>
            <w:noWrap w:val="0"/>
            <w:vAlign w:val="top"/>
          </w:tcPr>
          <w:p w14:paraId="1ABC894C">
            <w:pPr>
              <w:pStyle w:val="27"/>
              <w:spacing w:line="360" w:lineRule="auto"/>
              <w:jc w:val="center"/>
              <w:rPr>
                <w:rFonts w:ascii="宋体" w:hAnsi="宋体" w:eastAsia="宋体" w:cs="Arial"/>
                <w:color w:val="auto"/>
                <w:szCs w:val="21"/>
              </w:rPr>
            </w:pPr>
          </w:p>
        </w:tc>
        <w:tc>
          <w:tcPr>
            <w:tcW w:w="2047" w:type="dxa"/>
            <w:tcBorders>
              <w:top w:val="single" w:color="auto" w:sz="4" w:space="0"/>
              <w:right w:val="single" w:color="auto" w:sz="4" w:space="0"/>
            </w:tcBorders>
            <w:noWrap w:val="0"/>
            <w:vAlign w:val="top"/>
          </w:tcPr>
          <w:p w14:paraId="5458ED6B">
            <w:pPr>
              <w:pStyle w:val="27"/>
              <w:spacing w:line="360" w:lineRule="auto"/>
              <w:jc w:val="center"/>
              <w:rPr>
                <w:rFonts w:ascii="宋体" w:hAnsi="宋体" w:eastAsia="宋体" w:cs="Arial"/>
                <w:color w:val="auto"/>
                <w:szCs w:val="21"/>
              </w:rPr>
            </w:pPr>
          </w:p>
        </w:tc>
      </w:tr>
      <w:tr w14:paraId="0A4D7D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05A9299">
            <w:pPr>
              <w:pStyle w:val="27"/>
              <w:spacing w:line="360" w:lineRule="auto"/>
              <w:jc w:val="center"/>
              <w:rPr>
                <w:rFonts w:ascii="宋体" w:hAnsi="宋体" w:eastAsia="宋体" w:cs="Arial"/>
                <w:color w:val="auto"/>
                <w:szCs w:val="21"/>
              </w:rPr>
            </w:pPr>
          </w:p>
        </w:tc>
        <w:tc>
          <w:tcPr>
            <w:tcW w:w="2258" w:type="dxa"/>
            <w:noWrap w:val="0"/>
            <w:vAlign w:val="top"/>
          </w:tcPr>
          <w:p w14:paraId="1D1DD0F8">
            <w:pPr>
              <w:pStyle w:val="27"/>
              <w:spacing w:line="360" w:lineRule="auto"/>
              <w:jc w:val="center"/>
              <w:rPr>
                <w:rFonts w:ascii="宋体" w:hAnsi="宋体" w:eastAsia="宋体" w:cs="Arial"/>
                <w:color w:val="auto"/>
                <w:szCs w:val="21"/>
              </w:rPr>
            </w:pPr>
          </w:p>
        </w:tc>
        <w:tc>
          <w:tcPr>
            <w:tcW w:w="2260" w:type="dxa"/>
            <w:noWrap w:val="0"/>
            <w:vAlign w:val="top"/>
          </w:tcPr>
          <w:p w14:paraId="17A4B26C">
            <w:pPr>
              <w:pStyle w:val="27"/>
              <w:spacing w:line="360" w:lineRule="auto"/>
              <w:jc w:val="center"/>
              <w:rPr>
                <w:rFonts w:ascii="宋体" w:hAnsi="宋体" w:eastAsia="宋体" w:cs="Arial"/>
                <w:color w:val="auto"/>
                <w:szCs w:val="21"/>
              </w:rPr>
            </w:pPr>
          </w:p>
        </w:tc>
        <w:tc>
          <w:tcPr>
            <w:tcW w:w="2047" w:type="dxa"/>
            <w:tcBorders>
              <w:right w:val="single" w:color="auto" w:sz="4" w:space="0"/>
            </w:tcBorders>
            <w:noWrap w:val="0"/>
            <w:vAlign w:val="top"/>
          </w:tcPr>
          <w:p w14:paraId="6273F1DE">
            <w:pPr>
              <w:pStyle w:val="27"/>
              <w:spacing w:line="360" w:lineRule="auto"/>
              <w:jc w:val="center"/>
              <w:rPr>
                <w:rFonts w:ascii="宋体" w:hAnsi="宋体" w:eastAsia="宋体" w:cs="Arial"/>
                <w:color w:val="auto"/>
                <w:szCs w:val="21"/>
              </w:rPr>
            </w:pPr>
          </w:p>
        </w:tc>
      </w:tr>
      <w:tr w14:paraId="31EE98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0C964F7">
            <w:pPr>
              <w:pStyle w:val="27"/>
              <w:spacing w:line="360" w:lineRule="auto"/>
              <w:jc w:val="center"/>
              <w:rPr>
                <w:rFonts w:ascii="宋体" w:hAnsi="宋体" w:eastAsia="宋体" w:cs="Arial"/>
                <w:color w:val="auto"/>
                <w:szCs w:val="21"/>
              </w:rPr>
            </w:pPr>
          </w:p>
        </w:tc>
        <w:tc>
          <w:tcPr>
            <w:tcW w:w="2258" w:type="dxa"/>
            <w:noWrap w:val="0"/>
            <w:vAlign w:val="top"/>
          </w:tcPr>
          <w:p w14:paraId="14421EBE">
            <w:pPr>
              <w:pStyle w:val="27"/>
              <w:spacing w:line="360" w:lineRule="auto"/>
              <w:jc w:val="center"/>
              <w:rPr>
                <w:rFonts w:ascii="宋体" w:hAnsi="宋体" w:eastAsia="宋体" w:cs="Arial"/>
                <w:color w:val="auto"/>
                <w:szCs w:val="21"/>
              </w:rPr>
            </w:pPr>
          </w:p>
        </w:tc>
        <w:tc>
          <w:tcPr>
            <w:tcW w:w="2260" w:type="dxa"/>
            <w:noWrap w:val="0"/>
            <w:vAlign w:val="top"/>
          </w:tcPr>
          <w:p w14:paraId="1ADE927A">
            <w:pPr>
              <w:pStyle w:val="27"/>
              <w:spacing w:line="360" w:lineRule="auto"/>
              <w:jc w:val="center"/>
              <w:rPr>
                <w:rFonts w:ascii="宋体" w:hAnsi="宋体" w:eastAsia="宋体" w:cs="Arial"/>
                <w:color w:val="auto"/>
                <w:szCs w:val="21"/>
              </w:rPr>
            </w:pPr>
          </w:p>
        </w:tc>
        <w:tc>
          <w:tcPr>
            <w:tcW w:w="2047" w:type="dxa"/>
            <w:tcBorders>
              <w:right w:val="single" w:color="auto" w:sz="4" w:space="0"/>
            </w:tcBorders>
            <w:noWrap w:val="0"/>
            <w:vAlign w:val="top"/>
          </w:tcPr>
          <w:p w14:paraId="223348FC">
            <w:pPr>
              <w:pStyle w:val="27"/>
              <w:spacing w:line="360" w:lineRule="auto"/>
              <w:jc w:val="center"/>
              <w:rPr>
                <w:rFonts w:ascii="宋体" w:hAnsi="宋体" w:eastAsia="宋体" w:cs="Arial"/>
                <w:color w:val="auto"/>
                <w:szCs w:val="21"/>
              </w:rPr>
            </w:pPr>
          </w:p>
        </w:tc>
      </w:tr>
      <w:tr w14:paraId="6F2C5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9B5B65F">
            <w:pPr>
              <w:pStyle w:val="27"/>
              <w:spacing w:line="360" w:lineRule="auto"/>
              <w:jc w:val="center"/>
              <w:rPr>
                <w:rFonts w:ascii="宋体" w:hAnsi="宋体" w:eastAsia="宋体" w:cs="Arial"/>
                <w:color w:val="auto"/>
                <w:szCs w:val="21"/>
              </w:rPr>
            </w:pPr>
          </w:p>
        </w:tc>
        <w:tc>
          <w:tcPr>
            <w:tcW w:w="2258" w:type="dxa"/>
            <w:noWrap w:val="0"/>
            <w:vAlign w:val="top"/>
          </w:tcPr>
          <w:p w14:paraId="1D9A85C8">
            <w:pPr>
              <w:pStyle w:val="27"/>
              <w:spacing w:line="360" w:lineRule="auto"/>
              <w:jc w:val="center"/>
              <w:rPr>
                <w:rFonts w:ascii="宋体" w:hAnsi="宋体" w:eastAsia="宋体" w:cs="Arial"/>
                <w:color w:val="auto"/>
                <w:szCs w:val="21"/>
              </w:rPr>
            </w:pPr>
          </w:p>
        </w:tc>
        <w:tc>
          <w:tcPr>
            <w:tcW w:w="2260" w:type="dxa"/>
            <w:noWrap w:val="0"/>
            <w:vAlign w:val="top"/>
          </w:tcPr>
          <w:p w14:paraId="413BAB7B">
            <w:pPr>
              <w:pStyle w:val="27"/>
              <w:spacing w:line="360" w:lineRule="auto"/>
              <w:jc w:val="center"/>
              <w:rPr>
                <w:rFonts w:ascii="宋体" w:hAnsi="宋体" w:eastAsia="宋体" w:cs="Arial"/>
                <w:color w:val="auto"/>
                <w:szCs w:val="21"/>
              </w:rPr>
            </w:pPr>
          </w:p>
        </w:tc>
        <w:tc>
          <w:tcPr>
            <w:tcW w:w="2047" w:type="dxa"/>
            <w:tcBorders>
              <w:right w:val="single" w:color="auto" w:sz="4" w:space="0"/>
            </w:tcBorders>
            <w:noWrap w:val="0"/>
            <w:vAlign w:val="top"/>
          </w:tcPr>
          <w:p w14:paraId="3FBDC8FE">
            <w:pPr>
              <w:pStyle w:val="27"/>
              <w:spacing w:line="360" w:lineRule="auto"/>
              <w:jc w:val="center"/>
              <w:rPr>
                <w:rFonts w:ascii="宋体" w:hAnsi="宋体" w:eastAsia="宋体" w:cs="Arial"/>
                <w:color w:val="auto"/>
                <w:szCs w:val="21"/>
              </w:rPr>
            </w:pPr>
          </w:p>
        </w:tc>
      </w:tr>
      <w:tr w14:paraId="30950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AEA8165">
            <w:pPr>
              <w:pStyle w:val="27"/>
              <w:spacing w:line="360" w:lineRule="auto"/>
              <w:jc w:val="center"/>
              <w:rPr>
                <w:rFonts w:ascii="宋体" w:hAnsi="宋体" w:eastAsia="宋体" w:cs="Arial"/>
                <w:color w:val="auto"/>
                <w:szCs w:val="21"/>
              </w:rPr>
            </w:pPr>
          </w:p>
        </w:tc>
        <w:tc>
          <w:tcPr>
            <w:tcW w:w="2258" w:type="dxa"/>
            <w:noWrap w:val="0"/>
            <w:vAlign w:val="top"/>
          </w:tcPr>
          <w:p w14:paraId="6399E081">
            <w:pPr>
              <w:pStyle w:val="27"/>
              <w:spacing w:line="360" w:lineRule="auto"/>
              <w:jc w:val="center"/>
              <w:rPr>
                <w:rFonts w:ascii="宋体" w:hAnsi="宋体" w:eastAsia="宋体" w:cs="Arial"/>
                <w:color w:val="auto"/>
                <w:szCs w:val="21"/>
              </w:rPr>
            </w:pPr>
          </w:p>
        </w:tc>
        <w:tc>
          <w:tcPr>
            <w:tcW w:w="2260" w:type="dxa"/>
            <w:noWrap w:val="0"/>
            <w:vAlign w:val="top"/>
          </w:tcPr>
          <w:p w14:paraId="5A0D2FF3">
            <w:pPr>
              <w:pStyle w:val="27"/>
              <w:spacing w:line="360" w:lineRule="auto"/>
              <w:jc w:val="center"/>
              <w:rPr>
                <w:rFonts w:ascii="宋体" w:hAnsi="宋体" w:eastAsia="宋体" w:cs="Arial"/>
                <w:color w:val="auto"/>
                <w:szCs w:val="21"/>
              </w:rPr>
            </w:pPr>
          </w:p>
        </w:tc>
        <w:tc>
          <w:tcPr>
            <w:tcW w:w="2047" w:type="dxa"/>
            <w:tcBorders>
              <w:right w:val="single" w:color="auto" w:sz="4" w:space="0"/>
            </w:tcBorders>
            <w:noWrap w:val="0"/>
            <w:vAlign w:val="top"/>
          </w:tcPr>
          <w:p w14:paraId="0B740619">
            <w:pPr>
              <w:pStyle w:val="27"/>
              <w:spacing w:line="360" w:lineRule="auto"/>
              <w:jc w:val="center"/>
              <w:rPr>
                <w:rFonts w:ascii="宋体" w:hAnsi="宋体" w:eastAsia="宋体" w:cs="Arial"/>
                <w:color w:val="auto"/>
                <w:szCs w:val="21"/>
              </w:rPr>
            </w:pPr>
          </w:p>
        </w:tc>
      </w:tr>
      <w:tr w14:paraId="0907EC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C1B1B75">
            <w:pPr>
              <w:pStyle w:val="27"/>
              <w:spacing w:line="360" w:lineRule="auto"/>
              <w:jc w:val="center"/>
              <w:rPr>
                <w:rFonts w:ascii="宋体" w:hAnsi="宋体" w:eastAsia="宋体" w:cs="Arial"/>
                <w:color w:val="auto"/>
                <w:szCs w:val="21"/>
              </w:rPr>
            </w:pPr>
          </w:p>
        </w:tc>
        <w:tc>
          <w:tcPr>
            <w:tcW w:w="2258" w:type="dxa"/>
            <w:noWrap w:val="0"/>
            <w:vAlign w:val="top"/>
          </w:tcPr>
          <w:p w14:paraId="7107461C">
            <w:pPr>
              <w:pStyle w:val="27"/>
              <w:spacing w:line="360" w:lineRule="auto"/>
              <w:jc w:val="center"/>
              <w:rPr>
                <w:rFonts w:ascii="宋体" w:hAnsi="宋体" w:eastAsia="宋体" w:cs="Arial"/>
                <w:color w:val="auto"/>
                <w:szCs w:val="21"/>
              </w:rPr>
            </w:pPr>
          </w:p>
        </w:tc>
        <w:tc>
          <w:tcPr>
            <w:tcW w:w="2260" w:type="dxa"/>
            <w:noWrap w:val="0"/>
            <w:vAlign w:val="top"/>
          </w:tcPr>
          <w:p w14:paraId="17152120">
            <w:pPr>
              <w:pStyle w:val="27"/>
              <w:spacing w:line="360" w:lineRule="auto"/>
              <w:jc w:val="center"/>
              <w:rPr>
                <w:rFonts w:ascii="宋体" w:hAnsi="宋体" w:eastAsia="宋体" w:cs="Arial"/>
                <w:color w:val="auto"/>
                <w:szCs w:val="21"/>
              </w:rPr>
            </w:pPr>
          </w:p>
        </w:tc>
        <w:tc>
          <w:tcPr>
            <w:tcW w:w="2047" w:type="dxa"/>
            <w:tcBorders>
              <w:right w:val="single" w:color="auto" w:sz="4" w:space="0"/>
            </w:tcBorders>
            <w:noWrap w:val="0"/>
            <w:vAlign w:val="top"/>
          </w:tcPr>
          <w:p w14:paraId="74BC31C4">
            <w:pPr>
              <w:pStyle w:val="27"/>
              <w:spacing w:line="360" w:lineRule="auto"/>
              <w:jc w:val="center"/>
              <w:rPr>
                <w:rFonts w:ascii="宋体" w:hAnsi="宋体" w:eastAsia="宋体" w:cs="Arial"/>
                <w:color w:val="auto"/>
                <w:szCs w:val="21"/>
              </w:rPr>
            </w:pPr>
          </w:p>
        </w:tc>
      </w:tr>
      <w:tr w14:paraId="772856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264D5E36">
            <w:pPr>
              <w:pStyle w:val="27"/>
              <w:spacing w:line="360" w:lineRule="auto"/>
              <w:jc w:val="center"/>
              <w:rPr>
                <w:rFonts w:ascii="宋体" w:hAnsi="宋体" w:eastAsia="宋体" w:cs="Arial"/>
                <w:color w:val="auto"/>
                <w:szCs w:val="21"/>
              </w:rPr>
            </w:pPr>
          </w:p>
        </w:tc>
        <w:tc>
          <w:tcPr>
            <w:tcW w:w="2258" w:type="dxa"/>
            <w:tcBorders>
              <w:bottom w:val="single" w:color="auto" w:sz="4" w:space="0"/>
            </w:tcBorders>
            <w:noWrap w:val="0"/>
            <w:vAlign w:val="top"/>
          </w:tcPr>
          <w:p w14:paraId="7FBEAEA5">
            <w:pPr>
              <w:pStyle w:val="27"/>
              <w:spacing w:line="360" w:lineRule="auto"/>
              <w:jc w:val="center"/>
              <w:rPr>
                <w:rFonts w:ascii="宋体" w:hAnsi="宋体" w:eastAsia="宋体" w:cs="Arial"/>
                <w:color w:val="auto"/>
                <w:szCs w:val="21"/>
              </w:rPr>
            </w:pPr>
          </w:p>
        </w:tc>
        <w:tc>
          <w:tcPr>
            <w:tcW w:w="2260" w:type="dxa"/>
            <w:tcBorders>
              <w:bottom w:val="single" w:color="auto" w:sz="4" w:space="0"/>
            </w:tcBorders>
            <w:noWrap w:val="0"/>
            <w:vAlign w:val="top"/>
          </w:tcPr>
          <w:p w14:paraId="29B9604D">
            <w:pPr>
              <w:pStyle w:val="27"/>
              <w:spacing w:line="360" w:lineRule="auto"/>
              <w:jc w:val="center"/>
              <w:rPr>
                <w:rFonts w:ascii="宋体" w:hAnsi="宋体" w:eastAsia="宋体" w:cs="Arial"/>
                <w:color w:val="auto"/>
                <w:szCs w:val="21"/>
              </w:rPr>
            </w:pPr>
          </w:p>
        </w:tc>
        <w:tc>
          <w:tcPr>
            <w:tcW w:w="2047" w:type="dxa"/>
            <w:tcBorders>
              <w:bottom w:val="single" w:color="auto" w:sz="4" w:space="0"/>
              <w:right w:val="single" w:color="auto" w:sz="4" w:space="0"/>
            </w:tcBorders>
            <w:noWrap w:val="0"/>
            <w:vAlign w:val="top"/>
          </w:tcPr>
          <w:p w14:paraId="0FB96D00">
            <w:pPr>
              <w:pStyle w:val="27"/>
              <w:spacing w:line="360" w:lineRule="auto"/>
              <w:jc w:val="center"/>
              <w:rPr>
                <w:rFonts w:ascii="宋体" w:hAnsi="宋体" w:eastAsia="宋体" w:cs="Arial"/>
                <w:color w:val="auto"/>
                <w:szCs w:val="21"/>
              </w:rPr>
            </w:pPr>
          </w:p>
        </w:tc>
      </w:tr>
    </w:tbl>
    <w:p w14:paraId="583D4821">
      <w:pPr>
        <w:pStyle w:val="27"/>
        <w:tabs>
          <w:tab w:val="left" w:pos="1050"/>
        </w:tabs>
        <w:spacing w:line="360" w:lineRule="auto"/>
        <w:rPr>
          <w:rFonts w:ascii="仿宋_GB2312" w:hAnsi="宋体" w:eastAsia="仿宋_GB2312" w:cs="Times New Roman"/>
          <w:color w:val="auto"/>
          <w:sz w:val="24"/>
        </w:rPr>
      </w:pPr>
    </w:p>
    <w:p w14:paraId="2BA65636">
      <w:pPr>
        <w:pStyle w:val="27"/>
        <w:tabs>
          <w:tab w:val="left" w:pos="1050"/>
        </w:tabs>
        <w:spacing w:line="360" w:lineRule="auto"/>
        <w:rPr>
          <w:rFonts w:ascii="宋体" w:hAnsi="宋体" w:eastAsia="宋体" w:cs="Times New Roman"/>
          <w:color w:val="auto"/>
          <w:szCs w:val="21"/>
        </w:rPr>
      </w:pPr>
      <w:r>
        <w:rPr>
          <w:rFonts w:hint="eastAsia" w:ascii="宋体" w:hAnsi="宋体" w:eastAsia="宋体" w:cs="Times New Roman"/>
          <w:b/>
          <w:color w:val="auto"/>
          <w:szCs w:val="21"/>
        </w:rPr>
        <w:t>要求：</w:t>
      </w:r>
    </w:p>
    <w:p w14:paraId="5278AA71">
      <w:pPr>
        <w:pStyle w:val="27"/>
        <w:tabs>
          <w:tab w:val="left" w:pos="1050"/>
        </w:tabs>
        <w:spacing w:line="360" w:lineRule="auto"/>
        <w:ind w:firstLine="424" w:firstLineChars="202"/>
        <w:rPr>
          <w:rFonts w:ascii="宋体" w:hAnsi="宋体" w:eastAsia="宋体" w:cs="Times New Roman"/>
          <w:color w:val="auto"/>
          <w:szCs w:val="21"/>
        </w:rPr>
      </w:pPr>
      <w:r>
        <w:rPr>
          <w:rFonts w:hint="eastAsia" w:ascii="宋体" w:hAnsi="宋体" w:eastAsia="宋体" w:cs="Times New Roman"/>
          <w:color w:val="auto"/>
          <w:szCs w:val="21"/>
        </w:rPr>
        <w:t>1.填写磋商供应商获得资质、认证或企业信誉证书。</w:t>
      </w:r>
    </w:p>
    <w:p w14:paraId="330A6E54">
      <w:pPr>
        <w:pStyle w:val="27"/>
        <w:tabs>
          <w:tab w:val="left" w:pos="1050"/>
        </w:tabs>
        <w:spacing w:line="360" w:lineRule="auto"/>
        <w:ind w:firstLine="424" w:firstLineChars="202"/>
        <w:rPr>
          <w:rFonts w:ascii="宋体" w:hAnsi="宋体" w:eastAsia="宋体" w:cs="Times New Roman"/>
          <w:color w:val="auto"/>
          <w:szCs w:val="21"/>
        </w:rPr>
      </w:pPr>
      <w:r>
        <w:rPr>
          <w:rFonts w:hint="eastAsia" w:ascii="宋体" w:hAnsi="宋体" w:eastAsia="宋体" w:cs="Times New Roman"/>
          <w:color w:val="auto"/>
          <w:szCs w:val="21"/>
        </w:rPr>
        <w:t>2.附所列证书复印件或其他证明材料。</w:t>
      </w:r>
    </w:p>
    <w:p w14:paraId="0186D5F8">
      <w:pPr>
        <w:pStyle w:val="27"/>
        <w:tabs>
          <w:tab w:val="left" w:pos="1050"/>
        </w:tabs>
        <w:spacing w:line="360" w:lineRule="auto"/>
        <w:ind w:firstLine="424" w:firstLineChars="202"/>
        <w:rPr>
          <w:rFonts w:ascii="宋体" w:hAnsi="宋体" w:eastAsia="宋体" w:cs="Times New Roman"/>
          <w:color w:val="auto"/>
          <w:szCs w:val="21"/>
        </w:rPr>
      </w:pPr>
    </w:p>
    <w:p w14:paraId="52D47CB7">
      <w:pPr>
        <w:pStyle w:val="27"/>
        <w:tabs>
          <w:tab w:val="left" w:pos="1050"/>
        </w:tabs>
        <w:spacing w:line="360" w:lineRule="auto"/>
        <w:ind w:firstLine="720" w:firstLineChars="300"/>
        <w:rPr>
          <w:rFonts w:ascii="仿宋_GB2312" w:hAnsi="宋体" w:eastAsia="仿宋_GB2312" w:cs="Times New Roman"/>
          <w:color w:val="auto"/>
          <w:sz w:val="24"/>
        </w:rPr>
      </w:pPr>
    </w:p>
    <w:p w14:paraId="65E1BBF4">
      <w:pPr>
        <w:pStyle w:val="27"/>
        <w:tabs>
          <w:tab w:val="left" w:pos="1050"/>
        </w:tabs>
        <w:spacing w:line="360" w:lineRule="auto"/>
        <w:ind w:firstLine="720" w:firstLineChars="300"/>
        <w:rPr>
          <w:rFonts w:ascii="仿宋_GB2312" w:hAnsi="宋体" w:eastAsia="仿宋_GB2312" w:cs="Times New Roman"/>
          <w:color w:val="auto"/>
          <w:sz w:val="24"/>
        </w:rPr>
      </w:pPr>
    </w:p>
    <w:p w14:paraId="69CDFA31">
      <w:pPr>
        <w:pStyle w:val="27"/>
        <w:tabs>
          <w:tab w:val="left" w:pos="1050"/>
        </w:tabs>
        <w:spacing w:line="360" w:lineRule="auto"/>
        <w:ind w:firstLine="720" w:firstLineChars="300"/>
        <w:rPr>
          <w:rFonts w:ascii="仿宋_GB2312" w:hAnsi="宋体" w:eastAsia="仿宋_GB2312" w:cs="Times New Roman"/>
          <w:color w:val="auto"/>
          <w:sz w:val="24"/>
        </w:rPr>
      </w:pPr>
    </w:p>
    <w:p w14:paraId="5AFC74BC">
      <w:pPr>
        <w:spacing w:line="360" w:lineRule="auto"/>
        <w:ind w:firstLine="424" w:firstLineChars="177"/>
        <w:rPr>
          <w:rFonts w:ascii="宋体" w:hAnsi="宋体" w:eastAsia="宋体" w:cs="Times New Roman"/>
          <w:color w:val="auto"/>
          <w:sz w:val="24"/>
          <w:u w:val="single"/>
        </w:rPr>
      </w:pPr>
      <w:r>
        <w:rPr>
          <w:rFonts w:hint="eastAsia" w:ascii="宋体" w:hAnsi="宋体" w:eastAsia="宋体" w:cs="Times New Roman"/>
          <w:color w:val="auto"/>
          <w:sz w:val="24"/>
        </w:rPr>
        <w:t>磋商供应商名称（盖章）：</w:t>
      </w:r>
      <w:r>
        <w:rPr>
          <w:rFonts w:hint="eastAsia" w:ascii="宋体" w:hAnsi="宋体" w:eastAsia="宋体" w:cs="Times New Roman"/>
          <w:color w:val="auto"/>
          <w:sz w:val="24"/>
          <w:u w:val="single"/>
        </w:rPr>
        <w:t xml:space="preserve">                       </w:t>
      </w:r>
    </w:p>
    <w:p w14:paraId="03FC849D">
      <w:pPr>
        <w:spacing w:line="360" w:lineRule="auto"/>
        <w:ind w:left="420"/>
        <w:rPr>
          <w:rFonts w:ascii="宋体" w:hAnsi="宋体" w:eastAsia="宋体" w:cs="Times New Roman"/>
          <w:color w:val="auto"/>
          <w:sz w:val="24"/>
        </w:rPr>
      </w:pPr>
    </w:p>
    <w:p w14:paraId="365925F6">
      <w:pPr>
        <w:spacing w:line="360" w:lineRule="auto"/>
        <w:ind w:firstLine="424" w:firstLineChars="177"/>
        <w:rPr>
          <w:rFonts w:ascii="宋体" w:hAnsi="宋体" w:eastAsia="宋体" w:cs="Times New Roman"/>
          <w:color w:val="auto"/>
          <w:sz w:val="24"/>
        </w:rPr>
      </w:pPr>
      <w:r>
        <w:rPr>
          <w:rFonts w:hint="eastAsia" w:ascii="宋体" w:hAnsi="宋体" w:eastAsia="宋体" w:cs="Times New Roman"/>
          <w:color w:val="auto"/>
          <w:sz w:val="24"/>
        </w:rPr>
        <w:t>磋商供应商代表</w:t>
      </w:r>
      <w:r>
        <w:rPr>
          <w:rFonts w:hint="eastAsia" w:ascii="宋体" w:hAnsi="宋体" w:eastAsia="宋体" w:cs="Times New Roman"/>
          <w:color w:val="auto"/>
          <w:sz w:val="24"/>
          <w:lang w:eastAsia="zh-CN"/>
        </w:rPr>
        <w:t>签字</w:t>
      </w:r>
      <w:r>
        <w:rPr>
          <w:rFonts w:hint="eastAsia" w:ascii="宋体" w:hAnsi="宋体" w:eastAsia="宋体" w:cs="Times New Roman"/>
          <w:color w:val="auto"/>
          <w:sz w:val="24"/>
        </w:rPr>
        <w:t>：</w:t>
      </w:r>
      <w:r>
        <w:rPr>
          <w:rFonts w:hint="eastAsia" w:ascii="宋体" w:hAnsi="宋体" w:eastAsia="宋体" w:cs="Times New Roman"/>
          <w:color w:val="auto"/>
          <w:sz w:val="24"/>
          <w:u w:val="single"/>
        </w:rPr>
        <w:t xml:space="preserve">                          </w:t>
      </w:r>
    </w:p>
    <w:p w14:paraId="45575EA3">
      <w:pPr>
        <w:spacing w:line="360" w:lineRule="auto"/>
        <w:ind w:firstLine="435"/>
        <w:rPr>
          <w:rFonts w:ascii="宋体" w:hAnsi="宋体" w:eastAsia="宋体" w:cs="Times New Roman"/>
          <w:color w:val="auto"/>
          <w:sz w:val="24"/>
        </w:rPr>
      </w:pPr>
    </w:p>
    <w:p w14:paraId="6183338D">
      <w:pPr>
        <w:spacing w:line="360" w:lineRule="auto"/>
        <w:ind w:firstLine="424" w:firstLineChars="177"/>
        <w:rPr>
          <w:rFonts w:ascii="宋体" w:hAnsi="宋体" w:eastAsia="宋体" w:cs="Times New Roman"/>
          <w:color w:val="auto"/>
          <w:sz w:val="24"/>
          <w:u w:val="single"/>
        </w:rPr>
      </w:pPr>
      <w:r>
        <w:rPr>
          <w:rFonts w:hint="eastAsia" w:ascii="宋体" w:hAnsi="宋体" w:eastAsia="宋体" w:cs="Times New Roman"/>
          <w:color w:val="auto"/>
          <w:sz w:val="24"/>
        </w:rPr>
        <w:t>职        务：</w:t>
      </w:r>
      <w:r>
        <w:rPr>
          <w:rFonts w:hint="eastAsia" w:ascii="宋体" w:hAnsi="宋体" w:eastAsia="宋体" w:cs="Times New Roman"/>
          <w:color w:val="auto"/>
          <w:sz w:val="24"/>
          <w:u w:val="single"/>
        </w:rPr>
        <w:t xml:space="preserve">                             </w:t>
      </w:r>
    </w:p>
    <w:p w14:paraId="79E118E6">
      <w:pPr>
        <w:spacing w:line="360" w:lineRule="auto"/>
        <w:rPr>
          <w:rFonts w:ascii="宋体" w:hAnsi="宋体" w:eastAsia="宋体" w:cs="Times New Roman"/>
          <w:color w:val="auto"/>
          <w:sz w:val="24"/>
        </w:rPr>
      </w:pPr>
    </w:p>
    <w:p w14:paraId="0808B32B">
      <w:pPr>
        <w:widowControl/>
        <w:shd w:val="clear" w:color="auto" w:fill="FFFFFF"/>
        <w:spacing w:before="0" w:beforeAutospacing="0" w:after="0" w:afterAutospacing="0" w:line="360" w:lineRule="auto"/>
        <w:ind w:firstLine="424" w:firstLineChars="177"/>
        <w:jc w:val="left"/>
        <w:rPr>
          <w:rFonts w:ascii="宋体" w:hAnsi="宋体" w:eastAsia="宋体" w:cs="宋体"/>
          <w:b/>
          <w:bCs/>
          <w:color w:val="auto"/>
          <w:spacing w:val="11"/>
          <w:kern w:val="0"/>
          <w:sz w:val="24"/>
          <w:szCs w:val="24"/>
          <w:lang w:val="en-US" w:eastAsia="zh-CN" w:bidi="ar-SA"/>
        </w:rPr>
      </w:pPr>
      <w:r>
        <w:rPr>
          <w:rFonts w:hint="eastAsia" w:ascii="宋体" w:hAnsi="宋体" w:eastAsia="宋体" w:cs="宋体"/>
          <w:color w:val="auto"/>
          <w:kern w:val="0"/>
          <w:sz w:val="24"/>
          <w:szCs w:val="24"/>
          <w:lang w:val="en-US" w:eastAsia="zh-CN" w:bidi="ar-SA"/>
        </w:rPr>
        <w:t>日        期：</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w:t>
      </w:r>
    </w:p>
    <w:p w14:paraId="3BFE29D7">
      <w:pPr>
        <w:spacing w:line="360" w:lineRule="auto"/>
        <w:rPr>
          <w:rFonts w:hint="eastAsia" w:ascii="宋体" w:hAnsi="宋体" w:eastAsia="宋体" w:cs="Times New Roman"/>
          <w:b/>
          <w:color w:val="auto"/>
          <w:sz w:val="28"/>
        </w:rPr>
      </w:pPr>
    </w:p>
    <w:p w14:paraId="2B4CB80E">
      <w:pPr>
        <w:spacing w:line="360" w:lineRule="auto"/>
        <w:rPr>
          <w:rFonts w:hint="eastAsia" w:ascii="宋体" w:hAnsi="宋体" w:eastAsia="宋体" w:cs="Times New Roman"/>
          <w:b/>
          <w:color w:val="auto"/>
          <w:sz w:val="28"/>
        </w:rPr>
      </w:pPr>
    </w:p>
    <w:p w14:paraId="4CA2EC85">
      <w:pPr>
        <w:spacing w:line="360" w:lineRule="auto"/>
        <w:rPr>
          <w:rFonts w:ascii="宋体" w:hAnsi="宋体" w:eastAsia="宋体" w:cs="Times New Roman"/>
          <w:b/>
          <w:color w:val="auto"/>
          <w:sz w:val="28"/>
        </w:rPr>
      </w:pPr>
      <w:r>
        <w:rPr>
          <w:rFonts w:hint="eastAsia" w:ascii="宋体" w:hAnsi="宋体" w:eastAsia="宋体" w:cs="Times New Roman"/>
          <w:b/>
          <w:color w:val="auto"/>
          <w:sz w:val="28"/>
        </w:rPr>
        <w:t>附件10:</w:t>
      </w:r>
    </w:p>
    <w:p w14:paraId="1A8EA61C">
      <w:pPr>
        <w:pStyle w:val="28"/>
        <w:spacing w:line="360" w:lineRule="auto"/>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类似项目实施情况一览表</w:t>
      </w:r>
    </w:p>
    <w:p w14:paraId="5BFEE131">
      <w:pPr>
        <w:pStyle w:val="28"/>
        <w:spacing w:line="360" w:lineRule="auto"/>
        <w:jc w:val="center"/>
        <w:rPr>
          <w:rFonts w:ascii="仿宋_GB2312" w:hAnsi="Times New Roman" w:eastAsia="仿宋_GB2312" w:cs="Times New Roman"/>
          <w:b/>
          <w:color w:val="auto"/>
          <w:sz w:val="28"/>
          <w:szCs w:val="28"/>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E858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2D5C27D7">
            <w:pPr>
              <w:pStyle w:val="28"/>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26121170">
            <w:pPr>
              <w:pStyle w:val="28"/>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605DE1BE">
            <w:pPr>
              <w:pStyle w:val="28"/>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D941914">
            <w:pPr>
              <w:pStyle w:val="28"/>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193AFC16">
            <w:pPr>
              <w:pStyle w:val="28"/>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051880D1">
            <w:pPr>
              <w:pStyle w:val="28"/>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3D0265C1">
            <w:pPr>
              <w:pStyle w:val="28"/>
              <w:spacing w:line="360" w:lineRule="auto"/>
              <w:jc w:val="center"/>
              <w:rPr>
                <w:rFonts w:ascii="宋体" w:hAnsi="宋体" w:eastAsia="宋体" w:cs="Arial"/>
                <w:b/>
                <w:bCs/>
                <w:color w:val="auto"/>
                <w:sz w:val="24"/>
              </w:rPr>
            </w:pPr>
            <w:r>
              <w:rPr>
                <w:rFonts w:hint="eastAsia" w:ascii="宋体" w:hAnsi="宋体" w:eastAsia="宋体" w:cs="Arial"/>
                <w:b/>
                <w:bCs/>
                <w:color w:val="auto"/>
                <w:sz w:val="24"/>
              </w:rPr>
              <w:t>项目单位名称及其联系人电话</w:t>
            </w:r>
          </w:p>
        </w:tc>
      </w:tr>
      <w:tr w14:paraId="6D3A9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8809E33">
            <w:pPr>
              <w:pStyle w:val="28"/>
              <w:spacing w:line="360" w:lineRule="auto"/>
              <w:jc w:val="center"/>
              <w:rPr>
                <w:rFonts w:ascii="宋体" w:hAnsi="宋体" w:eastAsia="宋体" w:cs="Arial"/>
                <w:color w:val="auto"/>
                <w:sz w:val="24"/>
              </w:rPr>
            </w:pPr>
            <w:r>
              <w:rPr>
                <w:rFonts w:hint="eastAsia" w:ascii="宋体" w:hAnsi="宋体" w:eastAsia="宋体" w:cs="Arial"/>
                <w:color w:val="auto"/>
                <w:sz w:val="24"/>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6CA5DB3">
            <w:pPr>
              <w:pStyle w:val="28"/>
              <w:spacing w:line="360" w:lineRule="auto"/>
              <w:rPr>
                <w:rFonts w:ascii="宋体" w:hAnsi="宋体" w:eastAsia="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3E4D491">
            <w:pPr>
              <w:pStyle w:val="28"/>
              <w:spacing w:line="360" w:lineRule="auto"/>
              <w:rPr>
                <w:rFonts w:ascii="宋体" w:hAnsi="宋体" w:eastAsia="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E8789D6">
            <w:pPr>
              <w:pStyle w:val="28"/>
              <w:spacing w:line="360" w:lineRule="auto"/>
              <w:rPr>
                <w:rFonts w:ascii="宋体" w:hAnsi="宋体" w:eastAsia="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BB872B6">
            <w:pPr>
              <w:pStyle w:val="28"/>
              <w:spacing w:line="360" w:lineRule="auto"/>
              <w:rPr>
                <w:rFonts w:ascii="宋体" w:hAnsi="宋体" w:eastAsia="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9673175">
            <w:pPr>
              <w:pStyle w:val="28"/>
              <w:spacing w:line="360" w:lineRule="auto"/>
              <w:rPr>
                <w:rFonts w:ascii="宋体" w:hAnsi="宋体" w:eastAsia="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B175357">
            <w:pPr>
              <w:pStyle w:val="28"/>
              <w:spacing w:line="360" w:lineRule="auto"/>
              <w:rPr>
                <w:rFonts w:ascii="宋体" w:hAnsi="宋体" w:eastAsia="宋体" w:cs="Arial"/>
                <w:color w:val="auto"/>
                <w:sz w:val="24"/>
              </w:rPr>
            </w:pPr>
          </w:p>
        </w:tc>
      </w:tr>
      <w:tr w14:paraId="3883D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7DC4300">
            <w:pPr>
              <w:pStyle w:val="28"/>
              <w:spacing w:line="360" w:lineRule="auto"/>
              <w:jc w:val="center"/>
              <w:rPr>
                <w:rFonts w:ascii="宋体" w:hAnsi="宋体" w:eastAsia="宋体" w:cs="Arial"/>
                <w:color w:val="auto"/>
                <w:sz w:val="24"/>
              </w:rPr>
            </w:pPr>
            <w:r>
              <w:rPr>
                <w:rFonts w:hint="eastAsia" w:ascii="宋体" w:hAnsi="宋体" w:eastAsia="宋体" w:cs="Arial"/>
                <w:color w:val="auto"/>
                <w:sz w:val="24"/>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381DDD9A">
            <w:pPr>
              <w:pStyle w:val="28"/>
              <w:spacing w:line="360" w:lineRule="auto"/>
              <w:rPr>
                <w:rFonts w:ascii="宋体" w:hAnsi="宋体" w:eastAsia="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780365B">
            <w:pPr>
              <w:pStyle w:val="28"/>
              <w:spacing w:line="360" w:lineRule="auto"/>
              <w:rPr>
                <w:rFonts w:ascii="宋体" w:hAnsi="宋体" w:eastAsia="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760D735">
            <w:pPr>
              <w:pStyle w:val="28"/>
              <w:spacing w:line="360" w:lineRule="auto"/>
              <w:rPr>
                <w:rFonts w:ascii="宋体" w:hAnsi="宋体" w:eastAsia="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646C697">
            <w:pPr>
              <w:pStyle w:val="28"/>
              <w:spacing w:line="360" w:lineRule="auto"/>
              <w:rPr>
                <w:rFonts w:ascii="宋体" w:hAnsi="宋体" w:eastAsia="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C9273BE">
            <w:pPr>
              <w:pStyle w:val="28"/>
              <w:spacing w:line="360" w:lineRule="auto"/>
              <w:rPr>
                <w:rFonts w:ascii="宋体" w:hAnsi="宋体" w:eastAsia="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1B751C9">
            <w:pPr>
              <w:pStyle w:val="28"/>
              <w:spacing w:line="360" w:lineRule="auto"/>
              <w:rPr>
                <w:rFonts w:ascii="宋体" w:hAnsi="宋体" w:eastAsia="宋体" w:cs="Arial"/>
                <w:color w:val="auto"/>
                <w:sz w:val="24"/>
              </w:rPr>
            </w:pPr>
          </w:p>
        </w:tc>
      </w:tr>
      <w:tr w14:paraId="5B79B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B2F8A5A">
            <w:pPr>
              <w:pStyle w:val="28"/>
              <w:spacing w:line="360" w:lineRule="auto"/>
              <w:jc w:val="center"/>
              <w:rPr>
                <w:rFonts w:ascii="宋体" w:hAnsi="宋体" w:eastAsia="宋体" w:cs="Arial"/>
                <w:color w:val="auto"/>
                <w:sz w:val="24"/>
              </w:rPr>
            </w:pPr>
            <w:r>
              <w:rPr>
                <w:rFonts w:hint="eastAsia" w:ascii="宋体" w:hAnsi="宋体" w:eastAsia="宋体" w:cs="Arial"/>
                <w:color w:val="auto"/>
                <w:sz w:val="24"/>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34A79BA5">
            <w:pPr>
              <w:pStyle w:val="28"/>
              <w:spacing w:line="360" w:lineRule="auto"/>
              <w:rPr>
                <w:rFonts w:ascii="宋体" w:hAnsi="宋体" w:eastAsia="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50DCD4C">
            <w:pPr>
              <w:pStyle w:val="28"/>
              <w:spacing w:line="360" w:lineRule="auto"/>
              <w:rPr>
                <w:rFonts w:ascii="宋体" w:hAnsi="宋体" w:eastAsia="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A8F22D6">
            <w:pPr>
              <w:pStyle w:val="28"/>
              <w:spacing w:line="360" w:lineRule="auto"/>
              <w:rPr>
                <w:rFonts w:ascii="宋体" w:hAnsi="宋体" w:eastAsia="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832B311">
            <w:pPr>
              <w:pStyle w:val="28"/>
              <w:spacing w:line="360" w:lineRule="auto"/>
              <w:rPr>
                <w:rFonts w:ascii="宋体" w:hAnsi="宋体" w:eastAsia="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73A1AAD">
            <w:pPr>
              <w:pStyle w:val="28"/>
              <w:spacing w:line="360" w:lineRule="auto"/>
              <w:rPr>
                <w:rFonts w:ascii="宋体" w:hAnsi="宋体" w:eastAsia="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7C257A1">
            <w:pPr>
              <w:pStyle w:val="28"/>
              <w:spacing w:line="360" w:lineRule="auto"/>
              <w:rPr>
                <w:rFonts w:ascii="宋体" w:hAnsi="宋体" w:eastAsia="宋体" w:cs="Arial"/>
                <w:color w:val="auto"/>
                <w:sz w:val="24"/>
              </w:rPr>
            </w:pPr>
          </w:p>
        </w:tc>
      </w:tr>
      <w:tr w14:paraId="3A6D5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013AE15">
            <w:pPr>
              <w:pStyle w:val="28"/>
              <w:spacing w:line="360" w:lineRule="auto"/>
              <w:rPr>
                <w:rFonts w:ascii="宋体" w:hAnsi="宋体" w:eastAsia="宋体" w:cs="Arial"/>
                <w:color w:val="auto"/>
                <w:sz w:val="24"/>
              </w:rPr>
            </w:pPr>
            <w:r>
              <w:rPr>
                <w:rFonts w:hint="eastAsia" w:ascii="宋体" w:hAnsi="宋体" w:eastAsia="宋体" w:cs="Arial"/>
                <w:color w:val="auto"/>
                <w:sz w:val="24"/>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2F98ABA3">
            <w:pPr>
              <w:pStyle w:val="28"/>
              <w:spacing w:line="360" w:lineRule="auto"/>
              <w:rPr>
                <w:rFonts w:ascii="宋体" w:hAnsi="宋体" w:eastAsia="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46E4D54">
            <w:pPr>
              <w:pStyle w:val="28"/>
              <w:spacing w:line="360" w:lineRule="auto"/>
              <w:rPr>
                <w:rFonts w:ascii="宋体" w:hAnsi="宋体" w:eastAsia="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BF9184F">
            <w:pPr>
              <w:pStyle w:val="28"/>
              <w:spacing w:line="360" w:lineRule="auto"/>
              <w:rPr>
                <w:rFonts w:ascii="宋体" w:hAnsi="宋体" w:eastAsia="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16A7E69">
            <w:pPr>
              <w:pStyle w:val="28"/>
              <w:spacing w:line="360" w:lineRule="auto"/>
              <w:rPr>
                <w:rFonts w:ascii="宋体" w:hAnsi="宋体" w:eastAsia="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C1CA0A8">
            <w:pPr>
              <w:pStyle w:val="28"/>
              <w:spacing w:line="360" w:lineRule="auto"/>
              <w:rPr>
                <w:rFonts w:ascii="宋体" w:hAnsi="宋体" w:eastAsia="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466973F">
            <w:pPr>
              <w:pStyle w:val="28"/>
              <w:spacing w:line="360" w:lineRule="auto"/>
              <w:rPr>
                <w:rFonts w:ascii="宋体" w:hAnsi="宋体" w:eastAsia="宋体" w:cs="Arial"/>
                <w:color w:val="auto"/>
                <w:sz w:val="24"/>
              </w:rPr>
            </w:pPr>
          </w:p>
        </w:tc>
      </w:tr>
      <w:tr w14:paraId="46D76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F6B70DA">
            <w:pPr>
              <w:pStyle w:val="28"/>
              <w:spacing w:line="360" w:lineRule="auto"/>
              <w:rPr>
                <w:rFonts w:ascii="宋体" w:hAnsi="宋体" w:eastAsia="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A91C8C5">
            <w:pPr>
              <w:pStyle w:val="28"/>
              <w:spacing w:line="360" w:lineRule="auto"/>
              <w:rPr>
                <w:rFonts w:ascii="宋体" w:hAnsi="宋体" w:eastAsia="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BEBD1F3">
            <w:pPr>
              <w:pStyle w:val="28"/>
              <w:spacing w:line="360" w:lineRule="auto"/>
              <w:rPr>
                <w:rFonts w:ascii="宋体" w:hAnsi="宋体" w:eastAsia="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C00C6B6">
            <w:pPr>
              <w:pStyle w:val="28"/>
              <w:spacing w:line="360" w:lineRule="auto"/>
              <w:rPr>
                <w:rFonts w:ascii="宋体" w:hAnsi="宋体" w:eastAsia="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16022BF">
            <w:pPr>
              <w:pStyle w:val="28"/>
              <w:spacing w:line="360" w:lineRule="auto"/>
              <w:rPr>
                <w:rFonts w:ascii="宋体" w:hAnsi="宋体" w:eastAsia="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8DF6BEC">
            <w:pPr>
              <w:pStyle w:val="28"/>
              <w:spacing w:line="360" w:lineRule="auto"/>
              <w:rPr>
                <w:rFonts w:ascii="宋体" w:hAnsi="宋体" w:eastAsia="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7F44C19">
            <w:pPr>
              <w:pStyle w:val="28"/>
              <w:spacing w:line="360" w:lineRule="auto"/>
              <w:rPr>
                <w:rFonts w:ascii="宋体" w:hAnsi="宋体" w:eastAsia="宋体" w:cs="Arial"/>
                <w:color w:val="auto"/>
                <w:sz w:val="24"/>
              </w:rPr>
            </w:pPr>
          </w:p>
        </w:tc>
      </w:tr>
      <w:tr w14:paraId="471A8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0D9F6FF">
            <w:pPr>
              <w:pStyle w:val="28"/>
              <w:spacing w:line="360" w:lineRule="auto"/>
              <w:rPr>
                <w:rFonts w:ascii="宋体" w:hAnsi="宋体" w:eastAsia="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1AD790C">
            <w:pPr>
              <w:pStyle w:val="28"/>
              <w:spacing w:line="360" w:lineRule="auto"/>
              <w:rPr>
                <w:rFonts w:ascii="宋体" w:hAnsi="宋体" w:eastAsia="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C10C697">
            <w:pPr>
              <w:pStyle w:val="28"/>
              <w:spacing w:line="360" w:lineRule="auto"/>
              <w:rPr>
                <w:rFonts w:ascii="宋体" w:hAnsi="宋体" w:eastAsia="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4D62BEB">
            <w:pPr>
              <w:pStyle w:val="28"/>
              <w:spacing w:line="360" w:lineRule="auto"/>
              <w:rPr>
                <w:rFonts w:ascii="宋体" w:hAnsi="宋体" w:eastAsia="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546399C">
            <w:pPr>
              <w:pStyle w:val="28"/>
              <w:spacing w:line="360" w:lineRule="auto"/>
              <w:rPr>
                <w:rFonts w:ascii="宋体" w:hAnsi="宋体" w:eastAsia="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D8BBED4">
            <w:pPr>
              <w:pStyle w:val="28"/>
              <w:spacing w:line="360" w:lineRule="auto"/>
              <w:rPr>
                <w:rFonts w:ascii="宋体" w:hAnsi="宋体" w:eastAsia="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8825872">
            <w:pPr>
              <w:pStyle w:val="28"/>
              <w:spacing w:line="360" w:lineRule="auto"/>
              <w:rPr>
                <w:rFonts w:ascii="宋体" w:hAnsi="宋体" w:eastAsia="宋体" w:cs="Arial"/>
                <w:color w:val="auto"/>
                <w:sz w:val="24"/>
              </w:rPr>
            </w:pPr>
          </w:p>
        </w:tc>
      </w:tr>
      <w:tr w14:paraId="1E745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3125601">
            <w:pPr>
              <w:pStyle w:val="28"/>
              <w:spacing w:line="360" w:lineRule="auto"/>
              <w:rPr>
                <w:rFonts w:ascii="宋体" w:hAnsi="宋体" w:eastAsia="宋体" w:cs="Arial"/>
                <w:color w:val="auto"/>
                <w:sz w:val="24"/>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5472125E">
            <w:pPr>
              <w:pStyle w:val="28"/>
              <w:spacing w:line="360" w:lineRule="auto"/>
              <w:rPr>
                <w:rFonts w:ascii="宋体" w:hAnsi="宋体" w:eastAsia="宋体" w:cs="Arial"/>
                <w:color w:val="auto"/>
                <w:sz w:val="24"/>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88FC6AD">
            <w:pPr>
              <w:pStyle w:val="28"/>
              <w:spacing w:line="360" w:lineRule="auto"/>
              <w:rPr>
                <w:rFonts w:ascii="宋体" w:hAnsi="宋体" w:eastAsia="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BF632B5">
            <w:pPr>
              <w:pStyle w:val="28"/>
              <w:spacing w:line="360" w:lineRule="auto"/>
              <w:rPr>
                <w:rFonts w:ascii="宋体" w:hAnsi="宋体" w:eastAsia="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675B63B">
            <w:pPr>
              <w:pStyle w:val="28"/>
              <w:spacing w:line="360" w:lineRule="auto"/>
              <w:rPr>
                <w:rFonts w:ascii="宋体" w:hAnsi="宋体" w:eastAsia="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E5AEC0C">
            <w:pPr>
              <w:pStyle w:val="28"/>
              <w:spacing w:line="360" w:lineRule="auto"/>
              <w:rPr>
                <w:rFonts w:ascii="宋体" w:hAnsi="宋体" w:eastAsia="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304B0A7">
            <w:pPr>
              <w:pStyle w:val="28"/>
              <w:spacing w:line="360" w:lineRule="auto"/>
              <w:rPr>
                <w:rFonts w:ascii="宋体" w:hAnsi="宋体" w:eastAsia="宋体" w:cs="Arial"/>
                <w:color w:val="auto"/>
                <w:sz w:val="24"/>
              </w:rPr>
            </w:pPr>
          </w:p>
        </w:tc>
      </w:tr>
    </w:tbl>
    <w:p w14:paraId="6B0F3281">
      <w:pPr>
        <w:autoSpaceDE w:val="0"/>
        <w:autoSpaceDN w:val="0"/>
        <w:adjustRightInd w:val="0"/>
        <w:spacing w:before="156" w:beforeLines="50" w:line="360" w:lineRule="auto"/>
        <w:rPr>
          <w:rFonts w:ascii="宋体" w:hAnsi="宋体" w:eastAsia="宋体" w:cs="Arial"/>
          <w:b/>
          <w:color w:val="auto"/>
          <w:szCs w:val="21"/>
        </w:rPr>
      </w:pPr>
      <w:r>
        <w:rPr>
          <w:rFonts w:hint="eastAsia" w:ascii="宋体" w:hAnsi="宋体" w:eastAsia="宋体" w:cs="Arial"/>
          <w:b/>
          <w:color w:val="auto"/>
          <w:szCs w:val="21"/>
        </w:rPr>
        <w:t>要求</w:t>
      </w:r>
      <w:r>
        <w:rPr>
          <w:rFonts w:ascii="宋体" w:hAnsi="宋体" w:eastAsia="宋体" w:cs="Arial"/>
          <w:b/>
          <w:color w:val="auto"/>
          <w:szCs w:val="21"/>
        </w:rPr>
        <w:t>：</w:t>
      </w:r>
    </w:p>
    <w:p w14:paraId="544E7AE8">
      <w:pPr>
        <w:autoSpaceDE w:val="0"/>
        <w:autoSpaceDN w:val="0"/>
        <w:adjustRightInd w:val="0"/>
        <w:spacing w:before="156" w:beforeLines="50" w:line="360" w:lineRule="auto"/>
        <w:ind w:firstLine="424" w:firstLineChars="202"/>
        <w:rPr>
          <w:rFonts w:ascii="宋体" w:hAnsi="宋体" w:eastAsia="宋体" w:cs="Arial"/>
          <w:b/>
          <w:color w:val="auto"/>
          <w:szCs w:val="21"/>
        </w:rPr>
      </w:pPr>
      <w:r>
        <w:rPr>
          <w:rFonts w:ascii="宋体" w:hAnsi="宋体" w:eastAsia="宋体" w:cs="Arial"/>
          <w:color w:val="auto"/>
          <w:szCs w:val="21"/>
        </w:rPr>
        <w:t>1</w:t>
      </w:r>
      <w:r>
        <w:rPr>
          <w:rFonts w:hint="eastAsia" w:ascii="宋体" w:hAnsi="宋体" w:eastAsia="宋体" w:cs="Arial"/>
          <w:color w:val="auto"/>
          <w:szCs w:val="21"/>
        </w:rPr>
        <w:t>.</w:t>
      </w:r>
      <w:r>
        <w:rPr>
          <w:rFonts w:ascii="宋体" w:hAnsi="宋体" w:eastAsia="宋体" w:cs="Arial"/>
          <w:color w:val="auto"/>
          <w:szCs w:val="21"/>
        </w:rPr>
        <w:t>业绩证明应提供证明材料（合同</w:t>
      </w:r>
      <w:r>
        <w:rPr>
          <w:rFonts w:hint="eastAsia" w:ascii="宋体" w:hAnsi="宋体" w:eastAsia="宋体" w:cs="Arial"/>
          <w:color w:val="auto"/>
          <w:szCs w:val="21"/>
        </w:rPr>
        <w:t>复印件可只提供首页、含金额页、盖章页并加盖磋商供应商公章</w:t>
      </w:r>
      <w:r>
        <w:rPr>
          <w:rFonts w:ascii="宋体" w:hAnsi="宋体" w:eastAsia="宋体" w:cs="Arial"/>
          <w:color w:val="auto"/>
          <w:szCs w:val="21"/>
        </w:rPr>
        <w:t>）；</w:t>
      </w:r>
    </w:p>
    <w:p w14:paraId="3CA68AD9">
      <w:pPr>
        <w:spacing w:line="360" w:lineRule="auto"/>
        <w:ind w:firstLine="424" w:firstLineChars="202"/>
        <w:jc w:val="left"/>
        <w:rPr>
          <w:rFonts w:ascii="宋体" w:hAnsi="宋体" w:eastAsia="宋体" w:cs="Arial"/>
          <w:color w:val="auto"/>
          <w:szCs w:val="21"/>
        </w:rPr>
      </w:pPr>
      <w:r>
        <w:rPr>
          <w:rFonts w:ascii="宋体" w:hAnsi="宋体" w:eastAsia="宋体" w:cs="Arial"/>
          <w:color w:val="auto"/>
          <w:szCs w:val="21"/>
        </w:rPr>
        <w:t>2</w:t>
      </w:r>
      <w:r>
        <w:rPr>
          <w:rFonts w:hint="eastAsia" w:ascii="宋体" w:hAnsi="宋体" w:eastAsia="宋体" w:cs="Arial"/>
          <w:color w:val="auto"/>
          <w:szCs w:val="21"/>
        </w:rPr>
        <w:t>.磋商供应商</w:t>
      </w:r>
      <w:r>
        <w:rPr>
          <w:rFonts w:ascii="宋体" w:hAnsi="宋体" w:eastAsia="宋体" w:cs="Arial"/>
          <w:color w:val="auto"/>
          <w:szCs w:val="21"/>
        </w:rPr>
        <w:t>可按此表格式复制</w:t>
      </w:r>
      <w:r>
        <w:rPr>
          <w:rFonts w:hint="eastAsia" w:ascii="宋体" w:hAnsi="宋体" w:eastAsia="宋体" w:cs="Arial"/>
          <w:color w:val="auto"/>
          <w:szCs w:val="21"/>
        </w:rPr>
        <w:t>。</w:t>
      </w:r>
    </w:p>
    <w:p w14:paraId="611CEF9F">
      <w:pPr>
        <w:spacing w:line="360" w:lineRule="auto"/>
        <w:rPr>
          <w:rFonts w:ascii="宋体" w:hAnsi="宋体" w:eastAsia="宋体" w:cs="Times New Roman"/>
          <w:color w:val="auto"/>
          <w:sz w:val="22"/>
          <w:szCs w:val="22"/>
        </w:rPr>
      </w:pPr>
    </w:p>
    <w:p w14:paraId="3AFC9EAE">
      <w:pPr>
        <w:spacing w:line="360" w:lineRule="auto"/>
        <w:rPr>
          <w:rFonts w:ascii="宋体" w:hAnsi="宋体" w:eastAsia="宋体" w:cs="Times New Roman"/>
          <w:color w:val="auto"/>
          <w:sz w:val="22"/>
          <w:szCs w:val="22"/>
        </w:rPr>
      </w:pPr>
    </w:p>
    <w:p w14:paraId="338105B9">
      <w:pPr>
        <w:spacing w:line="360" w:lineRule="auto"/>
        <w:ind w:left="420"/>
        <w:rPr>
          <w:rFonts w:ascii="宋体" w:hAnsi="宋体" w:eastAsia="宋体" w:cs="Times New Roman"/>
          <w:color w:val="auto"/>
          <w:sz w:val="24"/>
          <w:u w:val="single"/>
        </w:rPr>
      </w:pPr>
      <w:r>
        <w:rPr>
          <w:rFonts w:hint="eastAsia" w:ascii="宋体" w:hAnsi="宋体" w:eastAsia="宋体" w:cs="Times New Roman"/>
          <w:color w:val="auto"/>
          <w:sz w:val="24"/>
        </w:rPr>
        <w:t>磋商供应商名称（盖章）：</w:t>
      </w:r>
      <w:r>
        <w:rPr>
          <w:rFonts w:hint="eastAsia" w:ascii="宋体" w:hAnsi="宋体" w:eastAsia="宋体" w:cs="Times New Roman"/>
          <w:color w:val="auto"/>
          <w:sz w:val="24"/>
          <w:u w:val="single"/>
        </w:rPr>
        <w:t xml:space="preserve">                       </w:t>
      </w:r>
    </w:p>
    <w:p w14:paraId="717326B7">
      <w:pPr>
        <w:spacing w:line="360" w:lineRule="auto"/>
        <w:ind w:left="420"/>
        <w:rPr>
          <w:rFonts w:ascii="宋体" w:hAnsi="宋体" w:eastAsia="宋体" w:cs="Times New Roman"/>
          <w:color w:val="auto"/>
          <w:sz w:val="24"/>
        </w:rPr>
      </w:pPr>
    </w:p>
    <w:p w14:paraId="0162A3BC">
      <w:pPr>
        <w:spacing w:line="360" w:lineRule="auto"/>
        <w:ind w:firstLine="435"/>
        <w:rPr>
          <w:rFonts w:ascii="宋体" w:hAnsi="宋体" w:eastAsia="宋体" w:cs="Times New Roman"/>
          <w:color w:val="auto"/>
          <w:sz w:val="24"/>
        </w:rPr>
      </w:pPr>
      <w:r>
        <w:rPr>
          <w:rFonts w:hint="eastAsia" w:ascii="宋体" w:hAnsi="宋体" w:eastAsia="宋体" w:cs="Times New Roman"/>
          <w:color w:val="auto"/>
          <w:sz w:val="24"/>
        </w:rPr>
        <w:t>磋商供应商代表</w:t>
      </w:r>
      <w:r>
        <w:rPr>
          <w:rFonts w:hint="eastAsia" w:ascii="宋体" w:hAnsi="宋体" w:eastAsia="宋体" w:cs="Times New Roman"/>
          <w:color w:val="auto"/>
          <w:sz w:val="24"/>
          <w:lang w:eastAsia="zh-CN"/>
        </w:rPr>
        <w:t>签字</w:t>
      </w:r>
      <w:r>
        <w:rPr>
          <w:rFonts w:hint="eastAsia" w:ascii="宋体" w:hAnsi="宋体" w:eastAsia="宋体" w:cs="Times New Roman"/>
          <w:color w:val="auto"/>
          <w:sz w:val="24"/>
        </w:rPr>
        <w:t>：</w:t>
      </w:r>
      <w:r>
        <w:rPr>
          <w:rFonts w:hint="eastAsia" w:ascii="宋体" w:hAnsi="宋体" w:eastAsia="宋体" w:cs="Times New Roman"/>
          <w:color w:val="auto"/>
          <w:sz w:val="24"/>
          <w:u w:val="single"/>
        </w:rPr>
        <w:t xml:space="preserve">                          </w:t>
      </w:r>
    </w:p>
    <w:p w14:paraId="68FD8A7D">
      <w:pPr>
        <w:spacing w:line="360" w:lineRule="auto"/>
        <w:ind w:firstLine="435"/>
        <w:rPr>
          <w:rFonts w:ascii="宋体" w:hAnsi="宋体" w:eastAsia="宋体" w:cs="Times New Roman"/>
          <w:color w:val="auto"/>
          <w:sz w:val="24"/>
        </w:rPr>
      </w:pPr>
    </w:p>
    <w:p w14:paraId="55988A14">
      <w:pPr>
        <w:spacing w:line="360" w:lineRule="auto"/>
        <w:ind w:firstLine="435"/>
        <w:rPr>
          <w:rFonts w:ascii="宋体" w:hAnsi="宋体" w:eastAsia="宋体" w:cs="Times New Roman"/>
          <w:color w:val="auto"/>
          <w:sz w:val="24"/>
          <w:u w:val="single"/>
        </w:rPr>
      </w:pPr>
      <w:r>
        <w:rPr>
          <w:rFonts w:hint="eastAsia" w:ascii="宋体" w:hAnsi="宋体" w:eastAsia="宋体" w:cs="Times New Roman"/>
          <w:color w:val="auto"/>
          <w:sz w:val="24"/>
        </w:rPr>
        <w:t>职        务：</w:t>
      </w:r>
      <w:r>
        <w:rPr>
          <w:rFonts w:hint="eastAsia" w:ascii="宋体" w:hAnsi="宋体" w:eastAsia="宋体" w:cs="Times New Roman"/>
          <w:color w:val="auto"/>
          <w:sz w:val="24"/>
          <w:u w:val="single"/>
        </w:rPr>
        <w:t xml:space="preserve">                             </w:t>
      </w:r>
    </w:p>
    <w:p w14:paraId="4B50E8AF">
      <w:pPr>
        <w:spacing w:line="360" w:lineRule="auto"/>
        <w:rPr>
          <w:rFonts w:ascii="宋体" w:hAnsi="宋体" w:eastAsia="宋体" w:cs="Times New Roman"/>
          <w:color w:val="auto"/>
          <w:sz w:val="24"/>
        </w:rPr>
      </w:pPr>
    </w:p>
    <w:p w14:paraId="6E17E71D">
      <w:pPr>
        <w:spacing w:line="360" w:lineRule="auto"/>
        <w:ind w:firstLine="435"/>
        <w:rPr>
          <w:rFonts w:ascii="宋体" w:hAnsi="宋体" w:eastAsia="宋体" w:cs="Times New Roman"/>
          <w:color w:val="auto"/>
          <w:sz w:val="24"/>
        </w:rPr>
      </w:pPr>
      <w:r>
        <w:rPr>
          <w:rFonts w:hint="eastAsia" w:ascii="宋体" w:hAnsi="宋体" w:eastAsia="宋体" w:cs="Times New Roman"/>
          <w:color w:val="auto"/>
          <w:sz w:val="24"/>
        </w:rPr>
        <w:t>日        期：</w:t>
      </w:r>
      <w:r>
        <w:rPr>
          <w:rFonts w:hint="eastAsia" w:ascii="宋体" w:hAnsi="宋体" w:eastAsia="宋体" w:cs="Times New Roman"/>
          <w:color w:val="auto"/>
          <w:sz w:val="24"/>
          <w:u w:val="single"/>
        </w:rPr>
        <w:t xml:space="preserve">                             </w:t>
      </w:r>
    </w:p>
    <w:p w14:paraId="28B9DC55">
      <w:pPr>
        <w:jc w:val="center"/>
        <w:rPr>
          <w:rFonts w:hint="eastAsia" w:ascii="仿宋" w:hAnsi="仿宋" w:eastAsia="仿宋" w:cs="Times New Roman"/>
          <w:snapToGrid w:val="0"/>
          <w:color w:val="auto"/>
          <w:kern w:val="0"/>
          <w:sz w:val="24"/>
        </w:rPr>
      </w:pPr>
    </w:p>
    <w:p w14:paraId="326BF9E2">
      <w:pPr>
        <w:tabs>
          <w:tab w:val="left" w:pos="2460"/>
        </w:tabs>
        <w:spacing w:line="360" w:lineRule="auto"/>
        <w:rPr>
          <w:rFonts w:ascii="宋体" w:hAnsi="宋体" w:eastAsia="宋体" w:cs="Times New Roman"/>
          <w:b/>
          <w:color w:val="auto"/>
          <w:sz w:val="28"/>
        </w:rPr>
      </w:pPr>
      <w:r>
        <w:rPr>
          <w:rFonts w:hint="eastAsia" w:ascii="宋体" w:hAnsi="宋体" w:eastAsia="宋体" w:cs="Times New Roman"/>
          <w:b/>
          <w:color w:val="auto"/>
          <w:sz w:val="28"/>
        </w:rPr>
        <w:t xml:space="preserve">附件11:  </w:t>
      </w:r>
      <w:r>
        <w:rPr>
          <w:rFonts w:ascii="宋体" w:hAnsi="宋体" w:eastAsia="宋体" w:cs="Times New Roman"/>
          <w:b/>
          <w:color w:val="auto"/>
          <w:sz w:val="28"/>
        </w:rPr>
        <w:tab/>
      </w:r>
    </w:p>
    <w:p w14:paraId="757BC8CE">
      <w:pPr>
        <w:spacing w:line="360" w:lineRule="auto"/>
        <w:ind w:firstLine="435"/>
        <w:jc w:val="center"/>
        <w:rPr>
          <w:rFonts w:ascii="宋体" w:hAnsi="宋体" w:eastAsia="宋体" w:cs="Times New Roman"/>
          <w:b/>
          <w:color w:val="auto"/>
          <w:sz w:val="32"/>
          <w:szCs w:val="32"/>
        </w:rPr>
      </w:pPr>
      <w:r>
        <w:rPr>
          <w:rFonts w:hint="eastAsia" w:ascii="宋体" w:hAnsi="宋体" w:eastAsia="宋体" w:cs="Times New Roman"/>
          <w:b/>
          <w:color w:val="auto"/>
          <w:sz w:val="32"/>
          <w:szCs w:val="32"/>
        </w:rPr>
        <w:t>售后服务情况表</w:t>
      </w:r>
    </w:p>
    <w:p w14:paraId="4FFC6AFA">
      <w:pPr>
        <w:spacing w:line="360" w:lineRule="auto"/>
        <w:ind w:firstLine="435"/>
        <w:jc w:val="center"/>
        <w:rPr>
          <w:rFonts w:ascii="宋体" w:hAnsi="宋体" w:eastAsia="宋体" w:cs="Times New Roman"/>
          <w:b/>
          <w:color w:val="auto"/>
          <w:sz w:val="36"/>
          <w:szCs w:val="36"/>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5E4AB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3F56FC26">
            <w:pPr>
              <w:pStyle w:val="29"/>
              <w:spacing w:line="360" w:lineRule="auto"/>
              <w:jc w:val="center"/>
              <w:rPr>
                <w:rFonts w:ascii="宋体" w:hAnsi="宋体" w:eastAsia="宋体" w:cs="Arial"/>
                <w:b/>
                <w:color w:val="auto"/>
                <w:sz w:val="24"/>
              </w:rPr>
            </w:pPr>
            <w:r>
              <w:rPr>
                <w:rFonts w:hint="eastAsia" w:ascii="宋体" w:hAnsi="宋体" w:eastAsia="宋体" w:cs="Arial"/>
                <w:b/>
                <w:color w:val="auto"/>
                <w:sz w:val="24"/>
              </w:rPr>
              <w:t>序号</w:t>
            </w:r>
          </w:p>
        </w:tc>
        <w:tc>
          <w:tcPr>
            <w:tcW w:w="2355" w:type="dxa"/>
            <w:noWrap w:val="0"/>
            <w:vAlign w:val="center"/>
          </w:tcPr>
          <w:p w14:paraId="6F432F29">
            <w:pPr>
              <w:pStyle w:val="29"/>
              <w:spacing w:line="360" w:lineRule="auto"/>
              <w:jc w:val="center"/>
              <w:rPr>
                <w:rFonts w:ascii="宋体" w:hAnsi="宋体" w:eastAsia="宋体" w:cs="Arial"/>
                <w:b/>
                <w:color w:val="auto"/>
                <w:sz w:val="24"/>
              </w:rPr>
            </w:pPr>
            <w:r>
              <w:rPr>
                <w:rFonts w:hint="eastAsia" w:ascii="宋体" w:hAnsi="宋体" w:eastAsia="宋体" w:cs="Arial"/>
                <w:b/>
                <w:color w:val="auto"/>
                <w:sz w:val="24"/>
              </w:rPr>
              <w:t>项目</w:t>
            </w:r>
          </w:p>
        </w:tc>
        <w:tc>
          <w:tcPr>
            <w:tcW w:w="4061" w:type="dxa"/>
            <w:noWrap w:val="0"/>
            <w:vAlign w:val="center"/>
          </w:tcPr>
          <w:p w14:paraId="5F6BC538">
            <w:pPr>
              <w:pStyle w:val="29"/>
              <w:spacing w:line="360" w:lineRule="auto"/>
              <w:jc w:val="center"/>
              <w:rPr>
                <w:rFonts w:ascii="宋体" w:hAnsi="宋体" w:eastAsia="宋体" w:cs="Arial"/>
                <w:b/>
                <w:color w:val="auto"/>
                <w:sz w:val="24"/>
              </w:rPr>
            </w:pPr>
            <w:r>
              <w:rPr>
                <w:rFonts w:hint="eastAsia" w:ascii="宋体" w:hAnsi="宋体" w:eastAsia="宋体" w:cs="Arial"/>
                <w:b/>
                <w:color w:val="auto"/>
                <w:sz w:val="24"/>
              </w:rPr>
              <w:t>磋商供应商承诺</w:t>
            </w:r>
          </w:p>
        </w:tc>
        <w:tc>
          <w:tcPr>
            <w:tcW w:w="1373" w:type="dxa"/>
            <w:noWrap w:val="0"/>
            <w:vAlign w:val="center"/>
          </w:tcPr>
          <w:p w14:paraId="6409EEF1">
            <w:pPr>
              <w:pStyle w:val="29"/>
              <w:spacing w:line="360" w:lineRule="auto"/>
              <w:jc w:val="center"/>
              <w:rPr>
                <w:rFonts w:ascii="宋体" w:hAnsi="宋体" w:eastAsia="宋体" w:cs="Arial"/>
                <w:b/>
                <w:color w:val="auto"/>
                <w:sz w:val="24"/>
              </w:rPr>
            </w:pPr>
            <w:r>
              <w:rPr>
                <w:rFonts w:hint="eastAsia" w:ascii="宋体" w:hAnsi="宋体" w:eastAsia="宋体" w:cs="Arial"/>
                <w:b/>
                <w:color w:val="auto"/>
                <w:sz w:val="24"/>
              </w:rPr>
              <w:t>备注</w:t>
            </w:r>
          </w:p>
        </w:tc>
      </w:tr>
      <w:tr w14:paraId="77AA8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noWrap w:val="0"/>
            <w:vAlign w:val="center"/>
          </w:tcPr>
          <w:p w14:paraId="263AD03C">
            <w:pPr>
              <w:pStyle w:val="29"/>
              <w:spacing w:line="360" w:lineRule="auto"/>
              <w:jc w:val="center"/>
              <w:rPr>
                <w:rFonts w:ascii="宋体" w:hAnsi="宋体" w:eastAsia="宋体" w:cs="Arial"/>
                <w:bCs/>
                <w:color w:val="auto"/>
                <w:sz w:val="24"/>
              </w:rPr>
            </w:pPr>
            <w:r>
              <w:rPr>
                <w:rFonts w:hint="eastAsia" w:ascii="宋体" w:hAnsi="宋体" w:eastAsia="宋体" w:cs="Arial"/>
                <w:bCs/>
                <w:color w:val="auto"/>
                <w:sz w:val="24"/>
              </w:rPr>
              <w:t>1</w:t>
            </w:r>
          </w:p>
        </w:tc>
        <w:tc>
          <w:tcPr>
            <w:tcW w:w="2355" w:type="dxa"/>
            <w:vMerge w:val="restart"/>
            <w:noWrap w:val="0"/>
            <w:vAlign w:val="center"/>
          </w:tcPr>
          <w:p w14:paraId="79DF6336">
            <w:pPr>
              <w:pStyle w:val="29"/>
              <w:widowControl/>
              <w:spacing w:line="360" w:lineRule="auto"/>
              <w:jc w:val="left"/>
              <w:rPr>
                <w:rFonts w:ascii="宋体" w:hAnsi="宋体" w:eastAsia="宋体" w:cs="Arial"/>
                <w:bCs/>
                <w:color w:val="auto"/>
                <w:sz w:val="24"/>
              </w:rPr>
            </w:pPr>
            <w:r>
              <w:rPr>
                <w:rFonts w:hint="eastAsia" w:ascii="宋体" w:hAnsi="宋体" w:eastAsia="宋体" w:cs="Arial"/>
                <w:bCs/>
                <w:color w:val="auto"/>
                <w:sz w:val="24"/>
              </w:rPr>
              <w:t>保修期内售后服务情况(</w:t>
            </w:r>
            <w:r>
              <w:rPr>
                <w:rFonts w:ascii="宋体" w:hAnsi="宋体" w:eastAsia="宋体" w:cs="Arial"/>
                <w:bCs/>
                <w:color w:val="auto"/>
                <w:sz w:val="24"/>
              </w:rPr>
              <w:t>服务</w:t>
            </w:r>
            <w:r>
              <w:rPr>
                <w:rFonts w:hint="eastAsia" w:ascii="宋体" w:hAnsi="宋体" w:eastAsia="宋体" w:cs="Arial"/>
                <w:bCs/>
                <w:color w:val="auto"/>
                <w:sz w:val="24"/>
              </w:rPr>
              <w:t>方式、服务网点</w:t>
            </w:r>
            <w:r>
              <w:rPr>
                <w:rFonts w:ascii="宋体" w:hAnsi="宋体" w:eastAsia="宋体" w:cs="Arial"/>
                <w:bCs/>
                <w:color w:val="auto"/>
                <w:sz w:val="24"/>
              </w:rPr>
              <w:t>、售后服务的内容和措施</w:t>
            </w:r>
            <w:r>
              <w:rPr>
                <w:rFonts w:hint="eastAsia" w:ascii="宋体" w:hAnsi="宋体" w:eastAsia="宋体" w:cs="Arial"/>
                <w:bCs/>
                <w:color w:val="auto"/>
                <w:sz w:val="24"/>
              </w:rPr>
              <w:t>等等，可用附页和宣传材料)</w:t>
            </w:r>
          </w:p>
        </w:tc>
        <w:tc>
          <w:tcPr>
            <w:tcW w:w="4061" w:type="dxa"/>
            <w:noWrap w:val="0"/>
            <w:vAlign w:val="top"/>
          </w:tcPr>
          <w:p w14:paraId="20ED3117">
            <w:pPr>
              <w:pStyle w:val="29"/>
              <w:spacing w:line="360" w:lineRule="auto"/>
              <w:rPr>
                <w:rFonts w:ascii="宋体" w:hAnsi="宋体" w:eastAsia="宋体" w:cs="Arial"/>
                <w:bCs/>
                <w:color w:val="auto"/>
                <w:sz w:val="24"/>
              </w:rPr>
            </w:pPr>
            <w:r>
              <w:rPr>
                <w:rFonts w:hint="eastAsia" w:ascii="宋体" w:hAnsi="宋体" w:eastAsia="宋体" w:cs="Arial"/>
                <w:bCs/>
                <w:color w:val="auto"/>
                <w:sz w:val="24"/>
              </w:rPr>
              <w:t>生产厂商售后服务情况：</w:t>
            </w:r>
          </w:p>
        </w:tc>
        <w:tc>
          <w:tcPr>
            <w:tcW w:w="1373" w:type="dxa"/>
            <w:noWrap w:val="0"/>
            <w:vAlign w:val="top"/>
          </w:tcPr>
          <w:p w14:paraId="45C83A77">
            <w:pPr>
              <w:pStyle w:val="29"/>
              <w:spacing w:line="360" w:lineRule="auto"/>
              <w:rPr>
                <w:rFonts w:ascii="宋体" w:hAnsi="宋体" w:eastAsia="宋体" w:cs="Arial"/>
                <w:bCs/>
                <w:color w:val="auto"/>
                <w:sz w:val="24"/>
              </w:rPr>
            </w:pPr>
          </w:p>
        </w:tc>
      </w:tr>
      <w:tr w14:paraId="071C82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noWrap w:val="0"/>
            <w:vAlign w:val="center"/>
          </w:tcPr>
          <w:p w14:paraId="0693A370">
            <w:pPr>
              <w:pStyle w:val="29"/>
              <w:widowControl/>
              <w:spacing w:line="360" w:lineRule="auto"/>
              <w:jc w:val="left"/>
              <w:rPr>
                <w:rFonts w:ascii="宋体" w:hAnsi="宋体" w:eastAsia="宋体" w:cs="Arial"/>
                <w:bCs/>
                <w:color w:val="auto"/>
                <w:sz w:val="24"/>
              </w:rPr>
            </w:pPr>
          </w:p>
        </w:tc>
        <w:tc>
          <w:tcPr>
            <w:tcW w:w="2355" w:type="dxa"/>
            <w:vMerge w:val="continue"/>
            <w:noWrap w:val="0"/>
            <w:vAlign w:val="center"/>
          </w:tcPr>
          <w:p w14:paraId="3EA8FBC2">
            <w:pPr>
              <w:pStyle w:val="29"/>
              <w:widowControl/>
              <w:spacing w:line="360" w:lineRule="auto"/>
              <w:jc w:val="left"/>
              <w:rPr>
                <w:rFonts w:ascii="宋体" w:hAnsi="宋体" w:eastAsia="宋体" w:cs="Arial"/>
                <w:bCs/>
                <w:color w:val="auto"/>
                <w:sz w:val="24"/>
              </w:rPr>
            </w:pPr>
          </w:p>
        </w:tc>
        <w:tc>
          <w:tcPr>
            <w:tcW w:w="4061" w:type="dxa"/>
            <w:noWrap w:val="0"/>
            <w:vAlign w:val="top"/>
          </w:tcPr>
          <w:p w14:paraId="4065E844">
            <w:pPr>
              <w:pStyle w:val="29"/>
              <w:spacing w:line="360" w:lineRule="auto"/>
              <w:rPr>
                <w:rFonts w:ascii="宋体" w:hAnsi="宋体" w:eastAsia="宋体" w:cs="Arial"/>
                <w:bCs/>
                <w:color w:val="auto"/>
                <w:sz w:val="24"/>
              </w:rPr>
            </w:pPr>
            <w:r>
              <w:rPr>
                <w:rFonts w:hint="eastAsia" w:ascii="宋体" w:hAnsi="宋体" w:eastAsia="宋体" w:cs="Arial"/>
                <w:bCs/>
                <w:color w:val="auto"/>
                <w:sz w:val="24"/>
              </w:rPr>
              <w:t>磋商供应商售后服务情况：</w:t>
            </w:r>
          </w:p>
        </w:tc>
        <w:tc>
          <w:tcPr>
            <w:tcW w:w="1373" w:type="dxa"/>
            <w:noWrap w:val="0"/>
            <w:vAlign w:val="top"/>
          </w:tcPr>
          <w:p w14:paraId="14B198D7">
            <w:pPr>
              <w:pStyle w:val="29"/>
              <w:spacing w:line="360" w:lineRule="auto"/>
              <w:jc w:val="left"/>
              <w:rPr>
                <w:rFonts w:ascii="宋体" w:hAnsi="宋体" w:eastAsia="宋体" w:cs="Arial"/>
                <w:bCs/>
                <w:color w:val="auto"/>
                <w:sz w:val="24"/>
              </w:rPr>
            </w:pPr>
          </w:p>
        </w:tc>
      </w:tr>
      <w:tr w14:paraId="4EE737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1B8DBEB6">
            <w:pPr>
              <w:pStyle w:val="29"/>
              <w:spacing w:line="360" w:lineRule="auto"/>
              <w:jc w:val="center"/>
              <w:rPr>
                <w:rFonts w:ascii="宋体" w:hAnsi="宋体" w:eastAsia="宋体" w:cs="Arial"/>
                <w:bCs/>
                <w:color w:val="auto"/>
                <w:sz w:val="24"/>
              </w:rPr>
            </w:pPr>
            <w:r>
              <w:rPr>
                <w:rFonts w:hint="eastAsia" w:ascii="宋体" w:hAnsi="宋体" w:eastAsia="宋体" w:cs="Arial"/>
                <w:bCs/>
                <w:color w:val="auto"/>
                <w:sz w:val="24"/>
              </w:rPr>
              <w:t>2</w:t>
            </w:r>
          </w:p>
        </w:tc>
        <w:tc>
          <w:tcPr>
            <w:tcW w:w="2355" w:type="dxa"/>
            <w:noWrap w:val="0"/>
            <w:vAlign w:val="center"/>
          </w:tcPr>
          <w:p w14:paraId="03578461">
            <w:pPr>
              <w:pStyle w:val="29"/>
              <w:spacing w:line="360" w:lineRule="auto"/>
              <w:rPr>
                <w:rFonts w:ascii="宋体" w:hAnsi="宋体" w:eastAsia="宋体" w:cs="Arial"/>
                <w:bCs/>
                <w:color w:val="auto"/>
                <w:sz w:val="24"/>
              </w:rPr>
            </w:pPr>
            <w:r>
              <w:rPr>
                <w:rFonts w:hint="eastAsia" w:ascii="宋体" w:hAnsi="宋体" w:eastAsia="宋体" w:cs="Arial"/>
                <w:bCs/>
                <w:color w:val="auto"/>
                <w:sz w:val="24"/>
              </w:rPr>
              <w:t>保修期后售后服务</w:t>
            </w:r>
          </w:p>
        </w:tc>
        <w:tc>
          <w:tcPr>
            <w:tcW w:w="4061" w:type="dxa"/>
            <w:noWrap w:val="0"/>
            <w:vAlign w:val="top"/>
          </w:tcPr>
          <w:p w14:paraId="46573475">
            <w:pPr>
              <w:pStyle w:val="29"/>
              <w:widowControl/>
              <w:spacing w:line="360" w:lineRule="auto"/>
              <w:jc w:val="left"/>
              <w:rPr>
                <w:rFonts w:ascii="宋体" w:hAnsi="宋体" w:eastAsia="宋体" w:cs="Arial"/>
                <w:bCs/>
                <w:color w:val="auto"/>
                <w:sz w:val="24"/>
              </w:rPr>
            </w:pPr>
          </w:p>
          <w:p w14:paraId="49D787A3">
            <w:pPr>
              <w:pStyle w:val="29"/>
              <w:widowControl/>
              <w:spacing w:line="360" w:lineRule="auto"/>
              <w:jc w:val="left"/>
              <w:rPr>
                <w:rFonts w:ascii="宋体" w:hAnsi="宋体" w:eastAsia="宋体" w:cs="Arial"/>
                <w:bCs/>
                <w:color w:val="auto"/>
                <w:sz w:val="24"/>
              </w:rPr>
            </w:pPr>
          </w:p>
          <w:p w14:paraId="29B986C8">
            <w:pPr>
              <w:pStyle w:val="29"/>
              <w:spacing w:line="360" w:lineRule="auto"/>
              <w:rPr>
                <w:rFonts w:ascii="宋体" w:hAnsi="宋体" w:eastAsia="宋体" w:cs="Arial"/>
                <w:bCs/>
                <w:color w:val="auto"/>
                <w:sz w:val="24"/>
              </w:rPr>
            </w:pPr>
          </w:p>
        </w:tc>
        <w:tc>
          <w:tcPr>
            <w:tcW w:w="1373" w:type="dxa"/>
            <w:noWrap w:val="0"/>
            <w:vAlign w:val="top"/>
          </w:tcPr>
          <w:p w14:paraId="6F4F8B26">
            <w:pPr>
              <w:pStyle w:val="29"/>
              <w:widowControl/>
              <w:spacing w:line="360" w:lineRule="auto"/>
              <w:jc w:val="left"/>
              <w:rPr>
                <w:rFonts w:ascii="宋体" w:hAnsi="宋体" w:eastAsia="宋体" w:cs="Arial"/>
                <w:bCs/>
                <w:color w:val="auto"/>
                <w:sz w:val="24"/>
              </w:rPr>
            </w:pPr>
          </w:p>
          <w:p w14:paraId="204B1BCC">
            <w:pPr>
              <w:pStyle w:val="29"/>
              <w:widowControl/>
              <w:spacing w:line="360" w:lineRule="auto"/>
              <w:jc w:val="left"/>
              <w:rPr>
                <w:rFonts w:ascii="宋体" w:hAnsi="宋体" w:eastAsia="宋体" w:cs="Arial"/>
                <w:bCs/>
                <w:color w:val="auto"/>
                <w:sz w:val="24"/>
              </w:rPr>
            </w:pPr>
          </w:p>
          <w:p w14:paraId="6E7B03FE">
            <w:pPr>
              <w:pStyle w:val="29"/>
              <w:spacing w:line="360" w:lineRule="auto"/>
              <w:rPr>
                <w:rFonts w:ascii="宋体" w:hAnsi="宋体" w:eastAsia="宋体" w:cs="Arial"/>
                <w:bCs/>
                <w:color w:val="auto"/>
                <w:sz w:val="24"/>
              </w:rPr>
            </w:pPr>
          </w:p>
        </w:tc>
      </w:tr>
      <w:tr w14:paraId="484CEE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59417269">
            <w:pPr>
              <w:pStyle w:val="29"/>
              <w:widowControl/>
              <w:spacing w:line="360" w:lineRule="auto"/>
              <w:jc w:val="left"/>
              <w:rPr>
                <w:rFonts w:ascii="宋体" w:hAnsi="宋体" w:eastAsia="宋体" w:cs="Arial"/>
                <w:bCs/>
                <w:color w:val="auto"/>
                <w:sz w:val="24"/>
              </w:rPr>
            </w:pPr>
            <w:r>
              <w:rPr>
                <w:rFonts w:hint="eastAsia" w:ascii="宋体" w:hAnsi="宋体" w:eastAsia="宋体" w:cs="Arial"/>
                <w:bCs/>
                <w:color w:val="auto"/>
                <w:sz w:val="24"/>
              </w:rPr>
              <w:t xml:space="preserve"> 3</w:t>
            </w:r>
          </w:p>
        </w:tc>
        <w:tc>
          <w:tcPr>
            <w:tcW w:w="2355" w:type="dxa"/>
            <w:noWrap w:val="0"/>
            <w:vAlign w:val="center"/>
          </w:tcPr>
          <w:p w14:paraId="7DAC6F1D">
            <w:pPr>
              <w:pStyle w:val="29"/>
              <w:widowControl/>
              <w:spacing w:line="360" w:lineRule="auto"/>
              <w:jc w:val="left"/>
              <w:rPr>
                <w:rFonts w:ascii="宋体" w:hAnsi="宋体" w:eastAsia="宋体" w:cs="Arial"/>
                <w:bCs/>
                <w:color w:val="auto"/>
                <w:sz w:val="24"/>
              </w:rPr>
            </w:pPr>
            <w:r>
              <w:rPr>
                <w:rFonts w:hint="eastAsia" w:ascii="宋体" w:hAnsi="宋体" w:eastAsia="宋体" w:cs="Arial"/>
                <w:bCs/>
                <w:color w:val="auto"/>
                <w:sz w:val="24"/>
              </w:rPr>
              <w:t>培训方案（可用附页）</w:t>
            </w:r>
          </w:p>
        </w:tc>
        <w:tc>
          <w:tcPr>
            <w:tcW w:w="4061" w:type="dxa"/>
            <w:noWrap w:val="0"/>
            <w:vAlign w:val="top"/>
          </w:tcPr>
          <w:p w14:paraId="6A9C3384">
            <w:pPr>
              <w:pStyle w:val="29"/>
              <w:widowControl/>
              <w:spacing w:line="360" w:lineRule="auto"/>
              <w:jc w:val="left"/>
              <w:rPr>
                <w:rFonts w:ascii="宋体" w:hAnsi="宋体" w:eastAsia="宋体" w:cs="Arial"/>
                <w:bCs/>
                <w:i/>
                <w:color w:val="auto"/>
                <w:sz w:val="24"/>
              </w:rPr>
            </w:pPr>
          </w:p>
          <w:p w14:paraId="6973AA82">
            <w:pPr>
              <w:pStyle w:val="29"/>
              <w:widowControl/>
              <w:spacing w:line="360" w:lineRule="auto"/>
              <w:jc w:val="left"/>
              <w:rPr>
                <w:rFonts w:ascii="宋体" w:hAnsi="宋体" w:eastAsia="宋体" w:cs="Arial"/>
                <w:bCs/>
                <w:i/>
                <w:color w:val="auto"/>
                <w:sz w:val="24"/>
              </w:rPr>
            </w:pPr>
          </w:p>
        </w:tc>
        <w:tc>
          <w:tcPr>
            <w:tcW w:w="1373" w:type="dxa"/>
            <w:noWrap w:val="0"/>
            <w:vAlign w:val="top"/>
          </w:tcPr>
          <w:p w14:paraId="7B951AD6">
            <w:pPr>
              <w:pStyle w:val="29"/>
              <w:widowControl/>
              <w:spacing w:line="360" w:lineRule="auto"/>
              <w:jc w:val="left"/>
              <w:rPr>
                <w:rFonts w:ascii="宋体" w:hAnsi="宋体" w:eastAsia="宋体" w:cs="Arial"/>
                <w:bCs/>
                <w:i/>
                <w:color w:val="auto"/>
                <w:sz w:val="24"/>
              </w:rPr>
            </w:pPr>
          </w:p>
          <w:p w14:paraId="1B455CE7">
            <w:pPr>
              <w:pStyle w:val="29"/>
              <w:widowControl/>
              <w:spacing w:line="360" w:lineRule="auto"/>
              <w:jc w:val="left"/>
              <w:rPr>
                <w:rFonts w:ascii="宋体" w:hAnsi="宋体" w:eastAsia="宋体" w:cs="Arial"/>
                <w:bCs/>
                <w:i/>
                <w:color w:val="auto"/>
                <w:sz w:val="24"/>
              </w:rPr>
            </w:pPr>
          </w:p>
          <w:p w14:paraId="146EEAED">
            <w:pPr>
              <w:pStyle w:val="29"/>
              <w:widowControl/>
              <w:spacing w:line="360" w:lineRule="auto"/>
              <w:jc w:val="left"/>
              <w:rPr>
                <w:rFonts w:ascii="宋体" w:hAnsi="宋体" w:eastAsia="宋体" w:cs="Arial"/>
                <w:bCs/>
                <w:i/>
                <w:color w:val="auto"/>
                <w:sz w:val="24"/>
              </w:rPr>
            </w:pPr>
          </w:p>
        </w:tc>
      </w:tr>
      <w:tr w14:paraId="61EA6F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466D6CDD">
            <w:pPr>
              <w:pStyle w:val="29"/>
              <w:widowControl/>
              <w:spacing w:line="360" w:lineRule="auto"/>
              <w:jc w:val="left"/>
              <w:rPr>
                <w:rFonts w:ascii="宋体" w:hAnsi="宋体" w:eastAsia="宋体" w:cs="Arial"/>
                <w:bCs/>
                <w:color w:val="auto"/>
                <w:sz w:val="24"/>
              </w:rPr>
            </w:pPr>
            <w:r>
              <w:rPr>
                <w:rFonts w:ascii="宋体" w:hAnsi="宋体" w:eastAsia="宋体" w:cs="Arial"/>
                <w:bCs/>
                <w:color w:val="auto"/>
                <w:sz w:val="24"/>
              </w:rPr>
              <w:t>……</w:t>
            </w:r>
          </w:p>
        </w:tc>
        <w:tc>
          <w:tcPr>
            <w:tcW w:w="2355" w:type="dxa"/>
            <w:noWrap w:val="0"/>
            <w:vAlign w:val="center"/>
          </w:tcPr>
          <w:p w14:paraId="7243DCE3">
            <w:pPr>
              <w:pStyle w:val="29"/>
              <w:widowControl/>
              <w:spacing w:line="360" w:lineRule="auto"/>
              <w:jc w:val="left"/>
              <w:rPr>
                <w:rFonts w:ascii="宋体" w:hAnsi="宋体" w:eastAsia="宋体" w:cs="Arial"/>
                <w:bCs/>
                <w:color w:val="auto"/>
                <w:sz w:val="24"/>
              </w:rPr>
            </w:pPr>
            <w:r>
              <w:rPr>
                <w:rFonts w:ascii="宋体" w:hAnsi="宋体" w:eastAsia="宋体" w:cs="Arial"/>
                <w:bCs/>
                <w:color w:val="auto"/>
                <w:sz w:val="24"/>
              </w:rPr>
              <w:t>……</w:t>
            </w:r>
          </w:p>
        </w:tc>
        <w:tc>
          <w:tcPr>
            <w:tcW w:w="4061" w:type="dxa"/>
            <w:noWrap w:val="0"/>
            <w:vAlign w:val="top"/>
          </w:tcPr>
          <w:p w14:paraId="33A11A83">
            <w:pPr>
              <w:pStyle w:val="29"/>
              <w:widowControl/>
              <w:spacing w:line="360" w:lineRule="auto"/>
              <w:jc w:val="left"/>
              <w:rPr>
                <w:rFonts w:ascii="宋体" w:hAnsi="宋体" w:eastAsia="宋体" w:cs="Arial"/>
                <w:bCs/>
                <w:color w:val="auto"/>
                <w:sz w:val="24"/>
              </w:rPr>
            </w:pPr>
          </w:p>
        </w:tc>
        <w:tc>
          <w:tcPr>
            <w:tcW w:w="1373" w:type="dxa"/>
            <w:noWrap w:val="0"/>
            <w:vAlign w:val="top"/>
          </w:tcPr>
          <w:p w14:paraId="0A9B767F">
            <w:pPr>
              <w:pStyle w:val="29"/>
              <w:widowControl/>
              <w:spacing w:line="360" w:lineRule="auto"/>
              <w:jc w:val="left"/>
              <w:rPr>
                <w:rFonts w:ascii="宋体" w:hAnsi="宋体" w:eastAsia="宋体" w:cs="Arial"/>
                <w:bCs/>
                <w:color w:val="auto"/>
                <w:sz w:val="24"/>
              </w:rPr>
            </w:pPr>
          </w:p>
        </w:tc>
      </w:tr>
    </w:tbl>
    <w:p w14:paraId="6743E273">
      <w:pPr>
        <w:spacing w:line="360" w:lineRule="auto"/>
        <w:ind w:left="420"/>
        <w:rPr>
          <w:rFonts w:ascii="宋体" w:hAnsi="宋体" w:eastAsia="宋体" w:cs="Times New Roman"/>
          <w:color w:val="auto"/>
          <w:sz w:val="24"/>
        </w:rPr>
      </w:pPr>
    </w:p>
    <w:p w14:paraId="0358AEA3">
      <w:pPr>
        <w:spacing w:line="360" w:lineRule="auto"/>
        <w:ind w:left="420"/>
        <w:rPr>
          <w:rFonts w:ascii="宋体" w:hAnsi="宋体" w:eastAsia="宋体" w:cs="Times New Roman"/>
          <w:color w:val="auto"/>
          <w:sz w:val="24"/>
        </w:rPr>
      </w:pPr>
    </w:p>
    <w:p w14:paraId="48A04445">
      <w:pPr>
        <w:spacing w:line="360" w:lineRule="auto"/>
        <w:ind w:left="420"/>
        <w:rPr>
          <w:rFonts w:ascii="宋体" w:hAnsi="宋体" w:eastAsia="宋体" w:cs="Times New Roman"/>
          <w:color w:val="auto"/>
          <w:sz w:val="24"/>
          <w:u w:val="single"/>
        </w:rPr>
      </w:pPr>
      <w:r>
        <w:rPr>
          <w:rFonts w:hint="eastAsia" w:ascii="宋体" w:hAnsi="宋体" w:eastAsia="宋体" w:cs="Times New Roman"/>
          <w:color w:val="auto"/>
          <w:sz w:val="24"/>
        </w:rPr>
        <w:t>磋商供应商名称（盖章）：</w:t>
      </w:r>
      <w:r>
        <w:rPr>
          <w:rFonts w:hint="eastAsia" w:ascii="宋体" w:hAnsi="宋体" w:eastAsia="宋体" w:cs="Times New Roman"/>
          <w:color w:val="auto"/>
          <w:sz w:val="24"/>
          <w:u w:val="single"/>
        </w:rPr>
        <w:t xml:space="preserve">                      </w:t>
      </w:r>
    </w:p>
    <w:p w14:paraId="362C150E">
      <w:pPr>
        <w:spacing w:line="360" w:lineRule="auto"/>
        <w:ind w:left="420"/>
        <w:rPr>
          <w:rFonts w:ascii="宋体" w:hAnsi="宋体" w:eastAsia="宋体" w:cs="Times New Roman"/>
          <w:color w:val="auto"/>
          <w:sz w:val="24"/>
        </w:rPr>
      </w:pPr>
      <w:r>
        <w:rPr>
          <w:rFonts w:hint="eastAsia" w:ascii="宋体" w:hAnsi="宋体" w:eastAsia="宋体" w:cs="Times New Roman"/>
          <w:color w:val="auto"/>
          <w:sz w:val="24"/>
        </w:rPr>
        <w:t xml:space="preserve"> </w:t>
      </w:r>
    </w:p>
    <w:p w14:paraId="3CC74FEB">
      <w:pPr>
        <w:spacing w:line="360" w:lineRule="auto"/>
        <w:ind w:firstLine="435"/>
        <w:rPr>
          <w:rFonts w:ascii="宋体" w:hAnsi="宋体" w:eastAsia="宋体" w:cs="Times New Roman"/>
          <w:color w:val="auto"/>
          <w:sz w:val="24"/>
        </w:rPr>
      </w:pPr>
      <w:r>
        <w:rPr>
          <w:rFonts w:hint="eastAsia" w:ascii="宋体" w:hAnsi="宋体" w:eastAsia="宋体" w:cs="Times New Roman"/>
          <w:color w:val="auto"/>
          <w:sz w:val="24"/>
        </w:rPr>
        <w:t>磋商供应商代表</w:t>
      </w:r>
      <w:r>
        <w:rPr>
          <w:rFonts w:hint="eastAsia" w:ascii="宋体" w:hAnsi="宋体" w:eastAsia="宋体" w:cs="Times New Roman"/>
          <w:color w:val="auto"/>
          <w:sz w:val="24"/>
          <w:lang w:eastAsia="zh-CN"/>
        </w:rPr>
        <w:t>签字</w:t>
      </w:r>
      <w:r>
        <w:rPr>
          <w:rFonts w:hint="eastAsia" w:ascii="宋体" w:hAnsi="宋体" w:eastAsia="宋体" w:cs="Times New Roman"/>
          <w:color w:val="auto"/>
          <w:sz w:val="24"/>
        </w:rPr>
        <w:t>：</w:t>
      </w:r>
      <w:r>
        <w:rPr>
          <w:rFonts w:hint="eastAsia" w:ascii="宋体" w:hAnsi="宋体" w:eastAsia="宋体" w:cs="Times New Roman"/>
          <w:color w:val="auto"/>
          <w:sz w:val="24"/>
          <w:u w:val="single"/>
        </w:rPr>
        <w:t xml:space="preserve">                          </w:t>
      </w:r>
    </w:p>
    <w:p w14:paraId="77ECC83E">
      <w:pPr>
        <w:spacing w:line="360" w:lineRule="auto"/>
        <w:ind w:firstLine="435"/>
        <w:rPr>
          <w:rFonts w:ascii="宋体" w:hAnsi="宋体" w:eastAsia="宋体" w:cs="Times New Roman"/>
          <w:color w:val="auto"/>
          <w:sz w:val="24"/>
        </w:rPr>
      </w:pPr>
    </w:p>
    <w:p w14:paraId="6B969C3B">
      <w:pPr>
        <w:spacing w:line="360" w:lineRule="auto"/>
        <w:ind w:firstLine="435"/>
        <w:rPr>
          <w:rFonts w:ascii="宋体" w:hAnsi="宋体" w:eastAsia="宋体" w:cs="Times New Roman"/>
          <w:color w:val="auto"/>
          <w:sz w:val="24"/>
        </w:rPr>
      </w:pPr>
      <w:r>
        <w:rPr>
          <w:rFonts w:hint="eastAsia" w:ascii="宋体" w:hAnsi="宋体" w:eastAsia="宋体" w:cs="Times New Roman"/>
          <w:color w:val="auto"/>
          <w:sz w:val="24"/>
        </w:rPr>
        <w:t>职        务：</w:t>
      </w:r>
      <w:r>
        <w:rPr>
          <w:rFonts w:hint="eastAsia" w:ascii="宋体" w:hAnsi="宋体" w:eastAsia="宋体" w:cs="Times New Roman"/>
          <w:color w:val="auto"/>
          <w:sz w:val="24"/>
          <w:u w:val="single"/>
        </w:rPr>
        <w:t xml:space="preserve">                            </w:t>
      </w:r>
    </w:p>
    <w:p w14:paraId="498E4D67">
      <w:pPr>
        <w:spacing w:line="360" w:lineRule="auto"/>
        <w:ind w:firstLine="435"/>
        <w:rPr>
          <w:rFonts w:ascii="宋体" w:hAnsi="宋体" w:eastAsia="宋体" w:cs="Times New Roman"/>
          <w:color w:val="auto"/>
          <w:sz w:val="24"/>
        </w:rPr>
      </w:pPr>
    </w:p>
    <w:p w14:paraId="146A62A3">
      <w:pPr>
        <w:spacing w:line="360" w:lineRule="auto"/>
        <w:ind w:firstLine="435"/>
        <w:rPr>
          <w:rFonts w:hint="eastAsia" w:ascii="宋体" w:hAnsi="宋体" w:eastAsia="宋体" w:cs="Times New Roman"/>
          <w:color w:val="auto"/>
          <w:sz w:val="24"/>
          <w:u w:val="single"/>
        </w:rPr>
      </w:pPr>
      <w:r>
        <w:rPr>
          <w:rFonts w:hint="eastAsia" w:ascii="宋体" w:hAnsi="宋体" w:eastAsia="宋体" w:cs="Times New Roman"/>
          <w:color w:val="auto"/>
          <w:sz w:val="24"/>
        </w:rPr>
        <w:t>日        期：</w:t>
      </w:r>
      <w:r>
        <w:rPr>
          <w:rFonts w:hint="eastAsia" w:ascii="宋体" w:hAnsi="宋体" w:eastAsia="宋体" w:cs="Times New Roman"/>
          <w:color w:val="auto"/>
          <w:sz w:val="24"/>
          <w:u w:val="single"/>
        </w:rPr>
        <w:t xml:space="preserve">                            </w:t>
      </w:r>
    </w:p>
    <w:p w14:paraId="2B9B528A">
      <w:pPr>
        <w:spacing w:line="360" w:lineRule="auto"/>
        <w:ind w:firstLine="435"/>
        <w:rPr>
          <w:rFonts w:hint="eastAsia" w:ascii="宋体" w:hAnsi="宋体" w:eastAsia="宋体" w:cs="Times New Roman"/>
          <w:color w:val="auto"/>
          <w:sz w:val="24"/>
          <w:u w:val="single"/>
        </w:rPr>
      </w:pPr>
    </w:p>
    <w:p w14:paraId="65D5282F">
      <w:pPr>
        <w:spacing w:line="360" w:lineRule="auto"/>
        <w:rPr>
          <w:rFonts w:hint="eastAsia" w:ascii="宋体" w:hAnsi="宋体" w:eastAsia="宋体" w:cs="Times New Roman"/>
          <w:b/>
          <w:color w:val="auto"/>
          <w:sz w:val="28"/>
        </w:rPr>
      </w:pPr>
    </w:p>
    <w:p w14:paraId="038D94A3">
      <w:pPr>
        <w:snapToGrid w:val="0"/>
        <w:spacing w:before="156" w:beforeLines="50" w:after="50" w:line="360" w:lineRule="auto"/>
        <w:rPr>
          <w:rFonts w:hint="eastAsia" w:ascii="宋体" w:hAnsi="宋体" w:eastAsia="宋体" w:cs="Times New Roman"/>
          <w:b/>
          <w:color w:val="auto"/>
          <w:sz w:val="28"/>
        </w:rPr>
      </w:pPr>
    </w:p>
    <w:p w14:paraId="163BC083">
      <w:pPr>
        <w:snapToGrid w:val="0"/>
        <w:spacing w:before="156" w:beforeLines="50" w:after="50" w:line="360" w:lineRule="auto"/>
        <w:rPr>
          <w:rFonts w:ascii="仿宋_GB2312" w:hAnsi="宋体" w:eastAsia="仿宋_GB2312" w:cs="Times New Roman"/>
          <w:b/>
          <w:color w:val="auto"/>
          <w:sz w:val="30"/>
          <w:szCs w:val="30"/>
        </w:rPr>
      </w:pPr>
      <w:r>
        <w:rPr>
          <w:rFonts w:hint="eastAsia" w:ascii="宋体" w:hAnsi="宋体" w:eastAsia="宋体" w:cs="Times New Roman"/>
          <w:b/>
          <w:color w:val="auto"/>
          <w:sz w:val="28"/>
        </w:rPr>
        <w:t>附件12：</w:t>
      </w:r>
      <w:r>
        <w:rPr>
          <w:rFonts w:hint="eastAsia" w:ascii="仿宋_GB2312" w:hAnsi="宋体" w:eastAsia="仿宋_GB2312" w:cs="Times New Roman"/>
          <w:b/>
          <w:color w:val="auto"/>
          <w:sz w:val="30"/>
          <w:szCs w:val="30"/>
        </w:rPr>
        <w:t xml:space="preserve">                                     </w:t>
      </w:r>
    </w:p>
    <w:p w14:paraId="0C738076">
      <w:pPr>
        <w:spacing w:line="360" w:lineRule="auto"/>
        <w:ind w:left="-2" w:hanging="2"/>
        <w:jc w:val="center"/>
        <w:rPr>
          <w:rFonts w:hint="eastAsia" w:ascii="宋体" w:hAnsi="宋体" w:eastAsia="宋体" w:cs="Times New Roman"/>
          <w:b/>
          <w:color w:val="auto"/>
          <w:sz w:val="32"/>
          <w:szCs w:val="32"/>
        </w:rPr>
      </w:pPr>
      <w:r>
        <w:rPr>
          <w:rFonts w:hint="eastAsia" w:ascii="宋体" w:hAnsi="宋体" w:eastAsia="宋体" w:cs="Times New Roman"/>
          <w:b/>
          <w:color w:val="auto"/>
          <w:sz w:val="32"/>
          <w:szCs w:val="32"/>
        </w:rPr>
        <w:t xml:space="preserve">首次报价一览表 </w:t>
      </w:r>
    </w:p>
    <w:p w14:paraId="0C88E4AD">
      <w:pPr>
        <w:spacing w:line="360" w:lineRule="auto"/>
        <w:ind w:left="-2" w:hanging="2"/>
        <w:jc w:val="center"/>
        <w:rPr>
          <w:rFonts w:hint="eastAsia" w:ascii="宋体" w:hAnsi="宋体" w:eastAsia="宋体" w:cs="Times New Roman"/>
          <w:b/>
          <w:color w:val="auto"/>
          <w:sz w:val="32"/>
          <w:szCs w:val="32"/>
        </w:rPr>
      </w:pPr>
    </w:p>
    <w:p w14:paraId="27DF29DA">
      <w:pPr>
        <w:widowControl w:val="0"/>
        <w:spacing w:line="320" w:lineRule="exact"/>
        <w:jc w:val="both"/>
        <w:rPr>
          <w:rFonts w:ascii="宋体" w:hAnsi="宋体" w:eastAsia="宋体" w:cs="Times New Roman"/>
          <w:b/>
          <w:color w:val="auto"/>
          <w:kern w:val="2"/>
          <w:sz w:val="24"/>
          <w:szCs w:val="24"/>
          <w:lang w:val="en-US" w:eastAsia="zh-CN" w:bidi="ar-SA"/>
        </w:rPr>
      </w:pPr>
    </w:p>
    <w:p w14:paraId="1255B24D">
      <w:pPr>
        <w:widowControl w:val="0"/>
        <w:spacing w:line="320" w:lineRule="exact"/>
        <w:jc w:val="both"/>
        <w:rPr>
          <w:rFonts w:hint="eastAsia" w:ascii="宋体" w:hAnsi="宋体" w:eastAsia="宋体" w:cs="Times New Roman"/>
          <w:b/>
          <w:color w:val="auto"/>
          <w:kern w:val="2"/>
          <w:sz w:val="24"/>
          <w:szCs w:val="24"/>
          <w:u w:val="single"/>
          <w:lang w:val="en-US" w:eastAsia="zh-CN" w:bidi="ar-SA"/>
        </w:rPr>
      </w:pPr>
      <w:r>
        <w:rPr>
          <w:rFonts w:ascii="宋体" w:hAnsi="宋体" w:eastAsia="宋体" w:cs="Times New Roman"/>
          <w:b/>
          <w:color w:val="auto"/>
          <w:kern w:val="2"/>
          <w:sz w:val="24"/>
          <w:szCs w:val="24"/>
          <w:lang w:val="en-US" w:eastAsia="zh-CN" w:bidi="ar-SA"/>
        </w:rPr>
        <w:t>项目编号：</w:t>
      </w:r>
      <w:r>
        <w:rPr>
          <w:rFonts w:hint="eastAsia" w:ascii="宋体" w:hAnsi="宋体" w:eastAsia="宋体" w:cs="Times New Roman"/>
          <w:b/>
          <w:color w:val="auto"/>
          <w:kern w:val="2"/>
          <w:sz w:val="24"/>
          <w:szCs w:val="24"/>
          <w:u w:val="single"/>
          <w:lang w:val="en-US" w:eastAsia="zh-CN" w:bidi="ar-SA"/>
        </w:rPr>
        <w:t xml:space="preserve">               </w:t>
      </w:r>
    </w:p>
    <w:p w14:paraId="0EF5B056">
      <w:pPr>
        <w:pStyle w:val="30"/>
        <w:spacing w:line="360" w:lineRule="auto"/>
        <w:ind w:right="480"/>
        <w:jc w:val="left"/>
        <w:rPr>
          <w:rFonts w:hAnsi="宋体" w:eastAsia="宋体" w:cs="Times New Roman"/>
          <w:color w:val="auto"/>
          <w:sz w:val="24"/>
        </w:rPr>
      </w:pPr>
      <w:r>
        <w:rPr>
          <w:rFonts w:hAnsi="宋体" w:eastAsia="宋体" w:cs="Times New Roman"/>
          <w:b/>
          <w:color w:val="auto"/>
          <w:sz w:val="24"/>
        </w:rPr>
        <w:t>项目名称：</w:t>
      </w:r>
      <w:r>
        <w:rPr>
          <w:rFonts w:hint="eastAsia" w:hAnsi="宋体" w:eastAsia="宋体" w:cs="Times New Roman"/>
          <w:b/>
          <w:color w:val="auto"/>
          <w:sz w:val="24"/>
          <w:u w:val="single"/>
        </w:rPr>
        <w:t xml:space="preserve">               </w:t>
      </w:r>
      <w:r>
        <w:rPr>
          <w:rFonts w:hint="eastAsia" w:ascii="宋体" w:hAnsi="宋体" w:eastAsia="宋体" w:cs="Times New Roman"/>
          <w:color w:val="auto"/>
          <w:sz w:val="24"/>
        </w:rPr>
        <w:t xml:space="preserve">                    [货币单位：人民币元]</w:t>
      </w:r>
    </w:p>
    <w:tbl>
      <w:tblPr>
        <w:tblStyle w:val="17"/>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2B915A3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2B3F25C3">
            <w:pPr>
              <w:autoSpaceDE w:val="0"/>
              <w:autoSpaceDN w:val="0"/>
              <w:spacing w:line="450" w:lineRule="exact"/>
              <w:jc w:val="center"/>
              <w:textAlignment w:val="bottom"/>
              <w:rPr>
                <w:rFonts w:ascii="宋体" w:hAnsi="宋体" w:eastAsia="宋体" w:cs="Times New Roman"/>
                <w:color w:val="auto"/>
                <w:sz w:val="24"/>
              </w:rPr>
            </w:pPr>
            <w:r>
              <w:rPr>
                <w:rFonts w:hint="eastAsia" w:ascii="宋体" w:hAnsi="宋体" w:eastAsia="宋体" w:cs="Times New Roman"/>
                <w:color w:val="auto"/>
                <w:sz w:val="24"/>
              </w:rPr>
              <w:t>总报价(元)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4552D5F2">
            <w:pPr>
              <w:autoSpaceDE w:val="0"/>
              <w:autoSpaceDN w:val="0"/>
              <w:spacing w:line="450" w:lineRule="exact"/>
              <w:jc w:val="center"/>
              <w:textAlignment w:val="bottom"/>
              <w:rPr>
                <w:rFonts w:ascii="宋体" w:hAnsi="宋体" w:eastAsia="宋体" w:cs="Times New Roman"/>
                <w:color w:val="auto"/>
                <w:sz w:val="24"/>
              </w:rPr>
            </w:pPr>
            <w:r>
              <w:rPr>
                <w:rFonts w:hint="eastAsia" w:ascii="宋体" w:hAnsi="宋体" w:eastAsia="宋体" w:cs="Times New Roman"/>
                <w:color w:val="auto"/>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E4E939A">
            <w:pPr>
              <w:autoSpaceDE w:val="0"/>
              <w:autoSpaceDN w:val="0"/>
              <w:spacing w:line="450" w:lineRule="exact"/>
              <w:jc w:val="center"/>
              <w:textAlignment w:val="bottom"/>
              <w:rPr>
                <w:rFonts w:ascii="宋体" w:hAnsi="宋体" w:eastAsia="宋体" w:cs="Times New Roman"/>
                <w:color w:val="auto"/>
                <w:sz w:val="24"/>
              </w:rPr>
            </w:pPr>
          </w:p>
        </w:tc>
      </w:tr>
      <w:tr w14:paraId="4BEAD6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2F3CE847">
            <w:pPr>
              <w:rPr>
                <w:rFonts w:ascii="宋体" w:hAnsi="宋体" w:eastAsia="宋体" w:cs="Times New Roman"/>
                <w:color w:val="auto"/>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0B97D8E3">
            <w:pPr>
              <w:autoSpaceDE w:val="0"/>
              <w:autoSpaceDN w:val="0"/>
              <w:spacing w:line="450" w:lineRule="exact"/>
              <w:jc w:val="center"/>
              <w:textAlignment w:val="bottom"/>
              <w:rPr>
                <w:rFonts w:ascii="宋体" w:hAnsi="宋体" w:eastAsia="宋体" w:cs="Times New Roman"/>
                <w:color w:val="auto"/>
                <w:sz w:val="24"/>
              </w:rPr>
            </w:pPr>
            <w:r>
              <w:rPr>
                <w:rFonts w:hint="eastAsia" w:ascii="宋体" w:hAnsi="宋体" w:eastAsia="宋体" w:cs="Times New Roman"/>
                <w:color w:val="auto"/>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252C321D">
            <w:pPr>
              <w:autoSpaceDE w:val="0"/>
              <w:autoSpaceDN w:val="0"/>
              <w:spacing w:line="450" w:lineRule="exact"/>
              <w:jc w:val="center"/>
              <w:textAlignment w:val="bottom"/>
              <w:rPr>
                <w:rFonts w:ascii="宋体" w:hAnsi="宋体" w:eastAsia="宋体" w:cs="Times New Roman"/>
                <w:color w:val="auto"/>
                <w:sz w:val="24"/>
              </w:rPr>
            </w:pPr>
          </w:p>
        </w:tc>
      </w:tr>
    </w:tbl>
    <w:p w14:paraId="3BCFBA6B">
      <w:pPr>
        <w:spacing w:line="360" w:lineRule="auto"/>
        <w:ind w:left="480"/>
        <w:rPr>
          <w:rFonts w:ascii="宋体" w:hAnsi="宋体" w:eastAsia="宋体" w:cs="Times New Roman"/>
          <w:b/>
          <w:color w:val="auto"/>
          <w:sz w:val="30"/>
        </w:rPr>
      </w:pPr>
    </w:p>
    <w:p w14:paraId="28AF800E">
      <w:pPr>
        <w:spacing w:line="360" w:lineRule="auto"/>
        <w:rPr>
          <w:rFonts w:ascii="宋体" w:hAnsi="宋体" w:eastAsia="宋体" w:cs="Times New Roman"/>
          <w:color w:val="auto"/>
          <w:sz w:val="24"/>
        </w:rPr>
      </w:pPr>
      <w:r>
        <w:rPr>
          <w:rFonts w:hint="eastAsia" w:ascii="宋体" w:hAnsi="宋体" w:eastAsia="宋体" w:cs="Times New Roman"/>
          <w:b/>
          <w:color w:val="auto"/>
          <w:szCs w:val="21"/>
        </w:rPr>
        <w:t>填报要求：</w:t>
      </w:r>
    </w:p>
    <w:p w14:paraId="7F2CDB58">
      <w:pPr>
        <w:pStyle w:val="8"/>
        <w:spacing w:line="360" w:lineRule="auto"/>
        <w:ind w:firstLineChars="200"/>
        <w:rPr>
          <w:rFonts w:ascii="宋体" w:hAnsi="宋体" w:eastAsia="宋体" w:cs="Times New Roman"/>
          <w:color w:val="auto"/>
          <w:kern w:val="0"/>
          <w:szCs w:val="21"/>
        </w:rPr>
      </w:pPr>
      <w:r>
        <w:rPr>
          <w:rFonts w:hint="eastAsia" w:ascii="宋体" w:hAnsi="宋体" w:eastAsia="宋体" w:cs="Times New Roman"/>
          <w:color w:val="auto"/>
          <w:kern w:val="0"/>
          <w:szCs w:val="21"/>
        </w:rPr>
        <w:t>1.本项目投标报价应包含应包括设备、标准附件、备品备件、专用工具、包装、运输、装卸、保险、税金、货到就位以及安装、调试、培训、保修等一切税金和费用，包括因采购本项目所需服务产生的全部费用和税费、合理利润以及采购文件未提及但完成本项目所需服务必不可少的费用。</w:t>
      </w:r>
    </w:p>
    <w:p w14:paraId="6CB060CC">
      <w:pPr>
        <w:spacing w:line="360" w:lineRule="auto"/>
        <w:ind w:firstLine="420" w:firstLineChars="200"/>
        <w:rPr>
          <w:rFonts w:ascii="宋体" w:hAnsi="宋体" w:eastAsia="宋体" w:cs="Times New Roman"/>
          <w:b/>
          <w:i/>
          <w:color w:val="auto"/>
          <w:szCs w:val="21"/>
          <w:u w:val="single"/>
        </w:rPr>
      </w:pPr>
      <w:r>
        <w:rPr>
          <w:rFonts w:hint="eastAsia" w:ascii="宋体" w:hAnsi="宋体" w:eastAsia="宋体" w:cs="Times New Roman"/>
          <w:color w:val="auto"/>
          <w:kern w:val="0"/>
          <w:szCs w:val="21"/>
        </w:rPr>
        <w:t>2.报价一经涂改，应在涂改处加盖单位公章，或者由法定代表人或全权代表</w:t>
      </w:r>
      <w:r>
        <w:rPr>
          <w:rFonts w:hint="eastAsia" w:ascii="宋体" w:hAnsi="宋体" w:eastAsia="宋体" w:cs="Times New Roman"/>
          <w:color w:val="auto"/>
          <w:kern w:val="0"/>
          <w:szCs w:val="21"/>
          <w:lang w:eastAsia="zh-CN"/>
        </w:rPr>
        <w:t>签字</w:t>
      </w:r>
      <w:r>
        <w:rPr>
          <w:rFonts w:hint="eastAsia" w:ascii="宋体" w:hAnsi="宋体" w:eastAsia="宋体" w:cs="Times New Roman"/>
          <w:color w:val="auto"/>
          <w:kern w:val="0"/>
          <w:szCs w:val="21"/>
        </w:rPr>
        <w:t>或盖章，否则作无效标处理。</w:t>
      </w:r>
    </w:p>
    <w:p w14:paraId="43CCC09A">
      <w:pPr>
        <w:spacing w:line="360" w:lineRule="auto"/>
        <w:ind w:left="420"/>
        <w:rPr>
          <w:rFonts w:ascii="宋体" w:hAnsi="宋体" w:eastAsia="宋体" w:cs="Times New Roman"/>
          <w:color w:val="auto"/>
          <w:sz w:val="24"/>
        </w:rPr>
      </w:pPr>
    </w:p>
    <w:p w14:paraId="6D3C7F6C">
      <w:pPr>
        <w:spacing w:line="320" w:lineRule="exact"/>
        <w:ind w:left="420"/>
        <w:rPr>
          <w:rFonts w:hint="eastAsia" w:ascii="宋体" w:hAnsi="宋体" w:eastAsia="宋体" w:cs="Times New Roman"/>
          <w:color w:val="auto"/>
          <w:sz w:val="24"/>
        </w:rPr>
      </w:pPr>
    </w:p>
    <w:p w14:paraId="3296CA56">
      <w:pPr>
        <w:spacing w:line="320" w:lineRule="exact"/>
        <w:ind w:left="420"/>
        <w:rPr>
          <w:rFonts w:hint="eastAsia" w:ascii="宋体" w:hAnsi="宋体" w:eastAsia="宋体" w:cs="Times New Roman"/>
          <w:color w:val="auto"/>
          <w:sz w:val="24"/>
          <w:u w:val="single"/>
        </w:rPr>
      </w:pPr>
      <w:r>
        <w:rPr>
          <w:rFonts w:hint="eastAsia" w:ascii="宋体" w:hAnsi="宋体" w:eastAsia="宋体" w:cs="Times New Roman"/>
          <w:color w:val="auto"/>
          <w:sz w:val="24"/>
        </w:rPr>
        <w:t>磋商供应商名称（盖章）：</w:t>
      </w:r>
      <w:r>
        <w:rPr>
          <w:rFonts w:hint="eastAsia" w:ascii="宋体" w:hAnsi="宋体" w:eastAsia="宋体" w:cs="Times New Roman"/>
          <w:color w:val="auto"/>
          <w:sz w:val="24"/>
          <w:u w:val="single"/>
        </w:rPr>
        <w:t xml:space="preserve">                     </w:t>
      </w:r>
    </w:p>
    <w:p w14:paraId="78536089">
      <w:pPr>
        <w:spacing w:line="320" w:lineRule="exact"/>
        <w:ind w:left="420"/>
        <w:rPr>
          <w:rFonts w:hint="eastAsia" w:ascii="宋体" w:hAnsi="宋体" w:eastAsia="宋体" w:cs="Times New Roman"/>
          <w:color w:val="auto"/>
          <w:sz w:val="24"/>
        </w:rPr>
      </w:pPr>
    </w:p>
    <w:p w14:paraId="342EF181">
      <w:pPr>
        <w:spacing w:line="320" w:lineRule="exact"/>
        <w:ind w:firstLine="435"/>
        <w:rPr>
          <w:rFonts w:hint="eastAsia" w:ascii="宋体" w:hAnsi="宋体" w:eastAsia="宋体" w:cs="Times New Roman"/>
          <w:color w:val="auto"/>
          <w:sz w:val="24"/>
        </w:rPr>
      </w:pPr>
      <w:r>
        <w:rPr>
          <w:rFonts w:hint="eastAsia" w:ascii="宋体" w:hAnsi="宋体" w:eastAsia="宋体" w:cs="Times New Roman"/>
          <w:color w:val="auto"/>
          <w:sz w:val="24"/>
        </w:rPr>
        <w:t>磋商供应商代表</w:t>
      </w:r>
      <w:r>
        <w:rPr>
          <w:rFonts w:hint="eastAsia" w:ascii="宋体" w:hAnsi="宋体" w:eastAsia="宋体" w:cs="Times New Roman"/>
          <w:color w:val="auto"/>
          <w:sz w:val="24"/>
          <w:lang w:eastAsia="zh-CN"/>
        </w:rPr>
        <w:t>签字</w:t>
      </w:r>
      <w:r>
        <w:rPr>
          <w:rFonts w:hint="eastAsia" w:ascii="宋体" w:hAnsi="宋体" w:eastAsia="宋体" w:cs="Times New Roman"/>
          <w:color w:val="auto"/>
          <w:sz w:val="24"/>
        </w:rPr>
        <w:t>：</w:t>
      </w:r>
      <w:r>
        <w:rPr>
          <w:rFonts w:hint="eastAsia" w:ascii="宋体" w:hAnsi="宋体" w:eastAsia="宋体" w:cs="Times New Roman"/>
          <w:color w:val="auto"/>
          <w:sz w:val="24"/>
          <w:u w:val="single"/>
        </w:rPr>
        <w:t xml:space="preserve">                         </w:t>
      </w:r>
    </w:p>
    <w:p w14:paraId="7A1BAC3B">
      <w:pPr>
        <w:spacing w:line="320" w:lineRule="exact"/>
        <w:ind w:firstLine="435"/>
        <w:rPr>
          <w:rFonts w:hint="eastAsia" w:ascii="宋体" w:hAnsi="宋体" w:eastAsia="宋体" w:cs="Times New Roman"/>
          <w:color w:val="auto"/>
          <w:sz w:val="24"/>
        </w:rPr>
      </w:pPr>
    </w:p>
    <w:p w14:paraId="2603CA63">
      <w:pPr>
        <w:spacing w:line="320" w:lineRule="exact"/>
        <w:ind w:firstLine="435"/>
        <w:rPr>
          <w:rFonts w:hint="eastAsia" w:ascii="宋体" w:hAnsi="宋体" w:eastAsia="宋体" w:cs="Times New Roman"/>
          <w:color w:val="auto"/>
          <w:sz w:val="24"/>
        </w:rPr>
      </w:pPr>
      <w:r>
        <w:rPr>
          <w:rFonts w:hint="eastAsia" w:ascii="宋体" w:hAnsi="宋体" w:eastAsia="宋体" w:cs="Times New Roman"/>
          <w:color w:val="auto"/>
          <w:sz w:val="24"/>
        </w:rPr>
        <w:t>职        务：</w:t>
      </w:r>
      <w:r>
        <w:rPr>
          <w:rFonts w:hint="eastAsia" w:ascii="宋体" w:hAnsi="宋体" w:eastAsia="宋体" w:cs="Times New Roman"/>
          <w:color w:val="auto"/>
          <w:sz w:val="24"/>
          <w:u w:val="single"/>
        </w:rPr>
        <w:t xml:space="preserve">                             </w:t>
      </w:r>
    </w:p>
    <w:p w14:paraId="316281FE">
      <w:pPr>
        <w:spacing w:line="320" w:lineRule="exact"/>
        <w:ind w:firstLine="435"/>
        <w:rPr>
          <w:rFonts w:hint="eastAsia" w:ascii="宋体" w:hAnsi="宋体" w:eastAsia="宋体" w:cs="Times New Roman"/>
          <w:color w:val="auto"/>
          <w:sz w:val="24"/>
        </w:rPr>
      </w:pPr>
    </w:p>
    <w:p w14:paraId="3B114779">
      <w:pPr>
        <w:spacing w:line="320" w:lineRule="exact"/>
        <w:ind w:firstLine="435"/>
        <w:rPr>
          <w:rFonts w:hint="eastAsia" w:ascii="宋体" w:hAnsi="宋体" w:eastAsia="宋体" w:cs="Times New Roman"/>
          <w:color w:val="auto"/>
          <w:sz w:val="24"/>
        </w:rPr>
      </w:pPr>
      <w:r>
        <w:rPr>
          <w:rFonts w:hint="eastAsia" w:ascii="宋体" w:hAnsi="宋体" w:eastAsia="宋体" w:cs="Times New Roman"/>
          <w:color w:val="auto"/>
          <w:sz w:val="24"/>
        </w:rPr>
        <w:t>日        期：</w:t>
      </w:r>
      <w:r>
        <w:rPr>
          <w:rFonts w:hint="eastAsia" w:ascii="宋体" w:hAnsi="宋体" w:eastAsia="宋体" w:cs="Times New Roman"/>
          <w:color w:val="auto"/>
          <w:sz w:val="24"/>
          <w:u w:val="single"/>
        </w:rPr>
        <w:t xml:space="preserve">                             </w:t>
      </w:r>
    </w:p>
    <w:p w14:paraId="77BA9785">
      <w:pPr>
        <w:adjustRightInd w:val="0"/>
        <w:snapToGrid w:val="0"/>
        <w:spacing w:line="360" w:lineRule="auto"/>
        <w:ind w:right="480"/>
        <w:jc w:val="center"/>
        <w:rPr>
          <w:rFonts w:hint="eastAsia" w:ascii="宋体" w:hAnsi="宋体" w:eastAsia="宋体" w:cs="仿宋_GB2312"/>
          <w:color w:val="auto"/>
          <w:kern w:val="0"/>
          <w:sz w:val="24"/>
          <w:lang w:val="zh-CN"/>
        </w:rPr>
      </w:pPr>
    </w:p>
    <w:p w14:paraId="2A3D0087">
      <w:pPr>
        <w:spacing w:line="360" w:lineRule="atLeast"/>
        <w:ind w:left="480"/>
        <w:rPr>
          <w:rFonts w:hint="eastAsia" w:ascii="宋体" w:hAnsi="宋体" w:eastAsia="宋体" w:cs="Times New Roman"/>
          <w:b/>
          <w:color w:val="auto"/>
          <w:sz w:val="28"/>
        </w:rPr>
      </w:pPr>
    </w:p>
    <w:p w14:paraId="713AC6D9">
      <w:pPr>
        <w:spacing w:line="360" w:lineRule="atLeast"/>
        <w:ind w:left="480"/>
        <w:rPr>
          <w:rFonts w:hint="eastAsia" w:ascii="宋体" w:hAnsi="宋体" w:eastAsia="宋体" w:cs="Times New Roman"/>
          <w:b/>
          <w:color w:val="auto"/>
          <w:sz w:val="28"/>
        </w:rPr>
      </w:pPr>
      <w:r>
        <w:rPr>
          <w:rFonts w:hint="eastAsia" w:ascii="宋体" w:hAnsi="宋体" w:eastAsia="宋体" w:cs="Times New Roman"/>
          <w:b/>
          <w:color w:val="auto"/>
          <w:sz w:val="28"/>
        </w:rPr>
        <w:t xml:space="preserve">附件13:           </w:t>
      </w:r>
    </w:p>
    <w:p w14:paraId="527866D7">
      <w:pPr>
        <w:spacing w:line="360" w:lineRule="auto"/>
        <w:ind w:left="480"/>
        <w:jc w:val="center"/>
        <w:rPr>
          <w:rFonts w:hint="eastAsia" w:ascii="宋体" w:hAnsi="宋体" w:eastAsia="宋体" w:cs="Times New Roman"/>
          <w:color w:val="auto"/>
        </w:rPr>
      </w:pPr>
      <w:r>
        <w:rPr>
          <w:rFonts w:hint="eastAsia" w:ascii="宋体" w:hAnsi="宋体" w:eastAsia="宋体" w:cs="Times New Roman"/>
          <w:b/>
          <w:color w:val="auto"/>
          <w:sz w:val="32"/>
          <w:szCs w:val="32"/>
          <w:lang w:eastAsia="zh-CN"/>
        </w:rPr>
        <w:t>报价</w:t>
      </w:r>
      <w:r>
        <w:rPr>
          <w:rFonts w:hint="eastAsia" w:ascii="宋体" w:hAnsi="宋体" w:eastAsia="宋体" w:cs="Times New Roman"/>
          <w:b/>
          <w:color w:val="auto"/>
          <w:sz w:val="32"/>
          <w:szCs w:val="32"/>
        </w:rPr>
        <w:t>明细</w:t>
      </w:r>
      <w:r>
        <w:rPr>
          <w:rFonts w:hint="eastAsia" w:ascii="宋体" w:hAnsi="宋体" w:eastAsia="宋体" w:cs="Times New Roman"/>
          <w:b/>
          <w:color w:val="auto"/>
          <w:sz w:val="32"/>
          <w:szCs w:val="32"/>
          <w:lang w:eastAsia="zh-CN"/>
        </w:rPr>
        <w:t>表</w:t>
      </w:r>
      <w:r>
        <w:rPr>
          <w:rFonts w:hint="eastAsia" w:ascii="宋体" w:hAnsi="宋体" w:eastAsia="宋体" w:cs="Times New Roman"/>
          <w:b/>
          <w:color w:val="auto"/>
          <w:sz w:val="32"/>
          <w:szCs w:val="32"/>
        </w:rPr>
        <w:t xml:space="preserve"> </w:t>
      </w:r>
      <w:r>
        <w:rPr>
          <w:rFonts w:hint="eastAsia" w:ascii="宋体" w:hAnsi="宋体" w:eastAsia="宋体" w:cs="Times New Roman"/>
          <w:color w:val="auto"/>
          <w:sz w:val="24"/>
        </w:rPr>
        <w:t xml:space="preserve">                                                                                      </w:t>
      </w:r>
    </w:p>
    <w:p w14:paraId="1E036874">
      <w:pPr>
        <w:spacing w:line="360" w:lineRule="auto"/>
        <w:rPr>
          <w:rFonts w:ascii="宋体" w:hAnsi="宋体" w:eastAsia="宋体" w:cs="Times New Roman"/>
          <w:color w:val="auto"/>
          <w:sz w:val="24"/>
        </w:rPr>
      </w:pPr>
      <w:r>
        <w:rPr>
          <w:rFonts w:hint="eastAsia" w:ascii="宋体" w:hAnsi="宋体" w:eastAsia="宋体" w:cs="Times New Roman"/>
          <w:color w:val="auto"/>
          <w:sz w:val="24"/>
        </w:rPr>
        <w:t xml:space="preserve"> 项目编号：</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 xml:space="preserve">                  [货币单位：人民币元]</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6642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noWrap w:val="0"/>
            <w:vAlign w:val="center"/>
          </w:tcPr>
          <w:p w14:paraId="2A421FE8">
            <w:pPr>
              <w:spacing w:line="360" w:lineRule="auto"/>
              <w:rPr>
                <w:rFonts w:ascii="宋体" w:hAnsi="宋体" w:eastAsia="宋体" w:cs="Times New Roman"/>
                <w:b/>
                <w:color w:val="auto"/>
                <w:sz w:val="24"/>
              </w:rPr>
            </w:pPr>
            <w:r>
              <w:rPr>
                <w:rFonts w:hint="eastAsia" w:ascii="宋体" w:hAnsi="宋体" w:eastAsia="宋体" w:cs="Times New Roman"/>
                <w:b/>
                <w:color w:val="auto"/>
                <w:sz w:val="24"/>
              </w:rPr>
              <w:t>序号</w:t>
            </w:r>
          </w:p>
        </w:tc>
        <w:tc>
          <w:tcPr>
            <w:tcW w:w="1460" w:type="dxa"/>
            <w:noWrap w:val="0"/>
            <w:vAlign w:val="center"/>
          </w:tcPr>
          <w:p w14:paraId="6A2C9A02">
            <w:pPr>
              <w:tabs>
                <w:tab w:val="left" w:pos="8280"/>
              </w:tabs>
              <w:autoSpaceDE w:val="0"/>
              <w:autoSpaceDN w:val="0"/>
              <w:adjustRightInd w:val="0"/>
              <w:spacing w:line="360" w:lineRule="auto"/>
              <w:ind w:right="25"/>
              <w:rPr>
                <w:rFonts w:ascii="宋体" w:hAnsi="宋体" w:eastAsia="宋体" w:cs="Times New Roman"/>
                <w:b/>
                <w:color w:val="auto"/>
                <w:sz w:val="24"/>
              </w:rPr>
            </w:pPr>
            <w:r>
              <w:rPr>
                <w:rFonts w:hint="eastAsia" w:ascii="宋体" w:hAnsi="宋体" w:eastAsia="宋体" w:cs="Times New Roman"/>
                <w:b/>
                <w:color w:val="auto"/>
                <w:sz w:val="24"/>
              </w:rPr>
              <w:t>报价项目</w:t>
            </w:r>
          </w:p>
        </w:tc>
        <w:tc>
          <w:tcPr>
            <w:tcW w:w="1559" w:type="dxa"/>
            <w:noWrap w:val="0"/>
            <w:vAlign w:val="center"/>
          </w:tcPr>
          <w:p w14:paraId="379C9DAD">
            <w:pPr>
              <w:tabs>
                <w:tab w:val="left" w:pos="8280"/>
              </w:tabs>
              <w:autoSpaceDE w:val="0"/>
              <w:autoSpaceDN w:val="0"/>
              <w:adjustRightInd w:val="0"/>
              <w:spacing w:line="360" w:lineRule="auto"/>
              <w:ind w:right="25"/>
              <w:jc w:val="center"/>
              <w:rPr>
                <w:rFonts w:ascii="宋体" w:hAnsi="宋体" w:eastAsia="宋体" w:cs="Times New Roman"/>
                <w:b/>
                <w:color w:val="auto"/>
                <w:sz w:val="24"/>
              </w:rPr>
            </w:pPr>
            <w:r>
              <w:rPr>
                <w:rFonts w:hint="eastAsia" w:ascii="宋体" w:hAnsi="宋体" w:eastAsia="宋体" w:cs="Times New Roman"/>
                <w:b/>
                <w:color w:val="auto"/>
                <w:sz w:val="24"/>
              </w:rPr>
              <w:t>品牌、产地</w:t>
            </w:r>
          </w:p>
        </w:tc>
        <w:tc>
          <w:tcPr>
            <w:tcW w:w="1559" w:type="dxa"/>
            <w:noWrap w:val="0"/>
            <w:vAlign w:val="center"/>
          </w:tcPr>
          <w:p w14:paraId="5288C4DE">
            <w:pPr>
              <w:spacing w:line="360" w:lineRule="auto"/>
              <w:ind w:left="52"/>
              <w:jc w:val="center"/>
              <w:rPr>
                <w:rFonts w:ascii="宋体" w:hAnsi="宋体" w:eastAsia="宋体" w:cs="Times New Roman"/>
                <w:b/>
                <w:color w:val="auto"/>
                <w:sz w:val="24"/>
              </w:rPr>
            </w:pPr>
            <w:r>
              <w:rPr>
                <w:rFonts w:hint="eastAsia" w:ascii="宋体" w:hAnsi="宋体" w:eastAsia="宋体" w:cs="Times New Roman"/>
                <w:b/>
                <w:color w:val="auto"/>
                <w:sz w:val="24"/>
              </w:rPr>
              <w:t>型号规格</w:t>
            </w:r>
          </w:p>
        </w:tc>
        <w:tc>
          <w:tcPr>
            <w:tcW w:w="851" w:type="dxa"/>
            <w:noWrap w:val="0"/>
            <w:vAlign w:val="center"/>
          </w:tcPr>
          <w:p w14:paraId="476DA867">
            <w:pPr>
              <w:spacing w:line="360" w:lineRule="auto"/>
              <w:ind w:left="152"/>
              <w:jc w:val="center"/>
              <w:rPr>
                <w:rFonts w:ascii="宋体" w:hAnsi="宋体" w:eastAsia="宋体" w:cs="Times New Roman"/>
                <w:b/>
                <w:color w:val="auto"/>
                <w:sz w:val="24"/>
              </w:rPr>
            </w:pPr>
            <w:r>
              <w:rPr>
                <w:rFonts w:hint="eastAsia" w:ascii="宋体" w:hAnsi="宋体" w:eastAsia="宋体" w:cs="Times New Roman"/>
                <w:b/>
                <w:color w:val="auto"/>
                <w:sz w:val="24"/>
              </w:rPr>
              <w:t>数量</w:t>
            </w:r>
          </w:p>
        </w:tc>
        <w:tc>
          <w:tcPr>
            <w:tcW w:w="992" w:type="dxa"/>
            <w:noWrap w:val="0"/>
            <w:vAlign w:val="center"/>
          </w:tcPr>
          <w:p w14:paraId="0DED66B1">
            <w:pPr>
              <w:spacing w:line="360" w:lineRule="auto"/>
              <w:jc w:val="center"/>
              <w:rPr>
                <w:rFonts w:ascii="宋体" w:hAnsi="宋体" w:eastAsia="宋体" w:cs="Times New Roman"/>
                <w:b/>
                <w:color w:val="auto"/>
                <w:sz w:val="24"/>
              </w:rPr>
            </w:pPr>
            <w:r>
              <w:rPr>
                <w:rFonts w:hint="eastAsia" w:ascii="宋体" w:hAnsi="宋体" w:eastAsia="宋体" w:cs="Times New Roman"/>
                <w:b/>
                <w:color w:val="auto"/>
                <w:sz w:val="24"/>
              </w:rPr>
              <w:t>单价</w:t>
            </w:r>
          </w:p>
        </w:tc>
        <w:tc>
          <w:tcPr>
            <w:tcW w:w="992" w:type="dxa"/>
            <w:noWrap w:val="0"/>
            <w:vAlign w:val="center"/>
          </w:tcPr>
          <w:p w14:paraId="5EF4191B">
            <w:pPr>
              <w:spacing w:line="360" w:lineRule="auto"/>
              <w:jc w:val="center"/>
              <w:rPr>
                <w:rFonts w:ascii="宋体" w:hAnsi="宋体" w:eastAsia="宋体" w:cs="Times New Roman"/>
                <w:b/>
                <w:color w:val="auto"/>
                <w:sz w:val="24"/>
              </w:rPr>
            </w:pPr>
            <w:r>
              <w:rPr>
                <w:rFonts w:hint="eastAsia" w:ascii="宋体" w:hAnsi="宋体" w:eastAsia="宋体" w:cs="Times New Roman"/>
                <w:b/>
                <w:color w:val="auto"/>
                <w:sz w:val="24"/>
              </w:rPr>
              <w:t>小计</w:t>
            </w:r>
          </w:p>
        </w:tc>
        <w:tc>
          <w:tcPr>
            <w:tcW w:w="709" w:type="dxa"/>
            <w:noWrap w:val="0"/>
            <w:vAlign w:val="center"/>
          </w:tcPr>
          <w:p w14:paraId="6C54FE82">
            <w:pPr>
              <w:spacing w:line="360" w:lineRule="auto"/>
              <w:jc w:val="center"/>
              <w:rPr>
                <w:rFonts w:ascii="宋体" w:hAnsi="宋体" w:eastAsia="宋体" w:cs="Times New Roman"/>
                <w:b/>
                <w:color w:val="auto"/>
                <w:sz w:val="24"/>
              </w:rPr>
            </w:pPr>
            <w:r>
              <w:rPr>
                <w:rFonts w:hint="eastAsia" w:ascii="宋体" w:hAnsi="宋体" w:eastAsia="宋体" w:cs="Times New Roman"/>
                <w:b/>
                <w:color w:val="auto"/>
                <w:sz w:val="24"/>
              </w:rPr>
              <w:t>备注</w:t>
            </w:r>
          </w:p>
        </w:tc>
      </w:tr>
      <w:tr w14:paraId="4FBF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noWrap w:val="0"/>
            <w:vAlign w:val="center"/>
          </w:tcPr>
          <w:p w14:paraId="03BADC63">
            <w:pPr>
              <w:spacing w:line="360" w:lineRule="auto"/>
              <w:rPr>
                <w:rFonts w:ascii="宋体" w:hAnsi="宋体" w:eastAsia="宋体" w:cs="Times New Roman"/>
                <w:color w:val="auto"/>
                <w:sz w:val="24"/>
              </w:rPr>
            </w:pPr>
          </w:p>
        </w:tc>
        <w:tc>
          <w:tcPr>
            <w:tcW w:w="1460" w:type="dxa"/>
            <w:noWrap w:val="0"/>
            <w:vAlign w:val="center"/>
          </w:tcPr>
          <w:p w14:paraId="4DCD69FC">
            <w:pPr>
              <w:spacing w:line="360" w:lineRule="auto"/>
              <w:rPr>
                <w:rFonts w:ascii="宋体" w:hAnsi="宋体" w:eastAsia="宋体" w:cs="Times New Roman"/>
                <w:color w:val="auto"/>
                <w:sz w:val="24"/>
              </w:rPr>
            </w:pPr>
          </w:p>
        </w:tc>
        <w:tc>
          <w:tcPr>
            <w:tcW w:w="1559" w:type="dxa"/>
            <w:noWrap w:val="0"/>
            <w:vAlign w:val="center"/>
          </w:tcPr>
          <w:p w14:paraId="4073402C">
            <w:pPr>
              <w:spacing w:line="360" w:lineRule="auto"/>
              <w:rPr>
                <w:rFonts w:ascii="宋体" w:hAnsi="宋体" w:eastAsia="宋体" w:cs="Times New Roman"/>
                <w:color w:val="auto"/>
                <w:sz w:val="24"/>
              </w:rPr>
            </w:pPr>
          </w:p>
        </w:tc>
        <w:tc>
          <w:tcPr>
            <w:tcW w:w="1559" w:type="dxa"/>
            <w:noWrap w:val="0"/>
            <w:vAlign w:val="center"/>
          </w:tcPr>
          <w:p w14:paraId="66EB06EA">
            <w:pPr>
              <w:spacing w:line="360" w:lineRule="auto"/>
              <w:rPr>
                <w:rFonts w:ascii="宋体" w:hAnsi="宋体" w:eastAsia="宋体" w:cs="Times New Roman"/>
                <w:color w:val="auto"/>
                <w:sz w:val="24"/>
              </w:rPr>
            </w:pPr>
          </w:p>
        </w:tc>
        <w:tc>
          <w:tcPr>
            <w:tcW w:w="851" w:type="dxa"/>
            <w:noWrap w:val="0"/>
            <w:vAlign w:val="center"/>
          </w:tcPr>
          <w:p w14:paraId="6167318B">
            <w:pPr>
              <w:spacing w:line="360" w:lineRule="auto"/>
              <w:rPr>
                <w:rFonts w:ascii="宋体" w:hAnsi="宋体" w:eastAsia="宋体" w:cs="Times New Roman"/>
                <w:color w:val="auto"/>
                <w:sz w:val="24"/>
              </w:rPr>
            </w:pPr>
          </w:p>
        </w:tc>
        <w:tc>
          <w:tcPr>
            <w:tcW w:w="992" w:type="dxa"/>
            <w:noWrap w:val="0"/>
            <w:vAlign w:val="center"/>
          </w:tcPr>
          <w:p w14:paraId="5110E2CC">
            <w:pPr>
              <w:spacing w:line="360" w:lineRule="auto"/>
              <w:rPr>
                <w:rFonts w:ascii="宋体" w:hAnsi="宋体" w:eastAsia="宋体" w:cs="Times New Roman"/>
                <w:color w:val="auto"/>
                <w:sz w:val="24"/>
              </w:rPr>
            </w:pPr>
          </w:p>
        </w:tc>
        <w:tc>
          <w:tcPr>
            <w:tcW w:w="992" w:type="dxa"/>
            <w:noWrap w:val="0"/>
            <w:vAlign w:val="center"/>
          </w:tcPr>
          <w:p w14:paraId="3915973C">
            <w:pPr>
              <w:spacing w:line="360" w:lineRule="auto"/>
              <w:rPr>
                <w:rFonts w:ascii="宋体" w:hAnsi="宋体" w:eastAsia="宋体" w:cs="Times New Roman"/>
                <w:color w:val="auto"/>
                <w:sz w:val="24"/>
              </w:rPr>
            </w:pPr>
          </w:p>
        </w:tc>
        <w:tc>
          <w:tcPr>
            <w:tcW w:w="709" w:type="dxa"/>
            <w:noWrap w:val="0"/>
            <w:vAlign w:val="center"/>
          </w:tcPr>
          <w:p w14:paraId="19283488">
            <w:pPr>
              <w:spacing w:line="360" w:lineRule="auto"/>
              <w:rPr>
                <w:rFonts w:ascii="宋体" w:hAnsi="宋体" w:eastAsia="宋体" w:cs="Times New Roman"/>
                <w:color w:val="auto"/>
                <w:sz w:val="24"/>
              </w:rPr>
            </w:pPr>
          </w:p>
        </w:tc>
      </w:tr>
      <w:tr w14:paraId="080E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noWrap w:val="0"/>
            <w:vAlign w:val="center"/>
          </w:tcPr>
          <w:p w14:paraId="3E4825A8">
            <w:pPr>
              <w:spacing w:line="360" w:lineRule="auto"/>
              <w:rPr>
                <w:rFonts w:ascii="宋体" w:hAnsi="宋体" w:eastAsia="宋体" w:cs="Times New Roman"/>
                <w:color w:val="auto"/>
                <w:sz w:val="24"/>
              </w:rPr>
            </w:pPr>
          </w:p>
        </w:tc>
        <w:tc>
          <w:tcPr>
            <w:tcW w:w="1460" w:type="dxa"/>
            <w:noWrap w:val="0"/>
            <w:vAlign w:val="center"/>
          </w:tcPr>
          <w:p w14:paraId="1EE8EA5A">
            <w:pPr>
              <w:spacing w:line="360" w:lineRule="auto"/>
              <w:rPr>
                <w:rFonts w:ascii="宋体" w:hAnsi="宋体" w:eastAsia="宋体" w:cs="Times New Roman"/>
                <w:color w:val="auto"/>
                <w:sz w:val="24"/>
              </w:rPr>
            </w:pPr>
          </w:p>
        </w:tc>
        <w:tc>
          <w:tcPr>
            <w:tcW w:w="1559" w:type="dxa"/>
            <w:noWrap w:val="0"/>
            <w:vAlign w:val="center"/>
          </w:tcPr>
          <w:p w14:paraId="26C3510F">
            <w:pPr>
              <w:spacing w:line="360" w:lineRule="auto"/>
              <w:rPr>
                <w:rFonts w:ascii="宋体" w:hAnsi="宋体" w:eastAsia="宋体" w:cs="Times New Roman"/>
                <w:color w:val="auto"/>
                <w:sz w:val="24"/>
              </w:rPr>
            </w:pPr>
          </w:p>
        </w:tc>
        <w:tc>
          <w:tcPr>
            <w:tcW w:w="1559" w:type="dxa"/>
            <w:noWrap w:val="0"/>
            <w:vAlign w:val="center"/>
          </w:tcPr>
          <w:p w14:paraId="51562BD6">
            <w:pPr>
              <w:spacing w:line="360" w:lineRule="auto"/>
              <w:rPr>
                <w:rFonts w:ascii="宋体" w:hAnsi="宋体" w:eastAsia="宋体" w:cs="Times New Roman"/>
                <w:color w:val="auto"/>
                <w:sz w:val="24"/>
              </w:rPr>
            </w:pPr>
          </w:p>
        </w:tc>
        <w:tc>
          <w:tcPr>
            <w:tcW w:w="851" w:type="dxa"/>
            <w:noWrap w:val="0"/>
            <w:vAlign w:val="center"/>
          </w:tcPr>
          <w:p w14:paraId="08A6E7BE">
            <w:pPr>
              <w:spacing w:line="360" w:lineRule="auto"/>
              <w:rPr>
                <w:rFonts w:ascii="宋体" w:hAnsi="宋体" w:eastAsia="宋体" w:cs="Times New Roman"/>
                <w:color w:val="auto"/>
                <w:sz w:val="24"/>
              </w:rPr>
            </w:pPr>
          </w:p>
        </w:tc>
        <w:tc>
          <w:tcPr>
            <w:tcW w:w="992" w:type="dxa"/>
            <w:noWrap w:val="0"/>
            <w:vAlign w:val="center"/>
          </w:tcPr>
          <w:p w14:paraId="11A64DBA">
            <w:pPr>
              <w:spacing w:line="360" w:lineRule="auto"/>
              <w:rPr>
                <w:rFonts w:ascii="宋体" w:hAnsi="宋体" w:eastAsia="宋体" w:cs="Times New Roman"/>
                <w:color w:val="auto"/>
                <w:sz w:val="24"/>
              </w:rPr>
            </w:pPr>
          </w:p>
        </w:tc>
        <w:tc>
          <w:tcPr>
            <w:tcW w:w="992" w:type="dxa"/>
            <w:noWrap w:val="0"/>
            <w:vAlign w:val="center"/>
          </w:tcPr>
          <w:p w14:paraId="0D5DA87D">
            <w:pPr>
              <w:spacing w:line="360" w:lineRule="auto"/>
              <w:rPr>
                <w:rFonts w:ascii="宋体" w:hAnsi="宋体" w:eastAsia="宋体" w:cs="Times New Roman"/>
                <w:color w:val="auto"/>
                <w:sz w:val="24"/>
              </w:rPr>
            </w:pPr>
          </w:p>
        </w:tc>
        <w:tc>
          <w:tcPr>
            <w:tcW w:w="709" w:type="dxa"/>
            <w:noWrap w:val="0"/>
            <w:vAlign w:val="center"/>
          </w:tcPr>
          <w:p w14:paraId="0D3133CA">
            <w:pPr>
              <w:spacing w:line="360" w:lineRule="auto"/>
              <w:rPr>
                <w:rFonts w:ascii="宋体" w:hAnsi="宋体" w:eastAsia="宋体" w:cs="Times New Roman"/>
                <w:color w:val="auto"/>
                <w:sz w:val="24"/>
              </w:rPr>
            </w:pPr>
          </w:p>
        </w:tc>
      </w:tr>
      <w:tr w14:paraId="1C09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14:paraId="3E6BE8A7">
            <w:pPr>
              <w:spacing w:line="360" w:lineRule="auto"/>
              <w:rPr>
                <w:rFonts w:ascii="宋体" w:hAnsi="宋体" w:eastAsia="宋体" w:cs="Times New Roman"/>
                <w:color w:val="auto"/>
                <w:sz w:val="24"/>
              </w:rPr>
            </w:pPr>
          </w:p>
        </w:tc>
        <w:tc>
          <w:tcPr>
            <w:tcW w:w="1460" w:type="dxa"/>
            <w:noWrap w:val="0"/>
            <w:vAlign w:val="center"/>
          </w:tcPr>
          <w:p w14:paraId="5D4EEF80">
            <w:pPr>
              <w:spacing w:line="360" w:lineRule="auto"/>
              <w:rPr>
                <w:rFonts w:ascii="宋体" w:hAnsi="宋体" w:eastAsia="宋体" w:cs="Times New Roman"/>
                <w:color w:val="auto"/>
                <w:sz w:val="24"/>
              </w:rPr>
            </w:pPr>
          </w:p>
        </w:tc>
        <w:tc>
          <w:tcPr>
            <w:tcW w:w="1559" w:type="dxa"/>
            <w:noWrap w:val="0"/>
            <w:vAlign w:val="center"/>
          </w:tcPr>
          <w:p w14:paraId="6A72ECA8">
            <w:pPr>
              <w:spacing w:line="360" w:lineRule="auto"/>
              <w:rPr>
                <w:rFonts w:ascii="宋体" w:hAnsi="宋体" w:eastAsia="宋体" w:cs="Times New Roman"/>
                <w:color w:val="auto"/>
                <w:sz w:val="24"/>
              </w:rPr>
            </w:pPr>
          </w:p>
        </w:tc>
        <w:tc>
          <w:tcPr>
            <w:tcW w:w="1559" w:type="dxa"/>
            <w:noWrap w:val="0"/>
            <w:vAlign w:val="center"/>
          </w:tcPr>
          <w:p w14:paraId="21D7C890">
            <w:pPr>
              <w:spacing w:line="360" w:lineRule="auto"/>
              <w:rPr>
                <w:rFonts w:ascii="宋体" w:hAnsi="宋体" w:eastAsia="宋体" w:cs="Times New Roman"/>
                <w:color w:val="auto"/>
                <w:sz w:val="24"/>
              </w:rPr>
            </w:pPr>
          </w:p>
        </w:tc>
        <w:tc>
          <w:tcPr>
            <w:tcW w:w="851" w:type="dxa"/>
            <w:noWrap w:val="0"/>
            <w:vAlign w:val="center"/>
          </w:tcPr>
          <w:p w14:paraId="21C5411B">
            <w:pPr>
              <w:spacing w:line="360" w:lineRule="auto"/>
              <w:rPr>
                <w:rFonts w:ascii="宋体" w:hAnsi="宋体" w:eastAsia="宋体" w:cs="Times New Roman"/>
                <w:color w:val="auto"/>
                <w:sz w:val="24"/>
              </w:rPr>
            </w:pPr>
          </w:p>
        </w:tc>
        <w:tc>
          <w:tcPr>
            <w:tcW w:w="992" w:type="dxa"/>
            <w:noWrap w:val="0"/>
            <w:vAlign w:val="center"/>
          </w:tcPr>
          <w:p w14:paraId="389BAB90">
            <w:pPr>
              <w:spacing w:line="360" w:lineRule="auto"/>
              <w:rPr>
                <w:rFonts w:ascii="宋体" w:hAnsi="宋体" w:eastAsia="宋体" w:cs="Times New Roman"/>
                <w:color w:val="auto"/>
                <w:sz w:val="24"/>
              </w:rPr>
            </w:pPr>
          </w:p>
        </w:tc>
        <w:tc>
          <w:tcPr>
            <w:tcW w:w="992" w:type="dxa"/>
            <w:noWrap w:val="0"/>
            <w:vAlign w:val="center"/>
          </w:tcPr>
          <w:p w14:paraId="165F0EAB">
            <w:pPr>
              <w:spacing w:line="360" w:lineRule="auto"/>
              <w:rPr>
                <w:rFonts w:ascii="宋体" w:hAnsi="宋体" w:eastAsia="宋体" w:cs="Times New Roman"/>
                <w:color w:val="auto"/>
                <w:sz w:val="24"/>
              </w:rPr>
            </w:pPr>
          </w:p>
        </w:tc>
        <w:tc>
          <w:tcPr>
            <w:tcW w:w="709" w:type="dxa"/>
            <w:noWrap w:val="0"/>
            <w:vAlign w:val="center"/>
          </w:tcPr>
          <w:p w14:paraId="7E71887A">
            <w:pPr>
              <w:spacing w:line="360" w:lineRule="auto"/>
              <w:rPr>
                <w:rFonts w:ascii="宋体" w:hAnsi="宋体" w:eastAsia="宋体" w:cs="Times New Roman"/>
                <w:color w:val="auto"/>
                <w:sz w:val="24"/>
              </w:rPr>
            </w:pPr>
          </w:p>
        </w:tc>
      </w:tr>
      <w:tr w14:paraId="5DB6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noWrap w:val="0"/>
            <w:vAlign w:val="center"/>
          </w:tcPr>
          <w:p w14:paraId="1B8A8B35">
            <w:pPr>
              <w:spacing w:line="360" w:lineRule="auto"/>
              <w:rPr>
                <w:rFonts w:ascii="宋体" w:hAnsi="宋体" w:eastAsia="宋体" w:cs="Times New Roman"/>
                <w:color w:val="auto"/>
                <w:sz w:val="24"/>
              </w:rPr>
            </w:pPr>
          </w:p>
        </w:tc>
        <w:tc>
          <w:tcPr>
            <w:tcW w:w="1460" w:type="dxa"/>
            <w:noWrap w:val="0"/>
            <w:vAlign w:val="center"/>
          </w:tcPr>
          <w:p w14:paraId="34955205">
            <w:pPr>
              <w:spacing w:line="360" w:lineRule="auto"/>
              <w:rPr>
                <w:rFonts w:ascii="宋体" w:hAnsi="宋体" w:eastAsia="宋体" w:cs="Times New Roman"/>
                <w:color w:val="auto"/>
                <w:sz w:val="24"/>
              </w:rPr>
            </w:pPr>
          </w:p>
        </w:tc>
        <w:tc>
          <w:tcPr>
            <w:tcW w:w="1559" w:type="dxa"/>
            <w:noWrap w:val="0"/>
            <w:vAlign w:val="center"/>
          </w:tcPr>
          <w:p w14:paraId="049C753C">
            <w:pPr>
              <w:spacing w:line="360" w:lineRule="auto"/>
              <w:rPr>
                <w:rFonts w:ascii="宋体" w:hAnsi="宋体" w:eastAsia="宋体" w:cs="Times New Roman"/>
                <w:color w:val="auto"/>
                <w:sz w:val="24"/>
              </w:rPr>
            </w:pPr>
          </w:p>
        </w:tc>
        <w:tc>
          <w:tcPr>
            <w:tcW w:w="1559" w:type="dxa"/>
            <w:noWrap w:val="0"/>
            <w:vAlign w:val="center"/>
          </w:tcPr>
          <w:p w14:paraId="22026DCB">
            <w:pPr>
              <w:spacing w:line="360" w:lineRule="auto"/>
              <w:rPr>
                <w:rFonts w:ascii="宋体" w:hAnsi="宋体" w:eastAsia="宋体" w:cs="Times New Roman"/>
                <w:color w:val="auto"/>
                <w:sz w:val="24"/>
              </w:rPr>
            </w:pPr>
          </w:p>
        </w:tc>
        <w:tc>
          <w:tcPr>
            <w:tcW w:w="851" w:type="dxa"/>
            <w:noWrap w:val="0"/>
            <w:vAlign w:val="center"/>
          </w:tcPr>
          <w:p w14:paraId="6D8268CA">
            <w:pPr>
              <w:spacing w:line="360" w:lineRule="auto"/>
              <w:rPr>
                <w:rFonts w:ascii="宋体" w:hAnsi="宋体" w:eastAsia="宋体" w:cs="Times New Roman"/>
                <w:color w:val="auto"/>
                <w:sz w:val="24"/>
              </w:rPr>
            </w:pPr>
          </w:p>
        </w:tc>
        <w:tc>
          <w:tcPr>
            <w:tcW w:w="992" w:type="dxa"/>
            <w:noWrap w:val="0"/>
            <w:vAlign w:val="center"/>
          </w:tcPr>
          <w:p w14:paraId="4E8EDF76">
            <w:pPr>
              <w:spacing w:line="360" w:lineRule="auto"/>
              <w:rPr>
                <w:rFonts w:ascii="宋体" w:hAnsi="宋体" w:eastAsia="宋体" w:cs="Times New Roman"/>
                <w:color w:val="auto"/>
                <w:sz w:val="24"/>
              </w:rPr>
            </w:pPr>
          </w:p>
        </w:tc>
        <w:tc>
          <w:tcPr>
            <w:tcW w:w="992" w:type="dxa"/>
            <w:noWrap w:val="0"/>
            <w:vAlign w:val="center"/>
          </w:tcPr>
          <w:p w14:paraId="10080F7E">
            <w:pPr>
              <w:spacing w:line="360" w:lineRule="auto"/>
              <w:rPr>
                <w:rFonts w:ascii="宋体" w:hAnsi="宋体" w:eastAsia="宋体" w:cs="Times New Roman"/>
                <w:color w:val="auto"/>
                <w:sz w:val="24"/>
              </w:rPr>
            </w:pPr>
          </w:p>
        </w:tc>
        <w:tc>
          <w:tcPr>
            <w:tcW w:w="709" w:type="dxa"/>
            <w:noWrap w:val="0"/>
            <w:vAlign w:val="center"/>
          </w:tcPr>
          <w:p w14:paraId="5547616C">
            <w:pPr>
              <w:spacing w:line="360" w:lineRule="auto"/>
              <w:rPr>
                <w:rFonts w:ascii="宋体" w:hAnsi="宋体" w:eastAsia="宋体" w:cs="Times New Roman"/>
                <w:color w:val="auto"/>
                <w:sz w:val="24"/>
              </w:rPr>
            </w:pPr>
          </w:p>
        </w:tc>
      </w:tr>
      <w:tr w14:paraId="0AAA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noWrap w:val="0"/>
            <w:vAlign w:val="center"/>
          </w:tcPr>
          <w:p w14:paraId="555ACAF6">
            <w:pPr>
              <w:spacing w:line="360" w:lineRule="auto"/>
              <w:rPr>
                <w:rFonts w:ascii="宋体" w:hAnsi="宋体" w:eastAsia="宋体" w:cs="Times New Roman"/>
                <w:color w:val="auto"/>
                <w:sz w:val="24"/>
              </w:rPr>
            </w:pPr>
          </w:p>
        </w:tc>
        <w:tc>
          <w:tcPr>
            <w:tcW w:w="1460" w:type="dxa"/>
            <w:noWrap w:val="0"/>
            <w:vAlign w:val="center"/>
          </w:tcPr>
          <w:p w14:paraId="646C7322">
            <w:pPr>
              <w:spacing w:line="360" w:lineRule="auto"/>
              <w:rPr>
                <w:rFonts w:ascii="宋体" w:hAnsi="宋体" w:eastAsia="宋体" w:cs="Times New Roman"/>
                <w:color w:val="auto"/>
                <w:sz w:val="24"/>
              </w:rPr>
            </w:pPr>
          </w:p>
        </w:tc>
        <w:tc>
          <w:tcPr>
            <w:tcW w:w="1559" w:type="dxa"/>
            <w:noWrap w:val="0"/>
            <w:vAlign w:val="center"/>
          </w:tcPr>
          <w:p w14:paraId="7AA155A4">
            <w:pPr>
              <w:spacing w:line="360" w:lineRule="auto"/>
              <w:rPr>
                <w:rFonts w:ascii="宋体" w:hAnsi="宋体" w:eastAsia="宋体" w:cs="Times New Roman"/>
                <w:color w:val="auto"/>
                <w:sz w:val="24"/>
              </w:rPr>
            </w:pPr>
          </w:p>
        </w:tc>
        <w:tc>
          <w:tcPr>
            <w:tcW w:w="1559" w:type="dxa"/>
            <w:noWrap w:val="0"/>
            <w:vAlign w:val="center"/>
          </w:tcPr>
          <w:p w14:paraId="2166E568">
            <w:pPr>
              <w:spacing w:line="360" w:lineRule="auto"/>
              <w:rPr>
                <w:rFonts w:ascii="宋体" w:hAnsi="宋体" w:eastAsia="宋体" w:cs="Times New Roman"/>
                <w:color w:val="auto"/>
                <w:sz w:val="24"/>
              </w:rPr>
            </w:pPr>
          </w:p>
        </w:tc>
        <w:tc>
          <w:tcPr>
            <w:tcW w:w="851" w:type="dxa"/>
            <w:noWrap w:val="0"/>
            <w:vAlign w:val="center"/>
          </w:tcPr>
          <w:p w14:paraId="0A32C9B5">
            <w:pPr>
              <w:spacing w:line="360" w:lineRule="auto"/>
              <w:rPr>
                <w:rFonts w:ascii="宋体" w:hAnsi="宋体" w:eastAsia="宋体" w:cs="Times New Roman"/>
                <w:color w:val="auto"/>
                <w:sz w:val="24"/>
              </w:rPr>
            </w:pPr>
          </w:p>
        </w:tc>
        <w:tc>
          <w:tcPr>
            <w:tcW w:w="992" w:type="dxa"/>
            <w:noWrap w:val="0"/>
            <w:vAlign w:val="center"/>
          </w:tcPr>
          <w:p w14:paraId="24CC5BA7">
            <w:pPr>
              <w:spacing w:line="360" w:lineRule="auto"/>
              <w:rPr>
                <w:rFonts w:ascii="宋体" w:hAnsi="宋体" w:eastAsia="宋体" w:cs="Times New Roman"/>
                <w:color w:val="auto"/>
                <w:sz w:val="24"/>
              </w:rPr>
            </w:pPr>
          </w:p>
        </w:tc>
        <w:tc>
          <w:tcPr>
            <w:tcW w:w="992" w:type="dxa"/>
            <w:noWrap w:val="0"/>
            <w:vAlign w:val="center"/>
          </w:tcPr>
          <w:p w14:paraId="5DEEDD38">
            <w:pPr>
              <w:spacing w:line="360" w:lineRule="auto"/>
              <w:rPr>
                <w:rFonts w:ascii="宋体" w:hAnsi="宋体" w:eastAsia="宋体" w:cs="Times New Roman"/>
                <w:color w:val="auto"/>
                <w:sz w:val="24"/>
              </w:rPr>
            </w:pPr>
          </w:p>
        </w:tc>
        <w:tc>
          <w:tcPr>
            <w:tcW w:w="709" w:type="dxa"/>
            <w:noWrap w:val="0"/>
            <w:vAlign w:val="center"/>
          </w:tcPr>
          <w:p w14:paraId="15114AD3">
            <w:pPr>
              <w:spacing w:line="360" w:lineRule="auto"/>
              <w:rPr>
                <w:rFonts w:ascii="宋体" w:hAnsi="宋体" w:eastAsia="宋体" w:cs="Times New Roman"/>
                <w:color w:val="auto"/>
                <w:sz w:val="24"/>
              </w:rPr>
            </w:pPr>
          </w:p>
        </w:tc>
      </w:tr>
      <w:tr w14:paraId="6858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noWrap w:val="0"/>
            <w:vAlign w:val="center"/>
          </w:tcPr>
          <w:p w14:paraId="69E0BA02">
            <w:pPr>
              <w:spacing w:line="360" w:lineRule="auto"/>
              <w:rPr>
                <w:rFonts w:ascii="宋体" w:hAnsi="宋体" w:eastAsia="宋体" w:cs="Times New Roman"/>
                <w:b/>
                <w:color w:val="auto"/>
                <w:sz w:val="24"/>
              </w:rPr>
            </w:pPr>
            <w:r>
              <w:rPr>
                <w:rFonts w:hint="eastAsia" w:ascii="宋体" w:hAnsi="宋体" w:eastAsia="宋体" w:cs="Times New Roman"/>
                <w:b/>
                <w:color w:val="auto"/>
                <w:sz w:val="24"/>
              </w:rPr>
              <w:t>合计人民币：大写                               小写</w:t>
            </w:r>
          </w:p>
        </w:tc>
      </w:tr>
    </w:tbl>
    <w:p w14:paraId="3163044F">
      <w:pPr>
        <w:spacing w:line="360" w:lineRule="auto"/>
        <w:rPr>
          <w:rFonts w:ascii="宋体" w:hAnsi="宋体" w:eastAsia="宋体" w:cs="Times New Roman"/>
          <w:b/>
          <w:color w:val="auto"/>
          <w:szCs w:val="21"/>
        </w:rPr>
      </w:pPr>
      <w:r>
        <w:rPr>
          <w:rFonts w:hint="eastAsia" w:ascii="宋体" w:hAnsi="宋体" w:eastAsia="宋体" w:cs="Times New Roman"/>
          <w:b/>
          <w:color w:val="auto"/>
          <w:szCs w:val="21"/>
        </w:rPr>
        <w:t>要求：</w:t>
      </w:r>
    </w:p>
    <w:p w14:paraId="4F7D9650">
      <w:pPr>
        <w:spacing w:line="360" w:lineRule="auto"/>
        <w:ind w:left="435"/>
        <w:rPr>
          <w:rFonts w:ascii="宋体" w:hAnsi="宋体" w:eastAsia="宋体" w:cs="Times New Roman"/>
          <w:color w:val="auto"/>
          <w:szCs w:val="21"/>
        </w:rPr>
      </w:pPr>
      <w:r>
        <w:rPr>
          <w:rFonts w:hint="eastAsia" w:ascii="宋体" w:hAnsi="宋体" w:eastAsia="宋体" w:cs="Times New Roman"/>
          <w:color w:val="auto"/>
          <w:szCs w:val="21"/>
        </w:rPr>
        <w:t>1. 本表为《首次报价一览表》的报价明细表，如有缺项、漏项，视为磋商报价中已包含相关费用，采购人无需另外支付任何费用。</w:t>
      </w:r>
    </w:p>
    <w:p w14:paraId="1EA4B8F8">
      <w:pPr>
        <w:spacing w:line="360" w:lineRule="auto"/>
        <w:ind w:left="435"/>
        <w:rPr>
          <w:rFonts w:ascii="宋体" w:hAnsi="Times New Roman" w:eastAsia="宋体" w:cs="Times New Roman"/>
          <w:color w:val="auto"/>
          <w:szCs w:val="21"/>
          <w:lang w:val="zh-CN"/>
        </w:rPr>
      </w:pPr>
      <w:r>
        <w:rPr>
          <w:rFonts w:hint="eastAsia" w:ascii="宋体" w:hAnsi="宋体" w:eastAsia="宋体" w:cs="Times New Roman"/>
          <w:color w:val="auto"/>
          <w:szCs w:val="21"/>
        </w:rPr>
        <w:t>2.</w:t>
      </w:r>
      <w:r>
        <w:rPr>
          <w:rFonts w:hint="eastAsia" w:ascii="宋体" w:hAnsi="Times New Roman" w:eastAsia="宋体" w:cs="Times New Roman"/>
          <w:color w:val="auto"/>
          <w:szCs w:val="21"/>
          <w:lang w:val="zh-CN"/>
        </w:rPr>
        <w:t>“</w:t>
      </w:r>
      <w:r>
        <w:rPr>
          <w:rFonts w:hint="eastAsia" w:ascii="宋体" w:hAnsi="宋体" w:eastAsia="宋体" w:cs="Times New Roman"/>
          <w:color w:val="auto"/>
          <w:szCs w:val="21"/>
          <w:lang w:eastAsia="zh-CN"/>
        </w:rPr>
        <w:t>报价明细表</w:t>
      </w:r>
      <w:r>
        <w:rPr>
          <w:rFonts w:hint="eastAsia" w:ascii="宋体" w:hAnsi="Times New Roman" w:eastAsia="宋体" w:cs="Times New Roman"/>
          <w:color w:val="auto"/>
          <w:szCs w:val="21"/>
          <w:lang w:val="zh-CN"/>
        </w:rPr>
        <w:t>”中的报价合计应与“首次报价一览表”中的总报价相一致，不一致时，以首次报价一览表为准。</w:t>
      </w:r>
    </w:p>
    <w:p w14:paraId="790FD3D2">
      <w:pPr>
        <w:spacing w:line="360" w:lineRule="auto"/>
        <w:ind w:left="435"/>
        <w:rPr>
          <w:rFonts w:ascii="宋体" w:hAnsi="Times New Roman" w:eastAsia="宋体" w:cs="Times New Roman"/>
          <w:color w:val="auto"/>
          <w:szCs w:val="21"/>
          <w:lang w:val="zh-CN"/>
        </w:rPr>
      </w:pPr>
      <w:r>
        <w:rPr>
          <w:rFonts w:hint="eastAsia" w:ascii="宋体" w:hAnsi="Times New Roman" w:eastAsia="宋体" w:cs="Times New Roman"/>
          <w:color w:val="auto"/>
          <w:szCs w:val="21"/>
        </w:rPr>
        <w:t>3.</w:t>
      </w:r>
      <w:r>
        <w:rPr>
          <w:rFonts w:hint="eastAsia" w:ascii="宋体" w:hAnsi="Times New Roman" w:eastAsia="宋体" w:cs="Times New Roman"/>
          <w:color w:val="auto"/>
          <w:szCs w:val="21"/>
          <w:lang w:val="zh-CN"/>
        </w:rPr>
        <w:t>报价明细表所填内容按磋商文件采购设备清单要求为准。如有漏报的，视同已包含在磋商总价内或已作优惠处理。有重大缺项的将作无效标处理。</w:t>
      </w:r>
    </w:p>
    <w:p w14:paraId="1DA47B2C">
      <w:pPr>
        <w:spacing w:line="360" w:lineRule="auto"/>
        <w:ind w:left="435"/>
        <w:rPr>
          <w:rFonts w:ascii="宋体" w:hAnsi="Times New Roman" w:eastAsia="宋体" w:cs="Times New Roman"/>
          <w:color w:val="auto"/>
          <w:szCs w:val="21"/>
          <w:lang w:val="zh-CN"/>
        </w:rPr>
      </w:pPr>
      <w:r>
        <w:rPr>
          <w:rFonts w:hint="eastAsia" w:ascii="宋体" w:hAnsi="Times New Roman" w:eastAsia="宋体" w:cs="Times New Roman"/>
          <w:color w:val="auto"/>
          <w:szCs w:val="21"/>
          <w:lang w:val="zh-CN"/>
        </w:rPr>
        <w:t>4. 本表中的型号规格必须明确，磋商文件中明确要求定制的除外。</w:t>
      </w:r>
    </w:p>
    <w:p w14:paraId="1495D8B9">
      <w:pPr>
        <w:spacing w:line="360" w:lineRule="auto"/>
        <w:ind w:left="435"/>
        <w:rPr>
          <w:rFonts w:hint="eastAsia" w:ascii="宋体" w:hAnsi="Times New Roman" w:eastAsia="宋体" w:cs="Times New Roman"/>
          <w:color w:val="auto"/>
          <w:szCs w:val="21"/>
          <w:lang w:val="zh-CN"/>
        </w:rPr>
      </w:pPr>
      <w:r>
        <w:rPr>
          <w:rFonts w:hint="eastAsia" w:ascii="宋体" w:hAnsi="Times New Roman" w:eastAsia="宋体" w:cs="Times New Roman"/>
          <w:color w:val="auto"/>
          <w:szCs w:val="21"/>
          <w:lang w:val="zh-CN"/>
        </w:rPr>
        <w:t>5.供应商在递交磋商响应文件时需同时提供本表的电子文档（单独封装，建议使用光盘），以便网上公示使用，电子文档将不予退还。</w:t>
      </w:r>
    </w:p>
    <w:p w14:paraId="023802EC">
      <w:pPr>
        <w:snapToGrid w:val="0"/>
        <w:spacing w:before="156" w:beforeLines="50" w:after="156" w:afterLines="50"/>
        <w:ind w:firstLine="424" w:firstLineChars="177"/>
        <w:rPr>
          <w:rFonts w:ascii="宋体" w:hAnsi="宋体" w:eastAsia="宋体" w:cs="Times New Roman"/>
          <w:color w:val="auto"/>
          <w:sz w:val="24"/>
          <w:u w:val="single"/>
        </w:rPr>
      </w:pPr>
      <w:r>
        <w:rPr>
          <w:rFonts w:hint="eastAsia" w:ascii="宋体" w:hAnsi="宋体" w:eastAsia="宋体" w:cs="Times New Roman"/>
          <w:color w:val="auto"/>
          <w:sz w:val="24"/>
        </w:rPr>
        <w:t>磋商供应商名称（盖章）：</w:t>
      </w:r>
      <w:r>
        <w:rPr>
          <w:rFonts w:hint="eastAsia" w:ascii="宋体" w:hAnsi="宋体" w:eastAsia="宋体" w:cs="Times New Roman"/>
          <w:color w:val="auto"/>
          <w:sz w:val="24"/>
          <w:u w:val="single"/>
        </w:rPr>
        <w:t xml:space="preserve">                       </w:t>
      </w:r>
    </w:p>
    <w:p w14:paraId="6DC49BB5">
      <w:pPr>
        <w:snapToGrid w:val="0"/>
        <w:spacing w:before="156" w:beforeLines="50" w:after="156" w:afterLines="50"/>
        <w:ind w:left="420"/>
        <w:rPr>
          <w:rFonts w:ascii="宋体" w:hAnsi="宋体" w:eastAsia="宋体" w:cs="Times New Roman"/>
          <w:color w:val="auto"/>
          <w:sz w:val="24"/>
        </w:rPr>
      </w:pPr>
    </w:p>
    <w:p w14:paraId="7CF020DD">
      <w:pPr>
        <w:snapToGrid w:val="0"/>
        <w:spacing w:before="156" w:beforeLines="50" w:after="156" w:afterLines="50"/>
        <w:ind w:firstLine="424" w:firstLineChars="177"/>
        <w:rPr>
          <w:rFonts w:ascii="宋体" w:hAnsi="宋体" w:eastAsia="宋体" w:cs="Times New Roman"/>
          <w:color w:val="auto"/>
          <w:sz w:val="24"/>
        </w:rPr>
      </w:pPr>
      <w:r>
        <w:rPr>
          <w:rFonts w:hint="eastAsia" w:ascii="宋体" w:hAnsi="宋体" w:eastAsia="宋体" w:cs="Times New Roman"/>
          <w:color w:val="auto"/>
          <w:sz w:val="24"/>
        </w:rPr>
        <w:t>磋商供应商代表</w:t>
      </w:r>
      <w:r>
        <w:rPr>
          <w:rFonts w:hint="eastAsia" w:ascii="宋体" w:hAnsi="宋体" w:eastAsia="宋体" w:cs="Times New Roman"/>
          <w:color w:val="auto"/>
          <w:sz w:val="24"/>
          <w:lang w:eastAsia="zh-CN"/>
        </w:rPr>
        <w:t>签字</w:t>
      </w:r>
      <w:r>
        <w:rPr>
          <w:rFonts w:hint="eastAsia" w:ascii="宋体" w:hAnsi="宋体" w:eastAsia="宋体" w:cs="Times New Roman"/>
          <w:color w:val="auto"/>
          <w:sz w:val="24"/>
        </w:rPr>
        <w:t>：</w:t>
      </w:r>
      <w:r>
        <w:rPr>
          <w:rFonts w:hint="eastAsia" w:ascii="宋体" w:hAnsi="宋体" w:eastAsia="宋体" w:cs="Times New Roman"/>
          <w:color w:val="auto"/>
          <w:sz w:val="24"/>
          <w:u w:val="single"/>
        </w:rPr>
        <w:t xml:space="preserve">                          </w:t>
      </w:r>
    </w:p>
    <w:p w14:paraId="00989836">
      <w:pPr>
        <w:snapToGrid w:val="0"/>
        <w:spacing w:before="156" w:beforeLines="50" w:after="156" w:afterLines="50"/>
        <w:ind w:firstLine="435"/>
        <w:rPr>
          <w:rFonts w:ascii="宋体" w:hAnsi="宋体" w:eastAsia="宋体" w:cs="Times New Roman"/>
          <w:color w:val="auto"/>
          <w:sz w:val="24"/>
        </w:rPr>
      </w:pPr>
    </w:p>
    <w:p w14:paraId="563D5385">
      <w:pPr>
        <w:snapToGrid w:val="0"/>
        <w:spacing w:before="156" w:beforeLines="50" w:after="156" w:afterLines="50"/>
        <w:ind w:firstLine="424" w:firstLineChars="177"/>
        <w:rPr>
          <w:rFonts w:ascii="宋体" w:hAnsi="宋体" w:eastAsia="宋体" w:cs="Times New Roman"/>
          <w:color w:val="auto"/>
          <w:sz w:val="24"/>
          <w:u w:val="single"/>
        </w:rPr>
      </w:pPr>
      <w:r>
        <w:rPr>
          <w:rFonts w:hint="eastAsia" w:ascii="宋体" w:hAnsi="宋体" w:eastAsia="宋体" w:cs="Times New Roman"/>
          <w:color w:val="auto"/>
          <w:sz w:val="24"/>
        </w:rPr>
        <w:t>职        务：</w:t>
      </w:r>
      <w:r>
        <w:rPr>
          <w:rFonts w:hint="eastAsia" w:ascii="宋体" w:hAnsi="宋体" w:eastAsia="宋体" w:cs="Times New Roman"/>
          <w:color w:val="auto"/>
          <w:sz w:val="24"/>
          <w:u w:val="single"/>
        </w:rPr>
        <w:t xml:space="preserve">                             </w:t>
      </w:r>
    </w:p>
    <w:p w14:paraId="35D70D0D">
      <w:pPr>
        <w:snapToGrid w:val="0"/>
        <w:spacing w:before="156" w:beforeLines="50" w:after="156" w:afterLines="50"/>
        <w:rPr>
          <w:rFonts w:ascii="宋体" w:hAnsi="宋体" w:eastAsia="宋体" w:cs="Times New Roman"/>
          <w:color w:val="auto"/>
          <w:sz w:val="24"/>
        </w:rPr>
      </w:pPr>
    </w:p>
    <w:p w14:paraId="1F228341">
      <w:pPr>
        <w:spacing w:line="320" w:lineRule="exact"/>
        <w:ind w:firstLine="435"/>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lang w:val="en-US" w:eastAsia="zh-CN" w:bidi="ar-SA"/>
        </w:rPr>
        <w:t>日        期：</w:t>
      </w:r>
      <w:r>
        <w:rPr>
          <w:rFonts w:hint="eastAsia" w:ascii="宋体" w:hAnsi="宋体" w:eastAsia="宋体" w:cs="宋体"/>
          <w:color w:val="auto"/>
          <w:kern w:val="0"/>
          <w:sz w:val="24"/>
          <w:szCs w:val="24"/>
          <w:u w:val="single"/>
          <w:lang w:val="en-US" w:eastAsia="zh-CN" w:bidi="ar-SA"/>
        </w:rPr>
        <w:t xml:space="preserve">                            </w:t>
      </w:r>
    </w:p>
    <w:p w14:paraId="4506A9AD">
      <w:pPr>
        <w:spacing w:line="360" w:lineRule="atLeast"/>
        <w:rPr>
          <w:rFonts w:hint="eastAsia" w:ascii="宋体" w:hAnsi="宋体" w:eastAsia="宋体" w:cs="Times New Roman"/>
          <w:b/>
          <w:color w:val="auto"/>
          <w:sz w:val="28"/>
          <w:lang w:val="en-US" w:eastAsia="zh-CN"/>
        </w:rPr>
      </w:pPr>
      <w:r>
        <w:rPr>
          <w:rFonts w:hint="eastAsia" w:ascii="宋体" w:hAnsi="宋体" w:eastAsia="宋体" w:cs="Times New Roman"/>
          <w:b/>
          <w:color w:val="auto"/>
          <w:sz w:val="28"/>
          <w:lang w:eastAsia="zh-CN"/>
        </w:rPr>
        <w:t>附件</w:t>
      </w:r>
      <w:r>
        <w:rPr>
          <w:rFonts w:hint="eastAsia" w:ascii="宋体" w:hAnsi="宋体" w:eastAsia="宋体" w:cs="Times New Roman"/>
          <w:b/>
          <w:color w:val="auto"/>
          <w:sz w:val="28"/>
          <w:lang w:val="en-US" w:eastAsia="zh-CN"/>
        </w:rPr>
        <w:t>14：</w:t>
      </w:r>
    </w:p>
    <w:p w14:paraId="6449EA3E">
      <w:pPr>
        <w:pStyle w:val="8"/>
        <w:spacing w:line="360" w:lineRule="auto"/>
        <w:ind w:left="420" w:firstLine="643" w:firstLineChars="200"/>
        <w:jc w:val="center"/>
        <w:rPr>
          <w:rFonts w:ascii="宋体" w:hAnsi="宋体" w:cs="宋体"/>
          <w:b/>
          <w:color w:val="auto"/>
          <w:sz w:val="32"/>
          <w:szCs w:val="32"/>
          <w:highlight w:val="none"/>
        </w:rPr>
      </w:pPr>
      <w:bookmarkStart w:id="7" w:name="_Toc29357_WPSOffice_Level1"/>
      <w:bookmarkStart w:id="8" w:name="_Toc12654_WPSOffice_Level1"/>
      <w:r>
        <w:rPr>
          <w:rFonts w:hint="eastAsia" w:ascii="宋体" w:hAnsi="宋体" w:cs="宋体"/>
          <w:b/>
          <w:color w:val="auto"/>
          <w:sz w:val="32"/>
          <w:szCs w:val="32"/>
          <w:highlight w:val="none"/>
        </w:rPr>
        <w:t>中小企业声明函（货物）</w:t>
      </w:r>
      <w:bookmarkEnd w:id="7"/>
      <w:bookmarkEnd w:id="8"/>
    </w:p>
    <w:p w14:paraId="7B17CE46">
      <w:pPr>
        <w:pStyle w:val="8"/>
        <w:spacing w:line="360" w:lineRule="auto"/>
        <w:ind w:firstLine="643" w:firstLineChars="200"/>
        <w:rPr>
          <w:rFonts w:ascii="宋体" w:hAnsi="宋体" w:cs="宋体"/>
          <w:b/>
          <w:color w:val="auto"/>
          <w:sz w:val="32"/>
          <w:szCs w:val="32"/>
          <w:highlight w:val="none"/>
        </w:rPr>
      </w:pPr>
    </w:p>
    <w:p w14:paraId="110E0B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5029D5A">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vertAlign w:val="superscript"/>
        </w:rPr>
        <w:fldChar w:fldCharType="begin"/>
      </w:r>
      <w:r>
        <w:rPr>
          <w:rFonts w:hint="eastAsia" w:ascii="宋体" w:hAnsi="宋体" w:cs="宋体"/>
          <w:color w:val="auto"/>
          <w:sz w:val="24"/>
          <w:highlight w:val="none"/>
          <w:vertAlign w:val="superscript"/>
        </w:rPr>
        <w:instrText xml:space="preserve"> = 1 \* GB3 </w:instrText>
      </w:r>
      <w:r>
        <w:rPr>
          <w:rFonts w:hint="eastAsia" w:ascii="宋体" w:hAnsi="宋体" w:cs="宋体"/>
          <w:color w:val="auto"/>
          <w:sz w:val="24"/>
          <w:highlight w:val="none"/>
          <w:vertAlign w:val="superscript"/>
        </w:rPr>
        <w:fldChar w:fldCharType="separate"/>
      </w:r>
      <w:r>
        <w:rPr>
          <w:rFonts w:hint="eastAsia" w:ascii="宋体" w:hAnsi="宋体" w:cs="宋体"/>
          <w:color w:val="auto"/>
          <w:sz w:val="24"/>
          <w:highlight w:val="none"/>
          <w:vertAlign w:val="superscript"/>
        </w:rPr>
        <w:t>①</w:t>
      </w:r>
      <w:r>
        <w:rPr>
          <w:rFonts w:hint="eastAsia" w:ascii="宋体" w:hAnsi="宋体" w:cs="宋体"/>
          <w:color w:val="auto"/>
          <w:sz w:val="24"/>
          <w:highlight w:val="none"/>
          <w:vertAlign w:val="superscript"/>
        </w:rPr>
        <w:fldChar w:fldCharType="end"/>
      </w:r>
      <w:r>
        <w:rPr>
          <w:rFonts w:hint="eastAsia" w:ascii="宋体" w:hAnsi="宋体" w:cs="宋体"/>
          <w:color w:val="auto"/>
          <w:sz w:val="24"/>
          <w:highlight w:val="none"/>
        </w:rPr>
        <w:t>，属于（中型企业、小型企业、微型企业）；</w:t>
      </w:r>
    </w:p>
    <w:p w14:paraId="1B8FA5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万元，属于（中型企业、小型企业、微型企业）；</w:t>
      </w:r>
    </w:p>
    <w:p w14:paraId="338E01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B4D8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7C68447">
      <w:pPr>
        <w:pStyle w:val="32"/>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92A9D33">
      <w:pPr>
        <w:pStyle w:val="32"/>
        <w:spacing w:line="360" w:lineRule="auto"/>
        <w:ind w:firstLine="480" w:firstLineChars="200"/>
        <w:rPr>
          <w:rFonts w:hint="eastAsia" w:ascii="宋体" w:hAnsi="宋体" w:cs="宋体"/>
          <w:color w:val="auto"/>
          <w:sz w:val="24"/>
          <w:highlight w:val="none"/>
        </w:rPr>
      </w:pPr>
    </w:p>
    <w:p w14:paraId="2BF150C7">
      <w:pPr>
        <w:pStyle w:val="32"/>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法定代表人签字（或盖章）：            投标人（盖章）：                                              </w:t>
      </w:r>
    </w:p>
    <w:p w14:paraId="6DF9AA27">
      <w:pPr>
        <w:pStyle w:val="32"/>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F92451B">
      <w:pPr>
        <w:pStyle w:val="32"/>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日期:_____年___月___日</w:t>
      </w:r>
    </w:p>
    <w:p w14:paraId="63C0F5EA">
      <w:pPr>
        <w:rPr>
          <w:rFonts w:hint="eastAsia" w:ascii="宋体" w:hAnsi="宋体" w:cs="宋体"/>
          <w:color w:val="auto"/>
          <w:sz w:val="24"/>
          <w:highlight w:val="none"/>
        </w:rPr>
      </w:pPr>
    </w:p>
    <w:p w14:paraId="1427FF47">
      <w:pPr>
        <w:rPr>
          <w:rFonts w:hint="eastAsia" w:ascii="宋体" w:hAnsi="宋体" w:cs="宋体"/>
          <w:color w:val="auto"/>
          <w:sz w:val="24"/>
          <w:highlight w:val="none"/>
        </w:rPr>
      </w:pPr>
    </w:p>
    <w:p w14:paraId="47754215">
      <w:pPr>
        <w:rPr>
          <w:rFonts w:hint="eastAsia" w:ascii="宋体" w:hAnsi="宋体" w:cs="宋体"/>
          <w:color w:val="auto"/>
          <w:sz w:val="24"/>
          <w:highlight w:val="none"/>
        </w:rPr>
      </w:pPr>
    </w:p>
    <w:p w14:paraId="3917088F">
      <w:pPr>
        <w:rPr>
          <w:rFonts w:hint="eastAsia" w:ascii="宋体" w:hAnsi="宋体" w:cs="宋体"/>
          <w:color w:val="auto"/>
          <w:sz w:val="24"/>
          <w:highlight w:val="none"/>
        </w:rPr>
      </w:pPr>
    </w:p>
    <w:p w14:paraId="6A9B090F">
      <w:pPr>
        <w:rPr>
          <w:rFonts w:hint="eastAsia" w:ascii="宋体" w:hAnsi="宋体" w:cs="宋体"/>
          <w:color w:val="auto"/>
          <w:sz w:val="24"/>
          <w:highlight w:val="none"/>
        </w:rPr>
      </w:pPr>
    </w:p>
    <w:p w14:paraId="6ECC1EF9">
      <w:pPr>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7503F281">
      <w:pPr>
        <w:widowControl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②本声明函将随中标结果公开，接受社会监督。</w:t>
      </w:r>
    </w:p>
    <w:p w14:paraId="359D08F0">
      <w:pPr>
        <w:rPr>
          <w:rFonts w:hint="eastAsia" w:ascii="Times New Roman" w:hAnsi="Times New Roman" w:eastAsia="宋体" w:cs="Times New Roman"/>
          <w:color w:val="auto"/>
          <w:kern w:val="2"/>
          <w:sz w:val="36"/>
          <w:szCs w:val="36"/>
          <w:highlight w:val="none"/>
          <w:lang w:val="en-GB" w:eastAsia="zh-CN" w:bidi="ar-SA"/>
        </w:rPr>
      </w:pPr>
      <w:r>
        <w:rPr>
          <w:rFonts w:hint="eastAsia" w:ascii="Times New Roman" w:hAnsi="Times New Roman" w:eastAsia="宋体" w:cs="Times New Roman"/>
          <w:color w:val="auto"/>
          <w:kern w:val="2"/>
          <w:sz w:val="36"/>
          <w:szCs w:val="36"/>
          <w:highlight w:val="none"/>
          <w:lang w:val="en-GB" w:eastAsia="zh-CN" w:bidi="ar-SA"/>
        </w:rPr>
        <w:br w:type="page"/>
      </w:r>
    </w:p>
    <w:p w14:paraId="1947AFFC">
      <w:pPr>
        <w:widowControl w:val="0"/>
        <w:adjustRightInd/>
        <w:spacing w:after="120" w:line="240" w:lineRule="auto"/>
        <w:ind w:firstLine="3240" w:firstLineChars="900"/>
        <w:jc w:val="both"/>
        <w:rPr>
          <w:rFonts w:hint="eastAsia" w:ascii="Times New Roman" w:hAnsi="Times New Roman" w:eastAsia="宋体" w:cs="Times New Roman"/>
          <w:color w:val="auto"/>
          <w:kern w:val="2"/>
          <w:sz w:val="36"/>
          <w:szCs w:val="36"/>
          <w:highlight w:val="none"/>
          <w:lang w:val="en-GB" w:eastAsia="zh-CN" w:bidi="ar-SA"/>
        </w:rPr>
      </w:pPr>
      <w:r>
        <w:rPr>
          <w:rFonts w:hint="eastAsia" w:ascii="Times New Roman" w:hAnsi="Times New Roman" w:eastAsia="宋体" w:cs="Times New Roman"/>
          <w:color w:val="auto"/>
          <w:kern w:val="2"/>
          <w:sz w:val="36"/>
          <w:szCs w:val="36"/>
          <w:highlight w:val="none"/>
          <w:lang w:val="en-GB" w:eastAsia="zh-CN" w:bidi="ar-SA"/>
        </w:rPr>
        <w:t>中小企业划型标准规定</w:t>
      </w:r>
    </w:p>
    <w:p w14:paraId="40630340">
      <w:pPr>
        <w:widowControl w:val="0"/>
        <w:adjustRightInd/>
        <w:spacing w:after="120" w:line="240" w:lineRule="auto"/>
        <w:ind w:firstLine="3600" w:firstLineChars="1500"/>
        <w:jc w:val="both"/>
        <w:rPr>
          <w:rFonts w:hint="eastAsia" w:ascii="Times New Roman" w:hAnsi="Times New Roman" w:eastAsia="宋体" w:cs="Times New Roman"/>
          <w:color w:val="auto"/>
          <w:kern w:val="2"/>
          <w:sz w:val="24"/>
          <w:szCs w:val="24"/>
          <w:highlight w:val="none"/>
          <w:lang w:val="en-GB" w:eastAsia="zh-CN" w:bidi="ar-SA"/>
        </w:rPr>
      </w:pPr>
      <w:r>
        <w:rPr>
          <w:rFonts w:hint="eastAsia" w:ascii="宋体" w:hAnsi="宋体" w:eastAsia="宋体" w:cs="宋体"/>
          <w:color w:val="auto"/>
          <w:kern w:val="2"/>
          <w:sz w:val="24"/>
          <w:szCs w:val="24"/>
          <w:highlight w:val="none"/>
          <w:lang w:val="en-US" w:eastAsia="zh-CN" w:bidi="ar-SA"/>
        </w:rPr>
        <w:t>工信部联企业【2011】300 号</w:t>
      </w:r>
    </w:p>
    <w:tbl>
      <w:tblPr>
        <w:tblStyle w:val="17"/>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6351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noWrap w:val="0"/>
            <w:vAlign w:val="center"/>
          </w:tcPr>
          <w:p w14:paraId="09964268">
            <w:pPr>
              <w:pStyle w:val="31"/>
              <w:spacing w:before="68"/>
              <w:ind w:left="41" w:right="32"/>
              <w:jc w:val="center"/>
              <w:rPr>
                <w:rFonts w:hint="eastAsia" w:eastAsia="宋体"/>
                <w:color w:val="auto"/>
                <w:sz w:val="24"/>
                <w:highlight w:val="none"/>
              </w:rPr>
            </w:pPr>
            <w:r>
              <w:rPr>
                <w:rFonts w:hint="eastAsia" w:eastAsia="宋体"/>
                <w:color w:val="auto"/>
                <w:sz w:val="24"/>
                <w:highlight w:val="none"/>
              </w:rPr>
              <w:t>序号</w:t>
            </w:r>
          </w:p>
        </w:tc>
        <w:tc>
          <w:tcPr>
            <w:tcW w:w="860" w:type="dxa"/>
            <w:noWrap w:val="0"/>
            <w:vAlign w:val="center"/>
          </w:tcPr>
          <w:p w14:paraId="4332E83F">
            <w:pPr>
              <w:pStyle w:val="31"/>
              <w:spacing w:before="68"/>
              <w:ind w:left="10" w:right="2"/>
              <w:jc w:val="center"/>
              <w:rPr>
                <w:rFonts w:hint="eastAsia" w:eastAsia="宋体"/>
                <w:color w:val="auto"/>
                <w:sz w:val="24"/>
                <w:highlight w:val="none"/>
              </w:rPr>
            </w:pPr>
            <w:r>
              <w:rPr>
                <w:rFonts w:hint="eastAsia" w:eastAsia="宋体"/>
                <w:color w:val="auto"/>
                <w:sz w:val="24"/>
                <w:highlight w:val="none"/>
              </w:rPr>
              <w:t>行业</w:t>
            </w:r>
          </w:p>
        </w:tc>
        <w:tc>
          <w:tcPr>
            <w:tcW w:w="2157" w:type="dxa"/>
            <w:noWrap w:val="0"/>
            <w:vAlign w:val="center"/>
          </w:tcPr>
          <w:p w14:paraId="482A3F46">
            <w:pPr>
              <w:pStyle w:val="31"/>
              <w:spacing w:before="68"/>
              <w:ind w:left="5"/>
              <w:jc w:val="center"/>
              <w:rPr>
                <w:rFonts w:hint="eastAsia" w:eastAsia="宋体"/>
                <w:color w:val="auto"/>
                <w:sz w:val="24"/>
                <w:highlight w:val="none"/>
              </w:rPr>
            </w:pPr>
            <w:r>
              <w:rPr>
                <w:rFonts w:hint="eastAsia" w:eastAsia="宋体"/>
                <w:color w:val="auto"/>
                <w:sz w:val="24"/>
                <w:highlight w:val="none"/>
              </w:rPr>
              <w:t>原则</w:t>
            </w:r>
          </w:p>
        </w:tc>
        <w:tc>
          <w:tcPr>
            <w:tcW w:w="5537" w:type="dxa"/>
            <w:gridSpan w:val="2"/>
            <w:noWrap w:val="0"/>
            <w:vAlign w:val="center"/>
          </w:tcPr>
          <w:p w14:paraId="1570EC31">
            <w:pPr>
              <w:pStyle w:val="31"/>
              <w:spacing w:before="68"/>
              <w:ind w:left="2472" w:right="1107"/>
              <w:jc w:val="center"/>
              <w:rPr>
                <w:rFonts w:hint="eastAsia" w:eastAsia="宋体"/>
                <w:color w:val="auto"/>
                <w:sz w:val="24"/>
                <w:highlight w:val="none"/>
              </w:rPr>
            </w:pPr>
            <w:r>
              <w:rPr>
                <w:rFonts w:hint="eastAsia" w:eastAsia="宋体"/>
                <w:color w:val="auto"/>
                <w:sz w:val="24"/>
                <w:highlight w:val="none"/>
              </w:rPr>
              <w:t>具体规定</w:t>
            </w:r>
          </w:p>
        </w:tc>
        <w:tc>
          <w:tcPr>
            <w:tcW w:w="1099" w:type="dxa"/>
            <w:noWrap w:val="0"/>
            <w:vAlign w:val="center"/>
          </w:tcPr>
          <w:p w14:paraId="55E1ABD7">
            <w:pPr>
              <w:pStyle w:val="31"/>
              <w:spacing w:before="68"/>
              <w:ind w:left="325"/>
              <w:jc w:val="center"/>
              <w:rPr>
                <w:rFonts w:hint="eastAsia" w:eastAsia="宋体"/>
                <w:color w:val="auto"/>
                <w:sz w:val="24"/>
                <w:highlight w:val="none"/>
              </w:rPr>
            </w:pPr>
            <w:r>
              <w:rPr>
                <w:rFonts w:hint="eastAsia" w:eastAsia="宋体"/>
                <w:color w:val="auto"/>
                <w:sz w:val="24"/>
                <w:highlight w:val="none"/>
              </w:rPr>
              <w:t>指标</w:t>
            </w:r>
          </w:p>
        </w:tc>
      </w:tr>
      <w:tr w14:paraId="4F7C5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3292EB76">
            <w:pPr>
              <w:pStyle w:val="31"/>
              <w:spacing w:before="7"/>
              <w:rPr>
                <w:rFonts w:hint="eastAsia" w:eastAsia="宋体"/>
                <w:b/>
                <w:color w:val="auto"/>
                <w:sz w:val="24"/>
                <w:highlight w:val="none"/>
              </w:rPr>
            </w:pPr>
          </w:p>
          <w:p w14:paraId="4977961C">
            <w:pPr>
              <w:pStyle w:val="31"/>
              <w:ind w:left="8"/>
              <w:rPr>
                <w:rFonts w:hint="eastAsia" w:eastAsia="宋体"/>
                <w:color w:val="auto"/>
                <w:sz w:val="24"/>
                <w:highlight w:val="none"/>
              </w:rPr>
            </w:pPr>
            <w:r>
              <w:rPr>
                <w:rFonts w:hint="eastAsia" w:eastAsia="宋体"/>
                <w:color w:val="auto"/>
                <w:w w:val="99"/>
                <w:sz w:val="24"/>
                <w:highlight w:val="none"/>
              </w:rPr>
              <w:t>1</w:t>
            </w:r>
          </w:p>
        </w:tc>
        <w:tc>
          <w:tcPr>
            <w:tcW w:w="860" w:type="dxa"/>
            <w:vMerge w:val="restart"/>
            <w:noWrap w:val="0"/>
            <w:vAlign w:val="center"/>
          </w:tcPr>
          <w:p w14:paraId="07355CF7">
            <w:pPr>
              <w:pStyle w:val="31"/>
              <w:spacing w:before="3"/>
              <w:rPr>
                <w:rFonts w:hint="eastAsia" w:eastAsia="宋体"/>
                <w:b/>
                <w:color w:val="auto"/>
                <w:sz w:val="24"/>
                <w:highlight w:val="none"/>
              </w:rPr>
            </w:pPr>
          </w:p>
          <w:p w14:paraId="4AC5E455">
            <w:pPr>
              <w:pStyle w:val="31"/>
              <w:spacing w:before="1" w:line="292" w:lineRule="auto"/>
              <w:ind w:left="13" w:right="6"/>
              <w:rPr>
                <w:rFonts w:hint="eastAsia" w:eastAsia="宋体"/>
                <w:color w:val="auto"/>
                <w:sz w:val="24"/>
                <w:highlight w:val="none"/>
              </w:rPr>
            </w:pPr>
            <w:r>
              <w:rPr>
                <w:rFonts w:hint="eastAsia" w:eastAsia="宋体"/>
                <w:color w:val="auto"/>
                <w:sz w:val="24"/>
                <w:highlight w:val="none"/>
              </w:rPr>
              <w:t>农、林、牧、渔业</w:t>
            </w:r>
          </w:p>
        </w:tc>
        <w:tc>
          <w:tcPr>
            <w:tcW w:w="2157" w:type="dxa"/>
            <w:vMerge w:val="restart"/>
            <w:noWrap w:val="0"/>
            <w:vAlign w:val="center"/>
          </w:tcPr>
          <w:p w14:paraId="7600FF14">
            <w:pPr>
              <w:pStyle w:val="31"/>
              <w:spacing w:before="3"/>
              <w:rPr>
                <w:rFonts w:hint="eastAsia" w:eastAsia="宋体"/>
                <w:b/>
                <w:color w:val="auto"/>
                <w:sz w:val="24"/>
                <w:highlight w:val="none"/>
                <w:lang w:eastAsia="zh-CN"/>
              </w:rPr>
            </w:pPr>
          </w:p>
          <w:p w14:paraId="577395FB">
            <w:pPr>
              <w:pStyle w:val="31"/>
              <w:spacing w:before="1" w:line="292" w:lineRule="auto"/>
              <w:ind w:left="15" w:right="5"/>
              <w:rPr>
                <w:rFonts w:hint="eastAsia" w:eastAsia="宋体"/>
                <w:color w:val="auto"/>
                <w:sz w:val="24"/>
                <w:highlight w:val="none"/>
                <w:lang w:eastAsia="zh-CN"/>
              </w:rPr>
            </w:pPr>
            <w:r>
              <w:rPr>
                <w:rFonts w:hint="eastAsia" w:eastAsia="宋体"/>
                <w:color w:val="auto"/>
                <w:sz w:val="24"/>
                <w:highlight w:val="none"/>
                <w:lang w:eastAsia="zh-CN"/>
              </w:rPr>
              <w:t>营业收入 20000 万元以下的为中小微型企业</w:t>
            </w:r>
          </w:p>
        </w:tc>
        <w:tc>
          <w:tcPr>
            <w:tcW w:w="1215" w:type="dxa"/>
            <w:noWrap w:val="0"/>
            <w:vAlign w:val="center"/>
          </w:tcPr>
          <w:p w14:paraId="2EEE1A31">
            <w:pPr>
              <w:pStyle w:val="31"/>
              <w:spacing w:before="68"/>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3882B85C">
            <w:pPr>
              <w:pStyle w:val="31"/>
              <w:spacing w:before="68"/>
              <w:ind w:left="15"/>
              <w:rPr>
                <w:rFonts w:hint="eastAsia" w:eastAsia="宋体"/>
                <w:color w:val="auto"/>
                <w:sz w:val="24"/>
                <w:highlight w:val="none"/>
                <w:lang w:eastAsia="zh-CN"/>
              </w:rPr>
            </w:pPr>
            <w:r>
              <w:rPr>
                <w:rFonts w:hint="eastAsia" w:eastAsia="宋体"/>
                <w:color w:val="auto"/>
                <w:sz w:val="24"/>
                <w:highlight w:val="none"/>
                <w:lang w:eastAsia="zh-CN"/>
              </w:rPr>
              <w:t>营业收入 500 万元及以上的</w:t>
            </w:r>
          </w:p>
        </w:tc>
        <w:tc>
          <w:tcPr>
            <w:tcW w:w="1099" w:type="dxa"/>
            <w:vMerge w:val="restart"/>
            <w:noWrap w:val="0"/>
            <w:vAlign w:val="center"/>
          </w:tcPr>
          <w:p w14:paraId="37EB8048">
            <w:pPr>
              <w:pStyle w:val="31"/>
              <w:spacing w:before="68"/>
              <w:ind w:left="15"/>
              <w:rPr>
                <w:rFonts w:hint="eastAsia" w:eastAsia="宋体"/>
                <w:color w:val="auto"/>
                <w:sz w:val="24"/>
                <w:highlight w:val="none"/>
              </w:rPr>
            </w:pPr>
            <w:r>
              <w:rPr>
                <w:rFonts w:hint="eastAsia" w:eastAsia="宋体"/>
                <w:color w:val="auto"/>
                <w:sz w:val="24"/>
                <w:highlight w:val="none"/>
              </w:rPr>
              <w:t>营业收入</w:t>
            </w:r>
          </w:p>
        </w:tc>
      </w:tr>
      <w:tr w14:paraId="72E18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38FA1DAB">
            <w:pPr>
              <w:rPr>
                <w:rFonts w:hint="eastAsia" w:ascii="宋体" w:hAnsi="宋体" w:eastAsia="宋体" w:cs="宋体"/>
                <w:color w:val="auto"/>
                <w:sz w:val="24"/>
                <w:highlight w:val="none"/>
              </w:rPr>
            </w:pPr>
          </w:p>
        </w:tc>
        <w:tc>
          <w:tcPr>
            <w:tcW w:w="860" w:type="dxa"/>
            <w:vMerge w:val="continue"/>
            <w:noWrap w:val="0"/>
            <w:vAlign w:val="center"/>
          </w:tcPr>
          <w:p w14:paraId="03B0BCB9">
            <w:pPr>
              <w:rPr>
                <w:rFonts w:hint="eastAsia" w:ascii="宋体" w:hAnsi="宋体" w:eastAsia="宋体" w:cs="宋体"/>
                <w:color w:val="auto"/>
                <w:sz w:val="24"/>
                <w:highlight w:val="none"/>
              </w:rPr>
            </w:pPr>
          </w:p>
        </w:tc>
        <w:tc>
          <w:tcPr>
            <w:tcW w:w="2157" w:type="dxa"/>
            <w:vMerge w:val="continue"/>
            <w:noWrap w:val="0"/>
            <w:vAlign w:val="center"/>
          </w:tcPr>
          <w:p w14:paraId="3495C97E">
            <w:pPr>
              <w:rPr>
                <w:rFonts w:hint="eastAsia" w:ascii="宋体" w:hAnsi="宋体" w:eastAsia="宋体" w:cs="宋体"/>
                <w:color w:val="auto"/>
                <w:sz w:val="24"/>
                <w:highlight w:val="none"/>
              </w:rPr>
            </w:pPr>
          </w:p>
        </w:tc>
        <w:tc>
          <w:tcPr>
            <w:tcW w:w="1215" w:type="dxa"/>
            <w:noWrap w:val="0"/>
            <w:vAlign w:val="center"/>
          </w:tcPr>
          <w:p w14:paraId="1AEB308B">
            <w:pPr>
              <w:pStyle w:val="31"/>
              <w:spacing w:before="68"/>
              <w:ind w:left="13"/>
              <w:rPr>
                <w:rFonts w:hint="eastAsia" w:eastAsia="宋体"/>
                <w:color w:val="auto"/>
                <w:sz w:val="24"/>
                <w:highlight w:val="none"/>
              </w:rPr>
            </w:pPr>
            <w:r>
              <w:rPr>
                <w:rFonts w:hint="eastAsia" w:eastAsia="宋体"/>
                <w:color w:val="auto"/>
                <w:sz w:val="24"/>
                <w:highlight w:val="none"/>
              </w:rPr>
              <w:t>小型企业</w:t>
            </w:r>
          </w:p>
        </w:tc>
        <w:tc>
          <w:tcPr>
            <w:tcW w:w="4322" w:type="dxa"/>
            <w:noWrap w:val="0"/>
            <w:vAlign w:val="center"/>
          </w:tcPr>
          <w:p w14:paraId="3CD7F0A6">
            <w:pPr>
              <w:pStyle w:val="31"/>
              <w:spacing w:before="68"/>
              <w:ind w:left="15"/>
              <w:rPr>
                <w:rFonts w:hint="eastAsia" w:eastAsia="宋体"/>
                <w:color w:val="auto"/>
                <w:sz w:val="24"/>
                <w:highlight w:val="none"/>
                <w:lang w:eastAsia="zh-CN"/>
              </w:rPr>
            </w:pPr>
            <w:r>
              <w:rPr>
                <w:rFonts w:hint="eastAsia" w:eastAsia="宋体"/>
                <w:color w:val="auto"/>
                <w:sz w:val="24"/>
                <w:highlight w:val="none"/>
                <w:lang w:eastAsia="zh-CN"/>
              </w:rPr>
              <w:t>营业收入 50 万元及以上的</w:t>
            </w:r>
          </w:p>
        </w:tc>
        <w:tc>
          <w:tcPr>
            <w:tcW w:w="1099" w:type="dxa"/>
            <w:vMerge w:val="continue"/>
            <w:noWrap w:val="0"/>
            <w:vAlign w:val="center"/>
          </w:tcPr>
          <w:p w14:paraId="79CD2E2F">
            <w:pPr>
              <w:rPr>
                <w:rFonts w:hint="eastAsia" w:ascii="宋体" w:hAnsi="宋体" w:eastAsia="宋体" w:cs="宋体"/>
                <w:color w:val="auto"/>
                <w:sz w:val="24"/>
                <w:highlight w:val="none"/>
              </w:rPr>
            </w:pPr>
          </w:p>
        </w:tc>
      </w:tr>
      <w:tr w14:paraId="507B4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2F287149">
            <w:pPr>
              <w:rPr>
                <w:rFonts w:hint="eastAsia" w:ascii="宋体" w:hAnsi="宋体" w:eastAsia="宋体" w:cs="宋体"/>
                <w:color w:val="auto"/>
                <w:sz w:val="24"/>
                <w:highlight w:val="none"/>
              </w:rPr>
            </w:pPr>
          </w:p>
        </w:tc>
        <w:tc>
          <w:tcPr>
            <w:tcW w:w="860" w:type="dxa"/>
            <w:vMerge w:val="continue"/>
            <w:noWrap w:val="0"/>
            <w:vAlign w:val="center"/>
          </w:tcPr>
          <w:p w14:paraId="3C208AD0">
            <w:pPr>
              <w:rPr>
                <w:rFonts w:hint="eastAsia" w:ascii="宋体" w:hAnsi="宋体" w:eastAsia="宋体" w:cs="宋体"/>
                <w:color w:val="auto"/>
                <w:sz w:val="24"/>
                <w:highlight w:val="none"/>
              </w:rPr>
            </w:pPr>
          </w:p>
        </w:tc>
        <w:tc>
          <w:tcPr>
            <w:tcW w:w="2157" w:type="dxa"/>
            <w:vMerge w:val="continue"/>
            <w:noWrap w:val="0"/>
            <w:vAlign w:val="center"/>
          </w:tcPr>
          <w:p w14:paraId="4B9E1F02">
            <w:pPr>
              <w:rPr>
                <w:rFonts w:hint="eastAsia" w:ascii="宋体" w:hAnsi="宋体" w:eastAsia="宋体" w:cs="宋体"/>
                <w:color w:val="auto"/>
                <w:sz w:val="24"/>
                <w:highlight w:val="none"/>
              </w:rPr>
            </w:pPr>
          </w:p>
        </w:tc>
        <w:tc>
          <w:tcPr>
            <w:tcW w:w="1215" w:type="dxa"/>
            <w:noWrap w:val="0"/>
            <w:vAlign w:val="center"/>
          </w:tcPr>
          <w:p w14:paraId="2D9A70FC">
            <w:pPr>
              <w:pStyle w:val="31"/>
              <w:spacing w:before="69"/>
              <w:ind w:left="13"/>
              <w:rPr>
                <w:rFonts w:hint="eastAsia" w:eastAsia="宋体"/>
                <w:color w:val="auto"/>
                <w:sz w:val="24"/>
                <w:highlight w:val="none"/>
              </w:rPr>
            </w:pPr>
            <w:r>
              <w:rPr>
                <w:rFonts w:hint="eastAsia" w:eastAsia="宋体"/>
                <w:color w:val="auto"/>
                <w:sz w:val="24"/>
                <w:highlight w:val="none"/>
              </w:rPr>
              <w:t>微型企业</w:t>
            </w:r>
          </w:p>
        </w:tc>
        <w:tc>
          <w:tcPr>
            <w:tcW w:w="4322" w:type="dxa"/>
            <w:noWrap w:val="0"/>
            <w:vAlign w:val="center"/>
          </w:tcPr>
          <w:p w14:paraId="5C56AA05">
            <w:pPr>
              <w:pStyle w:val="31"/>
              <w:spacing w:before="69"/>
              <w:ind w:left="15"/>
              <w:rPr>
                <w:rFonts w:hint="eastAsia" w:eastAsia="宋体"/>
                <w:color w:val="auto"/>
                <w:sz w:val="24"/>
                <w:highlight w:val="none"/>
              </w:rPr>
            </w:pPr>
            <w:r>
              <w:rPr>
                <w:rFonts w:hint="eastAsia" w:eastAsia="宋体"/>
                <w:color w:val="auto"/>
                <w:sz w:val="24"/>
                <w:highlight w:val="none"/>
              </w:rPr>
              <w:t>营业收入 50 万元以下的</w:t>
            </w:r>
          </w:p>
        </w:tc>
        <w:tc>
          <w:tcPr>
            <w:tcW w:w="1099" w:type="dxa"/>
            <w:vMerge w:val="continue"/>
            <w:noWrap w:val="0"/>
            <w:vAlign w:val="center"/>
          </w:tcPr>
          <w:p w14:paraId="6D823689">
            <w:pPr>
              <w:rPr>
                <w:rFonts w:hint="eastAsia" w:ascii="宋体" w:hAnsi="宋体" w:eastAsia="宋体" w:cs="宋体"/>
                <w:color w:val="auto"/>
                <w:sz w:val="24"/>
                <w:highlight w:val="none"/>
              </w:rPr>
            </w:pPr>
          </w:p>
        </w:tc>
      </w:tr>
      <w:tr w14:paraId="0CF89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3A3C5F08">
            <w:pPr>
              <w:pStyle w:val="31"/>
              <w:spacing w:before="6"/>
              <w:rPr>
                <w:rFonts w:hint="eastAsia" w:eastAsia="宋体"/>
                <w:b/>
                <w:color w:val="auto"/>
                <w:sz w:val="24"/>
                <w:highlight w:val="none"/>
              </w:rPr>
            </w:pPr>
          </w:p>
          <w:p w14:paraId="4B889A9B">
            <w:pPr>
              <w:pStyle w:val="31"/>
              <w:ind w:left="8"/>
              <w:rPr>
                <w:rFonts w:hint="eastAsia" w:eastAsia="宋体"/>
                <w:color w:val="auto"/>
                <w:sz w:val="24"/>
                <w:highlight w:val="none"/>
              </w:rPr>
            </w:pPr>
            <w:r>
              <w:rPr>
                <w:rFonts w:hint="eastAsia" w:eastAsia="宋体"/>
                <w:color w:val="auto"/>
                <w:w w:val="99"/>
                <w:sz w:val="24"/>
                <w:highlight w:val="none"/>
              </w:rPr>
              <w:t>2</w:t>
            </w:r>
          </w:p>
        </w:tc>
        <w:tc>
          <w:tcPr>
            <w:tcW w:w="860" w:type="dxa"/>
            <w:vMerge w:val="restart"/>
            <w:noWrap w:val="0"/>
            <w:vAlign w:val="center"/>
          </w:tcPr>
          <w:p w14:paraId="0230B150">
            <w:pPr>
              <w:pStyle w:val="31"/>
              <w:spacing w:before="11"/>
              <w:rPr>
                <w:rFonts w:hint="eastAsia" w:eastAsia="宋体"/>
                <w:b/>
                <w:color w:val="auto"/>
                <w:sz w:val="24"/>
                <w:highlight w:val="none"/>
              </w:rPr>
            </w:pPr>
          </w:p>
          <w:p w14:paraId="1199363F">
            <w:pPr>
              <w:pStyle w:val="31"/>
              <w:ind w:left="13"/>
              <w:rPr>
                <w:rFonts w:hint="eastAsia" w:eastAsia="宋体"/>
                <w:color w:val="auto"/>
                <w:sz w:val="24"/>
                <w:highlight w:val="none"/>
              </w:rPr>
            </w:pPr>
            <w:r>
              <w:rPr>
                <w:rFonts w:hint="eastAsia" w:eastAsia="宋体"/>
                <w:color w:val="auto"/>
                <w:sz w:val="24"/>
                <w:highlight w:val="none"/>
              </w:rPr>
              <w:t>工业</w:t>
            </w:r>
          </w:p>
        </w:tc>
        <w:tc>
          <w:tcPr>
            <w:tcW w:w="2157" w:type="dxa"/>
            <w:vMerge w:val="restart"/>
            <w:noWrap w:val="0"/>
            <w:vAlign w:val="center"/>
          </w:tcPr>
          <w:p w14:paraId="7622ADA1">
            <w:pPr>
              <w:pStyle w:val="31"/>
              <w:spacing w:before="141"/>
              <w:ind w:left="15"/>
              <w:rPr>
                <w:rFonts w:hint="eastAsia" w:eastAsia="宋体"/>
                <w:color w:val="auto"/>
                <w:sz w:val="24"/>
                <w:highlight w:val="none"/>
                <w:lang w:eastAsia="zh-CN"/>
              </w:rPr>
            </w:pPr>
            <w:r>
              <w:rPr>
                <w:rFonts w:hint="eastAsia" w:eastAsia="宋体"/>
                <w:color w:val="auto"/>
                <w:spacing w:val="-9"/>
                <w:sz w:val="24"/>
                <w:highlight w:val="none"/>
                <w:lang w:eastAsia="zh-CN"/>
              </w:rPr>
              <w:t xml:space="preserve">从业人员 </w:t>
            </w:r>
            <w:r>
              <w:rPr>
                <w:rFonts w:hint="eastAsia" w:eastAsia="宋体"/>
                <w:color w:val="auto"/>
                <w:sz w:val="24"/>
                <w:highlight w:val="none"/>
                <w:lang w:eastAsia="zh-CN"/>
              </w:rPr>
              <w:t>1000</w:t>
            </w:r>
            <w:r>
              <w:rPr>
                <w:rFonts w:hint="eastAsia" w:eastAsia="宋体"/>
                <w:color w:val="auto"/>
                <w:spacing w:val="-8"/>
                <w:sz w:val="24"/>
                <w:highlight w:val="none"/>
                <w:lang w:eastAsia="zh-CN"/>
              </w:rPr>
              <w:t xml:space="preserve"> 人以下或</w:t>
            </w:r>
            <w:r>
              <w:rPr>
                <w:rFonts w:hint="eastAsia" w:eastAsia="宋体"/>
                <w:color w:val="auto"/>
                <w:sz w:val="24"/>
                <w:highlight w:val="none"/>
                <w:lang w:eastAsia="zh-CN"/>
              </w:rPr>
              <w:t>营业收入 40000 万元以下的为中小微型企业</w:t>
            </w:r>
          </w:p>
        </w:tc>
        <w:tc>
          <w:tcPr>
            <w:tcW w:w="1215" w:type="dxa"/>
            <w:noWrap w:val="0"/>
            <w:vAlign w:val="center"/>
          </w:tcPr>
          <w:p w14:paraId="0C22F4E6">
            <w:pPr>
              <w:pStyle w:val="31"/>
              <w:spacing w:before="67"/>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62D731BD">
            <w:pPr>
              <w:pStyle w:val="31"/>
              <w:spacing w:before="67"/>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300</w:t>
            </w:r>
            <w:r>
              <w:rPr>
                <w:rFonts w:hint="eastAsia" w:eastAsia="宋体"/>
                <w:color w:val="auto"/>
                <w:spacing w:val="-13"/>
                <w:sz w:val="24"/>
                <w:highlight w:val="none"/>
                <w:lang w:eastAsia="zh-CN"/>
              </w:rPr>
              <w:t xml:space="preserve"> 人及以上，且营业收入 </w:t>
            </w:r>
            <w:r>
              <w:rPr>
                <w:rFonts w:hint="eastAsia" w:eastAsia="宋体"/>
                <w:color w:val="auto"/>
                <w:sz w:val="24"/>
                <w:highlight w:val="none"/>
                <w:lang w:eastAsia="zh-CN"/>
              </w:rPr>
              <w:t>2000</w:t>
            </w:r>
            <w:r>
              <w:rPr>
                <w:rFonts w:hint="eastAsia" w:eastAsia="宋体"/>
                <w:color w:val="auto"/>
                <w:spacing w:val="-9"/>
                <w:sz w:val="24"/>
                <w:highlight w:val="none"/>
                <w:lang w:eastAsia="zh-CN"/>
              </w:rPr>
              <w:t xml:space="preserve"> 万元及以上的</w:t>
            </w:r>
          </w:p>
        </w:tc>
        <w:tc>
          <w:tcPr>
            <w:tcW w:w="1099" w:type="dxa"/>
            <w:vMerge w:val="restart"/>
            <w:noWrap w:val="0"/>
            <w:vAlign w:val="center"/>
          </w:tcPr>
          <w:p w14:paraId="64027FDC">
            <w:pPr>
              <w:pStyle w:val="31"/>
              <w:spacing w:before="67" w:line="362" w:lineRule="auto"/>
              <w:ind w:left="15" w:right="225"/>
              <w:rPr>
                <w:rFonts w:hint="eastAsia" w:eastAsia="宋体"/>
                <w:color w:val="auto"/>
                <w:sz w:val="24"/>
                <w:highlight w:val="none"/>
              </w:rPr>
            </w:pPr>
            <w:r>
              <w:rPr>
                <w:rFonts w:hint="eastAsia" w:eastAsia="宋体"/>
                <w:color w:val="auto"/>
                <w:sz w:val="24"/>
                <w:highlight w:val="none"/>
              </w:rPr>
              <w:t>从业人员营业收入</w:t>
            </w:r>
          </w:p>
        </w:tc>
      </w:tr>
      <w:tr w14:paraId="4C161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1D323005">
            <w:pPr>
              <w:rPr>
                <w:rFonts w:hint="eastAsia" w:ascii="宋体" w:hAnsi="宋体" w:eastAsia="宋体" w:cs="宋体"/>
                <w:color w:val="auto"/>
                <w:sz w:val="24"/>
                <w:highlight w:val="none"/>
              </w:rPr>
            </w:pPr>
          </w:p>
        </w:tc>
        <w:tc>
          <w:tcPr>
            <w:tcW w:w="860" w:type="dxa"/>
            <w:vMerge w:val="continue"/>
            <w:noWrap w:val="0"/>
            <w:vAlign w:val="center"/>
          </w:tcPr>
          <w:p w14:paraId="5699C27A">
            <w:pPr>
              <w:rPr>
                <w:rFonts w:hint="eastAsia" w:ascii="宋体" w:hAnsi="宋体" w:eastAsia="宋体" w:cs="宋体"/>
                <w:color w:val="auto"/>
                <w:sz w:val="24"/>
                <w:highlight w:val="none"/>
              </w:rPr>
            </w:pPr>
          </w:p>
        </w:tc>
        <w:tc>
          <w:tcPr>
            <w:tcW w:w="2157" w:type="dxa"/>
            <w:vMerge w:val="continue"/>
            <w:noWrap w:val="0"/>
            <w:vAlign w:val="center"/>
          </w:tcPr>
          <w:p w14:paraId="671AB359">
            <w:pPr>
              <w:rPr>
                <w:rFonts w:hint="eastAsia" w:ascii="宋体" w:hAnsi="宋体" w:eastAsia="宋体" w:cs="宋体"/>
                <w:color w:val="auto"/>
                <w:sz w:val="24"/>
                <w:highlight w:val="none"/>
              </w:rPr>
            </w:pPr>
          </w:p>
        </w:tc>
        <w:tc>
          <w:tcPr>
            <w:tcW w:w="1215" w:type="dxa"/>
            <w:noWrap w:val="0"/>
            <w:vAlign w:val="center"/>
          </w:tcPr>
          <w:p w14:paraId="7887E7C5">
            <w:pPr>
              <w:pStyle w:val="31"/>
              <w:spacing w:before="67"/>
              <w:ind w:left="13"/>
              <w:rPr>
                <w:rFonts w:hint="eastAsia" w:eastAsia="宋体"/>
                <w:color w:val="auto"/>
                <w:sz w:val="24"/>
                <w:highlight w:val="none"/>
              </w:rPr>
            </w:pPr>
            <w:r>
              <w:rPr>
                <w:rFonts w:hint="eastAsia" w:eastAsia="宋体"/>
                <w:color w:val="auto"/>
                <w:sz w:val="24"/>
                <w:highlight w:val="none"/>
              </w:rPr>
              <w:t>小型企业</w:t>
            </w:r>
          </w:p>
        </w:tc>
        <w:tc>
          <w:tcPr>
            <w:tcW w:w="4322" w:type="dxa"/>
            <w:noWrap w:val="0"/>
            <w:vAlign w:val="center"/>
          </w:tcPr>
          <w:p w14:paraId="1E8B43B5">
            <w:pPr>
              <w:pStyle w:val="31"/>
              <w:spacing w:before="67"/>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20</w:t>
            </w:r>
            <w:r>
              <w:rPr>
                <w:rFonts w:hint="eastAsia" w:eastAsia="宋体"/>
                <w:color w:val="auto"/>
                <w:spacing w:val="-12"/>
                <w:sz w:val="24"/>
                <w:highlight w:val="none"/>
                <w:lang w:eastAsia="zh-CN"/>
              </w:rPr>
              <w:t xml:space="preserve"> 人及以上，且营业收入 </w:t>
            </w:r>
            <w:r>
              <w:rPr>
                <w:rFonts w:hint="eastAsia" w:eastAsia="宋体"/>
                <w:color w:val="auto"/>
                <w:sz w:val="24"/>
                <w:highlight w:val="none"/>
                <w:lang w:eastAsia="zh-CN"/>
              </w:rPr>
              <w:t>300</w:t>
            </w:r>
            <w:r>
              <w:rPr>
                <w:rFonts w:hint="eastAsia" w:eastAsia="宋体"/>
                <w:color w:val="auto"/>
                <w:spacing w:val="-9"/>
                <w:sz w:val="24"/>
                <w:highlight w:val="none"/>
                <w:lang w:eastAsia="zh-CN"/>
              </w:rPr>
              <w:t xml:space="preserve"> 万元及以上的</w:t>
            </w:r>
          </w:p>
        </w:tc>
        <w:tc>
          <w:tcPr>
            <w:tcW w:w="1099" w:type="dxa"/>
            <w:vMerge w:val="continue"/>
            <w:noWrap w:val="0"/>
            <w:vAlign w:val="center"/>
          </w:tcPr>
          <w:p w14:paraId="4F91E55B">
            <w:pPr>
              <w:rPr>
                <w:rFonts w:hint="eastAsia" w:ascii="宋体" w:hAnsi="宋体" w:eastAsia="宋体" w:cs="宋体"/>
                <w:color w:val="auto"/>
                <w:sz w:val="24"/>
                <w:highlight w:val="none"/>
              </w:rPr>
            </w:pPr>
          </w:p>
        </w:tc>
      </w:tr>
      <w:tr w14:paraId="6250B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19A1B374">
            <w:pPr>
              <w:rPr>
                <w:rFonts w:hint="eastAsia" w:ascii="宋体" w:hAnsi="宋体" w:eastAsia="宋体" w:cs="宋体"/>
                <w:color w:val="auto"/>
                <w:sz w:val="24"/>
                <w:highlight w:val="none"/>
              </w:rPr>
            </w:pPr>
          </w:p>
        </w:tc>
        <w:tc>
          <w:tcPr>
            <w:tcW w:w="860" w:type="dxa"/>
            <w:vMerge w:val="continue"/>
            <w:noWrap w:val="0"/>
            <w:vAlign w:val="center"/>
          </w:tcPr>
          <w:p w14:paraId="22A5BFCB">
            <w:pPr>
              <w:rPr>
                <w:rFonts w:hint="eastAsia" w:ascii="宋体" w:hAnsi="宋体" w:eastAsia="宋体" w:cs="宋体"/>
                <w:color w:val="auto"/>
                <w:sz w:val="24"/>
                <w:highlight w:val="none"/>
              </w:rPr>
            </w:pPr>
          </w:p>
        </w:tc>
        <w:tc>
          <w:tcPr>
            <w:tcW w:w="2157" w:type="dxa"/>
            <w:vMerge w:val="continue"/>
            <w:noWrap w:val="0"/>
            <w:vAlign w:val="center"/>
          </w:tcPr>
          <w:p w14:paraId="4E4627C0">
            <w:pPr>
              <w:rPr>
                <w:rFonts w:hint="eastAsia" w:ascii="宋体" w:hAnsi="宋体" w:eastAsia="宋体" w:cs="宋体"/>
                <w:color w:val="auto"/>
                <w:sz w:val="24"/>
                <w:highlight w:val="none"/>
              </w:rPr>
            </w:pPr>
          </w:p>
        </w:tc>
        <w:tc>
          <w:tcPr>
            <w:tcW w:w="1215" w:type="dxa"/>
            <w:noWrap w:val="0"/>
            <w:vAlign w:val="center"/>
          </w:tcPr>
          <w:p w14:paraId="19EDE0F8">
            <w:pPr>
              <w:pStyle w:val="31"/>
              <w:spacing w:before="68"/>
              <w:ind w:left="13"/>
              <w:rPr>
                <w:rFonts w:hint="eastAsia" w:eastAsia="宋体"/>
                <w:color w:val="auto"/>
                <w:sz w:val="24"/>
                <w:highlight w:val="none"/>
              </w:rPr>
            </w:pPr>
            <w:r>
              <w:rPr>
                <w:rFonts w:hint="eastAsia" w:eastAsia="宋体"/>
                <w:color w:val="auto"/>
                <w:sz w:val="24"/>
                <w:highlight w:val="none"/>
              </w:rPr>
              <w:t>微型企业</w:t>
            </w:r>
          </w:p>
        </w:tc>
        <w:tc>
          <w:tcPr>
            <w:tcW w:w="4322" w:type="dxa"/>
            <w:noWrap w:val="0"/>
            <w:vAlign w:val="center"/>
          </w:tcPr>
          <w:p w14:paraId="1773B451">
            <w:pPr>
              <w:pStyle w:val="31"/>
              <w:spacing w:before="68"/>
              <w:ind w:left="15"/>
              <w:rPr>
                <w:rFonts w:hint="eastAsia" w:eastAsia="宋体"/>
                <w:color w:val="auto"/>
                <w:sz w:val="24"/>
                <w:highlight w:val="none"/>
                <w:lang w:eastAsia="zh-CN"/>
              </w:rPr>
            </w:pPr>
            <w:r>
              <w:rPr>
                <w:rFonts w:hint="eastAsia" w:eastAsia="宋体"/>
                <w:color w:val="auto"/>
                <w:sz w:val="24"/>
                <w:highlight w:val="none"/>
                <w:lang w:eastAsia="zh-CN"/>
              </w:rPr>
              <w:t>从业人员 20 人以下或营业收入 300 万元以下的</w:t>
            </w:r>
          </w:p>
        </w:tc>
        <w:tc>
          <w:tcPr>
            <w:tcW w:w="1099" w:type="dxa"/>
            <w:vMerge w:val="continue"/>
            <w:noWrap w:val="0"/>
            <w:vAlign w:val="center"/>
          </w:tcPr>
          <w:p w14:paraId="1C3C2AE4">
            <w:pPr>
              <w:rPr>
                <w:rFonts w:hint="eastAsia" w:ascii="宋体" w:hAnsi="宋体" w:eastAsia="宋体" w:cs="宋体"/>
                <w:color w:val="auto"/>
                <w:sz w:val="24"/>
                <w:highlight w:val="none"/>
              </w:rPr>
            </w:pPr>
          </w:p>
        </w:tc>
      </w:tr>
      <w:tr w14:paraId="2535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noWrap w:val="0"/>
            <w:vAlign w:val="center"/>
          </w:tcPr>
          <w:p w14:paraId="3E80B146">
            <w:pPr>
              <w:pStyle w:val="31"/>
              <w:rPr>
                <w:rFonts w:hint="eastAsia" w:eastAsia="宋体"/>
                <w:b/>
                <w:color w:val="auto"/>
                <w:sz w:val="24"/>
                <w:highlight w:val="none"/>
                <w:lang w:eastAsia="zh-CN"/>
              </w:rPr>
            </w:pPr>
          </w:p>
          <w:p w14:paraId="24DA3DD1">
            <w:pPr>
              <w:pStyle w:val="31"/>
              <w:spacing w:before="15"/>
              <w:rPr>
                <w:rFonts w:hint="eastAsia" w:eastAsia="宋体"/>
                <w:b/>
                <w:color w:val="auto"/>
                <w:sz w:val="24"/>
                <w:highlight w:val="none"/>
                <w:lang w:eastAsia="zh-CN"/>
              </w:rPr>
            </w:pPr>
          </w:p>
          <w:p w14:paraId="578AAFDD">
            <w:pPr>
              <w:pStyle w:val="31"/>
              <w:ind w:left="8"/>
              <w:rPr>
                <w:rFonts w:hint="eastAsia" w:eastAsia="宋体"/>
                <w:color w:val="auto"/>
                <w:sz w:val="24"/>
                <w:highlight w:val="none"/>
              </w:rPr>
            </w:pPr>
            <w:r>
              <w:rPr>
                <w:rFonts w:hint="eastAsia" w:eastAsia="宋体"/>
                <w:color w:val="auto"/>
                <w:w w:val="99"/>
                <w:sz w:val="24"/>
                <w:highlight w:val="none"/>
              </w:rPr>
              <w:t>3</w:t>
            </w:r>
          </w:p>
        </w:tc>
        <w:tc>
          <w:tcPr>
            <w:tcW w:w="860" w:type="dxa"/>
            <w:vMerge w:val="restart"/>
            <w:noWrap w:val="0"/>
            <w:vAlign w:val="center"/>
          </w:tcPr>
          <w:p w14:paraId="48DBC897">
            <w:pPr>
              <w:pStyle w:val="31"/>
              <w:rPr>
                <w:rFonts w:hint="eastAsia" w:eastAsia="宋体"/>
                <w:b/>
                <w:color w:val="auto"/>
                <w:sz w:val="24"/>
                <w:highlight w:val="none"/>
              </w:rPr>
            </w:pPr>
          </w:p>
          <w:p w14:paraId="77D722DC">
            <w:pPr>
              <w:pStyle w:val="31"/>
              <w:spacing w:before="2"/>
              <w:rPr>
                <w:rFonts w:hint="eastAsia" w:eastAsia="宋体"/>
                <w:b/>
                <w:color w:val="auto"/>
                <w:sz w:val="24"/>
                <w:highlight w:val="none"/>
              </w:rPr>
            </w:pPr>
          </w:p>
          <w:p w14:paraId="694D4434">
            <w:pPr>
              <w:pStyle w:val="31"/>
              <w:ind w:left="13"/>
              <w:rPr>
                <w:rFonts w:hint="eastAsia" w:eastAsia="宋体"/>
                <w:color w:val="auto"/>
                <w:sz w:val="24"/>
                <w:highlight w:val="none"/>
              </w:rPr>
            </w:pPr>
            <w:r>
              <w:rPr>
                <w:rFonts w:hint="eastAsia" w:eastAsia="宋体"/>
                <w:color w:val="auto"/>
                <w:sz w:val="24"/>
                <w:highlight w:val="none"/>
              </w:rPr>
              <w:t>建筑业</w:t>
            </w:r>
          </w:p>
        </w:tc>
        <w:tc>
          <w:tcPr>
            <w:tcW w:w="2157" w:type="dxa"/>
            <w:vMerge w:val="restart"/>
            <w:noWrap w:val="0"/>
            <w:vAlign w:val="center"/>
          </w:tcPr>
          <w:p w14:paraId="52BEC718">
            <w:pPr>
              <w:pStyle w:val="31"/>
              <w:ind w:left="15"/>
              <w:rPr>
                <w:rFonts w:hint="eastAsia" w:eastAsia="宋体"/>
                <w:b/>
                <w:color w:val="auto"/>
                <w:sz w:val="24"/>
                <w:highlight w:val="none"/>
                <w:lang w:eastAsia="zh-CN"/>
              </w:rPr>
            </w:pPr>
          </w:p>
          <w:p w14:paraId="35BC222D">
            <w:pPr>
              <w:pStyle w:val="31"/>
              <w:ind w:left="15"/>
              <w:rPr>
                <w:rFonts w:hint="eastAsia" w:eastAsia="宋体"/>
                <w:color w:val="auto"/>
                <w:sz w:val="24"/>
                <w:highlight w:val="none"/>
                <w:lang w:eastAsia="zh-CN"/>
              </w:rPr>
            </w:pPr>
            <w:r>
              <w:rPr>
                <w:rFonts w:hint="eastAsia" w:eastAsia="宋体"/>
                <w:color w:val="auto"/>
                <w:sz w:val="24"/>
                <w:highlight w:val="none"/>
                <w:lang w:eastAsia="zh-CN"/>
              </w:rPr>
              <w:t>营业收入 80000 万元以下或资产总额 80000 万元以下的为中小微型企业</w:t>
            </w:r>
          </w:p>
        </w:tc>
        <w:tc>
          <w:tcPr>
            <w:tcW w:w="1215" w:type="dxa"/>
            <w:noWrap w:val="0"/>
            <w:vAlign w:val="center"/>
          </w:tcPr>
          <w:p w14:paraId="30120E1D">
            <w:pPr>
              <w:pStyle w:val="31"/>
              <w:spacing w:before="2"/>
              <w:rPr>
                <w:rFonts w:hint="eastAsia" w:eastAsia="宋体"/>
                <w:b/>
                <w:color w:val="auto"/>
                <w:sz w:val="24"/>
                <w:highlight w:val="none"/>
                <w:lang w:eastAsia="zh-CN"/>
              </w:rPr>
            </w:pPr>
          </w:p>
          <w:p w14:paraId="303ADB52">
            <w:pPr>
              <w:pStyle w:val="31"/>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4448E0C2">
            <w:pPr>
              <w:pStyle w:val="31"/>
              <w:spacing w:before="49"/>
              <w:ind w:left="15"/>
              <w:rPr>
                <w:rFonts w:hint="eastAsia" w:eastAsia="宋体"/>
                <w:color w:val="auto"/>
                <w:sz w:val="24"/>
                <w:highlight w:val="none"/>
                <w:lang w:eastAsia="zh-CN"/>
              </w:rPr>
            </w:pPr>
            <w:r>
              <w:rPr>
                <w:rFonts w:hint="eastAsia" w:eastAsia="宋体"/>
                <w:color w:val="auto"/>
                <w:spacing w:val="-9"/>
                <w:sz w:val="24"/>
                <w:highlight w:val="none"/>
                <w:lang w:eastAsia="zh-CN"/>
              </w:rPr>
              <w:t xml:space="preserve">营业收入 </w:t>
            </w:r>
            <w:r>
              <w:rPr>
                <w:rFonts w:hint="eastAsia" w:eastAsia="宋体"/>
                <w:color w:val="auto"/>
                <w:sz w:val="24"/>
                <w:highlight w:val="none"/>
                <w:lang w:eastAsia="zh-CN"/>
              </w:rPr>
              <w:t>6000</w:t>
            </w:r>
            <w:r>
              <w:rPr>
                <w:rFonts w:hint="eastAsia" w:eastAsia="宋体"/>
                <w:color w:val="auto"/>
                <w:spacing w:val="-6"/>
                <w:sz w:val="24"/>
                <w:highlight w:val="none"/>
                <w:lang w:eastAsia="zh-CN"/>
              </w:rPr>
              <w:t xml:space="preserve"> 万元及以上，且资产总额 </w:t>
            </w:r>
            <w:r>
              <w:rPr>
                <w:rFonts w:hint="eastAsia" w:eastAsia="宋体"/>
                <w:color w:val="auto"/>
                <w:sz w:val="24"/>
                <w:highlight w:val="none"/>
                <w:lang w:eastAsia="zh-CN"/>
              </w:rPr>
              <w:t>5000</w:t>
            </w:r>
            <w:r>
              <w:rPr>
                <w:rFonts w:hint="eastAsia" w:eastAsia="宋体"/>
                <w:color w:val="auto"/>
                <w:spacing w:val="-8"/>
                <w:sz w:val="24"/>
                <w:highlight w:val="none"/>
                <w:lang w:eastAsia="zh-CN"/>
              </w:rPr>
              <w:t xml:space="preserve"> 万元及以</w:t>
            </w:r>
          </w:p>
          <w:p w14:paraId="2FD1F49B">
            <w:pPr>
              <w:pStyle w:val="31"/>
              <w:spacing w:before="56"/>
              <w:ind w:left="15"/>
              <w:rPr>
                <w:rFonts w:hint="eastAsia" w:eastAsia="宋体"/>
                <w:color w:val="auto"/>
                <w:sz w:val="24"/>
                <w:highlight w:val="none"/>
              </w:rPr>
            </w:pPr>
            <w:r>
              <w:rPr>
                <w:rFonts w:hint="eastAsia" w:eastAsia="宋体"/>
                <w:color w:val="auto"/>
                <w:sz w:val="24"/>
                <w:highlight w:val="none"/>
              </w:rPr>
              <w:t>上的</w:t>
            </w:r>
          </w:p>
        </w:tc>
        <w:tc>
          <w:tcPr>
            <w:tcW w:w="1099" w:type="dxa"/>
            <w:vMerge w:val="restart"/>
            <w:noWrap w:val="0"/>
            <w:vAlign w:val="center"/>
          </w:tcPr>
          <w:p w14:paraId="62E4B788">
            <w:pPr>
              <w:pStyle w:val="31"/>
              <w:spacing w:before="2"/>
              <w:rPr>
                <w:rFonts w:hint="eastAsia" w:eastAsia="宋体"/>
                <w:b/>
                <w:color w:val="auto"/>
                <w:sz w:val="24"/>
                <w:highlight w:val="none"/>
              </w:rPr>
            </w:pPr>
          </w:p>
          <w:p w14:paraId="53FF0425">
            <w:pPr>
              <w:pStyle w:val="31"/>
              <w:spacing w:line="612" w:lineRule="auto"/>
              <w:ind w:left="15" w:right="225"/>
              <w:rPr>
                <w:rFonts w:hint="eastAsia" w:eastAsia="宋体"/>
                <w:color w:val="auto"/>
                <w:sz w:val="24"/>
                <w:highlight w:val="none"/>
              </w:rPr>
            </w:pPr>
            <w:r>
              <w:rPr>
                <w:rFonts w:hint="eastAsia" w:eastAsia="宋体"/>
                <w:color w:val="auto"/>
                <w:sz w:val="24"/>
                <w:highlight w:val="none"/>
              </w:rPr>
              <w:t>营业收入资产总额</w:t>
            </w:r>
          </w:p>
        </w:tc>
      </w:tr>
      <w:tr w14:paraId="2BF3E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noWrap w:val="0"/>
            <w:vAlign w:val="center"/>
          </w:tcPr>
          <w:p w14:paraId="5C66AB6F">
            <w:pPr>
              <w:rPr>
                <w:rFonts w:hint="eastAsia" w:ascii="宋体" w:hAnsi="宋体" w:eastAsia="宋体" w:cs="宋体"/>
                <w:color w:val="auto"/>
                <w:sz w:val="24"/>
                <w:highlight w:val="none"/>
              </w:rPr>
            </w:pPr>
          </w:p>
        </w:tc>
        <w:tc>
          <w:tcPr>
            <w:tcW w:w="860" w:type="dxa"/>
            <w:vMerge w:val="continue"/>
            <w:noWrap w:val="0"/>
            <w:vAlign w:val="center"/>
          </w:tcPr>
          <w:p w14:paraId="2E02AE8B">
            <w:pPr>
              <w:rPr>
                <w:rFonts w:hint="eastAsia" w:ascii="宋体" w:hAnsi="宋体" w:eastAsia="宋体" w:cs="宋体"/>
                <w:color w:val="auto"/>
                <w:sz w:val="24"/>
                <w:highlight w:val="none"/>
              </w:rPr>
            </w:pPr>
          </w:p>
        </w:tc>
        <w:tc>
          <w:tcPr>
            <w:tcW w:w="2157" w:type="dxa"/>
            <w:vMerge w:val="continue"/>
            <w:noWrap w:val="0"/>
            <w:vAlign w:val="center"/>
          </w:tcPr>
          <w:p w14:paraId="70EF3649">
            <w:pPr>
              <w:rPr>
                <w:rFonts w:hint="eastAsia" w:ascii="宋体" w:hAnsi="宋体" w:eastAsia="宋体" w:cs="宋体"/>
                <w:color w:val="auto"/>
                <w:sz w:val="24"/>
                <w:highlight w:val="none"/>
              </w:rPr>
            </w:pPr>
          </w:p>
        </w:tc>
        <w:tc>
          <w:tcPr>
            <w:tcW w:w="1215" w:type="dxa"/>
            <w:noWrap w:val="0"/>
            <w:vAlign w:val="center"/>
          </w:tcPr>
          <w:p w14:paraId="4A0E6D34">
            <w:pPr>
              <w:pStyle w:val="31"/>
              <w:spacing w:before="16"/>
              <w:rPr>
                <w:rFonts w:hint="eastAsia" w:eastAsia="宋体"/>
                <w:b/>
                <w:color w:val="auto"/>
                <w:sz w:val="24"/>
                <w:highlight w:val="none"/>
              </w:rPr>
            </w:pPr>
          </w:p>
          <w:p w14:paraId="669F1C43">
            <w:pPr>
              <w:pStyle w:val="31"/>
              <w:ind w:left="13"/>
              <w:rPr>
                <w:rFonts w:hint="eastAsia" w:eastAsia="宋体"/>
                <w:color w:val="auto"/>
                <w:sz w:val="24"/>
                <w:highlight w:val="none"/>
              </w:rPr>
            </w:pPr>
            <w:r>
              <w:rPr>
                <w:rFonts w:hint="eastAsia" w:eastAsia="宋体"/>
                <w:color w:val="auto"/>
                <w:sz w:val="24"/>
                <w:highlight w:val="none"/>
              </w:rPr>
              <w:t>小型企业</w:t>
            </w:r>
          </w:p>
        </w:tc>
        <w:tc>
          <w:tcPr>
            <w:tcW w:w="4322" w:type="dxa"/>
            <w:noWrap w:val="0"/>
            <w:vAlign w:val="center"/>
          </w:tcPr>
          <w:p w14:paraId="43221569">
            <w:pPr>
              <w:pStyle w:val="31"/>
              <w:spacing w:before="45"/>
              <w:ind w:left="15"/>
              <w:rPr>
                <w:rFonts w:hint="eastAsia" w:eastAsia="宋体"/>
                <w:color w:val="auto"/>
                <w:sz w:val="24"/>
                <w:highlight w:val="none"/>
                <w:lang w:eastAsia="zh-CN"/>
              </w:rPr>
            </w:pPr>
            <w:r>
              <w:rPr>
                <w:rFonts w:hint="eastAsia" w:eastAsia="宋体"/>
                <w:color w:val="auto"/>
                <w:spacing w:val="-8"/>
                <w:sz w:val="24"/>
                <w:highlight w:val="none"/>
                <w:lang w:eastAsia="zh-CN"/>
              </w:rPr>
              <w:t xml:space="preserve">营业收入 </w:t>
            </w:r>
            <w:r>
              <w:rPr>
                <w:rFonts w:hint="eastAsia" w:eastAsia="宋体"/>
                <w:color w:val="auto"/>
                <w:sz w:val="24"/>
                <w:highlight w:val="none"/>
                <w:lang w:eastAsia="zh-CN"/>
              </w:rPr>
              <w:t>300</w:t>
            </w:r>
            <w:r>
              <w:rPr>
                <w:rFonts w:hint="eastAsia" w:eastAsia="宋体"/>
                <w:color w:val="auto"/>
                <w:spacing w:val="-7"/>
                <w:sz w:val="24"/>
                <w:highlight w:val="none"/>
                <w:lang w:eastAsia="zh-CN"/>
              </w:rPr>
              <w:t xml:space="preserve"> 万元及以上，且资产总额 </w:t>
            </w:r>
            <w:r>
              <w:rPr>
                <w:rFonts w:hint="eastAsia" w:eastAsia="宋体"/>
                <w:color w:val="auto"/>
                <w:sz w:val="24"/>
                <w:highlight w:val="none"/>
                <w:lang w:eastAsia="zh-CN"/>
              </w:rPr>
              <w:t>300</w:t>
            </w:r>
            <w:r>
              <w:rPr>
                <w:rFonts w:hint="eastAsia" w:eastAsia="宋体"/>
                <w:color w:val="auto"/>
                <w:spacing w:val="-8"/>
                <w:sz w:val="24"/>
                <w:highlight w:val="none"/>
                <w:lang w:eastAsia="zh-CN"/>
              </w:rPr>
              <w:t xml:space="preserve"> 万元及以上</w:t>
            </w:r>
          </w:p>
          <w:p w14:paraId="03122D93">
            <w:pPr>
              <w:pStyle w:val="31"/>
              <w:spacing w:before="55"/>
              <w:ind w:left="15"/>
              <w:rPr>
                <w:rFonts w:hint="eastAsia" w:eastAsia="宋体"/>
                <w:color w:val="auto"/>
                <w:sz w:val="24"/>
                <w:highlight w:val="none"/>
              </w:rPr>
            </w:pPr>
            <w:r>
              <w:rPr>
                <w:rFonts w:hint="eastAsia" w:eastAsia="宋体"/>
                <w:color w:val="auto"/>
                <w:w w:val="99"/>
                <w:sz w:val="24"/>
                <w:highlight w:val="none"/>
              </w:rPr>
              <w:t>的</w:t>
            </w:r>
          </w:p>
        </w:tc>
        <w:tc>
          <w:tcPr>
            <w:tcW w:w="1099" w:type="dxa"/>
            <w:vMerge w:val="continue"/>
            <w:noWrap w:val="0"/>
            <w:vAlign w:val="center"/>
          </w:tcPr>
          <w:p w14:paraId="6AD0165C">
            <w:pPr>
              <w:rPr>
                <w:rFonts w:hint="eastAsia" w:ascii="宋体" w:hAnsi="宋体" w:eastAsia="宋体" w:cs="宋体"/>
                <w:color w:val="auto"/>
                <w:sz w:val="24"/>
                <w:highlight w:val="none"/>
              </w:rPr>
            </w:pPr>
          </w:p>
        </w:tc>
      </w:tr>
      <w:tr w14:paraId="7A92E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5A4E311F">
            <w:pPr>
              <w:rPr>
                <w:rFonts w:hint="eastAsia" w:ascii="宋体" w:hAnsi="宋体" w:eastAsia="宋体" w:cs="宋体"/>
                <w:color w:val="auto"/>
                <w:sz w:val="24"/>
                <w:highlight w:val="none"/>
              </w:rPr>
            </w:pPr>
          </w:p>
        </w:tc>
        <w:tc>
          <w:tcPr>
            <w:tcW w:w="860" w:type="dxa"/>
            <w:vMerge w:val="continue"/>
            <w:noWrap w:val="0"/>
            <w:vAlign w:val="center"/>
          </w:tcPr>
          <w:p w14:paraId="736548AC">
            <w:pPr>
              <w:rPr>
                <w:rFonts w:hint="eastAsia" w:ascii="宋体" w:hAnsi="宋体" w:eastAsia="宋体" w:cs="宋体"/>
                <w:color w:val="auto"/>
                <w:sz w:val="24"/>
                <w:highlight w:val="none"/>
              </w:rPr>
            </w:pPr>
          </w:p>
        </w:tc>
        <w:tc>
          <w:tcPr>
            <w:tcW w:w="2157" w:type="dxa"/>
            <w:vMerge w:val="continue"/>
            <w:noWrap w:val="0"/>
            <w:vAlign w:val="center"/>
          </w:tcPr>
          <w:p w14:paraId="5BCEA7BC">
            <w:pPr>
              <w:rPr>
                <w:rFonts w:hint="eastAsia" w:ascii="宋体" w:hAnsi="宋体" w:eastAsia="宋体" w:cs="宋体"/>
                <w:color w:val="auto"/>
                <w:sz w:val="24"/>
                <w:highlight w:val="none"/>
              </w:rPr>
            </w:pPr>
          </w:p>
        </w:tc>
        <w:tc>
          <w:tcPr>
            <w:tcW w:w="1215" w:type="dxa"/>
            <w:noWrap w:val="0"/>
            <w:vAlign w:val="center"/>
          </w:tcPr>
          <w:p w14:paraId="0E6B99EE">
            <w:pPr>
              <w:pStyle w:val="31"/>
              <w:spacing w:before="68"/>
              <w:ind w:left="13"/>
              <w:rPr>
                <w:rFonts w:hint="eastAsia" w:eastAsia="宋体"/>
                <w:color w:val="auto"/>
                <w:sz w:val="24"/>
                <w:highlight w:val="none"/>
              </w:rPr>
            </w:pPr>
            <w:r>
              <w:rPr>
                <w:rFonts w:hint="eastAsia" w:eastAsia="宋体"/>
                <w:color w:val="auto"/>
                <w:sz w:val="24"/>
                <w:highlight w:val="none"/>
              </w:rPr>
              <w:t>微型企业</w:t>
            </w:r>
          </w:p>
        </w:tc>
        <w:tc>
          <w:tcPr>
            <w:tcW w:w="4322" w:type="dxa"/>
            <w:noWrap w:val="0"/>
            <w:vAlign w:val="center"/>
          </w:tcPr>
          <w:p w14:paraId="450134A7">
            <w:pPr>
              <w:pStyle w:val="31"/>
              <w:spacing w:before="68"/>
              <w:ind w:left="15"/>
              <w:rPr>
                <w:rFonts w:hint="eastAsia" w:eastAsia="宋体"/>
                <w:color w:val="auto"/>
                <w:sz w:val="24"/>
                <w:highlight w:val="none"/>
                <w:lang w:eastAsia="zh-CN"/>
              </w:rPr>
            </w:pPr>
            <w:r>
              <w:rPr>
                <w:rFonts w:hint="eastAsia" w:eastAsia="宋体"/>
                <w:color w:val="auto"/>
                <w:sz w:val="24"/>
                <w:highlight w:val="none"/>
                <w:lang w:eastAsia="zh-CN"/>
              </w:rPr>
              <w:t>营业收入 300 万元以下或资产总额 300 万元以下的</w:t>
            </w:r>
          </w:p>
        </w:tc>
        <w:tc>
          <w:tcPr>
            <w:tcW w:w="1099" w:type="dxa"/>
            <w:vMerge w:val="continue"/>
            <w:noWrap w:val="0"/>
            <w:vAlign w:val="center"/>
          </w:tcPr>
          <w:p w14:paraId="143D4973">
            <w:pPr>
              <w:rPr>
                <w:rFonts w:hint="eastAsia" w:ascii="宋体" w:hAnsi="宋体" w:eastAsia="宋体" w:cs="宋体"/>
                <w:color w:val="auto"/>
                <w:sz w:val="24"/>
                <w:highlight w:val="none"/>
              </w:rPr>
            </w:pPr>
          </w:p>
        </w:tc>
      </w:tr>
      <w:tr w14:paraId="0B0A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084025CF">
            <w:pPr>
              <w:pStyle w:val="31"/>
              <w:spacing w:before="7"/>
              <w:rPr>
                <w:rFonts w:hint="eastAsia" w:eastAsia="宋体"/>
                <w:b/>
                <w:color w:val="auto"/>
                <w:sz w:val="24"/>
                <w:highlight w:val="none"/>
                <w:lang w:eastAsia="zh-CN"/>
              </w:rPr>
            </w:pPr>
          </w:p>
          <w:p w14:paraId="0AE6DC02">
            <w:pPr>
              <w:pStyle w:val="31"/>
              <w:ind w:left="8"/>
              <w:rPr>
                <w:rFonts w:hint="eastAsia" w:eastAsia="宋体"/>
                <w:color w:val="auto"/>
                <w:sz w:val="24"/>
                <w:highlight w:val="none"/>
              </w:rPr>
            </w:pPr>
            <w:r>
              <w:rPr>
                <w:rFonts w:hint="eastAsia" w:eastAsia="宋体"/>
                <w:color w:val="auto"/>
                <w:w w:val="99"/>
                <w:sz w:val="24"/>
                <w:highlight w:val="none"/>
              </w:rPr>
              <w:t>4</w:t>
            </w:r>
          </w:p>
        </w:tc>
        <w:tc>
          <w:tcPr>
            <w:tcW w:w="860" w:type="dxa"/>
            <w:vMerge w:val="restart"/>
            <w:noWrap w:val="0"/>
            <w:vAlign w:val="center"/>
          </w:tcPr>
          <w:p w14:paraId="27C53AE5">
            <w:pPr>
              <w:pStyle w:val="31"/>
              <w:spacing w:before="12"/>
              <w:rPr>
                <w:rFonts w:hint="eastAsia" w:eastAsia="宋体"/>
                <w:b/>
                <w:color w:val="auto"/>
                <w:sz w:val="24"/>
                <w:highlight w:val="none"/>
              </w:rPr>
            </w:pPr>
          </w:p>
          <w:p w14:paraId="26E730F6">
            <w:pPr>
              <w:pStyle w:val="31"/>
              <w:ind w:left="13"/>
              <w:rPr>
                <w:rFonts w:hint="eastAsia" w:eastAsia="宋体"/>
                <w:color w:val="auto"/>
                <w:sz w:val="24"/>
                <w:highlight w:val="none"/>
              </w:rPr>
            </w:pPr>
            <w:r>
              <w:rPr>
                <w:rFonts w:hint="eastAsia" w:eastAsia="宋体"/>
                <w:color w:val="auto"/>
                <w:sz w:val="24"/>
                <w:highlight w:val="none"/>
              </w:rPr>
              <w:t>批发业</w:t>
            </w:r>
          </w:p>
        </w:tc>
        <w:tc>
          <w:tcPr>
            <w:tcW w:w="2157" w:type="dxa"/>
            <w:vMerge w:val="restart"/>
            <w:noWrap w:val="0"/>
            <w:vAlign w:val="center"/>
          </w:tcPr>
          <w:p w14:paraId="40B026CC">
            <w:pPr>
              <w:pStyle w:val="31"/>
              <w:spacing w:before="142"/>
              <w:ind w:left="15"/>
              <w:rPr>
                <w:rFonts w:hint="eastAsia" w:eastAsia="宋体"/>
                <w:color w:val="auto"/>
                <w:sz w:val="24"/>
                <w:highlight w:val="none"/>
                <w:lang w:eastAsia="zh-CN"/>
              </w:rPr>
            </w:pPr>
            <w:r>
              <w:rPr>
                <w:rFonts w:hint="eastAsia" w:eastAsia="宋体"/>
                <w:color w:val="auto"/>
                <w:sz w:val="24"/>
                <w:highlight w:val="none"/>
                <w:lang w:eastAsia="zh-CN"/>
              </w:rPr>
              <w:t>从业人员 200 人以下或营业收入 40000 万元以下的为中小微型企业</w:t>
            </w:r>
          </w:p>
        </w:tc>
        <w:tc>
          <w:tcPr>
            <w:tcW w:w="1215" w:type="dxa"/>
            <w:noWrap w:val="0"/>
            <w:vAlign w:val="center"/>
          </w:tcPr>
          <w:p w14:paraId="7FEED908">
            <w:pPr>
              <w:pStyle w:val="31"/>
              <w:spacing w:before="68"/>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3457929B">
            <w:pPr>
              <w:pStyle w:val="31"/>
              <w:spacing w:before="68"/>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20</w:t>
            </w:r>
            <w:r>
              <w:rPr>
                <w:rFonts w:hint="eastAsia" w:eastAsia="宋体"/>
                <w:color w:val="auto"/>
                <w:spacing w:val="-12"/>
                <w:sz w:val="24"/>
                <w:highlight w:val="none"/>
                <w:lang w:eastAsia="zh-CN"/>
              </w:rPr>
              <w:t xml:space="preserve"> 人及以上，且营业收入 </w:t>
            </w:r>
            <w:r>
              <w:rPr>
                <w:rFonts w:hint="eastAsia" w:eastAsia="宋体"/>
                <w:color w:val="auto"/>
                <w:sz w:val="24"/>
                <w:highlight w:val="none"/>
                <w:lang w:eastAsia="zh-CN"/>
              </w:rPr>
              <w:t>5000</w:t>
            </w:r>
            <w:r>
              <w:rPr>
                <w:rFonts w:hint="eastAsia" w:eastAsia="宋体"/>
                <w:color w:val="auto"/>
                <w:spacing w:val="-9"/>
                <w:sz w:val="24"/>
                <w:highlight w:val="none"/>
                <w:lang w:eastAsia="zh-CN"/>
              </w:rPr>
              <w:t xml:space="preserve"> 万元及以上的</w:t>
            </w:r>
          </w:p>
        </w:tc>
        <w:tc>
          <w:tcPr>
            <w:tcW w:w="1099" w:type="dxa"/>
            <w:vMerge w:val="restart"/>
            <w:noWrap w:val="0"/>
            <w:vAlign w:val="center"/>
          </w:tcPr>
          <w:p w14:paraId="74BD43EE">
            <w:pPr>
              <w:pStyle w:val="31"/>
              <w:spacing w:before="68" w:line="362" w:lineRule="auto"/>
              <w:ind w:left="15" w:right="225"/>
              <w:rPr>
                <w:rFonts w:hint="eastAsia" w:eastAsia="宋体"/>
                <w:color w:val="auto"/>
                <w:sz w:val="24"/>
                <w:highlight w:val="none"/>
              </w:rPr>
            </w:pPr>
            <w:r>
              <w:rPr>
                <w:rFonts w:hint="eastAsia" w:eastAsia="宋体"/>
                <w:color w:val="auto"/>
                <w:sz w:val="24"/>
                <w:highlight w:val="none"/>
              </w:rPr>
              <w:t>从业人员营业收入</w:t>
            </w:r>
          </w:p>
        </w:tc>
      </w:tr>
      <w:tr w14:paraId="1820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5F9B2778">
            <w:pPr>
              <w:rPr>
                <w:rFonts w:hint="eastAsia" w:ascii="宋体" w:hAnsi="宋体" w:eastAsia="宋体" w:cs="宋体"/>
                <w:color w:val="auto"/>
                <w:sz w:val="24"/>
                <w:highlight w:val="none"/>
              </w:rPr>
            </w:pPr>
          </w:p>
        </w:tc>
        <w:tc>
          <w:tcPr>
            <w:tcW w:w="860" w:type="dxa"/>
            <w:vMerge w:val="continue"/>
            <w:noWrap w:val="0"/>
            <w:vAlign w:val="center"/>
          </w:tcPr>
          <w:p w14:paraId="016D67A9">
            <w:pPr>
              <w:rPr>
                <w:rFonts w:hint="eastAsia" w:ascii="宋体" w:hAnsi="宋体" w:eastAsia="宋体" w:cs="宋体"/>
                <w:color w:val="auto"/>
                <w:sz w:val="24"/>
                <w:highlight w:val="none"/>
              </w:rPr>
            </w:pPr>
          </w:p>
        </w:tc>
        <w:tc>
          <w:tcPr>
            <w:tcW w:w="2157" w:type="dxa"/>
            <w:vMerge w:val="continue"/>
            <w:noWrap w:val="0"/>
            <w:vAlign w:val="center"/>
          </w:tcPr>
          <w:p w14:paraId="6CF8243F">
            <w:pPr>
              <w:rPr>
                <w:rFonts w:hint="eastAsia" w:ascii="宋体" w:hAnsi="宋体" w:eastAsia="宋体" w:cs="宋体"/>
                <w:color w:val="auto"/>
                <w:sz w:val="24"/>
                <w:highlight w:val="none"/>
              </w:rPr>
            </w:pPr>
          </w:p>
        </w:tc>
        <w:tc>
          <w:tcPr>
            <w:tcW w:w="1215" w:type="dxa"/>
            <w:noWrap w:val="0"/>
            <w:vAlign w:val="center"/>
          </w:tcPr>
          <w:p w14:paraId="5082A75C">
            <w:pPr>
              <w:pStyle w:val="31"/>
              <w:spacing w:before="69"/>
              <w:ind w:left="13"/>
              <w:rPr>
                <w:rFonts w:hint="eastAsia" w:eastAsia="宋体"/>
                <w:color w:val="auto"/>
                <w:sz w:val="24"/>
                <w:highlight w:val="none"/>
              </w:rPr>
            </w:pPr>
            <w:r>
              <w:rPr>
                <w:rFonts w:hint="eastAsia" w:eastAsia="宋体"/>
                <w:color w:val="auto"/>
                <w:sz w:val="24"/>
                <w:highlight w:val="none"/>
              </w:rPr>
              <w:t>小型企业</w:t>
            </w:r>
          </w:p>
        </w:tc>
        <w:tc>
          <w:tcPr>
            <w:tcW w:w="4322" w:type="dxa"/>
            <w:noWrap w:val="0"/>
            <w:vAlign w:val="center"/>
          </w:tcPr>
          <w:p w14:paraId="77673D35">
            <w:pPr>
              <w:pStyle w:val="31"/>
              <w:spacing w:before="69"/>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5</w:t>
            </w:r>
            <w:r>
              <w:rPr>
                <w:rFonts w:hint="eastAsia" w:eastAsia="宋体"/>
                <w:color w:val="auto"/>
                <w:spacing w:val="-12"/>
                <w:sz w:val="24"/>
                <w:highlight w:val="none"/>
                <w:lang w:eastAsia="zh-CN"/>
              </w:rPr>
              <w:t xml:space="preserve"> 人及以上，且营业收入 </w:t>
            </w:r>
            <w:r>
              <w:rPr>
                <w:rFonts w:hint="eastAsia" w:eastAsia="宋体"/>
                <w:color w:val="auto"/>
                <w:sz w:val="24"/>
                <w:highlight w:val="none"/>
                <w:lang w:eastAsia="zh-CN"/>
              </w:rPr>
              <w:t>1000</w:t>
            </w:r>
            <w:r>
              <w:rPr>
                <w:rFonts w:hint="eastAsia" w:eastAsia="宋体"/>
                <w:color w:val="auto"/>
                <w:spacing w:val="-9"/>
                <w:sz w:val="24"/>
                <w:highlight w:val="none"/>
                <w:lang w:eastAsia="zh-CN"/>
              </w:rPr>
              <w:t xml:space="preserve"> 万元及以上的</w:t>
            </w:r>
          </w:p>
        </w:tc>
        <w:tc>
          <w:tcPr>
            <w:tcW w:w="1099" w:type="dxa"/>
            <w:vMerge w:val="continue"/>
            <w:noWrap w:val="0"/>
            <w:vAlign w:val="center"/>
          </w:tcPr>
          <w:p w14:paraId="1C9FBD39">
            <w:pPr>
              <w:rPr>
                <w:rFonts w:hint="eastAsia" w:ascii="宋体" w:hAnsi="宋体" w:eastAsia="宋体" w:cs="宋体"/>
                <w:color w:val="auto"/>
                <w:sz w:val="24"/>
                <w:highlight w:val="none"/>
              </w:rPr>
            </w:pPr>
          </w:p>
        </w:tc>
      </w:tr>
      <w:tr w14:paraId="4CEE6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48FF7BB7">
            <w:pPr>
              <w:rPr>
                <w:rFonts w:hint="eastAsia" w:ascii="宋体" w:hAnsi="宋体" w:eastAsia="宋体" w:cs="宋体"/>
                <w:color w:val="auto"/>
                <w:sz w:val="24"/>
                <w:highlight w:val="none"/>
              </w:rPr>
            </w:pPr>
          </w:p>
        </w:tc>
        <w:tc>
          <w:tcPr>
            <w:tcW w:w="860" w:type="dxa"/>
            <w:vMerge w:val="continue"/>
            <w:noWrap w:val="0"/>
            <w:vAlign w:val="center"/>
          </w:tcPr>
          <w:p w14:paraId="77CA1F24">
            <w:pPr>
              <w:rPr>
                <w:rFonts w:hint="eastAsia" w:ascii="宋体" w:hAnsi="宋体" w:eastAsia="宋体" w:cs="宋体"/>
                <w:color w:val="auto"/>
                <w:sz w:val="24"/>
                <w:highlight w:val="none"/>
              </w:rPr>
            </w:pPr>
          </w:p>
        </w:tc>
        <w:tc>
          <w:tcPr>
            <w:tcW w:w="2157" w:type="dxa"/>
            <w:vMerge w:val="continue"/>
            <w:noWrap w:val="0"/>
            <w:vAlign w:val="center"/>
          </w:tcPr>
          <w:p w14:paraId="1E9D0AA6">
            <w:pPr>
              <w:rPr>
                <w:rFonts w:hint="eastAsia" w:ascii="宋体" w:hAnsi="宋体" w:eastAsia="宋体" w:cs="宋体"/>
                <w:color w:val="auto"/>
                <w:sz w:val="24"/>
                <w:highlight w:val="none"/>
              </w:rPr>
            </w:pPr>
          </w:p>
        </w:tc>
        <w:tc>
          <w:tcPr>
            <w:tcW w:w="1215" w:type="dxa"/>
            <w:noWrap w:val="0"/>
            <w:vAlign w:val="center"/>
          </w:tcPr>
          <w:p w14:paraId="2A1798B0">
            <w:pPr>
              <w:pStyle w:val="31"/>
              <w:spacing w:before="69"/>
              <w:ind w:left="13"/>
              <w:rPr>
                <w:rFonts w:hint="eastAsia" w:eastAsia="宋体"/>
                <w:color w:val="auto"/>
                <w:sz w:val="24"/>
                <w:highlight w:val="none"/>
              </w:rPr>
            </w:pPr>
            <w:r>
              <w:rPr>
                <w:rFonts w:hint="eastAsia" w:eastAsia="宋体"/>
                <w:color w:val="auto"/>
                <w:sz w:val="24"/>
                <w:highlight w:val="none"/>
              </w:rPr>
              <w:t>微型企业</w:t>
            </w:r>
          </w:p>
        </w:tc>
        <w:tc>
          <w:tcPr>
            <w:tcW w:w="4322" w:type="dxa"/>
            <w:noWrap w:val="0"/>
            <w:vAlign w:val="center"/>
          </w:tcPr>
          <w:p w14:paraId="4DE2DDCF">
            <w:pPr>
              <w:pStyle w:val="31"/>
              <w:spacing w:before="69"/>
              <w:ind w:left="15"/>
              <w:rPr>
                <w:rFonts w:hint="eastAsia" w:eastAsia="宋体"/>
                <w:color w:val="auto"/>
                <w:sz w:val="24"/>
                <w:highlight w:val="none"/>
                <w:lang w:eastAsia="zh-CN"/>
              </w:rPr>
            </w:pPr>
            <w:r>
              <w:rPr>
                <w:rFonts w:hint="eastAsia" w:eastAsia="宋体"/>
                <w:color w:val="auto"/>
                <w:sz w:val="24"/>
                <w:highlight w:val="none"/>
                <w:lang w:eastAsia="zh-CN"/>
              </w:rPr>
              <w:t>从业人员 5 人以下或营业收入 1000 万元以下的</w:t>
            </w:r>
          </w:p>
        </w:tc>
        <w:tc>
          <w:tcPr>
            <w:tcW w:w="1099" w:type="dxa"/>
            <w:vMerge w:val="continue"/>
            <w:noWrap w:val="0"/>
            <w:vAlign w:val="center"/>
          </w:tcPr>
          <w:p w14:paraId="724C5E43">
            <w:pPr>
              <w:rPr>
                <w:rFonts w:hint="eastAsia" w:ascii="宋体" w:hAnsi="宋体" w:eastAsia="宋体" w:cs="宋体"/>
                <w:color w:val="auto"/>
                <w:sz w:val="24"/>
                <w:highlight w:val="none"/>
              </w:rPr>
            </w:pPr>
          </w:p>
        </w:tc>
      </w:tr>
      <w:tr w14:paraId="5F074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49E31E1A">
            <w:pPr>
              <w:pStyle w:val="31"/>
              <w:spacing w:before="6"/>
              <w:rPr>
                <w:rFonts w:hint="eastAsia" w:eastAsia="宋体"/>
                <w:b/>
                <w:color w:val="auto"/>
                <w:sz w:val="24"/>
                <w:highlight w:val="none"/>
                <w:lang w:eastAsia="zh-CN"/>
              </w:rPr>
            </w:pPr>
          </w:p>
          <w:p w14:paraId="7CBCF017">
            <w:pPr>
              <w:pStyle w:val="31"/>
              <w:ind w:left="8"/>
              <w:rPr>
                <w:rFonts w:hint="eastAsia" w:eastAsia="宋体"/>
                <w:color w:val="auto"/>
                <w:sz w:val="24"/>
                <w:highlight w:val="none"/>
              </w:rPr>
            </w:pPr>
            <w:r>
              <w:rPr>
                <w:rFonts w:hint="eastAsia" w:eastAsia="宋体"/>
                <w:color w:val="auto"/>
                <w:w w:val="99"/>
                <w:sz w:val="24"/>
                <w:highlight w:val="none"/>
              </w:rPr>
              <w:t>5</w:t>
            </w:r>
          </w:p>
        </w:tc>
        <w:tc>
          <w:tcPr>
            <w:tcW w:w="860" w:type="dxa"/>
            <w:vMerge w:val="restart"/>
            <w:noWrap w:val="0"/>
            <w:vAlign w:val="center"/>
          </w:tcPr>
          <w:p w14:paraId="279B46B2">
            <w:pPr>
              <w:pStyle w:val="31"/>
              <w:spacing w:before="11"/>
              <w:rPr>
                <w:rFonts w:hint="eastAsia" w:eastAsia="宋体"/>
                <w:b/>
                <w:color w:val="auto"/>
                <w:sz w:val="24"/>
                <w:highlight w:val="none"/>
              </w:rPr>
            </w:pPr>
          </w:p>
          <w:p w14:paraId="63546364">
            <w:pPr>
              <w:pStyle w:val="31"/>
              <w:ind w:left="13"/>
              <w:rPr>
                <w:rFonts w:hint="eastAsia" w:eastAsia="宋体"/>
                <w:color w:val="auto"/>
                <w:sz w:val="24"/>
                <w:highlight w:val="none"/>
              </w:rPr>
            </w:pPr>
            <w:r>
              <w:rPr>
                <w:rFonts w:hint="eastAsia" w:eastAsia="宋体"/>
                <w:color w:val="auto"/>
                <w:sz w:val="24"/>
                <w:highlight w:val="none"/>
              </w:rPr>
              <w:t>零售业</w:t>
            </w:r>
          </w:p>
        </w:tc>
        <w:tc>
          <w:tcPr>
            <w:tcW w:w="2157" w:type="dxa"/>
            <w:vMerge w:val="restart"/>
            <w:noWrap w:val="0"/>
            <w:vAlign w:val="center"/>
          </w:tcPr>
          <w:p w14:paraId="5D7B0964">
            <w:pPr>
              <w:pStyle w:val="31"/>
              <w:spacing w:before="141"/>
              <w:ind w:left="15"/>
              <w:rPr>
                <w:rFonts w:hint="eastAsia" w:eastAsia="宋体"/>
                <w:color w:val="auto"/>
                <w:sz w:val="24"/>
                <w:highlight w:val="none"/>
                <w:lang w:eastAsia="zh-CN"/>
              </w:rPr>
            </w:pPr>
            <w:r>
              <w:rPr>
                <w:rFonts w:hint="eastAsia" w:eastAsia="宋体"/>
                <w:color w:val="auto"/>
                <w:sz w:val="24"/>
                <w:highlight w:val="none"/>
                <w:lang w:eastAsia="zh-CN"/>
              </w:rPr>
              <w:t>从业人员 300 人以下或营业收入 20000 万元以下的为中小微型企业</w:t>
            </w:r>
          </w:p>
        </w:tc>
        <w:tc>
          <w:tcPr>
            <w:tcW w:w="1215" w:type="dxa"/>
            <w:noWrap w:val="0"/>
            <w:vAlign w:val="center"/>
          </w:tcPr>
          <w:p w14:paraId="0373CC73">
            <w:pPr>
              <w:pStyle w:val="31"/>
              <w:spacing w:before="67"/>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6A3C8B5C">
            <w:pPr>
              <w:pStyle w:val="31"/>
              <w:spacing w:before="67"/>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50</w:t>
            </w:r>
            <w:r>
              <w:rPr>
                <w:rFonts w:hint="eastAsia" w:eastAsia="宋体"/>
                <w:color w:val="auto"/>
                <w:spacing w:val="-12"/>
                <w:sz w:val="24"/>
                <w:highlight w:val="none"/>
                <w:lang w:eastAsia="zh-CN"/>
              </w:rPr>
              <w:t xml:space="preserve"> 人及以上，且营业收入 </w:t>
            </w:r>
            <w:r>
              <w:rPr>
                <w:rFonts w:hint="eastAsia" w:eastAsia="宋体"/>
                <w:color w:val="auto"/>
                <w:sz w:val="24"/>
                <w:highlight w:val="none"/>
                <w:lang w:eastAsia="zh-CN"/>
              </w:rPr>
              <w:t>500</w:t>
            </w:r>
            <w:r>
              <w:rPr>
                <w:rFonts w:hint="eastAsia" w:eastAsia="宋体"/>
                <w:color w:val="auto"/>
                <w:spacing w:val="-9"/>
                <w:sz w:val="24"/>
                <w:highlight w:val="none"/>
                <w:lang w:eastAsia="zh-CN"/>
              </w:rPr>
              <w:t xml:space="preserve"> 万元及以上的</w:t>
            </w:r>
          </w:p>
        </w:tc>
        <w:tc>
          <w:tcPr>
            <w:tcW w:w="1099" w:type="dxa"/>
            <w:vMerge w:val="restart"/>
            <w:noWrap w:val="0"/>
            <w:vAlign w:val="center"/>
          </w:tcPr>
          <w:p w14:paraId="6C1E2EB9">
            <w:pPr>
              <w:pStyle w:val="31"/>
              <w:spacing w:before="67" w:line="362" w:lineRule="auto"/>
              <w:ind w:left="15" w:right="225"/>
              <w:rPr>
                <w:rFonts w:hint="eastAsia" w:eastAsia="宋体"/>
                <w:color w:val="auto"/>
                <w:sz w:val="24"/>
                <w:highlight w:val="none"/>
              </w:rPr>
            </w:pPr>
            <w:r>
              <w:rPr>
                <w:rFonts w:hint="eastAsia" w:eastAsia="宋体"/>
                <w:color w:val="auto"/>
                <w:sz w:val="24"/>
                <w:highlight w:val="none"/>
              </w:rPr>
              <w:t>从业人员营业收入</w:t>
            </w:r>
          </w:p>
        </w:tc>
      </w:tr>
      <w:tr w14:paraId="523DA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1C6766B8">
            <w:pPr>
              <w:rPr>
                <w:rFonts w:hint="eastAsia" w:ascii="宋体" w:hAnsi="宋体" w:eastAsia="宋体" w:cs="宋体"/>
                <w:color w:val="auto"/>
                <w:sz w:val="24"/>
                <w:highlight w:val="none"/>
              </w:rPr>
            </w:pPr>
          </w:p>
        </w:tc>
        <w:tc>
          <w:tcPr>
            <w:tcW w:w="860" w:type="dxa"/>
            <w:vMerge w:val="continue"/>
            <w:noWrap w:val="0"/>
            <w:vAlign w:val="center"/>
          </w:tcPr>
          <w:p w14:paraId="05DA85E4">
            <w:pPr>
              <w:rPr>
                <w:rFonts w:hint="eastAsia" w:ascii="宋体" w:hAnsi="宋体" w:eastAsia="宋体" w:cs="宋体"/>
                <w:color w:val="auto"/>
                <w:sz w:val="24"/>
                <w:highlight w:val="none"/>
              </w:rPr>
            </w:pPr>
          </w:p>
        </w:tc>
        <w:tc>
          <w:tcPr>
            <w:tcW w:w="2157" w:type="dxa"/>
            <w:vMerge w:val="continue"/>
            <w:noWrap w:val="0"/>
            <w:vAlign w:val="center"/>
          </w:tcPr>
          <w:p w14:paraId="26ECFED2">
            <w:pPr>
              <w:rPr>
                <w:rFonts w:hint="eastAsia" w:ascii="宋体" w:hAnsi="宋体" w:eastAsia="宋体" w:cs="宋体"/>
                <w:color w:val="auto"/>
                <w:sz w:val="24"/>
                <w:highlight w:val="none"/>
              </w:rPr>
            </w:pPr>
          </w:p>
        </w:tc>
        <w:tc>
          <w:tcPr>
            <w:tcW w:w="1215" w:type="dxa"/>
            <w:noWrap w:val="0"/>
            <w:vAlign w:val="center"/>
          </w:tcPr>
          <w:p w14:paraId="6E799DDC">
            <w:pPr>
              <w:pStyle w:val="31"/>
              <w:spacing w:before="67"/>
              <w:ind w:left="13"/>
              <w:rPr>
                <w:rFonts w:hint="eastAsia" w:eastAsia="宋体"/>
                <w:color w:val="auto"/>
                <w:sz w:val="24"/>
                <w:highlight w:val="none"/>
              </w:rPr>
            </w:pPr>
            <w:r>
              <w:rPr>
                <w:rFonts w:hint="eastAsia" w:eastAsia="宋体"/>
                <w:color w:val="auto"/>
                <w:sz w:val="24"/>
                <w:highlight w:val="none"/>
              </w:rPr>
              <w:t>小型企业</w:t>
            </w:r>
          </w:p>
        </w:tc>
        <w:tc>
          <w:tcPr>
            <w:tcW w:w="4322" w:type="dxa"/>
            <w:noWrap w:val="0"/>
            <w:vAlign w:val="center"/>
          </w:tcPr>
          <w:p w14:paraId="0E490C70">
            <w:pPr>
              <w:pStyle w:val="31"/>
              <w:spacing w:before="67"/>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10</w:t>
            </w:r>
            <w:r>
              <w:rPr>
                <w:rFonts w:hint="eastAsia" w:eastAsia="宋体"/>
                <w:color w:val="auto"/>
                <w:spacing w:val="-12"/>
                <w:sz w:val="24"/>
                <w:highlight w:val="none"/>
                <w:lang w:eastAsia="zh-CN"/>
              </w:rPr>
              <w:t xml:space="preserve"> 人及以上，且营业收入 </w:t>
            </w:r>
            <w:r>
              <w:rPr>
                <w:rFonts w:hint="eastAsia" w:eastAsia="宋体"/>
                <w:color w:val="auto"/>
                <w:sz w:val="24"/>
                <w:highlight w:val="none"/>
                <w:lang w:eastAsia="zh-CN"/>
              </w:rPr>
              <w:t>100</w:t>
            </w:r>
            <w:r>
              <w:rPr>
                <w:rFonts w:hint="eastAsia" w:eastAsia="宋体"/>
                <w:color w:val="auto"/>
                <w:spacing w:val="-9"/>
                <w:sz w:val="24"/>
                <w:highlight w:val="none"/>
                <w:lang w:eastAsia="zh-CN"/>
              </w:rPr>
              <w:t xml:space="preserve"> 万元及以上的</w:t>
            </w:r>
          </w:p>
        </w:tc>
        <w:tc>
          <w:tcPr>
            <w:tcW w:w="1099" w:type="dxa"/>
            <w:vMerge w:val="continue"/>
            <w:noWrap w:val="0"/>
            <w:vAlign w:val="center"/>
          </w:tcPr>
          <w:p w14:paraId="6BF6DFC5">
            <w:pPr>
              <w:rPr>
                <w:rFonts w:hint="eastAsia" w:ascii="宋体" w:hAnsi="宋体" w:eastAsia="宋体" w:cs="宋体"/>
                <w:color w:val="auto"/>
                <w:sz w:val="24"/>
                <w:highlight w:val="none"/>
              </w:rPr>
            </w:pPr>
          </w:p>
        </w:tc>
      </w:tr>
      <w:tr w14:paraId="40D0A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695AAFFC">
            <w:pPr>
              <w:rPr>
                <w:rFonts w:hint="eastAsia" w:ascii="宋体" w:hAnsi="宋体" w:eastAsia="宋体" w:cs="宋体"/>
                <w:color w:val="auto"/>
                <w:sz w:val="24"/>
                <w:highlight w:val="none"/>
              </w:rPr>
            </w:pPr>
          </w:p>
        </w:tc>
        <w:tc>
          <w:tcPr>
            <w:tcW w:w="860" w:type="dxa"/>
            <w:vMerge w:val="continue"/>
            <w:noWrap w:val="0"/>
            <w:vAlign w:val="center"/>
          </w:tcPr>
          <w:p w14:paraId="6547EFC5">
            <w:pPr>
              <w:rPr>
                <w:rFonts w:hint="eastAsia" w:ascii="宋体" w:hAnsi="宋体" w:eastAsia="宋体" w:cs="宋体"/>
                <w:color w:val="auto"/>
                <w:sz w:val="24"/>
                <w:highlight w:val="none"/>
              </w:rPr>
            </w:pPr>
          </w:p>
        </w:tc>
        <w:tc>
          <w:tcPr>
            <w:tcW w:w="2157" w:type="dxa"/>
            <w:vMerge w:val="continue"/>
            <w:noWrap w:val="0"/>
            <w:vAlign w:val="center"/>
          </w:tcPr>
          <w:p w14:paraId="3B06EEE9">
            <w:pPr>
              <w:rPr>
                <w:rFonts w:hint="eastAsia" w:ascii="宋体" w:hAnsi="宋体" w:eastAsia="宋体" w:cs="宋体"/>
                <w:color w:val="auto"/>
                <w:sz w:val="24"/>
                <w:highlight w:val="none"/>
              </w:rPr>
            </w:pPr>
          </w:p>
        </w:tc>
        <w:tc>
          <w:tcPr>
            <w:tcW w:w="1215" w:type="dxa"/>
            <w:noWrap w:val="0"/>
            <w:vAlign w:val="center"/>
          </w:tcPr>
          <w:p w14:paraId="60BEFCA4">
            <w:pPr>
              <w:pStyle w:val="31"/>
              <w:spacing w:before="68"/>
              <w:ind w:left="13"/>
              <w:rPr>
                <w:rFonts w:hint="eastAsia" w:eastAsia="宋体"/>
                <w:color w:val="auto"/>
                <w:sz w:val="24"/>
                <w:highlight w:val="none"/>
              </w:rPr>
            </w:pPr>
            <w:r>
              <w:rPr>
                <w:rFonts w:hint="eastAsia" w:eastAsia="宋体"/>
                <w:color w:val="auto"/>
                <w:sz w:val="24"/>
                <w:highlight w:val="none"/>
              </w:rPr>
              <w:t>微型企业</w:t>
            </w:r>
          </w:p>
        </w:tc>
        <w:tc>
          <w:tcPr>
            <w:tcW w:w="4322" w:type="dxa"/>
            <w:noWrap w:val="0"/>
            <w:vAlign w:val="center"/>
          </w:tcPr>
          <w:p w14:paraId="4563014A">
            <w:pPr>
              <w:pStyle w:val="31"/>
              <w:spacing w:before="68"/>
              <w:ind w:left="15"/>
              <w:rPr>
                <w:rFonts w:hint="eastAsia" w:eastAsia="宋体"/>
                <w:color w:val="auto"/>
                <w:sz w:val="24"/>
                <w:highlight w:val="none"/>
                <w:lang w:eastAsia="zh-CN"/>
              </w:rPr>
            </w:pPr>
            <w:r>
              <w:rPr>
                <w:rFonts w:hint="eastAsia" w:eastAsia="宋体"/>
                <w:color w:val="auto"/>
                <w:sz w:val="24"/>
                <w:highlight w:val="none"/>
                <w:lang w:eastAsia="zh-CN"/>
              </w:rPr>
              <w:t>从业人员 10 人以下或营业收入 100 万元以下的</w:t>
            </w:r>
          </w:p>
        </w:tc>
        <w:tc>
          <w:tcPr>
            <w:tcW w:w="1099" w:type="dxa"/>
            <w:vMerge w:val="continue"/>
            <w:noWrap w:val="0"/>
            <w:vAlign w:val="center"/>
          </w:tcPr>
          <w:p w14:paraId="75DCB781">
            <w:pPr>
              <w:rPr>
                <w:rFonts w:hint="eastAsia" w:ascii="宋体" w:hAnsi="宋体" w:eastAsia="宋体" w:cs="宋体"/>
                <w:color w:val="auto"/>
                <w:sz w:val="24"/>
                <w:highlight w:val="none"/>
              </w:rPr>
            </w:pPr>
          </w:p>
        </w:tc>
      </w:tr>
      <w:tr w14:paraId="7B69C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3EEBEF17">
            <w:pPr>
              <w:pStyle w:val="31"/>
              <w:spacing w:before="7"/>
              <w:rPr>
                <w:rFonts w:hint="eastAsia" w:eastAsia="宋体"/>
                <w:b/>
                <w:color w:val="auto"/>
                <w:sz w:val="24"/>
                <w:highlight w:val="none"/>
                <w:lang w:eastAsia="zh-CN"/>
              </w:rPr>
            </w:pPr>
          </w:p>
          <w:p w14:paraId="7D539323">
            <w:pPr>
              <w:pStyle w:val="31"/>
              <w:ind w:left="8"/>
              <w:rPr>
                <w:rFonts w:hint="eastAsia" w:eastAsia="宋体"/>
                <w:color w:val="auto"/>
                <w:sz w:val="24"/>
                <w:highlight w:val="none"/>
              </w:rPr>
            </w:pPr>
            <w:r>
              <w:rPr>
                <w:rFonts w:hint="eastAsia" w:eastAsia="宋体"/>
                <w:color w:val="auto"/>
                <w:w w:val="99"/>
                <w:sz w:val="24"/>
                <w:highlight w:val="none"/>
              </w:rPr>
              <w:t>6</w:t>
            </w:r>
          </w:p>
        </w:tc>
        <w:tc>
          <w:tcPr>
            <w:tcW w:w="860" w:type="dxa"/>
            <w:vMerge w:val="restart"/>
            <w:noWrap w:val="0"/>
            <w:vAlign w:val="center"/>
          </w:tcPr>
          <w:p w14:paraId="46B18D44">
            <w:pPr>
              <w:pStyle w:val="31"/>
              <w:spacing w:before="3"/>
              <w:rPr>
                <w:rFonts w:hint="eastAsia" w:eastAsia="宋体"/>
                <w:b/>
                <w:color w:val="auto"/>
                <w:sz w:val="24"/>
                <w:highlight w:val="none"/>
              </w:rPr>
            </w:pPr>
          </w:p>
          <w:p w14:paraId="0FD7DEB0">
            <w:pPr>
              <w:pStyle w:val="31"/>
              <w:spacing w:before="1" w:line="292" w:lineRule="auto"/>
              <w:ind w:left="13" w:right="6"/>
              <w:rPr>
                <w:rFonts w:hint="eastAsia" w:eastAsia="宋体"/>
                <w:color w:val="auto"/>
                <w:sz w:val="24"/>
                <w:highlight w:val="none"/>
              </w:rPr>
            </w:pPr>
            <w:r>
              <w:rPr>
                <w:rFonts w:hint="eastAsia" w:eastAsia="宋体"/>
                <w:color w:val="auto"/>
                <w:sz w:val="24"/>
                <w:highlight w:val="none"/>
              </w:rPr>
              <w:t>交通运输业</w:t>
            </w:r>
          </w:p>
        </w:tc>
        <w:tc>
          <w:tcPr>
            <w:tcW w:w="2157" w:type="dxa"/>
            <w:vMerge w:val="restart"/>
            <w:noWrap w:val="0"/>
            <w:vAlign w:val="center"/>
          </w:tcPr>
          <w:p w14:paraId="6EDAFCAE">
            <w:pPr>
              <w:pStyle w:val="31"/>
              <w:spacing w:before="142"/>
              <w:ind w:left="15"/>
              <w:rPr>
                <w:rFonts w:hint="eastAsia" w:eastAsia="宋体"/>
                <w:color w:val="auto"/>
                <w:sz w:val="24"/>
                <w:highlight w:val="none"/>
                <w:lang w:eastAsia="zh-CN"/>
              </w:rPr>
            </w:pPr>
            <w:r>
              <w:rPr>
                <w:rFonts w:hint="eastAsia" w:eastAsia="宋体"/>
                <w:color w:val="auto"/>
                <w:spacing w:val="-9"/>
                <w:sz w:val="24"/>
                <w:highlight w:val="none"/>
                <w:lang w:eastAsia="zh-CN"/>
              </w:rPr>
              <w:t xml:space="preserve">从业人员 </w:t>
            </w:r>
            <w:r>
              <w:rPr>
                <w:rFonts w:hint="eastAsia" w:eastAsia="宋体"/>
                <w:color w:val="auto"/>
                <w:sz w:val="24"/>
                <w:highlight w:val="none"/>
                <w:lang w:eastAsia="zh-CN"/>
              </w:rPr>
              <w:t>1000</w:t>
            </w:r>
            <w:r>
              <w:rPr>
                <w:rFonts w:hint="eastAsia" w:eastAsia="宋体"/>
                <w:color w:val="auto"/>
                <w:spacing w:val="-8"/>
                <w:sz w:val="24"/>
                <w:highlight w:val="none"/>
                <w:lang w:eastAsia="zh-CN"/>
              </w:rPr>
              <w:t xml:space="preserve"> 人以下或</w:t>
            </w:r>
            <w:r>
              <w:rPr>
                <w:rFonts w:hint="eastAsia" w:eastAsia="宋体"/>
                <w:color w:val="auto"/>
                <w:sz w:val="24"/>
                <w:highlight w:val="none"/>
                <w:lang w:eastAsia="zh-CN"/>
              </w:rPr>
              <w:t>营业收入 30000 万元以下的为中小微型企业</w:t>
            </w:r>
          </w:p>
        </w:tc>
        <w:tc>
          <w:tcPr>
            <w:tcW w:w="1215" w:type="dxa"/>
            <w:noWrap w:val="0"/>
            <w:vAlign w:val="center"/>
          </w:tcPr>
          <w:p w14:paraId="4579137E">
            <w:pPr>
              <w:pStyle w:val="31"/>
              <w:spacing w:before="68"/>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27F3AC29">
            <w:pPr>
              <w:pStyle w:val="31"/>
              <w:spacing w:before="68"/>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300</w:t>
            </w:r>
            <w:r>
              <w:rPr>
                <w:rFonts w:hint="eastAsia" w:eastAsia="宋体"/>
                <w:color w:val="auto"/>
                <w:spacing w:val="-13"/>
                <w:sz w:val="24"/>
                <w:highlight w:val="none"/>
                <w:lang w:eastAsia="zh-CN"/>
              </w:rPr>
              <w:t xml:space="preserve"> 人及以上，且营业收入 </w:t>
            </w:r>
            <w:r>
              <w:rPr>
                <w:rFonts w:hint="eastAsia" w:eastAsia="宋体"/>
                <w:color w:val="auto"/>
                <w:sz w:val="24"/>
                <w:highlight w:val="none"/>
                <w:lang w:eastAsia="zh-CN"/>
              </w:rPr>
              <w:t>3000</w:t>
            </w:r>
            <w:r>
              <w:rPr>
                <w:rFonts w:hint="eastAsia" w:eastAsia="宋体"/>
                <w:color w:val="auto"/>
                <w:spacing w:val="-9"/>
                <w:sz w:val="24"/>
                <w:highlight w:val="none"/>
                <w:lang w:eastAsia="zh-CN"/>
              </w:rPr>
              <w:t xml:space="preserve"> 万元及以上的</w:t>
            </w:r>
          </w:p>
        </w:tc>
        <w:tc>
          <w:tcPr>
            <w:tcW w:w="1099" w:type="dxa"/>
            <w:vMerge w:val="restart"/>
            <w:noWrap w:val="0"/>
            <w:vAlign w:val="center"/>
          </w:tcPr>
          <w:p w14:paraId="4585B9AF">
            <w:pPr>
              <w:pStyle w:val="31"/>
              <w:spacing w:before="68" w:line="362" w:lineRule="auto"/>
              <w:ind w:left="15" w:right="225"/>
              <w:rPr>
                <w:rFonts w:hint="eastAsia" w:eastAsia="宋体"/>
                <w:color w:val="auto"/>
                <w:sz w:val="24"/>
                <w:highlight w:val="none"/>
              </w:rPr>
            </w:pPr>
            <w:r>
              <w:rPr>
                <w:rFonts w:hint="eastAsia" w:eastAsia="宋体"/>
                <w:color w:val="auto"/>
                <w:sz w:val="24"/>
                <w:highlight w:val="none"/>
              </w:rPr>
              <w:t>从业人员营业收入</w:t>
            </w:r>
          </w:p>
        </w:tc>
      </w:tr>
      <w:tr w14:paraId="00775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0E5FDAAB">
            <w:pPr>
              <w:rPr>
                <w:rFonts w:hint="eastAsia" w:ascii="宋体" w:hAnsi="宋体" w:eastAsia="宋体" w:cs="宋体"/>
                <w:color w:val="auto"/>
                <w:sz w:val="24"/>
                <w:highlight w:val="none"/>
              </w:rPr>
            </w:pPr>
          </w:p>
        </w:tc>
        <w:tc>
          <w:tcPr>
            <w:tcW w:w="860" w:type="dxa"/>
            <w:vMerge w:val="continue"/>
            <w:noWrap w:val="0"/>
            <w:vAlign w:val="center"/>
          </w:tcPr>
          <w:p w14:paraId="6306F255">
            <w:pPr>
              <w:rPr>
                <w:rFonts w:hint="eastAsia" w:ascii="宋体" w:hAnsi="宋体" w:eastAsia="宋体" w:cs="宋体"/>
                <w:color w:val="auto"/>
                <w:sz w:val="24"/>
                <w:highlight w:val="none"/>
              </w:rPr>
            </w:pPr>
          </w:p>
        </w:tc>
        <w:tc>
          <w:tcPr>
            <w:tcW w:w="2157" w:type="dxa"/>
            <w:vMerge w:val="continue"/>
            <w:noWrap w:val="0"/>
            <w:vAlign w:val="center"/>
          </w:tcPr>
          <w:p w14:paraId="7ADD26C3">
            <w:pPr>
              <w:rPr>
                <w:rFonts w:hint="eastAsia" w:ascii="宋体" w:hAnsi="宋体" w:eastAsia="宋体" w:cs="宋体"/>
                <w:color w:val="auto"/>
                <w:sz w:val="24"/>
                <w:highlight w:val="none"/>
              </w:rPr>
            </w:pPr>
          </w:p>
        </w:tc>
        <w:tc>
          <w:tcPr>
            <w:tcW w:w="1215" w:type="dxa"/>
            <w:noWrap w:val="0"/>
            <w:vAlign w:val="center"/>
          </w:tcPr>
          <w:p w14:paraId="16810460">
            <w:pPr>
              <w:pStyle w:val="31"/>
              <w:spacing w:before="68"/>
              <w:ind w:left="13"/>
              <w:rPr>
                <w:rFonts w:hint="eastAsia" w:eastAsia="宋体"/>
                <w:color w:val="auto"/>
                <w:sz w:val="24"/>
                <w:highlight w:val="none"/>
              </w:rPr>
            </w:pPr>
            <w:r>
              <w:rPr>
                <w:rFonts w:hint="eastAsia" w:eastAsia="宋体"/>
                <w:color w:val="auto"/>
                <w:sz w:val="24"/>
                <w:highlight w:val="none"/>
              </w:rPr>
              <w:t>小型企业</w:t>
            </w:r>
          </w:p>
        </w:tc>
        <w:tc>
          <w:tcPr>
            <w:tcW w:w="4322" w:type="dxa"/>
            <w:noWrap w:val="0"/>
            <w:vAlign w:val="center"/>
          </w:tcPr>
          <w:p w14:paraId="2E497442">
            <w:pPr>
              <w:pStyle w:val="31"/>
              <w:spacing w:before="68"/>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20</w:t>
            </w:r>
            <w:r>
              <w:rPr>
                <w:rFonts w:hint="eastAsia" w:eastAsia="宋体"/>
                <w:color w:val="auto"/>
                <w:spacing w:val="-12"/>
                <w:sz w:val="24"/>
                <w:highlight w:val="none"/>
                <w:lang w:eastAsia="zh-CN"/>
              </w:rPr>
              <w:t xml:space="preserve"> 人及以上，且营业收入 </w:t>
            </w:r>
            <w:r>
              <w:rPr>
                <w:rFonts w:hint="eastAsia" w:eastAsia="宋体"/>
                <w:color w:val="auto"/>
                <w:sz w:val="24"/>
                <w:highlight w:val="none"/>
                <w:lang w:eastAsia="zh-CN"/>
              </w:rPr>
              <w:t>200</w:t>
            </w:r>
            <w:r>
              <w:rPr>
                <w:rFonts w:hint="eastAsia" w:eastAsia="宋体"/>
                <w:color w:val="auto"/>
                <w:spacing w:val="-9"/>
                <w:sz w:val="24"/>
                <w:highlight w:val="none"/>
                <w:lang w:eastAsia="zh-CN"/>
              </w:rPr>
              <w:t xml:space="preserve"> 万元及以上的</w:t>
            </w:r>
          </w:p>
        </w:tc>
        <w:tc>
          <w:tcPr>
            <w:tcW w:w="1099" w:type="dxa"/>
            <w:vMerge w:val="continue"/>
            <w:noWrap w:val="0"/>
            <w:vAlign w:val="center"/>
          </w:tcPr>
          <w:p w14:paraId="137E9E46">
            <w:pPr>
              <w:rPr>
                <w:rFonts w:hint="eastAsia" w:ascii="宋体" w:hAnsi="宋体" w:eastAsia="宋体" w:cs="宋体"/>
                <w:color w:val="auto"/>
                <w:sz w:val="24"/>
                <w:highlight w:val="none"/>
              </w:rPr>
            </w:pPr>
          </w:p>
        </w:tc>
      </w:tr>
      <w:tr w14:paraId="7485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33CF99E1">
            <w:pPr>
              <w:rPr>
                <w:rFonts w:hint="eastAsia" w:ascii="宋体" w:hAnsi="宋体" w:eastAsia="宋体" w:cs="宋体"/>
                <w:color w:val="auto"/>
                <w:sz w:val="24"/>
                <w:highlight w:val="none"/>
              </w:rPr>
            </w:pPr>
          </w:p>
        </w:tc>
        <w:tc>
          <w:tcPr>
            <w:tcW w:w="860" w:type="dxa"/>
            <w:vMerge w:val="continue"/>
            <w:noWrap w:val="0"/>
            <w:vAlign w:val="center"/>
          </w:tcPr>
          <w:p w14:paraId="680527AD">
            <w:pPr>
              <w:rPr>
                <w:rFonts w:hint="eastAsia" w:ascii="宋体" w:hAnsi="宋体" w:eastAsia="宋体" w:cs="宋体"/>
                <w:color w:val="auto"/>
                <w:sz w:val="24"/>
                <w:highlight w:val="none"/>
              </w:rPr>
            </w:pPr>
          </w:p>
        </w:tc>
        <w:tc>
          <w:tcPr>
            <w:tcW w:w="2157" w:type="dxa"/>
            <w:vMerge w:val="continue"/>
            <w:noWrap w:val="0"/>
            <w:vAlign w:val="center"/>
          </w:tcPr>
          <w:p w14:paraId="6E334190">
            <w:pPr>
              <w:rPr>
                <w:rFonts w:hint="eastAsia" w:ascii="宋体" w:hAnsi="宋体" w:eastAsia="宋体" w:cs="宋体"/>
                <w:color w:val="auto"/>
                <w:sz w:val="24"/>
                <w:highlight w:val="none"/>
              </w:rPr>
            </w:pPr>
          </w:p>
        </w:tc>
        <w:tc>
          <w:tcPr>
            <w:tcW w:w="1215" w:type="dxa"/>
            <w:noWrap w:val="0"/>
            <w:vAlign w:val="center"/>
          </w:tcPr>
          <w:p w14:paraId="083C23EF">
            <w:pPr>
              <w:pStyle w:val="31"/>
              <w:spacing w:before="69"/>
              <w:ind w:left="13"/>
              <w:rPr>
                <w:rFonts w:hint="eastAsia" w:eastAsia="宋体"/>
                <w:color w:val="auto"/>
                <w:sz w:val="24"/>
                <w:highlight w:val="none"/>
              </w:rPr>
            </w:pPr>
            <w:r>
              <w:rPr>
                <w:rFonts w:hint="eastAsia" w:eastAsia="宋体"/>
                <w:color w:val="auto"/>
                <w:sz w:val="24"/>
                <w:highlight w:val="none"/>
              </w:rPr>
              <w:t>微型企业</w:t>
            </w:r>
          </w:p>
        </w:tc>
        <w:tc>
          <w:tcPr>
            <w:tcW w:w="4322" w:type="dxa"/>
            <w:noWrap w:val="0"/>
            <w:vAlign w:val="center"/>
          </w:tcPr>
          <w:p w14:paraId="094AF931">
            <w:pPr>
              <w:pStyle w:val="31"/>
              <w:spacing w:before="69"/>
              <w:ind w:left="15"/>
              <w:rPr>
                <w:rFonts w:hint="eastAsia" w:eastAsia="宋体"/>
                <w:color w:val="auto"/>
                <w:sz w:val="24"/>
                <w:highlight w:val="none"/>
                <w:lang w:eastAsia="zh-CN"/>
              </w:rPr>
            </w:pPr>
            <w:r>
              <w:rPr>
                <w:rFonts w:hint="eastAsia" w:eastAsia="宋体"/>
                <w:color w:val="auto"/>
                <w:sz w:val="24"/>
                <w:highlight w:val="none"/>
                <w:lang w:eastAsia="zh-CN"/>
              </w:rPr>
              <w:t>从业人员 20 人以下或营业收入 200 万元以下的</w:t>
            </w:r>
          </w:p>
        </w:tc>
        <w:tc>
          <w:tcPr>
            <w:tcW w:w="1099" w:type="dxa"/>
            <w:vMerge w:val="continue"/>
            <w:noWrap w:val="0"/>
            <w:vAlign w:val="center"/>
          </w:tcPr>
          <w:p w14:paraId="01784708">
            <w:pPr>
              <w:rPr>
                <w:rFonts w:hint="eastAsia" w:ascii="宋体" w:hAnsi="宋体" w:eastAsia="宋体" w:cs="宋体"/>
                <w:color w:val="auto"/>
                <w:sz w:val="24"/>
                <w:highlight w:val="none"/>
              </w:rPr>
            </w:pPr>
          </w:p>
        </w:tc>
      </w:tr>
      <w:tr w14:paraId="635B0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69EDBD1B">
            <w:pPr>
              <w:pStyle w:val="31"/>
              <w:spacing w:before="6"/>
              <w:rPr>
                <w:rFonts w:hint="eastAsia" w:eastAsia="宋体"/>
                <w:b/>
                <w:color w:val="auto"/>
                <w:sz w:val="24"/>
                <w:highlight w:val="none"/>
                <w:lang w:eastAsia="zh-CN"/>
              </w:rPr>
            </w:pPr>
          </w:p>
          <w:p w14:paraId="56D7FE11">
            <w:pPr>
              <w:pStyle w:val="31"/>
              <w:ind w:left="8"/>
              <w:rPr>
                <w:rFonts w:hint="eastAsia" w:eastAsia="宋体"/>
                <w:color w:val="auto"/>
                <w:sz w:val="24"/>
                <w:highlight w:val="none"/>
              </w:rPr>
            </w:pPr>
            <w:r>
              <w:rPr>
                <w:rFonts w:hint="eastAsia" w:eastAsia="宋体"/>
                <w:color w:val="auto"/>
                <w:w w:val="99"/>
                <w:sz w:val="24"/>
                <w:highlight w:val="none"/>
              </w:rPr>
              <w:t>7</w:t>
            </w:r>
          </w:p>
        </w:tc>
        <w:tc>
          <w:tcPr>
            <w:tcW w:w="860" w:type="dxa"/>
            <w:vMerge w:val="restart"/>
            <w:noWrap w:val="0"/>
            <w:vAlign w:val="center"/>
          </w:tcPr>
          <w:p w14:paraId="1ACD681B">
            <w:pPr>
              <w:pStyle w:val="31"/>
              <w:spacing w:before="11"/>
              <w:rPr>
                <w:rFonts w:hint="eastAsia" w:eastAsia="宋体"/>
                <w:b/>
                <w:color w:val="auto"/>
                <w:sz w:val="24"/>
                <w:highlight w:val="none"/>
              </w:rPr>
            </w:pPr>
          </w:p>
          <w:p w14:paraId="145CAC89">
            <w:pPr>
              <w:pStyle w:val="31"/>
              <w:ind w:left="13"/>
              <w:rPr>
                <w:rFonts w:hint="eastAsia" w:eastAsia="宋体"/>
                <w:color w:val="auto"/>
                <w:sz w:val="24"/>
                <w:highlight w:val="none"/>
              </w:rPr>
            </w:pPr>
            <w:r>
              <w:rPr>
                <w:rFonts w:hint="eastAsia" w:eastAsia="宋体"/>
                <w:color w:val="auto"/>
                <w:sz w:val="24"/>
                <w:highlight w:val="none"/>
              </w:rPr>
              <w:t>仓储业</w:t>
            </w:r>
          </w:p>
        </w:tc>
        <w:tc>
          <w:tcPr>
            <w:tcW w:w="2157" w:type="dxa"/>
            <w:vMerge w:val="restart"/>
            <w:noWrap w:val="0"/>
            <w:vAlign w:val="center"/>
          </w:tcPr>
          <w:p w14:paraId="0D79CDB4">
            <w:pPr>
              <w:pStyle w:val="31"/>
              <w:spacing w:before="141"/>
              <w:ind w:left="15"/>
              <w:rPr>
                <w:rFonts w:hint="eastAsia" w:eastAsia="宋体"/>
                <w:color w:val="auto"/>
                <w:sz w:val="24"/>
                <w:highlight w:val="none"/>
                <w:lang w:eastAsia="zh-CN"/>
              </w:rPr>
            </w:pPr>
            <w:r>
              <w:rPr>
                <w:rFonts w:hint="eastAsia" w:eastAsia="宋体"/>
                <w:color w:val="auto"/>
                <w:sz w:val="24"/>
                <w:highlight w:val="none"/>
                <w:lang w:eastAsia="zh-CN"/>
              </w:rPr>
              <w:t>从业人员 200 人以下或营业收入 30000 万元以下的为中小微型企业</w:t>
            </w:r>
          </w:p>
        </w:tc>
        <w:tc>
          <w:tcPr>
            <w:tcW w:w="1215" w:type="dxa"/>
            <w:noWrap w:val="0"/>
            <w:vAlign w:val="center"/>
          </w:tcPr>
          <w:p w14:paraId="04776EB4">
            <w:pPr>
              <w:pStyle w:val="31"/>
              <w:spacing w:before="67"/>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6346FB37">
            <w:pPr>
              <w:pStyle w:val="31"/>
              <w:spacing w:before="67"/>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100</w:t>
            </w:r>
            <w:r>
              <w:rPr>
                <w:rFonts w:hint="eastAsia" w:eastAsia="宋体"/>
                <w:color w:val="auto"/>
                <w:spacing w:val="-13"/>
                <w:sz w:val="24"/>
                <w:highlight w:val="none"/>
                <w:lang w:eastAsia="zh-CN"/>
              </w:rPr>
              <w:t xml:space="preserve"> 人及以上，且营业收入 </w:t>
            </w:r>
            <w:r>
              <w:rPr>
                <w:rFonts w:hint="eastAsia" w:eastAsia="宋体"/>
                <w:color w:val="auto"/>
                <w:sz w:val="24"/>
                <w:highlight w:val="none"/>
                <w:lang w:eastAsia="zh-CN"/>
              </w:rPr>
              <w:t>1000</w:t>
            </w:r>
            <w:r>
              <w:rPr>
                <w:rFonts w:hint="eastAsia" w:eastAsia="宋体"/>
                <w:color w:val="auto"/>
                <w:spacing w:val="-9"/>
                <w:sz w:val="24"/>
                <w:highlight w:val="none"/>
                <w:lang w:eastAsia="zh-CN"/>
              </w:rPr>
              <w:t xml:space="preserve"> 万元及以上的</w:t>
            </w:r>
          </w:p>
        </w:tc>
        <w:tc>
          <w:tcPr>
            <w:tcW w:w="1099" w:type="dxa"/>
            <w:vMerge w:val="restart"/>
            <w:noWrap w:val="0"/>
            <w:vAlign w:val="center"/>
          </w:tcPr>
          <w:p w14:paraId="1A024E23">
            <w:pPr>
              <w:pStyle w:val="31"/>
              <w:spacing w:before="67" w:line="362" w:lineRule="auto"/>
              <w:ind w:left="15" w:right="225"/>
              <w:rPr>
                <w:rFonts w:hint="eastAsia" w:eastAsia="宋体"/>
                <w:color w:val="auto"/>
                <w:sz w:val="24"/>
                <w:highlight w:val="none"/>
              </w:rPr>
            </w:pPr>
            <w:r>
              <w:rPr>
                <w:rFonts w:hint="eastAsia" w:eastAsia="宋体"/>
                <w:color w:val="auto"/>
                <w:sz w:val="24"/>
                <w:highlight w:val="none"/>
              </w:rPr>
              <w:t>从业人员营业收入</w:t>
            </w:r>
          </w:p>
        </w:tc>
      </w:tr>
      <w:tr w14:paraId="4695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4B299B0D">
            <w:pPr>
              <w:rPr>
                <w:rFonts w:hint="eastAsia" w:ascii="宋体" w:hAnsi="宋体" w:eastAsia="宋体" w:cs="宋体"/>
                <w:color w:val="auto"/>
                <w:sz w:val="24"/>
                <w:highlight w:val="none"/>
              </w:rPr>
            </w:pPr>
          </w:p>
        </w:tc>
        <w:tc>
          <w:tcPr>
            <w:tcW w:w="860" w:type="dxa"/>
            <w:vMerge w:val="continue"/>
            <w:noWrap w:val="0"/>
            <w:vAlign w:val="center"/>
          </w:tcPr>
          <w:p w14:paraId="46DAB30D">
            <w:pPr>
              <w:rPr>
                <w:rFonts w:hint="eastAsia" w:ascii="宋体" w:hAnsi="宋体" w:eastAsia="宋体" w:cs="宋体"/>
                <w:color w:val="auto"/>
                <w:sz w:val="24"/>
                <w:highlight w:val="none"/>
              </w:rPr>
            </w:pPr>
          </w:p>
        </w:tc>
        <w:tc>
          <w:tcPr>
            <w:tcW w:w="2157" w:type="dxa"/>
            <w:vMerge w:val="continue"/>
            <w:noWrap w:val="0"/>
            <w:vAlign w:val="center"/>
          </w:tcPr>
          <w:p w14:paraId="40BE6F04">
            <w:pPr>
              <w:rPr>
                <w:rFonts w:hint="eastAsia" w:ascii="宋体" w:hAnsi="宋体" w:eastAsia="宋体" w:cs="宋体"/>
                <w:color w:val="auto"/>
                <w:sz w:val="24"/>
                <w:highlight w:val="none"/>
              </w:rPr>
            </w:pPr>
          </w:p>
        </w:tc>
        <w:tc>
          <w:tcPr>
            <w:tcW w:w="1215" w:type="dxa"/>
            <w:noWrap w:val="0"/>
            <w:vAlign w:val="center"/>
          </w:tcPr>
          <w:p w14:paraId="6DE021F4">
            <w:pPr>
              <w:pStyle w:val="31"/>
              <w:spacing w:before="67"/>
              <w:ind w:left="13"/>
              <w:rPr>
                <w:rFonts w:hint="eastAsia" w:eastAsia="宋体"/>
                <w:color w:val="auto"/>
                <w:sz w:val="24"/>
                <w:highlight w:val="none"/>
              </w:rPr>
            </w:pPr>
            <w:r>
              <w:rPr>
                <w:rFonts w:hint="eastAsia" w:eastAsia="宋体"/>
                <w:color w:val="auto"/>
                <w:sz w:val="24"/>
                <w:highlight w:val="none"/>
              </w:rPr>
              <w:t>小型企业</w:t>
            </w:r>
          </w:p>
        </w:tc>
        <w:tc>
          <w:tcPr>
            <w:tcW w:w="4322" w:type="dxa"/>
            <w:noWrap w:val="0"/>
            <w:vAlign w:val="center"/>
          </w:tcPr>
          <w:p w14:paraId="529D5645">
            <w:pPr>
              <w:pStyle w:val="31"/>
              <w:spacing w:before="67"/>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20</w:t>
            </w:r>
            <w:r>
              <w:rPr>
                <w:rFonts w:hint="eastAsia" w:eastAsia="宋体"/>
                <w:color w:val="auto"/>
                <w:spacing w:val="-12"/>
                <w:sz w:val="24"/>
                <w:highlight w:val="none"/>
                <w:lang w:eastAsia="zh-CN"/>
              </w:rPr>
              <w:t xml:space="preserve"> 人及以上，且营业收入 </w:t>
            </w:r>
            <w:r>
              <w:rPr>
                <w:rFonts w:hint="eastAsia" w:eastAsia="宋体"/>
                <w:color w:val="auto"/>
                <w:sz w:val="24"/>
                <w:highlight w:val="none"/>
                <w:lang w:eastAsia="zh-CN"/>
              </w:rPr>
              <w:t>100</w:t>
            </w:r>
            <w:r>
              <w:rPr>
                <w:rFonts w:hint="eastAsia" w:eastAsia="宋体"/>
                <w:color w:val="auto"/>
                <w:spacing w:val="-9"/>
                <w:sz w:val="24"/>
                <w:highlight w:val="none"/>
                <w:lang w:eastAsia="zh-CN"/>
              </w:rPr>
              <w:t xml:space="preserve"> 万元及以上的</w:t>
            </w:r>
          </w:p>
        </w:tc>
        <w:tc>
          <w:tcPr>
            <w:tcW w:w="1099" w:type="dxa"/>
            <w:vMerge w:val="continue"/>
            <w:noWrap w:val="0"/>
            <w:vAlign w:val="center"/>
          </w:tcPr>
          <w:p w14:paraId="71F152E0">
            <w:pPr>
              <w:rPr>
                <w:rFonts w:hint="eastAsia" w:ascii="宋体" w:hAnsi="宋体" w:eastAsia="宋体" w:cs="宋体"/>
                <w:color w:val="auto"/>
                <w:sz w:val="24"/>
                <w:highlight w:val="none"/>
              </w:rPr>
            </w:pPr>
          </w:p>
        </w:tc>
      </w:tr>
      <w:tr w14:paraId="7E818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5D5C1390">
            <w:pPr>
              <w:rPr>
                <w:rFonts w:hint="eastAsia" w:ascii="宋体" w:hAnsi="宋体" w:eastAsia="宋体" w:cs="宋体"/>
                <w:color w:val="auto"/>
                <w:sz w:val="24"/>
                <w:highlight w:val="none"/>
              </w:rPr>
            </w:pPr>
          </w:p>
        </w:tc>
        <w:tc>
          <w:tcPr>
            <w:tcW w:w="860" w:type="dxa"/>
            <w:vMerge w:val="continue"/>
            <w:noWrap w:val="0"/>
            <w:vAlign w:val="center"/>
          </w:tcPr>
          <w:p w14:paraId="323336F4">
            <w:pPr>
              <w:rPr>
                <w:rFonts w:hint="eastAsia" w:ascii="宋体" w:hAnsi="宋体" w:eastAsia="宋体" w:cs="宋体"/>
                <w:color w:val="auto"/>
                <w:sz w:val="24"/>
                <w:highlight w:val="none"/>
              </w:rPr>
            </w:pPr>
          </w:p>
        </w:tc>
        <w:tc>
          <w:tcPr>
            <w:tcW w:w="2157" w:type="dxa"/>
            <w:vMerge w:val="continue"/>
            <w:noWrap w:val="0"/>
            <w:vAlign w:val="center"/>
          </w:tcPr>
          <w:p w14:paraId="597EB38C">
            <w:pPr>
              <w:rPr>
                <w:rFonts w:hint="eastAsia" w:ascii="宋体" w:hAnsi="宋体" w:eastAsia="宋体" w:cs="宋体"/>
                <w:color w:val="auto"/>
                <w:sz w:val="24"/>
                <w:highlight w:val="none"/>
              </w:rPr>
            </w:pPr>
          </w:p>
        </w:tc>
        <w:tc>
          <w:tcPr>
            <w:tcW w:w="1215" w:type="dxa"/>
            <w:noWrap w:val="0"/>
            <w:vAlign w:val="center"/>
          </w:tcPr>
          <w:p w14:paraId="0E515A3D">
            <w:pPr>
              <w:pStyle w:val="31"/>
              <w:spacing w:before="68"/>
              <w:ind w:left="13"/>
              <w:rPr>
                <w:rFonts w:hint="eastAsia" w:eastAsia="宋体"/>
                <w:color w:val="auto"/>
                <w:sz w:val="24"/>
                <w:highlight w:val="none"/>
              </w:rPr>
            </w:pPr>
            <w:r>
              <w:rPr>
                <w:rFonts w:hint="eastAsia" w:eastAsia="宋体"/>
                <w:color w:val="auto"/>
                <w:sz w:val="24"/>
                <w:highlight w:val="none"/>
              </w:rPr>
              <w:t>微型企业</w:t>
            </w:r>
          </w:p>
        </w:tc>
        <w:tc>
          <w:tcPr>
            <w:tcW w:w="4322" w:type="dxa"/>
            <w:noWrap w:val="0"/>
            <w:vAlign w:val="center"/>
          </w:tcPr>
          <w:p w14:paraId="49A238EB">
            <w:pPr>
              <w:pStyle w:val="31"/>
              <w:spacing w:before="68"/>
              <w:ind w:left="15"/>
              <w:rPr>
                <w:rFonts w:hint="eastAsia" w:eastAsia="宋体"/>
                <w:color w:val="auto"/>
                <w:sz w:val="24"/>
                <w:highlight w:val="none"/>
                <w:lang w:eastAsia="zh-CN"/>
              </w:rPr>
            </w:pPr>
            <w:r>
              <w:rPr>
                <w:rFonts w:hint="eastAsia" w:eastAsia="宋体"/>
                <w:color w:val="auto"/>
                <w:sz w:val="24"/>
                <w:highlight w:val="none"/>
                <w:lang w:eastAsia="zh-CN"/>
              </w:rPr>
              <w:t>从业人员 20 人以下或营业收入 100 万元以下的</w:t>
            </w:r>
          </w:p>
        </w:tc>
        <w:tc>
          <w:tcPr>
            <w:tcW w:w="1099" w:type="dxa"/>
            <w:vMerge w:val="continue"/>
            <w:noWrap w:val="0"/>
            <w:vAlign w:val="center"/>
          </w:tcPr>
          <w:p w14:paraId="597F75F2">
            <w:pPr>
              <w:rPr>
                <w:rFonts w:hint="eastAsia" w:ascii="宋体" w:hAnsi="宋体" w:eastAsia="宋体" w:cs="宋体"/>
                <w:color w:val="auto"/>
                <w:sz w:val="24"/>
                <w:highlight w:val="none"/>
              </w:rPr>
            </w:pPr>
          </w:p>
        </w:tc>
      </w:tr>
      <w:tr w14:paraId="16480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1F159CD3">
            <w:pPr>
              <w:pStyle w:val="31"/>
              <w:spacing w:before="7"/>
              <w:rPr>
                <w:rFonts w:hint="eastAsia" w:eastAsia="宋体"/>
                <w:b/>
                <w:color w:val="auto"/>
                <w:sz w:val="24"/>
                <w:highlight w:val="none"/>
                <w:lang w:eastAsia="zh-CN"/>
              </w:rPr>
            </w:pPr>
          </w:p>
          <w:p w14:paraId="7F523D01">
            <w:pPr>
              <w:pStyle w:val="31"/>
              <w:ind w:left="8"/>
              <w:rPr>
                <w:rFonts w:hint="eastAsia" w:eastAsia="宋体"/>
                <w:color w:val="auto"/>
                <w:sz w:val="24"/>
                <w:highlight w:val="none"/>
              </w:rPr>
            </w:pPr>
            <w:r>
              <w:rPr>
                <w:rFonts w:hint="eastAsia" w:eastAsia="宋体"/>
                <w:color w:val="auto"/>
                <w:w w:val="99"/>
                <w:sz w:val="24"/>
                <w:highlight w:val="none"/>
              </w:rPr>
              <w:t>8</w:t>
            </w:r>
          </w:p>
        </w:tc>
        <w:tc>
          <w:tcPr>
            <w:tcW w:w="860" w:type="dxa"/>
            <w:vMerge w:val="restart"/>
            <w:noWrap w:val="0"/>
            <w:vAlign w:val="center"/>
          </w:tcPr>
          <w:p w14:paraId="778602BD">
            <w:pPr>
              <w:pStyle w:val="31"/>
              <w:spacing w:before="12"/>
              <w:rPr>
                <w:rFonts w:hint="eastAsia" w:eastAsia="宋体"/>
                <w:b/>
                <w:color w:val="auto"/>
                <w:sz w:val="24"/>
                <w:highlight w:val="none"/>
              </w:rPr>
            </w:pPr>
          </w:p>
          <w:p w14:paraId="646D550E">
            <w:pPr>
              <w:pStyle w:val="31"/>
              <w:ind w:left="13"/>
              <w:rPr>
                <w:rFonts w:hint="eastAsia" w:eastAsia="宋体"/>
                <w:color w:val="auto"/>
                <w:sz w:val="24"/>
                <w:highlight w:val="none"/>
              </w:rPr>
            </w:pPr>
            <w:r>
              <w:rPr>
                <w:rFonts w:hint="eastAsia" w:eastAsia="宋体"/>
                <w:color w:val="auto"/>
                <w:sz w:val="24"/>
                <w:highlight w:val="none"/>
              </w:rPr>
              <w:t>邮政业</w:t>
            </w:r>
          </w:p>
        </w:tc>
        <w:tc>
          <w:tcPr>
            <w:tcW w:w="2157" w:type="dxa"/>
            <w:vMerge w:val="restart"/>
            <w:noWrap w:val="0"/>
            <w:vAlign w:val="center"/>
          </w:tcPr>
          <w:p w14:paraId="1407AD33">
            <w:pPr>
              <w:pStyle w:val="31"/>
              <w:spacing w:before="143"/>
              <w:ind w:left="15"/>
              <w:rPr>
                <w:rFonts w:hint="eastAsia" w:eastAsia="宋体"/>
                <w:color w:val="auto"/>
                <w:sz w:val="24"/>
                <w:highlight w:val="none"/>
                <w:lang w:eastAsia="zh-CN"/>
              </w:rPr>
            </w:pPr>
            <w:r>
              <w:rPr>
                <w:rFonts w:hint="eastAsia" w:eastAsia="宋体"/>
                <w:color w:val="auto"/>
                <w:spacing w:val="-9"/>
                <w:sz w:val="24"/>
                <w:highlight w:val="none"/>
                <w:lang w:eastAsia="zh-CN"/>
              </w:rPr>
              <w:t xml:space="preserve">从业人员 </w:t>
            </w:r>
            <w:r>
              <w:rPr>
                <w:rFonts w:hint="eastAsia" w:eastAsia="宋体"/>
                <w:color w:val="auto"/>
                <w:sz w:val="24"/>
                <w:highlight w:val="none"/>
                <w:lang w:eastAsia="zh-CN"/>
              </w:rPr>
              <w:t>1000</w:t>
            </w:r>
            <w:r>
              <w:rPr>
                <w:rFonts w:hint="eastAsia" w:eastAsia="宋体"/>
                <w:color w:val="auto"/>
                <w:spacing w:val="-8"/>
                <w:sz w:val="24"/>
                <w:highlight w:val="none"/>
                <w:lang w:eastAsia="zh-CN"/>
              </w:rPr>
              <w:t xml:space="preserve"> 人以下或</w:t>
            </w:r>
            <w:r>
              <w:rPr>
                <w:rFonts w:hint="eastAsia" w:eastAsia="宋体"/>
                <w:color w:val="auto"/>
                <w:sz w:val="24"/>
                <w:highlight w:val="none"/>
                <w:lang w:eastAsia="zh-CN"/>
              </w:rPr>
              <w:t>营业收入 30000 万元以下的为中小微型企业</w:t>
            </w:r>
          </w:p>
        </w:tc>
        <w:tc>
          <w:tcPr>
            <w:tcW w:w="1215" w:type="dxa"/>
            <w:noWrap w:val="0"/>
            <w:vAlign w:val="center"/>
          </w:tcPr>
          <w:p w14:paraId="78337C48">
            <w:pPr>
              <w:pStyle w:val="31"/>
              <w:spacing w:before="68"/>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14723102">
            <w:pPr>
              <w:pStyle w:val="31"/>
              <w:spacing w:before="68"/>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300</w:t>
            </w:r>
            <w:r>
              <w:rPr>
                <w:rFonts w:hint="eastAsia" w:eastAsia="宋体"/>
                <w:color w:val="auto"/>
                <w:spacing w:val="-13"/>
                <w:sz w:val="24"/>
                <w:highlight w:val="none"/>
                <w:lang w:eastAsia="zh-CN"/>
              </w:rPr>
              <w:t xml:space="preserve"> 人及以上，且营业收入 </w:t>
            </w:r>
            <w:r>
              <w:rPr>
                <w:rFonts w:hint="eastAsia" w:eastAsia="宋体"/>
                <w:color w:val="auto"/>
                <w:sz w:val="24"/>
                <w:highlight w:val="none"/>
                <w:lang w:eastAsia="zh-CN"/>
              </w:rPr>
              <w:t>2000</w:t>
            </w:r>
            <w:r>
              <w:rPr>
                <w:rFonts w:hint="eastAsia" w:eastAsia="宋体"/>
                <w:color w:val="auto"/>
                <w:spacing w:val="-9"/>
                <w:sz w:val="24"/>
                <w:highlight w:val="none"/>
                <w:lang w:eastAsia="zh-CN"/>
              </w:rPr>
              <w:t xml:space="preserve"> 万元及以上的</w:t>
            </w:r>
          </w:p>
        </w:tc>
        <w:tc>
          <w:tcPr>
            <w:tcW w:w="1099" w:type="dxa"/>
            <w:vMerge w:val="restart"/>
            <w:noWrap w:val="0"/>
            <w:vAlign w:val="center"/>
          </w:tcPr>
          <w:p w14:paraId="45B839E3">
            <w:pPr>
              <w:pStyle w:val="31"/>
              <w:spacing w:before="68" w:line="362" w:lineRule="auto"/>
              <w:ind w:left="15" w:right="225"/>
              <w:rPr>
                <w:rFonts w:hint="eastAsia" w:eastAsia="宋体"/>
                <w:color w:val="auto"/>
                <w:sz w:val="24"/>
                <w:highlight w:val="none"/>
              </w:rPr>
            </w:pPr>
            <w:r>
              <w:rPr>
                <w:rFonts w:hint="eastAsia" w:eastAsia="宋体"/>
                <w:color w:val="auto"/>
                <w:sz w:val="24"/>
                <w:highlight w:val="none"/>
              </w:rPr>
              <w:t>从业人员营业收入</w:t>
            </w:r>
          </w:p>
        </w:tc>
      </w:tr>
      <w:tr w14:paraId="15A5A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6CF29A2B">
            <w:pPr>
              <w:rPr>
                <w:rFonts w:hint="eastAsia" w:ascii="宋体" w:hAnsi="宋体" w:eastAsia="宋体" w:cs="宋体"/>
                <w:color w:val="auto"/>
                <w:sz w:val="24"/>
                <w:highlight w:val="none"/>
              </w:rPr>
            </w:pPr>
          </w:p>
        </w:tc>
        <w:tc>
          <w:tcPr>
            <w:tcW w:w="860" w:type="dxa"/>
            <w:vMerge w:val="continue"/>
            <w:noWrap w:val="0"/>
            <w:vAlign w:val="center"/>
          </w:tcPr>
          <w:p w14:paraId="458EA619">
            <w:pPr>
              <w:rPr>
                <w:rFonts w:hint="eastAsia" w:ascii="宋体" w:hAnsi="宋体" w:eastAsia="宋体" w:cs="宋体"/>
                <w:color w:val="auto"/>
                <w:sz w:val="24"/>
                <w:highlight w:val="none"/>
              </w:rPr>
            </w:pPr>
          </w:p>
        </w:tc>
        <w:tc>
          <w:tcPr>
            <w:tcW w:w="2157" w:type="dxa"/>
            <w:vMerge w:val="continue"/>
            <w:noWrap w:val="0"/>
            <w:vAlign w:val="center"/>
          </w:tcPr>
          <w:p w14:paraId="43DF823A">
            <w:pPr>
              <w:rPr>
                <w:rFonts w:hint="eastAsia" w:ascii="宋体" w:hAnsi="宋体" w:eastAsia="宋体" w:cs="宋体"/>
                <w:color w:val="auto"/>
                <w:sz w:val="24"/>
                <w:highlight w:val="none"/>
              </w:rPr>
            </w:pPr>
          </w:p>
        </w:tc>
        <w:tc>
          <w:tcPr>
            <w:tcW w:w="1215" w:type="dxa"/>
            <w:noWrap w:val="0"/>
            <w:vAlign w:val="center"/>
          </w:tcPr>
          <w:p w14:paraId="216E3868">
            <w:pPr>
              <w:pStyle w:val="31"/>
              <w:spacing w:before="68"/>
              <w:ind w:left="13"/>
              <w:rPr>
                <w:rFonts w:hint="eastAsia" w:eastAsia="宋体"/>
                <w:color w:val="auto"/>
                <w:sz w:val="24"/>
                <w:highlight w:val="none"/>
              </w:rPr>
            </w:pPr>
            <w:r>
              <w:rPr>
                <w:rFonts w:hint="eastAsia" w:eastAsia="宋体"/>
                <w:color w:val="auto"/>
                <w:sz w:val="24"/>
                <w:highlight w:val="none"/>
              </w:rPr>
              <w:t>小型企业</w:t>
            </w:r>
          </w:p>
        </w:tc>
        <w:tc>
          <w:tcPr>
            <w:tcW w:w="4322" w:type="dxa"/>
            <w:noWrap w:val="0"/>
            <w:vAlign w:val="center"/>
          </w:tcPr>
          <w:p w14:paraId="38776A23">
            <w:pPr>
              <w:pStyle w:val="31"/>
              <w:spacing w:before="68"/>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20</w:t>
            </w:r>
            <w:r>
              <w:rPr>
                <w:rFonts w:hint="eastAsia" w:eastAsia="宋体"/>
                <w:color w:val="auto"/>
                <w:spacing w:val="-12"/>
                <w:sz w:val="24"/>
                <w:highlight w:val="none"/>
                <w:lang w:eastAsia="zh-CN"/>
              </w:rPr>
              <w:t xml:space="preserve"> 人及以上，且营业收入 </w:t>
            </w:r>
            <w:r>
              <w:rPr>
                <w:rFonts w:hint="eastAsia" w:eastAsia="宋体"/>
                <w:color w:val="auto"/>
                <w:sz w:val="24"/>
                <w:highlight w:val="none"/>
                <w:lang w:eastAsia="zh-CN"/>
              </w:rPr>
              <w:t>100</w:t>
            </w:r>
            <w:r>
              <w:rPr>
                <w:rFonts w:hint="eastAsia" w:eastAsia="宋体"/>
                <w:color w:val="auto"/>
                <w:spacing w:val="-9"/>
                <w:sz w:val="24"/>
                <w:highlight w:val="none"/>
                <w:lang w:eastAsia="zh-CN"/>
              </w:rPr>
              <w:t xml:space="preserve"> 万元及以上的</w:t>
            </w:r>
          </w:p>
        </w:tc>
        <w:tc>
          <w:tcPr>
            <w:tcW w:w="1099" w:type="dxa"/>
            <w:vMerge w:val="continue"/>
            <w:noWrap w:val="0"/>
            <w:vAlign w:val="center"/>
          </w:tcPr>
          <w:p w14:paraId="01C2F121">
            <w:pPr>
              <w:rPr>
                <w:rFonts w:hint="eastAsia" w:ascii="宋体" w:hAnsi="宋体" w:eastAsia="宋体" w:cs="宋体"/>
                <w:color w:val="auto"/>
                <w:sz w:val="24"/>
                <w:highlight w:val="none"/>
              </w:rPr>
            </w:pPr>
          </w:p>
        </w:tc>
      </w:tr>
      <w:tr w14:paraId="12F59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1D8D9DA1">
            <w:pPr>
              <w:rPr>
                <w:rFonts w:hint="eastAsia" w:ascii="宋体" w:hAnsi="宋体" w:eastAsia="宋体" w:cs="宋体"/>
                <w:color w:val="auto"/>
                <w:sz w:val="24"/>
                <w:highlight w:val="none"/>
              </w:rPr>
            </w:pPr>
          </w:p>
        </w:tc>
        <w:tc>
          <w:tcPr>
            <w:tcW w:w="860" w:type="dxa"/>
            <w:vMerge w:val="continue"/>
            <w:noWrap w:val="0"/>
            <w:vAlign w:val="center"/>
          </w:tcPr>
          <w:p w14:paraId="4B2D4B94">
            <w:pPr>
              <w:rPr>
                <w:rFonts w:hint="eastAsia" w:ascii="宋体" w:hAnsi="宋体" w:eastAsia="宋体" w:cs="宋体"/>
                <w:color w:val="auto"/>
                <w:sz w:val="24"/>
                <w:highlight w:val="none"/>
              </w:rPr>
            </w:pPr>
          </w:p>
        </w:tc>
        <w:tc>
          <w:tcPr>
            <w:tcW w:w="2157" w:type="dxa"/>
            <w:vMerge w:val="continue"/>
            <w:noWrap w:val="0"/>
            <w:vAlign w:val="center"/>
          </w:tcPr>
          <w:p w14:paraId="3C5E9386">
            <w:pPr>
              <w:rPr>
                <w:rFonts w:hint="eastAsia" w:ascii="宋体" w:hAnsi="宋体" w:eastAsia="宋体" w:cs="宋体"/>
                <w:color w:val="auto"/>
                <w:sz w:val="24"/>
                <w:highlight w:val="none"/>
              </w:rPr>
            </w:pPr>
          </w:p>
        </w:tc>
        <w:tc>
          <w:tcPr>
            <w:tcW w:w="1215" w:type="dxa"/>
            <w:noWrap w:val="0"/>
            <w:vAlign w:val="center"/>
          </w:tcPr>
          <w:p w14:paraId="53C3C488">
            <w:pPr>
              <w:pStyle w:val="31"/>
              <w:spacing w:before="69"/>
              <w:ind w:left="13"/>
              <w:rPr>
                <w:rFonts w:hint="eastAsia" w:eastAsia="宋体"/>
                <w:color w:val="auto"/>
                <w:sz w:val="24"/>
                <w:highlight w:val="none"/>
              </w:rPr>
            </w:pPr>
            <w:r>
              <w:rPr>
                <w:rFonts w:hint="eastAsia" w:eastAsia="宋体"/>
                <w:color w:val="auto"/>
                <w:sz w:val="24"/>
                <w:highlight w:val="none"/>
              </w:rPr>
              <w:t>微型企业</w:t>
            </w:r>
          </w:p>
        </w:tc>
        <w:tc>
          <w:tcPr>
            <w:tcW w:w="4322" w:type="dxa"/>
            <w:noWrap w:val="0"/>
            <w:vAlign w:val="center"/>
          </w:tcPr>
          <w:p w14:paraId="0334A7C2">
            <w:pPr>
              <w:pStyle w:val="31"/>
              <w:spacing w:before="69"/>
              <w:ind w:left="15"/>
              <w:rPr>
                <w:rFonts w:hint="eastAsia" w:eastAsia="宋体"/>
                <w:color w:val="auto"/>
                <w:sz w:val="24"/>
                <w:highlight w:val="none"/>
                <w:lang w:eastAsia="zh-CN"/>
              </w:rPr>
            </w:pPr>
            <w:r>
              <w:rPr>
                <w:rFonts w:hint="eastAsia" w:eastAsia="宋体"/>
                <w:color w:val="auto"/>
                <w:sz w:val="24"/>
                <w:highlight w:val="none"/>
                <w:lang w:eastAsia="zh-CN"/>
              </w:rPr>
              <w:t>从业人员 20 人以下或营业收入 100 万元以下的</w:t>
            </w:r>
          </w:p>
        </w:tc>
        <w:tc>
          <w:tcPr>
            <w:tcW w:w="1099" w:type="dxa"/>
            <w:vMerge w:val="continue"/>
            <w:noWrap w:val="0"/>
            <w:vAlign w:val="center"/>
          </w:tcPr>
          <w:p w14:paraId="2217962F">
            <w:pPr>
              <w:rPr>
                <w:rFonts w:hint="eastAsia" w:ascii="宋体" w:hAnsi="宋体" w:eastAsia="宋体" w:cs="宋体"/>
                <w:color w:val="auto"/>
                <w:sz w:val="24"/>
                <w:highlight w:val="none"/>
              </w:rPr>
            </w:pPr>
          </w:p>
        </w:tc>
      </w:tr>
      <w:tr w14:paraId="032C1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3274251B">
            <w:pPr>
              <w:pStyle w:val="31"/>
              <w:spacing w:before="6"/>
              <w:rPr>
                <w:rFonts w:hint="eastAsia" w:eastAsia="宋体"/>
                <w:b/>
                <w:color w:val="auto"/>
                <w:sz w:val="24"/>
                <w:highlight w:val="none"/>
                <w:lang w:eastAsia="zh-CN"/>
              </w:rPr>
            </w:pPr>
          </w:p>
          <w:p w14:paraId="35A9F24D">
            <w:pPr>
              <w:pStyle w:val="31"/>
              <w:ind w:left="8"/>
              <w:rPr>
                <w:rFonts w:hint="eastAsia" w:eastAsia="宋体"/>
                <w:color w:val="auto"/>
                <w:sz w:val="24"/>
                <w:highlight w:val="none"/>
              </w:rPr>
            </w:pPr>
            <w:r>
              <w:rPr>
                <w:rFonts w:hint="eastAsia" w:eastAsia="宋体"/>
                <w:color w:val="auto"/>
                <w:w w:val="99"/>
                <w:sz w:val="24"/>
                <w:highlight w:val="none"/>
              </w:rPr>
              <w:t>9</w:t>
            </w:r>
          </w:p>
        </w:tc>
        <w:tc>
          <w:tcPr>
            <w:tcW w:w="860" w:type="dxa"/>
            <w:vMerge w:val="restart"/>
            <w:noWrap w:val="0"/>
            <w:vAlign w:val="center"/>
          </w:tcPr>
          <w:p w14:paraId="02244DD1">
            <w:pPr>
              <w:pStyle w:val="31"/>
              <w:spacing w:before="11"/>
              <w:rPr>
                <w:rFonts w:hint="eastAsia" w:eastAsia="宋体"/>
                <w:b/>
                <w:color w:val="auto"/>
                <w:sz w:val="24"/>
                <w:highlight w:val="none"/>
              </w:rPr>
            </w:pPr>
          </w:p>
          <w:p w14:paraId="293C4815">
            <w:pPr>
              <w:pStyle w:val="31"/>
              <w:ind w:left="13"/>
              <w:rPr>
                <w:rFonts w:hint="eastAsia" w:eastAsia="宋体"/>
                <w:color w:val="auto"/>
                <w:sz w:val="24"/>
                <w:highlight w:val="none"/>
              </w:rPr>
            </w:pPr>
            <w:r>
              <w:rPr>
                <w:rFonts w:hint="eastAsia" w:eastAsia="宋体"/>
                <w:color w:val="auto"/>
                <w:sz w:val="24"/>
                <w:highlight w:val="none"/>
              </w:rPr>
              <w:t>住宿业</w:t>
            </w:r>
          </w:p>
        </w:tc>
        <w:tc>
          <w:tcPr>
            <w:tcW w:w="2157" w:type="dxa"/>
            <w:vMerge w:val="restart"/>
            <w:noWrap w:val="0"/>
            <w:vAlign w:val="center"/>
          </w:tcPr>
          <w:p w14:paraId="25E04B7A">
            <w:pPr>
              <w:pStyle w:val="31"/>
              <w:spacing w:before="141"/>
              <w:ind w:left="15"/>
              <w:rPr>
                <w:rFonts w:hint="eastAsia" w:eastAsia="宋体"/>
                <w:color w:val="auto"/>
                <w:sz w:val="24"/>
                <w:highlight w:val="none"/>
                <w:lang w:eastAsia="zh-CN"/>
              </w:rPr>
            </w:pPr>
            <w:r>
              <w:rPr>
                <w:rFonts w:hint="eastAsia" w:eastAsia="宋体"/>
                <w:color w:val="auto"/>
                <w:sz w:val="24"/>
                <w:highlight w:val="none"/>
                <w:lang w:eastAsia="zh-CN"/>
              </w:rPr>
              <w:t>从业人员 300 人以下或营业收入 10000 万元以下的为中小微型企业</w:t>
            </w:r>
          </w:p>
        </w:tc>
        <w:tc>
          <w:tcPr>
            <w:tcW w:w="1215" w:type="dxa"/>
            <w:noWrap w:val="0"/>
            <w:vAlign w:val="center"/>
          </w:tcPr>
          <w:p w14:paraId="7BE926C8">
            <w:pPr>
              <w:pStyle w:val="31"/>
              <w:spacing w:before="67"/>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43F26258">
            <w:pPr>
              <w:pStyle w:val="31"/>
              <w:spacing w:before="67"/>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100</w:t>
            </w:r>
            <w:r>
              <w:rPr>
                <w:rFonts w:hint="eastAsia" w:eastAsia="宋体"/>
                <w:color w:val="auto"/>
                <w:spacing w:val="-13"/>
                <w:sz w:val="24"/>
                <w:highlight w:val="none"/>
                <w:lang w:eastAsia="zh-CN"/>
              </w:rPr>
              <w:t xml:space="preserve"> 人及以上，且营业收入 </w:t>
            </w:r>
            <w:r>
              <w:rPr>
                <w:rFonts w:hint="eastAsia" w:eastAsia="宋体"/>
                <w:color w:val="auto"/>
                <w:sz w:val="24"/>
                <w:highlight w:val="none"/>
                <w:lang w:eastAsia="zh-CN"/>
              </w:rPr>
              <w:t>2000</w:t>
            </w:r>
            <w:r>
              <w:rPr>
                <w:rFonts w:hint="eastAsia" w:eastAsia="宋体"/>
                <w:color w:val="auto"/>
                <w:spacing w:val="-9"/>
                <w:sz w:val="24"/>
                <w:highlight w:val="none"/>
                <w:lang w:eastAsia="zh-CN"/>
              </w:rPr>
              <w:t xml:space="preserve"> 万元及以上的</w:t>
            </w:r>
          </w:p>
        </w:tc>
        <w:tc>
          <w:tcPr>
            <w:tcW w:w="1099" w:type="dxa"/>
            <w:vMerge w:val="restart"/>
            <w:noWrap w:val="0"/>
            <w:vAlign w:val="center"/>
          </w:tcPr>
          <w:p w14:paraId="7527B1BD">
            <w:pPr>
              <w:pStyle w:val="31"/>
              <w:spacing w:before="67" w:line="362" w:lineRule="auto"/>
              <w:ind w:left="15" w:right="225"/>
              <w:rPr>
                <w:rFonts w:hint="eastAsia" w:eastAsia="宋体"/>
                <w:color w:val="auto"/>
                <w:sz w:val="24"/>
                <w:highlight w:val="none"/>
              </w:rPr>
            </w:pPr>
            <w:r>
              <w:rPr>
                <w:rFonts w:hint="eastAsia" w:eastAsia="宋体"/>
                <w:color w:val="auto"/>
                <w:sz w:val="24"/>
                <w:highlight w:val="none"/>
              </w:rPr>
              <w:t>从业人员营业收入</w:t>
            </w:r>
          </w:p>
        </w:tc>
      </w:tr>
      <w:tr w14:paraId="75A60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3A4D629A">
            <w:pPr>
              <w:rPr>
                <w:rFonts w:hint="eastAsia" w:ascii="宋体" w:hAnsi="宋体" w:eastAsia="宋体" w:cs="宋体"/>
                <w:color w:val="auto"/>
                <w:sz w:val="24"/>
                <w:highlight w:val="none"/>
              </w:rPr>
            </w:pPr>
          </w:p>
        </w:tc>
        <w:tc>
          <w:tcPr>
            <w:tcW w:w="860" w:type="dxa"/>
            <w:vMerge w:val="continue"/>
            <w:noWrap w:val="0"/>
            <w:vAlign w:val="center"/>
          </w:tcPr>
          <w:p w14:paraId="44EA4D23">
            <w:pPr>
              <w:rPr>
                <w:rFonts w:hint="eastAsia" w:ascii="宋体" w:hAnsi="宋体" w:eastAsia="宋体" w:cs="宋体"/>
                <w:color w:val="auto"/>
                <w:sz w:val="24"/>
                <w:highlight w:val="none"/>
              </w:rPr>
            </w:pPr>
          </w:p>
        </w:tc>
        <w:tc>
          <w:tcPr>
            <w:tcW w:w="2157" w:type="dxa"/>
            <w:vMerge w:val="continue"/>
            <w:noWrap w:val="0"/>
            <w:vAlign w:val="center"/>
          </w:tcPr>
          <w:p w14:paraId="4D08AB6D">
            <w:pPr>
              <w:rPr>
                <w:rFonts w:hint="eastAsia" w:ascii="宋体" w:hAnsi="宋体" w:eastAsia="宋体" w:cs="宋体"/>
                <w:color w:val="auto"/>
                <w:sz w:val="24"/>
                <w:highlight w:val="none"/>
              </w:rPr>
            </w:pPr>
          </w:p>
        </w:tc>
        <w:tc>
          <w:tcPr>
            <w:tcW w:w="1215" w:type="dxa"/>
            <w:noWrap w:val="0"/>
            <w:vAlign w:val="center"/>
          </w:tcPr>
          <w:p w14:paraId="0FB9030C">
            <w:pPr>
              <w:pStyle w:val="31"/>
              <w:spacing w:before="67"/>
              <w:ind w:left="13"/>
              <w:rPr>
                <w:rFonts w:hint="eastAsia" w:eastAsia="宋体"/>
                <w:color w:val="auto"/>
                <w:sz w:val="24"/>
                <w:highlight w:val="none"/>
              </w:rPr>
            </w:pPr>
            <w:r>
              <w:rPr>
                <w:rFonts w:hint="eastAsia" w:eastAsia="宋体"/>
                <w:color w:val="auto"/>
                <w:sz w:val="24"/>
                <w:highlight w:val="none"/>
              </w:rPr>
              <w:t>小型企业</w:t>
            </w:r>
          </w:p>
        </w:tc>
        <w:tc>
          <w:tcPr>
            <w:tcW w:w="4322" w:type="dxa"/>
            <w:noWrap w:val="0"/>
            <w:vAlign w:val="center"/>
          </w:tcPr>
          <w:p w14:paraId="049F366D">
            <w:pPr>
              <w:pStyle w:val="31"/>
              <w:spacing w:before="67"/>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10</w:t>
            </w:r>
            <w:r>
              <w:rPr>
                <w:rFonts w:hint="eastAsia" w:eastAsia="宋体"/>
                <w:color w:val="auto"/>
                <w:spacing w:val="-12"/>
                <w:sz w:val="24"/>
                <w:highlight w:val="none"/>
                <w:lang w:eastAsia="zh-CN"/>
              </w:rPr>
              <w:t xml:space="preserve"> 人及以上，且营业收入 </w:t>
            </w:r>
            <w:r>
              <w:rPr>
                <w:rFonts w:hint="eastAsia" w:eastAsia="宋体"/>
                <w:color w:val="auto"/>
                <w:sz w:val="24"/>
                <w:highlight w:val="none"/>
                <w:lang w:eastAsia="zh-CN"/>
              </w:rPr>
              <w:t>100</w:t>
            </w:r>
            <w:r>
              <w:rPr>
                <w:rFonts w:hint="eastAsia" w:eastAsia="宋体"/>
                <w:color w:val="auto"/>
                <w:spacing w:val="-9"/>
                <w:sz w:val="24"/>
                <w:highlight w:val="none"/>
                <w:lang w:eastAsia="zh-CN"/>
              </w:rPr>
              <w:t xml:space="preserve"> 万元及以上的</w:t>
            </w:r>
          </w:p>
        </w:tc>
        <w:tc>
          <w:tcPr>
            <w:tcW w:w="1099" w:type="dxa"/>
            <w:vMerge w:val="continue"/>
            <w:noWrap w:val="0"/>
            <w:vAlign w:val="center"/>
          </w:tcPr>
          <w:p w14:paraId="2DB027CD">
            <w:pPr>
              <w:rPr>
                <w:rFonts w:hint="eastAsia" w:ascii="宋体" w:hAnsi="宋体" w:eastAsia="宋体" w:cs="宋体"/>
                <w:color w:val="auto"/>
                <w:sz w:val="24"/>
                <w:highlight w:val="none"/>
              </w:rPr>
            </w:pPr>
          </w:p>
        </w:tc>
      </w:tr>
      <w:tr w14:paraId="591A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41A715A0">
            <w:pPr>
              <w:rPr>
                <w:rFonts w:hint="eastAsia" w:ascii="宋体" w:hAnsi="宋体" w:eastAsia="宋体" w:cs="宋体"/>
                <w:color w:val="auto"/>
                <w:sz w:val="24"/>
                <w:highlight w:val="none"/>
              </w:rPr>
            </w:pPr>
          </w:p>
        </w:tc>
        <w:tc>
          <w:tcPr>
            <w:tcW w:w="860" w:type="dxa"/>
            <w:vMerge w:val="continue"/>
            <w:noWrap w:val="0"/>
            <w:vAlign w:val="center"/>
          </w:tcPr>
          <w:p w14:paraId="2911E99A">
            <w:pPr>
              <w:rPr>
                <w:rFonts w:hint="eastAsia" w:ascii="宋体" w:hAnsi="宋体" w:eastAsia="宋体" w:cs="宋体"/>
                <w:color w:val="auto"/>
                <w:sz w:val="24"/>
                <w:highlight w:val="none"/>
              </w:rPr>
            </w:pPr>
          </w:p>
        </w:tc>
        <w:tc>
          <w:tcPr>
            <w:tcW w:w="2157" w:type="dxa"/>
            <w:vMerge w:val="continue"/>
            <w:noWrap w:val="0"/>
            <w:vAlign w:val="center"/>
          </w:tcPr>
          <w:p w14:paraId="7266CB61">
            <w:pPr>
              <w:rPr>
                <w:rFonts w:hint="eastAsia" w:ascii="宋体" w:hAnsi="宋体" w:eastAsia="宋体" w:cs="宋体"/>
                <w:color w:val="auto"/>
                <w:sz w:val="24"/>
                <w:highlight w:val="none"/>
              </w:rPr>
            </w:pPr>
          </w:p>
        </w:tc>
        <w:tc>
          <w:tcPr>
            <w:tcW w:w="1215" w:type="dxa"/>
            <w:noWrap w:val="0"/>
            <w:vAlign w:val="center"/>
          </w:tcPr>
          <w:p w14:paraId="6C78BDA6">
            <w:pPr>
              <w:pStyle w:val="31"/>
              <w:spacing w:before="68"/>
              <w:ind w:left="13"/>
              <w:rPr>
                <w:rFonts w:hint="eastAsia" w:eastAsia="宋体"/>
                <w:color w:val="auto"/>
                <w:sz w:val="24"/>
                <w:highlight w:val="none"/>
              </w:rPr>
            </w:pPr>
            <w:r>
              <w:rPr>
                <w:rFonts w:hint="eastAsia" w:eastAsia="宋体"/>
                <w:color w:val="auto"/>
                <w:sz w:val="24"/>
                <w:highlight w:val="none"/>
              </w:rPr>
              <w:t>微型企业</w:t>
            </w:r>
          </w:p>
        </w:tc>
        <w:tc>
          <w:tcPr>
            <w:tcW w:w="4322" w:type="dxa"/>
            <w:noWrap w:val="0"/>
            <w:vAlign w:val="center"/>
          </w:tcPr>
          <w:p w14:paraId="335CE375">
            <w:pPr>
              <w:pStyle w:val="31"/>
              <w:spacing w:before="68"/>
              <w:ind w:left="15"/>
              <w:rPr>
                <w:rFonts w:hint="eastAsia" w:eastAsia="宋体"/>
                <w:color w:val="auto"/>
                <w:sz w:val="24"/>
                <w:highlight w:val="none"/>
                <w:lang w:eastAsia="zh-CN"/>
              </w:rPr>
            </w:pPr>
            <w:r>
              <w:rPr>
                <w:rFonts w:hint="eastAsia" w:eastAsia="宋体"/>
                <w:color w:val="auto"/>
                <w:sz w:val="24"/>
                <w:highlight w:val="none"/>
                <w:lang w:eastAsia="zh-CN"/>
              </w:rPr>
              <w:t>从业人员 10 人以下或营业收入 100 万元以下的</w:t>
            </w:r>
          </w:p>
        </w:tc>
        <w:tc>
          <w:tcPr>
            <w:tcW w:w="1099" w:type="dxa"/>
            <w:vMerge w:val="continue"/>
            <w:noWrap w:val="0"/>
            <w:vAlign w:val="center"/>
          </w:tcPr>
          <w:p w14:paraId="001F21DE">
            <w:pPr>
              <w:rPr>
                <w:rFonts w:hint="eastAsia" w:ascii="宋体" w:hAnsi="宋体" w:eastAsia="宋体" w:cs="宋体"/>
                <w:color w:val="auto"/>
                <w:sz w:val="24"/>
                <w:highlight w:val="none"/>
              </w:rPr>
            </w:pPr>
          </w:p>
        </w:tc>
      </w:tr>
      <w:tr w14:paraId="00C2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42900E68">
            <w:pPr>
              <w:pStyle w:val="31"/>
              <w:spacing w:before="7"/>
              <w:rPr>
                <w:rFonts w:hint="eastAsia" w:eastAsia="宋体"/>
                <w:b/>
                <w:color w:val="auto"/>
                <w:sz w:val="24"/>
                <w:highlight w:val="none"/>
                <w:lang w:eastAsia="zh-CN"/>
              </w:rPr>
            </w:pPr>
          </w:p>
          <w:p w14:paraId="73E2D2B1">
            <w:pPr>
              <w:pStyle w:val="31"/>
              <w:rPr>
                <w:rFonts w:hint="eastAsia" w:eastAsia="宋体"/>
                <w:color w:val="auto"/>
                <w:sz w:val="24"/>
                <w:highlight w:val="none"/>
              </w:rPr>
            </w:pPr>
            <w:r>
              <w:rPr>
                <w:rFonts w:hint="eastAsia" w:eastAsia="宋体"/>
                <w:color w:val="auto"/>
                <w:sz w:val="24"/>
                <w:highlight w:val="none"/>
              </w:rPr>
              <w:t>10</w:t>
            </w:r>
          </w:p>
        </w:tc>
        <w:tc>
          <w:tcPr>
            <w:tcW w:w="860" w:type="dxa"/>
            <w:vMerge w:val="restart"/>
            <w:noWrap w:val="0"/>
            <w:vAlign w:val="center"/>
          </w:tcPr>
          <w:p w14:paraId="522107A9">
            <w:pPr>
              <w:pStyle w:val="31"/>
              <w:spacing w:before="12"/>
              <w:rPr>
                <w:rFonts w:hint="eastAsia" w:eastAsia="宋体"/>
                <w:b/>
                <w:color w:val="auto"/>
                <w:sz w:val="24"/>
                <w:highlight w:val="none"/>
              </w:rPr>
            </w:pPr>
          </w:p>
          <w:p w14:paraId="2AE12C00">
            <w:pPr>
              <w:pStyle w:val="31"/>
              <w:ind w:left="13"/>
              <w:rPr>
                <w:rFonts w:hint="eastAsia" w:eastAsia="宋体"/>
                <w:color w:val="auto"/>
                <w:sz w:val="24"/>
                <w:highlight w:val="none"/>
              </w:rPr>
            </w:pPr>
            <w:r>
              <w:rPr>
                <w:rFonts w:hint="eastAsia" w:eastAsia="宋体"/>
                <w:color w:val="auto"/>
                <w:sz w:val="24"/>
                <w:highlight w:val="none"/>
              </w:rPr>
              <w:t>餐饮业</w:t>
            </w:r>
          </w:p>
        </w:tc>
        <w:tc>
          <w:tcPr>
            <w:tcW w:w="2157" w:type="dxa"/>
            <w:vMerge w:val="restart"/>
            <w:noWrap w:val="0"/>
            <w:vAlign w:val="center"/>
          </w:tcPr>
          <w:p w14:paraId="415F0205">
            <w:pPr>
              <w:pStyle w:val="31"/>
              <w:spacing w:before="142"/>
              <w:ind w:left="15"/>
              <w:rPr>
                <w:rFonts w:hint="eastAsia" w:eastAsia="宋体"/>
                <w:color w:val="auto"/>
                <w:sz w:val="24"/>
                <w:highlight w:val="none"/>
                <w:lang w:eastAsia="zh-CN"/>
              </w:rPr>
            </w:pPr>
            <w:r>
              <w:rPr>
                <w:rFonts w:hint="eastAsia" w:eastAsia="宋体"/>
                <w:color w:val="auto"/>
                <w:sz w:val="24"/>
                <w:highlight w:val="none"/>
                <w:lang w:eastAsia="zh-CN"/>
              </w:rPr>
              <w:t>从业人员 300 人以下或营业收入 10000 万元以下的为中小微型企业</w:t>
            </w:r>
          </w:p>
        </w:tc>
        <w:tc>
          <w:tcPr>
            <w:tcW w:w="1215" w:type="dxa"/>
            <w:noWrap w:val="0"/>
            <w:vAlign w:val="center"/>
          </w:tcPr>
          <w:p w14:paraId="54CE084A">
            <w:pPr>
              <w:pStyle w:val="31"/>
              <w:spacing w:before="68"/>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6F912A8F">
            <w:pPr>
              <w:pStyle w:val="31"/>
              <w:spacing w:before="68"/>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100</w:t>
            </w:r>
            <w:r>
              <w:rPr>
                <w:rFonts w:hint="eastAsia" w:eastAsia="宋体"/>
                <w:color w:val="auto"/>
                <w:spacing w:val="-13"/>
                <w:sz w:val="24"/>
                <w:highlight w:val="none"/>
                <w:lang w:eastAsia="zh-CN"/>
              </w:rPr>
              <w:t xml:space="preserve"> 人及以上，且营业收入 </w:t>
            </w:r>
            <w:r>
              <w:rPr>
                <w:rFonts w:hint="eastAsia" w:eastAsia="宋体"/>
                <w:color w:val="auto"/>
                <w:sz w:val="24"/>
                <w:highlight w:val="none"/>
                <w:lang w:eastAsia="zh-CN"/>
              </w:rPr>
              <w:t>2000</w:t>
            </w:r>
            <w:r>
              <w:rPr>
                <w:rFonts w:hint="eastAsia" w:eastAsia="宋体"/>
                <w:color w:val="auto"/>
                <w:spacing w:val="-9"/>
                <w:sz w:val="24"/>
                <w:highlight w:val="none"/>
                <w:lang w:eastAsia="zh-CN"/>
              </w:rPr>
              <w:t xml:space="preserve"> 万元及以上的</w:t>
            </w:r>
          </w:p>
        </w:tc>
        <w:tc>
          <w:tcPr>
            <w:tcW w:w="1099" w:type="dxa"/>
            <w:vMerge w:val="restart"/>
            <w:noWrap w:val="0"/>
            <w:vAlign w:val="center"/>
          </w:tcPr>
          <w:p w14:paraId="32EB78FB">
            <w:pPr>
              <w:pStyle w:val="31"/>
              <w:spacing w:before="68" w:line="362" w:lineRule="auto"/>
              <w:ind w:left="15" w:right="225"/>
              <w:rPr>
                <w:rFonts w:hint="eastAsia" w:eastAsia="宋体"/>
                <w:color w:val="auto"/>
                <w:sz w:val="24"/>
                <w:highlight w:val="none"/>
              </w:rPr>
            </w:pPr>
            <w:r>
              <w:rPr>
                <w:rFonts w:hint="eastAsia" w:eastAsia="宋体"/>
                <w:color w:val="auto"/>
                <w:sz w:val="24"/>
                <w:highlight w:val="none"/>
              </w:rPr>
              <w:t>从业人员营业收入</w:t>
            </w:r>
          </w:p>
        </w:tc>
      </w:tr>
      <w:tr w14:paraId="5B4C5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10568C8B">
            <w:pPr>
              <w:rPr>
                <w:rFonts w:hint="eastAsia" w:ascii="宋体" w:hAnsi="宋体" w:eastAsia="宋体" w:cs="宋体"/>
                <w:color w:val="auto"/>
                <w:sz w:val="24"/>
                <w:highlight w:val="none"/>
              </w:rPr>
            </w:pPr>
          </w:p>
        </w:tc>
        <w:tc>
          <w:tcPr>
            <w:tcW w:w="860" w:type="dxa"/>
            <w:vMerge w:val="continue"/>
            <w:noWrap w:val="0"/>
            <w:vAlign w:val="center"/>
          </w:tcPr>
          <w:p w14:paraId="1A42EC82">
            <w:pPr>
              <w:rPr>
                <w:rFonts w:hint="eastAsia" w:ascii="宋体" w:hAnsi="宋体" w:eastAsia="宋体" w:cs="宋体"/>
                <w:color w:val="auto"/>
                <w:sz w:val="24"/>
                <w:highlight w:val="none"/>
              </w:rPr>
            </w:pPr>
          </w:p>
        </w:tc>
        <w:tc>
          <w:tcPr>
            <w:tcW w:w="2157" w:type="dxa"/>
            <w:vMerge w:val="continue"/>
            <w:noWrap w:val="0"/>
            <w:vAlign w:val="center"/>
          </w:tcPr>
          <w:p w14:paraId="568337D3">
            <w:pPr>
              <w:rPr>
                <w:rFonts w:hint="eastAsia" w:ascii="宋体" w:hAnsi="宋体" w:eastAsia="宋体" w:cs="宋体"/>
                <w:color w:val="auto"/>
                <w:sz w:val="24"/>
                <w:highlight w:val="none"/>
              </w:rPr>
            </w:pPr>
          </w:p>
        </w:tc>
        <w:tc>
          <w:tcPr>
            <w:tcW w:w="1215" w:type="dxa"/>
            <w:noWrap w:val="0"/>
            <w:vAlign w:val="center"/>
          </w:tcPr>
          <w:p w14:paraId="76257FD2">
            <w:pPr>
              <w:pStyle w:val="31"/>
              <w:spacing w:before="68"/>
              <w:ind w:left="13"/>
              <w:rPr>
                <w:rFonts w:hint="eastAsia" w:eastAsia="宋体"/>
                <w:color w:val="auto"/>
                <w:sz w:val="24"/>
                <w:highlight w:val="none"/>
              </w:rPr>
            </w:pPr>
            <w:r>
              <w:rPr>
                <w:rFonts w:hint="eastAsia" w:eastAsia="宋体"/>
                <w:color w:val="auto"/>
                <w:sz w:val="24"/>
                <w:highlight w:val="none"/>
              </w:rPr>
              <w:t>小型企业</w:t>
            </w:r>
          </w:p>
        </w:tc>
        <w:tc>
          <w:tcPr>
            <w:tcW w:w="4322" w:type="dxa"/>
            <w:noWrap w:val="0"/>
            <w:vAlign w:val="center"/>
          </w:tcPr>
          <w:p w14:paraId="24925BBA">
            <w:pPr>
              <w:pStyle w:val="31"/>
              <w:spacing w:before="68"/>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10</w:t>
            </w:r>
            <w:r>
              <w:rPr>
                <w:rFonts w:hint="eastAsia" w:eastAsia="宋体"/>
                <w:color w:val="auto"/>
                <w:spacing w:val="-12"/>
                <w:sz w:val="24"/>
                <w:highlight w:val="none"/>
                <w:lang w:eastAsia="zh-CN"/>
              </w:rPr>
              <w:t xml:space="preserve"> 人及以上，且营业收入 </w:t>
            </w:r>
            <w:r>
              <w:rPr>
                <w:rFonts w:hint="eastAsia" w:eastAsia="宋体"/>
                <w:color w:val="auto"/>
                <w:sz w:val="24"/>
                <w:highlight w:val="none"/>
                <w:lang w:eastAsia="zh-CN"/>
              </w:rPr>
              <w:t>100</w:t>
            </w:r>
            <w:r>
              <w:rPr>
                <w:rFonts w:hint="eastAsia" w:eastAsia="宋体"/>
                <w:color w:val="auto"/>
                <w:spacing w:val="-9"/>
                <w:sz w:val="24"/>
                <w:highlight w:val="none"/>
                <w:lang w:eastAsia="zh-CN"/>
              </w:rPr>
              <w:t xml:space="preserve"> 万元及以上的</w:t>
            </w:r>
          </w:p>
        </w:tc>
        <w:tc>
          <w:tcPr>
            <w:tcW w:w="1099" w:type="dxa"/>
            <w:vMerge w:val="continue"/>
            <w:noWrap w:val="0"/>
            <w:vAlign w:val="center"/>
          </w:tcPr>
          <w:p w14:paraId="17D59A78">
            <w:pPr>
              <w:rPr>
                <w:rFonts w:hint="eastAsia" w:ascii="宋体" w:hAnsi="宋体" w:eastAsia="宋体" w:cs="宋体"/>
                <w:color w:val="auto"/>
                <w:sz w:val="24"/>
                <w:highlight w:val="none"/>
              </w:rPr>
            </w:pPr>
          </w:p>
        </w:tc>
      </w:tr>
      <w:tr w14:paraId="4FC4E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3F05B1E5">
            <w:pPr>
              <w:rPr>
                <w:rFonts w:hint="eastAsia" w:ascii="宋体" w:hAnsi="宋体" w:eastAsia="宋体" w:cs="宋体"/>
                <w:color w:val="auto"/>
                <w:sz w:val="24"/>
                <w:highlight w:val="none"/>
              </w:rPr>
            </w:pPr>
          </w:p>
        </w:tc>
        <w:tc>
          <w:tcPr>
            <w:tcW w:w="860" w:type="dxa"/>
            <w:vMerge w:val="continue"/>
            <w:noWrap w:val="0"/>
            <w:vAlign w:val="center"/>
          </w:tcPr>
          <w:p w14:paraId="3E8C0449">
            <w:pPr>
              <w:rPr>
                <w:rFonts w:hint="eastAsia" w:ascii="宋体" w:hAnsi="宋体" w:eastAsia="宋体" w:cs="宋体"/>
                <w:color w:val="auto"/>
                <w:sz w:val="24"/>
                <w:highlight w:val="none"/>
              </w:rPr>
            </w:pPr>
          </w:p>
        </w:tc>
        <w:tc>
          <w:tcPr>
            <w:tcW w:w="2157" w:type="dxa"/>
            <w:vMerge w:val="continue"/>
            <w:noWrap w:val="0"/>
            <w:vAlign w:val="center"/>
          </w:tcPr>
          <w:p w14:paraId="707BEFD4">
            <w:pPr>
              <w:rPr>
                <w:rFonts w:hint="eastAsia" w:ascii="宋体" w:hAnsi="宋体" w:eastAsia="宋体" w:cs="宋体"/>
                <w:color w:val="auto"/>
                <w:sz w:val="24"/>
                <w:highlight w:val="none"/>
              </w:rPr>
            </w:pPr>
          </w:p>
        </w:tc>
        <w:tc>
          <w:tcPr>
            <w:tcW w:w="1215" w:type="dxa"/>
            <w:noWrap w:val="0"/>
            <w:vAlign w:val="center"/>
          </w:tcPr>
          <w:p w14:paraId="1846C5A6">
            <w:pPr>
              <w:pStyle w:val="31"/>
              <w:spacing w:before="69"/>
              <w:ind w:left="13"/>
              <w:rPr>
                <w:rFonts w:hint="eastAsia" w:eastAsia="宋体"/>
                <w:color w:val="auto"/>
                <w:sz w:val="24"/>
                <w:highlight w:val="none"/>
              </w:rPr>
            </w:pPr>
            <w:r>
              <w:rPr>
                <w:rFonts w:hint="eastAsia" w:eastAsia="宋体"/>
                <w:color w:val="auto"/>
                <w:sz w:val="24"/>
                <w:highlight w:val="none"/>
              </w:rPr>
              <w:t>微型企业</w:t>
            </w:r>
          </w:p>
        </w:tc>
        <w:tc>
          <w:tcPr>
            <w:tcW w:w="4322" w:type="dxa"/>
            <w:noWrap w:val="0"/>
            <w:vAlign w:val="center"/>
          </w:tcPr>
          <w:p w14:paraId="7450E04A">
            <w:pPr>
              <w:pStyle w:val="31"/>
              <w:spacing w:before="69"/>
              <w:ind w:left="15"/>
              <w:rPr>
                <w:rFonts w:hint="eastAsia" w:eastAsia="宋体"/>
                <w:color w:val="auto"/>
                <w:sz w:val="24"/>
                <w:highlight w:val="none"/>
                <w:lang w:eastAsia="zh-CN"/>
              </w:rPr>
            </w:pPr>
            <w:r>
              <w:rPr>
                <w:rFonts w:hint="eastAsia" w:eastAsia="宋体"/>
                <w:color w:val="auto"/>
                <w:sz w:val="24"/>
                <w:highlight w:val="none"/>
                <w:lang w:eastAsia="zh-CN"/>
              </w:rPr>
              <w:t>从业人员 10 人以下或营业收入 100 万元以下的</w:t>
            </w:r>
          </w:p>
        </w:tc>
        <w:tc>
          <w:tcPr>
            <w:tcW w:w="1099" w:type="dxa"/>
            <w:vMerge w:val="continue"/>
            <w:noWrap w:val="0"/>
            <w:vAlign w:val="center"/>
          </w:tcPr>
          <w:p w14:paraId="70DFD3DA">
            <w:pPr>
              <w:rPr>
                <w:rFonts w:hint="eastAsia" w:ascii="宋体" w:hAnsi="宋体" w:eastAsia="宋体" w:cs="宋体"/>
                <w:color w:val="auto"/>
                <w:sz w:val="24"/>
                <w:highlight w:val="none"/>
              </w:rPr>
            </w:pPr>
          </w:p>
        </w:tc>
      </w:tr>
      <w:tr w14:paraId="7A85D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2119EB9F">
            <w:pPr>
              <w:pStyle w:val="31"/>
              <w:spacing w:before="80"/>
              <w:ind w:left="40" w:right="32"/>
              <w:rPr>
                <w:rFonts w:hint="eastAsia" w:eastAsia="宋体"/>
                <w:color w:val="auto"/>
                <w:sz w:val="24"/>
                <w:highlight w:val="none"/>
              </w:rPr>
            </w:pPr>
            <w:r>
              <w:rPr>
                <w:rFonts w:hint="eastAsia" w:eastAsia="宋体"/>
                <w:color w:val="auto"/>
                <w:sz w:val="24"/>
                <w:highlight w:val="none"/>
              </w:rPr>
              <w:t>11</w:t>
            </w:r>
          </w:p>
        </w:tc>
        <w:tc>
          <w:tcPr>
            <w:tcW w:w="860" w:type="dxa"/>
            <w:vMerge w:val="restart"/>
            <w:noWrap w:val="0"/>
            <w:vAlign w:val="center"/>
          </w:tcPr>
          <w:p w14:paraId="4FEE39DA">
            <w:pPr>
              <w:pStyle w:val="31"/>
              <w:spacing w:before="67"/>
              <w:ind w:left="7" w:right="2"/>
              <w:rPr>
                <w:rFonts w:hint="eastAsia" w:eastAsia="宋体"/>
                <w:color w:val="auto"/>
                <w:sz w:val="24"/>
                <w:highlight w:val="none"/>
              </w:rPr>
            </w:pPr>
            <w:r>
              <w:rPr>
                <w:rFonts w:hint="eastAsia" w:eastAsia="宋体"/>
                <w:color w:val="auto"/>
                <w:sz w:val="24"/>
                <w:highlight w:val="none"/>
              </w:rPr>
              <w:t>信息传输</w:t>
            </w:r>
          </w:p>
        </w:tc>
        <w:tc>
          <w:tcPr>
            <w:tcW w:w="2157" w:type="dxa"/>
            <w:vMerge w:val="restart"/>
            <w:noWrap w:val="0"/>
            <w:vAlign w:val="center"/>
          </w:tcPr>
          <w:p w14:paraId="286FD1E4">
            <w:pPr>
              <w:pStyle w:val="31"/>
              <w:spacing w:before="67"/>
              <w:ind w:left="7"/>
              <w:rPr>
                <w:rFonts w:hint="eastAsia" w:eastAsia="宋体"/>
                <w:color w:val="auto"/>
                <w:sz w:val="24"/>
                <w:highlight w:val="none"/>
                <w:lang w:eastAsia="zh-CN"/>
              </w:rPr>
            </w:pPr>
            <w:r>
              <w:rPr>
                <w:rFonts w:hint="eastAsia" w:eastAsia="宋体"/>
                <w:color w:val="auto"/>
                <w:sz w:val="24"/>
                <w:highlight w:val="none"/>
                <w:shd w:val="clear" w:color="auto" w:fill="FFFFFF"/>
                <w:lang w:eastAsia="zh-CN"/>
              </w:rPr>
              <w:t>从业人员2000人以下或营业收入100000万元以下的为中小微型企业。</w:t>
            </w:r>
          </w:p>
        </w:tc>
        <w:tc>
          <w:tcPr>
            <w:tcW w:w="1215" w:type="dxa"/>
            <w:noWrap w:val="0"/>
            <w:vAlign w:val="center"/>
          </w:tcPr>
          <w:p w14:paraId="5B3146B1">
            <w:pPr>
              <w:pStyle w:val="31"/>
              <w:spacing w:before="67"/>
              <w:ind w:left="13"/>
              <w:rPr>
                <w:rFonts w:hint="eastAsia" w:eastAsia="宋体"/>
                <w:color w:val="auto"/>
                <w:sz w:val="24"/>
                <w:highlight w:val="none"/>
              </w:rPr>
            </w:pPr>
            <w:r>
              <w:rPr>
                <w:rFonts w:hint="eastAsia" w:eastAsia="宋体"/>
                <w:color w:val="auto"/>
                <w:sz w:val="24"/>
                <w:highlight w:val="none"/>
              </w:rPr>
              <w:t>中型企业</w:t>
            </w:r>
          </w:p>
        </w:tc>
        <w:tc>
          <w:tcPr>
            <w:tcW w:w="4322" w:type="dxa"/>
            <w:noWrap w:val="0"/>
            <w:vAlign w:val="center"/>
          </w:tcPr>
          <w:p w14:paraId="5CE938A4">
            <w:pPr>
              <w:pStyle w:val="31"/>
              <w:spacing w:before="67"/>
              <w:ind w:left="15"/>
              <w:rPr>
                <w:rFonts w:hint="eastAsia" w:eastAsia="宋体"/>
                <w:color w:val="auto"/>
                <w:sz w:val="24"/>
                <w:highlight w:val="none"/>
                <w:lang w:eastAsia="zh-CN"/>
              </w:rPr>
            </w:pPr>
            <w:r>
              <w:rPr>
                <w:rFonts w:hint="eastAsia" w:eastAsia="宋体"/>
                <w:color w:val="auto"/>
                <w:spacing w:val="-11"/>
                <w:sz w:val="24"/>
                <w:highlight w:val="none"/>
                <w:lang w:eastAsia="zh-CN"/>
              </w:rPr>
              <w:t xml:space="preserve">从业人员 </w:t>
            </w:r>
            <w:r>
              <w:rPr>
                <w:rFonts w:hint="eastAsia" w:eastAsia="宋体"/>
                <w:color w:val="auto"/>
                <w:sz w:val="24"/>
                <w:highlight w:val="none"/>
                <w:lang w:eastAsia="zh-CN"/>
              </w:rPr>
              <w:t>100</w:t>
            </w:r>
            <w:r>
              <w:rPr>
                <w:rFonts w:hint="eastAsia" w:eastAsia="宋体"/>
                <w:color w:val="auto"/>
                <w:spacing w:val="-13"/>
                <w:sz w:val="24"/>
                <w:highlight w:val="none"/>
                <w:lang w:eastAsia="zh-CN"/>
              </w:rPr>
              <w:t xml:space="preserve"> 人及以上，且营业收入 </w:t>
            </w:r>
            <w:r>
              <w:rPr>
                <w:rFonts w:hint="eastAsia" w:eastAsia="宋体"/>
                <w:color w:val="auto"/>
                <w:sz w:val="24"/>
                <w:highlight w:val="none"/>
                <w:lang w:eastAsia="zh-CN"/>
              </w:rPr>
              <w:t>1000</w:t>
            </w:r>
            <w:r>
              <w:rPr>
                <w:rFonts w:hint="eastAsia" w:eastAsia="宋体"/>
                <w:color w:val="auto"/>
                <w:spacing w:val="-9"/>
                <w:sz w:val="24"/>
                <w:highlight w:val="none"/>
                <w:lang w:eastAsia="zh-CN"/>
              </w:rPr>
              <w:t xml:space="preserve"> 万元及以上的</w:t>
            </w:r>
          </w:p>
        </w:tc>
        <w:tc>
          <w:tcPr>
            <w:tcW w:w="1099" w:type="dxa"/>
            <w:vMerge w:val="restart"/>
            <w:noWrap w:val="0"/>
            <w:vAlign w:val="center"/>
          </w:tcPr>
          <w:p w14:paraId="7D374759">
            <w:pPr>
              <w:pStyle w:val="31"/>
              <w:spacing w:before="67"/>
              <w:ind w:left="15"/>
              <w:rPr>
                <w:rFonts w:hint="eastAsia" w:eastAsia="宋体"/>
                <w:color w:val="auto"/>
                <w:sz w:val="24"/>
                <w:highlight w:val="none"/>
              </w:rPr>
            </w:pPr>
            <w:r>
              <w:rPr>
                <w:rFonts w:hint="eastAsia" w:eastAsia="宋体"/>
                <w:color w:val="auto"/>
                <w:sz w:val="24"/>
                <w:highlight w:val="none"/>
              </w:rPr>
              <w:t>从业人员营业收入</w:t>
            </w:r>
          </w:p>
        </w:tc>
      </w:tr>
      <w:tr w14:paraId="7977C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0C0FC650">
            <w:pPr>
              <w:pStyle w:val="31"/>
              <w:spacing w:before="80"/>
              <w:ind w:left="40" w:right="32"/>
              <w:rPr>
                <w:rFonts w:hint="eastAsia" w:eastAsia="宋体"/>
                <w:color w:val="auto"/>
                <w:sz w:val="24"/>
                <w:highlight w:val="none"/>
              </w:rPr>
            </w:pPr>
          </w:p>
        </w:tc>
        <w:tc>
          <w:tcPr>
            <w:tcW w:w="860" w:type="dxa"/>
            <w:vMerge w:val="continue"/>
            <w:noWrap w:val="0"/>
            <w:vAlign w:val="center"/>
          </w:tcPr>
          <w:p w14:paraId="4C584E35">
            <w:pPr>
              <w:pStyle w:val="31"/>
              <w:spacing w:before="67"/>
              <w:ind w:left="7" w:right="2"/>
              <w:rPr>
                <w:rFonts w:hint="eastAsia" w:eastAsia="宋体"/>
                <w:color w:val="auto"/>
                <w:sz w:val="24"/>
                <w:highlight w:val="none"/>
              </w:rPr>
            </w:pPr>
          </w:p>
        </w:tc>
        <w:tc>
          <w:tcPr>
            <w:tcW w:w="2157" w:type="dxa"/>
            <w:vMerge w:val="continue"/>
            <w:noWrap w:val="0"/>
            <w:vAlign w:val="center"/>
          </w:tcPr>
          <w:p w14:paraId="4890BBE3">
            <w:pPr>
              <w:pStyle w:val="31"/>
              <w:spacing w:before="67"/>
              <w:ind w:left="7"/>
              <w:rPr>
                <w:rFonts w:hint="eastAsia" w:eastAsia="宋体"/>
                <w:color w:val="auto"/>
                <w:spacing w:val="-9"/>
                <w:sz w:val="24"/>
                <w:highlight w:val="none"/>
              </w:rPr>
            </w:pPr>
          </w:p>
        </w:tc>
        <w:tc>
          <w:tcPr>
            <w:tcW w:w="1215" w:type="dxa"/>
            <w:noWrap w:val="0"/>
            <w:vAlign w:val="center"/>
          </w:tcPr>
          <w:p w14:paraId="6F04C379">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小型企业</w:t>
            </w:r>
          </w:p>
        </w:tc>
        <w:tc>
          <w:tcPr>
            <w:tcW w:w="4322" w:type="dxa"/>
            <w:noWrap w:val="0"/>
            <w:vAlign w:val="center"/>
          </w:tcPr>
          <w:p w14:paraId="126DAD61">
            <w:pPr>
              <w:pStyle w:val="31"/>
              <w:spacing w:before="67"/>
              <w:ind w:left="15"/>
              <w:rPr>
                <w:rFonts w:hint="eastAsia" w:eastAsia="宋体"/>
                <w:color w:val="auto"/>
                <w:spacing w:val="-11"/>
                <w:sz w:val="24"/>
                <w:highlight w:val="none"/>
                <w:lang w:eastAsia="zh-CN"/>
              </w:rPr>
            </w:pPr>
            <w:r>
              <w:rPr>
                <w:rFonts w:hint="eastAsia" w:eastAsia="宋体"/>
                <w:color w:val="auto"/>
                <w:sz w:val="24"/>
                <w:highlight w:val="none"/>
                <w:shd w:val="clear" w:color="auto" w:fill="FFFFFF"/>
                <w:lang w:eastAsia="zh-CN"/>
              </w:rPr>
              <w:t>从业人员10人及以上，且营业收入100万元及以上的</w:t>
            </w:r>
          </w:p>
        </w:tc>
        <w:tc>
          <w:tcPr>
            <w:tcW w:w="1099" w:type="dxa"/>
            <w:vMerge w:val="continue"/>
            <w:noWrap w:val="0"/>
            <w:vAlign w:val="center"/>
          </w:tcPr>
          <w:p w14:paraId="59815660">
            <w:pPr>
              <w:pStyle w:val="31"/>
              <w:spacing w:before="67"/>
              <w:ind w:left="15"/>
              <w:rPr>
                <w:rFonts w:hint="eastAsia" w:eastAsia="宋体"/>
                <w:color w:val="auto"/>
                <w:sz w:val="24"/>
                <w:highlight w:val="none"/>
                <w:lang w:eastAsia="zh-CN"/>
              </w:rPr>
            </w:pPr>
          </w:p>
        </w:tc>
      </w:tr>
      <w:tr w14:paraId="447C6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331749EF">
            <w:pPr>
              <w:pStyle w:val="31"/>
              <w:spacing w:before="80"/>
              <w:ind w:left="40" w:right="32"/>
              <w:rPr>
                <w:rFonts w:hint="eastAsia" w:eastAsia="宋体"/>
                <w:color w:val="auto"/>
                <w:sz w:val="24"/>
                <w:highlight w:val="none"/>
                <w:lang w:eastAsia="zh-CN"/>
              </w:rPr>
            </w:pPr>
          </w:p>
        </w:tc>
        <w:tc>
          <w:tcPr>
            <w:tcW w:w="860" w:type="dxa"/>
            <w:vMerge w:val="continue"/>
            <w:noWrap w:val="0"/>
            <w:vAlign w:val="center"/>
          </w:tcPr>
          <w:p w14:paraId="3F4C40C5">
            <w:pPr>
              <w:pStyle w:val="31"/>
              <w:spacing w:before="67"/>
              <w:ind w:left="7" w:right="2"/>
              <w:rPr>
                <w:rFonts w:hint="eastAsia" w:eastAsia="宋体"/>
                <w:color w:val="auto"/>
                <w:sz w:val="24"/>
                <w:highlight w:val="none"/>
                <w:lang w:eastAsia="zh-CN"/>
              </w:rPr>
            </w:pPr>
          </w:p>
        </w:tc>
        <w:tc>
          <w:tcPr>
            <w:tcW w:w="2157" w:type="dxa"/>
            <w:vMerge w:val="continue"/>
            <w:noWrap w:val="0"/>
            <w:vAlign w:val="center"/>
          </w:tcPr>
          <w:p w14:paraId="1EE627E2">
            <w:pPr>
              <w:pStyle w:val="31"/>
              <w:spacing w:before="67"/>
              <w:ind w:left="7"/>
              <w:rPr>
                <w:rFonts w:hint="eastAsia" w:eastAsia="宋体"/>
                <w:color w:val="auto"/>
                <w:spacing w:val="-9"/>
                <w:sz w:val="24"/>
                <w:highlight w:val="none"/>
                <w:lang w:eastAsia="zh-CN"/>
              </w:rPr>
            </w:pPr>
          </w:p>
        </w:tc>
        <w:tc>
          <w:tcPr>
            <w:tcW w:w="1215" w:type="dxa"/>
            <w:noWrap w:val="0"/>
            <w:vAlign w:val="center"/>
          </w:tcPr>
          <w:p w14:paraId="7F760C82">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微型企业</w:t>
            </w:r>
          </w:p>
        </w:tc>
        <w:tc>
          <w:tcPr>
            <w:tcW w:w="4322" w:type="dxa"/>
            <w:noWrap w:val="0"/>
            <w:vAlign w:val="center"/>
          </w:tcPr>
          <w:p w14:paraId="4E819BEC">
            <w:pPr>
              <w:pStyle w:val="31"/>
              <w:spacing w:before="67"/>
              <w:ind w:left="15"/>
              <w:rPr>
                <w:rFonts w:hint="eastAsia" w:eastAsia="宋体"/>
                <w:color w:val="auto"/>
                <w:spacing w:val="-11"/>
                <w:sz w:val="24"/>
                <w:highlight w:val="none"/>
                <w:lang w:eastAsia="zh-CN"/>
              </w:rPr>
            </w:pPr>
            <w:r>
              <w:rPr>
                <w:rFonts w:hint="eastAsia" w:eastAsia="宋体"/>
                <w:color w:val="auto"/>
                <w:sz w:val="24"/>
                <w:highlight w:val="none"/>
                <w:shd w:val="clear" w:color="auto" w:fill="FFFFFF"/>
                <w:lang w:eastAsia="zh-CN"/>
              </w:rPr>
              <w:t>从业人员10人以下或营业收入100万元以下的为</w:t>
            </w:r>
          </w:p>
        </w:tc>
        <w:tc>
          <w:tcPr>
            <w:tcW w:w="1099" w:type="dxa"/>
            <w:vMerge w:val="continue"/>
            <w:noWrap w:val="0"/>
            <w:vAlign w:val="center"/>
          </w:tcPr>
          <w:p w14:paraId="6873B596">
            <w:pPr>
              <w:pStyle w:val="31"/>
              <w:spacing w:before="67"/>
              <w:ind w:left="15"/>
              <w:rPr>
                <w:rFonts w:hint="eastAsia" w:eastAsia="宋体"/>
                <w:color w:val="auto"/>
                <w:sz w:val="24"/>
                <w:highlight w:val="none"/>
                <w:lang w:eastAsia="zh-CN"/>
              </w:rPr>
            </w:pPr>
          </w:p>
        </w:tc>
      </w:tr>
      <w:tr w14:paraId="6B650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78BFB9B8">
            <w:pPr>
              <w:pStyle w:val="31"/>
              <w:spacing w:before="80"/>
              <w:ind w:left="40" w:right="32"/>
              <w:rPr>
                <w:rFonts w:eastAsia="宋体"/>
                <w:color w:val="auto"/>
                <w:sz w:val="24"/>
                <w:highlight w:val="none"/>
                <w:lang w:eastAsia="zh-CN"/>
              </w:rPr>
            </w:pPr>
            <w:r>
              <w:rPr>
                <w:rFonts w:hint="eastAsia" w:eastAsia="宋体"/>
                <w:color w:val="auto"/>
                <w:sz w:val="24"/>
                <w:highlight w:val="none"/>
                <w:lang w:eastAsia="zh-CN"/>
              </w:rPr>
              <w:t>12</w:t>
            </w:r>
          </w:p>
        </w:tc>
        <w:tc>
          <w:tcPr>
            <w:tcW w:w="860" w:type="dxa"/>
            <w:vMerge w:val="restart"/>
            <w:noWrap w:val="0"/>
            <w:vAlign w:val="center"/>
          </w:tcPr>
          <w:p w14:paraId="0CEDBC1D">
            <w:pPr>
              <w:pStyle w:val="31"/>
              <w:spacing w:before="67"/>
              <w:ind w:left="7" w:right="2"/>
              <w:rPr>
                <w:rFonts w:hint="eastAsia" w:eastAsia="宋体"/>
                <w:color w:val="auto"/>
                <w:sz w:val="24"/>
                <w:highlight w:val="none"/>
                <w:lang w:eastAsia="zh-CN"/>
              </w:rPr>
            </w:pPr>
            <w:r>
              <w:rPr>
                <w:rFonts w:hint="eastAsia" w:eastAsia="宋体"/>
                <w:color w:val="auto"/>
                <w:sz w:val="24"/>
                <w:highlight w:val="none"/>
                <w:shd w:val="clear" w:color="auto" w:fill="FFFFFF"/>
                <w:lang w:eastAsia="zh-CN"/>
              </w:rPr>
              <w:t>软件和信息技术服务业。</w:t>
            </w:r>
          </w:p>
        </w:tc>
        <w:tc>
          <w:tcPr>
            <w:tcW w:w="2157" w:type="dxa"/>
            <w:vMerge w:val="restart"/>
            <w:noWrap w:val="0"/>
            <w:vAlign w:val="center"/>
          </w:tcPr>
          <w:p w14:paraId="2573E373">
            <w:pPr>
              <w:pStyle w:val="31"/>
              <w:spacing w:before="67"/>
              <w:ind w:left="7"/>
              <w:rPr>
                <w:rFonts w:hint="eastAsia" w:eastAsia="宋体"/>
                <w:color w:val="auto"/>
                <w:spacing w:val="-9"/>
                <w:sz w:val="24"/>
                <w:highlight w:val="none"/>
                <w:lang w:eastAsia="zh-CN"/>
              </w:rPr>
            </w:pPr>
            <w:r>
              <w:rPr>
                <w:rFonts w:hint="eastAsia" w:eastAsia="宋体"/>
                <w:color w:val="auto"/>
                <w:spacing w:val="-9"/>
                <w:sz w:val="24"/>
                <w:highlight w:val="none"/>
                <w:lang w:eastAsia="zh-CN"/>
              </w:rPr>
              <w:t>从业人员300人以下或营业收入10000万元以下的为中小微型企业</w:t>
            </w:r>
          </w:p>
        </w:tc>
        <w:tc>
          <w:tcPr>
            <w:tcW w:w="1215" w:type="dxa"/>
            <w:noWrap w:val="0"/>
            <w:vAlign w:val="center"/>
          </w:tcPr>
          <w:p w14:paraId="3A521D8A">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中型企业</w:t>
            </w:r>
          </w:p>
        </w:tc>
        <w:tc>
          <w:tcPr>
            <w:tcW w:w="4322" w:type="dxa"/>
            <w:noWrap w:val="0"/>
            <w:vAlign w:val="center"/>
          </w:tcPr>
          <w:p w14:paraId="7CF18140">
            <w:pPr>
              <w:pStyle w:val="31"/>
              <w:spacing w:before="67"/>
              <w:ind w:left="15"/>
              <w:rPr>
                <w:rFonts w:hint="eastAsia" w:eastAsia="宋体"/>
                <w:color w:val="auto"/>
                <w:spacing w:val="-11"/>
                <w:sz w:val="24"/>
                <w:highlight w:val="none"/>
                <w:lang w:eastAsia="zh-CN"/>
              </w:rPr>
            </w:pPr>
            <w:r>
              <w:rPr>
                <w:rFonts w:hint="eastAsia" w:eastAsia="宋体"/>
                <w:color w:val="auto"/>
                <w:sz w:val="24"/>
                <w:highlight w:val="none"/>
                <w:shd w:val="clear" w:color="auto" w:fill="FFFFFF"/>
                <w:lang w:eastAsia="zh-CN"/>
              </w:rPr>
              <w:t>从业人员100人及以上，且营业收入1000万元及以上的</w:t>
            </w:r>
          </w:p>
        </w:tc>
        <w:tc>
          <w:tcPr>
            <w:tcW w:w="1099" w:type="dxa"/>
            <w:vMerge w:val="restart"/>
            <w:noWrap w:val="0"/>
            <w:vAlign w:val="center"/>
          </w:tcPr>
          <w:p w14:paraId="1A4A71B5">
            <w:pPr>
              <w:pStyle w:val="31"/>
              <w:spacing w:before="67"/>
              <w:ind w:left="15"/>
              <w:rPr>
                <w:rFonts w:hint="eastAsia" w:eastAsia="宋体"/>
                <w:color w:val="auto"/>
                <w:sz w:val="24"/>
                <w:highlight w:val="none"/>
              </w:rPr>
            </w:pPr>
            <w:r>
              <w:rPr>
                <w:rFonts w:hint="eastAsia" w:eastAsia="宋体"/>
                <w:color w:val="auto"/>
                <w:sz w:val="24"/>
                <w:highlight w:val="none"/>
              </w:rPr>
              <w:t>从业人员营业收入</w:t>
            </w:r>
          </w:p>
        </w:tc>
      </w:tr>
      <w:tr w14:paraId="43CB9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38876086">
            <w:pPr>
              <w:pStyle w:val="31"/>
              <w:spacing w:before="80"/>
              <w:ind w:left="40" w:right="32"/>
              <w:rPr>
                <w:rFonts w:hint="eastAsia" w:eastAsia="宋体"/>
                <w:color w:val="auto"/>
                <w:sz w:val="24"/>
                <w:highlight w:val="none"/>
              </w:rPr>
            </w:pPr>
          </w:p>
        </w:tc>
        <w:tc>
          <w:tcPr>
            <w:tcW w:w="860" w:type="dxa"/>
            <w:vMerge w:val="continue"/>
            <w:noWrap w:val="0"/>
            <w:vAlign w:val="center"/>
          </w:tcPr>
          <w:p w14:paraId="4B37A331">
            <w:pPr>
              <w:pStyle w:val="31"/>
              <w:spacing w:before="67"/>
              <w:ind w:left="7" w:right="2"/>
              <w:rPr>
                <w:rFonts w:hint="eastAsia" w:eastAsia="宋体"/>
                <w:color w:val="auto"/>
                <w:sz w:val="24"/>
                <w:highlight w:val="none"/>
                <w:shd w:val="clear" w:color="auto" w:fill="FFFFFF"/>
              </w:rPr>
            </w:pPr>
          </w:p>
        </w:tc>
        <w:tc>
          <w:tcPr>
            <w:tcW w:w="2157" w:type="dxa"/>
            <w:vMerge w:val="continue"/>
            <w:noWrap w:val="0"/>
            <w:vAlign w:val="center"/>
          </w:tcPr>
          <w:p w14:paraId="53FBAB40">
            <w:pPr>
              <w:pStyle w:val="31"/>
              <w:spacing w:before="67"/>
              <w:ind w:left="7"/>
              <w:rPr>
                <w:rFonts w:hint="eastAsia" w:eastAsia="宋体"/>
                <w:color w:val="auto"/>
                <w:spacing w:val="-9"/>
                <w:sz w:val="24"/>
                <w:highlight w:val="none"/>
                <w:lang w:eastAsia="zh-CN"/>
              </w:rPr>
            </w:pPr>
          </w:p>
        </w:tc>
        <w:tc>
          <w:tcPr>
            <w:tcW w:w="1215" w:type="dxa"/>
            <w:noWrap w:val="0"/>
            <w:vAlign w:val="center"/>
          </w:tcPr>
          <w:p w14:paraId="1CA662A0">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小型企业</w:t>
            </w:r>
          </w:p>
        </w:tc>
        <w:tc>
          <w:tcPr>
            <w:tcW w:w="4322" w:type="dxa"/>
            <w:noWrap w:val="0"/>
            <w:vAlign w:val="center"/>
          </w:tcPr>
          <w:p w14:paraId="62A19CC1">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从业人员10人及以上，且营业收入50万元及以上的</w:t>
            </w:r>
          </w:p>
        </w:tc>
        <w:tc>
          <w:tcPr>
            <w:tcW w:w="1099" w:type="dxa"/>
            <w:vMerge w:val="continue"/>
            <w:noWrap w:val="0"/>
            <w:vAlign w:val="center"/>
          </w:tcPr>
          <w:p w14:paraId="6BAC154B">
            <w:pPr>
              <w:pStyle w:val="31"/>
              <w:spacing w:before="67"/>
              <w:ind w:left="15"/>
              <w:rPr>
                <w:rFonts w:hint="eastAsia" w:eastAsia="宋体"/>
                <w:color w:val="auto"/>
                <w:sz w:val="24"/>
                <w:highlight w:val="none"/>
                <w:lang w:eastAsia="zh-CN"/>
              </w:rPr>
            </w:pPr>
          </w:p>
        </w:tc>
      </w:tr>
      <w:tr w14:paraId="716ED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3CB1CF2D">
            <w:pPr>
              <w:pStyle w:val="31"/>
              <w:spacing w:before="80"/>
              <w:ind w:left="40" w:right="32"/>
              <w:rPr>
                <w:rFonts w:hint="eastAsia" w:eastAsia="宋体"/>
                <w:color w:val="auto"/>
                <w:sz w:val="24"/>
                <w:highlight w:val="none"/>
                <w:lang w:eastAsia="zh-CN"/>
              </w:rPr>
            </w:pPr>
          </w:p>
        </w:tc>
        <w:tc>
          <w:tcPr>
            <w:tcW w:w="860" w:type="dxa"/>
            <w:vMerge w:val="continue"/>
            <w:noWrap w:val="0"/>
            <w:vAlign w:val="center"/>
          </w:tcPr>
          <w:p w14:paraId="4E421D89">
            <w:pPr>
              <w:pStyle w:val="31"/>
              <w:spacing w:before="67"/>
              <w:ind w:left="7" w:right="2"/>
              <w:rPr>
                <w:rFonts w:hint="eastAsia" w:eastAsia="宋体"/>
                <w:color w:val="auto"/>
                <w:sz w:val="24"/>
                <w:highlight w:val="none"/>
                <w:shd w:val="clear" w:color="auto" w:fill="FFFFFF"/>
                <w:lang w:eastAsia="zh-CN"/>
              </w:rPr>
            </w:pPr>
          </w:p>
        </w:tc>
        <w:tc>
          <w:tcPr>
            <w:tcW w:w="2157" w:type="dxa"/>
            <w:vMerge w:val="continue"/>
            <w:noWrap w:val="0"/>
            <w:vAlign w:val="center"/>
          </w:tcPr>
          <w:p w14:paraId="7EB9F552">
            <w:pPr>
              <w:pStyle w:val="31"/>
              <w:spacing w:before="67"/>
              <w:ind w:left="7"/>
              <w:rPr>
                <w:rFonts w:hint="eastAsia" w:eastAsia="宋体"/>
                <w:color w:val="auto"/>
                <w:spacing w:val="-9"/>
                <w:sz w:val="24"/>
                <w:highlight w:val="none"/>
                <w:lang w:eastAsia="zh-CN"/>
              </w:rPr>
            </w:pPr>
          </w:p>
        </w:tc>
        <w:tc>
          <w:tcPr>
            <w:tcW w:w="1215" w:type="dxa"/>
            <w:noWrap w:val="0"/>
            <w:vAlign w:val="center"/>
          </w:tcPr>
          <w:p w14:paraId="5629DB63">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微型企业</w:t>
            </w:r>
          </w:p>
        </w:tc>
        <w:tc>
          <w:tcPr>
            <w:tcW w:w="4322" w:type="dxa"/>
            <w:noWrap w:val="0"/>
            <w:vAlign w:val="center"/>
          </w:tcPr>
          <w:p w14:paraId="638C3E84">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从业人员10人以下或营业收入50万元以下的</w:t>
            </w:r>
          </w:p>
        </w:tc>
        <w:tc>
          <w:tcPr>
            <w:tcW w:w="1099" w:type="dxa"/>
            <w:vMerge w:val="continue"/>
            <w:noWrap w:val="0"/>
            <w:vAlign w:val="center"/>
          </w:tcPr>
          <w:p w14:paraId="61C4D86C">
            <w:pPr>
              <w:pStyle w:val="31"/>
              <w:spacing w:before="67"/>
              <w:ind w:left="15"/>
              <w:rPr>
                <w:rFonts w:hint="eastAsia" w:eastAsia="宋体"/>
                <w:color w:val="auto"/>
                <w:sz w:val="24"/>
                <w:highlight w:val="none"/>
                <w:lang w:eastAsia="zh-CN"/>
              </w:rPr>
            </w:pPr>
          </w:p>
        </w:tc>
      </w:tr>
      <w:tr w14:paraId="5C2CA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4EE3D947">
            <w:pPr>
              <w:pStyle w:val="31"/>
              <w:spacing w:before="80"/>
              <w:ind w:left="40" w:right="32"/>
              <w:rPr>
                <w:rFonts w:eastAsia="宋体"/>
                <w:color w:val="auto"/>
                <w:sz w:val="24"/>
                <w:highlight w:val="none"/>
                <w:lang w:eastAsia="zh-CN"/>
              </w:rPr>
            </w:pPr>
            <w:r>
              <w:rPr>
                <w:rFonts w:hint="eastAsia" w:eastAsia="宋体"/>
                <w:color w:val="auto"/>
                <w:sz w:val="24"/>
                <w:highlight w:val="none"/>
                <w:lang w:eastAsia="zh-CN"/>
              </w:rPr>
              <w:t>13</w:t>
            </w:r>
          </w:p>
        </w:tc>
        <w:tc>
          <w:tcPr>
            <w:tcW w:w="860" w:type="dxa"/>
            <w:vMerge w:val="restart"/>
            <w:noWrap w:val="0"/>
            <w:vAlign w:val="center"/>
          </w:tcPr>
          <w:p w14:paraId="71273EA0">
            <w:pPr>
              <w:pStyle w:val="31"/>
              <w:spacing w:before="67"/>
              <w:ind w:left="7" w:right="2"/>
              <w:rPr>
                <w:rFonts w:hint="eastAsia" w:eastAsia="宋体"/>
                <w:color w:val="auto"/>
                <w:sz w:val="24"/>
                <w:highlight w:val="none"/>
                <w:shd w:val="clear" w:color="auto" w:fill="FFFFFF"/>
              </w:rPr>
            </w:pPr>
            <w:r>
              <w:rPr>
                <w:rFonts w:hint="eastAsia" w:eastAsia="宋体"/>
                <w:color w:val="auto"/>
                <w:sz w:val="24"/>
                <w:highlight w:val="none"/>
                <w:shd w:val="clear" w:color="auto" w:fill="FFFFFF"/>
              </w:rPr>
              <w:t>房地产开发经营</w:t>
            </w:r>
          </w:p>
        </w:tc>
        <w:tc>
          <w:tcPr>
            <w:tcW w:w="2157" w:type="dxa"/>
            <w:vMerge w:val="restart"/>
            <w:noWrap w:val="0"/>
            <w:vAlign w:val="center"/>
          </w:tcPr>
          <w:p w14:paraId="68AB0189">
            <w:pPr>
              <w:pStyle w:val="31"/>
              <w:spacing w:before="67"/>
              <w:ind w:left="7"/>
              <w:rPr>
                <w:rFonts w:hint="eastAsia" w:eastAsia="宋体"/>
                <w:color w:val="auto"/>
                <w:spacing w:val="-9"/>
                <w:sz w:val="24"/>
                <w:highlight w:val="none"/>
                <w:lang w:eastAsia="zh-CN"/>
              </w:rPr>
            </w:pPr>
            <w:r>
              <w:rPr>
                <w:rFonts w:hint="eastAsia" w:eastAsia="宋体"/>
                <w:color w:val="auto"/>
                <w:sz w:val="24"/>
                <w:highlight w:val="none"/>
                <w:shd w:val="clear" w:color="auto" w:fill="FFFFFF"/>
                <w:lang w:eastAsia="zh-CN"/>
              </w:rPr>
              <w:t>营业收入200000万元以下或资产总额10000万元以下的为中小微型企业</w:t>
            </w:r>
          </w:p>
        </w:tc>
        <w:tc>
          <w:tcPr>
            <w:tcW w:w="1215" w:type="dxa"/>
            <w:noWrap w:val="0"/>
            <w:vAlign w:val="center"/>
          </w:tcPr>
          <w:p w14:paraId="662D717B">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中型企业；</w:t>
            </w:r>
          </w:p>
        </w:tc>
        <w:tc>
          <w:tcPr>
            <w:tcW w:w="4322" w:type="dxa"/>
            <w:noWrap w:val="0"/>
            <w:vAlign w:val="center"/>
          </w:tcPr>
          <w:p w14:paraId="2A621F4E">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营业收入1000万元及以上，且资产总额5000万元及以上的</w:t>
            </w:r>
          </w:p>
        </w:tc>
        <w:tc>
          <w:tcPr>
            <w:tcW w:w="1099" w:type="dxa"/>
            <w:vMerge w:val="restart"/>
            <w:noWrap w:val="0"/>
            <w:vAlign w:val="center"/>
          </w:tcPr>
          <w:p w14:paraId="33687CC7">
            <w:pPr>
              <w:pStyle w:val="31"/>
              <w:spacing w:before="67"/>
              <w:ind w:left="15"/>
              <w:rPr>
                <w:rFonts w:hint="eastAsia" w:eastAsia="宋体"/>
                <w:color w:val="auto"/>
                <w:sz w:val="24"/>
                <w:highlight w:val="none"/>
              </w:rPr>
            </w:pPr>
            <w:r>
              <w:rPr>
                <w:rFonts w:hint="eastAsia" w:eastAsia="宋体"/>
                <w:color w:val="auto"/>
                <w:sz w:val="24"/>
                <w:highlight w:val="none"/>
              </w:rPr>
              <w:t>从业人员营业收入</w:t>
            </w:r>
          </w:p>
        </w:tc>
      </w:tr>
      <w:tr w14:paraId="5EB12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242FA14A">
            <w:pPr>
              <w:pStyle w:val="31"/>
              <w:spacing w:before="80"/>
              <w:ind w:left="40" w:right="32"/>
              <w:rPr>
                <w:rFonts w:hint="eastAsia" w:eastAsia="宋体"/>
                <w:color w:val="auto"/>
                <w:sz w:val="24"/>
                <w:highlight w:val="none"/>
              </w:rPr>
            </w:pPr>
          </w:p>
        </w:tc>
        <w:tc>
          <w:tcPr>
            <w:tcW w:w="860" w:type="dxa"/>
            <w:vMerge w:val="continue"/>
            <w:noWrap w:val="0"/>
            <w:vAlign w:val="center"/>
          </w:tcPr>
          <w:p w14:paraId="4D7F0E61">
            <w:pPr>
              <w:pStyle w:val="31"/>
              <w:spacing w:before="67"/>
              <w:ind w:left="7" w:right="2"/>
              <w:rPr>
                <w:rFonts w:hint="eastAsia" w:eastAsia="宋体"/>
                <w:color w:val="auto"/>
                <w:sz w:val="24"/>
                <w:highlight w:val="none"/>
                <w:shd w:val="clear" w:color="auto" w:fill="FFFFFF"/>
              </w:rPr>
            </w:pPr>
          </w:p>
        </w:tc>
        <w:tc>
          <w:tcPr>
            <w:tcW w:w="2157" w:type="dxa"/>
            <w:vMerge w:val="continue"/>
            <w:noWrap w:val="0"/>
            <w:vAlign w:val="center"/>
          </w:tcPr>
          <w:p w14:paraId="3B06AD55">
            <w:pPr>
              <w:pStyle w:val="31"/>
              <w:spacing w:before="67"/>
              <w:ind w:left="7"/>
              <w:rPr>
                <w:rFonts w:hint="eastAsia" w:eastAsia="宋体"/>
                <w:color w:val="auto"/>
                <w:spacing w:val="-9"/>
                <w:sz w:val="24"/>
                <w:highlight w:val="none"/>
                <w:lang w:eastAsia="zh-CN"/>
              </w:rPr>
            </w:pPr>
          </w:p>
        </w:tc>
        <w:tc>
          <w:tcPr>
            <w:tcW w:w="1215" w:type="dxa"/>
            <w:noWrap w:val="0"/>
            <w:vAlign w:val="center"/>
          </w:tcPr>
          <w:p w14:paraId="6A790361">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小型企业</w:t>
            </w:r>
          </w:p>
        </w:tc>
        <w:tc>
          <w:tcPr>
            <w:tcW w:w="4322" w:type="dxa"/>
            <w:noWrap w:val="0"/>
            <w:vAlign w:val="center"/>
          </w:tcPr>
          <w:p w14:paraId="2A47E276">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营业收入100万元及以上，且资产总额2000万元及以上的</w:t>
            </w:r>
          </w:p>
        </w:tc>
        <w:tc>
          <w:tcPr>
            <w:tcW w:w="1099" w:type="dxa"/>
            <w:vMerge w:val="continue"/>
            <w:noWrap w:val="0"/>
            <w:vAlign w:val="center"/>
          </w:tcPr>
          <w:p w14:paraId="3CDFEC4B">
            <w:pPr>
              <w:pStyle w:val="31"/>
              <w:spacing w:before="67"/>
              <w:ind w:left="15"/>
              <w:rPr>
                <w:rFonts w:hint="eastAsia" w:eastAsia="宋体"/>
                <w:color w:val="auto"/>
                <w:sz w:val="24"/>
                <w:highlight w:val="none"/>
                <w:lang w:eastAsia="zh-CN"/>
              </w:rPr>
            </w:pPr>
          </w:p>
        </w:tc>
      </w:tr>
      <w:tr w14:paraId="7A5AA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0B7E2C10">
            <w:pPr>
              <w:pStyle w:val="31"/>
              <w:spacing w:before="80"/>
              <w:ind w:left="40" w:right="32"/>
              <w:rPr>
                <w:rFonts w:hint="eastAsia" w:eastAsia="宋体"/>
                <w:color w:val="auto"/>
                <w:sz w:val="24"/>
                <w:highlight w:val="none"/>
                <w:lang w:eastAsia="zh-CN"/>
              </w:rPr>
            </w:pPr>
          </w:p>
        </w:tc>
        <w:tc>
          <w:tcPr>
            <w:tcW w:w="860" w:type="dxa"/>
            <w:vMerge w:val="continue"/>
            <w:noWrap w:val="0"/>
            <w:vAlign w:val="center"/>
          </w:tcPr>
          <w:p w14:paraId="74DD6390">
            <w:pPr>
              <w:pStyle w:val="31"/>
              <w:spacing w:before="67"/>
              <w:ind w:left="7" w:right="2"/>
              <w:rPr>
                <w:rFonts w:hint="eastAsia" w:eastAsia="宋体"/>
                <w:color w:val="auto"/>
                <w:sz w:val="24"/>
                <w:highlight w:val="none"/>
                <w:shd w:val="clear" w:color="auto" w:fill="FFFFFF"/>
                <w:lang w:eastAsia="zh-CN"/>
              </w:rPr>
            </w:pPr>
          </w:p>
        </w:tc>
        <w:tc>
          <w:tcPr>
            <w:tcW w:w="2157" w:type="dxa"/>
            <w:vMerge w:val="continue"/>
            <w:noWrap w:val="0"/>
            <w:vAlign w:val="center"/>
          </w:tcPr>
          <w:p w14:paraId="1423599A">
            <w:pPr>
              <w:pStyle w:val="31"/>
              <w:spacing w:before="67"/>
              <w:ind w:left="7"/>
              <w:rPr>
                <w:rFonts w:hint="eastAsia" w:eastAsia="宋体"/>
                <w:color w:val="auto"/>
                <w:spacing w:val="-9"/>
                <w:sz w:val="24"/>
                <w:highlight w:val="none"/>
                <w:lang w:eastAsia="zh-CN"/>
              </w:rPr>
            </w:pPr>
          </w:p>
        </w:tc>
        <w:tc>
          <w:tcPr>
            <w:tcW w:w="1215" w:type="dxa"/>
            <w:noWrap w:val="0"/>
            <w:vAlign w:val="center"/>
          </w:tcPr>
          <w:p w14:paraId="196C1F2A">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微型企业。</w:t>
            </w:r>
          </w:p>
        </w:tc>
        <w:tc>
          <w:tcPr>
            <w:tcW w:w="4322" w:type="dxa"/>
            <w:noWrap w:val="0"/>
            <w:vAlign w:val="center"/>
          </w:tcPr>
          <w:p w14:paraId="4D9709D1">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营业收入100万元以下或资产总额2000万元以下的</w:t>
            </w:r>
          </w:p>
        </w:tc>
        <w:tc>
          <w:tcPr>
            <w:tcW w:w="1099" w:type="dxa"/>
            <w:vMerge w:val="continue"/>
            <w:noWrap w:val="0"/>
            <w:vAlign w:val="center"/>
          </w:tcPr>
          <w:p w14:paraId="0D97D8B3">
            <w:pPr>
              <w:pStyle w:val="31"/>
              <w:spacing w:before="67"/>
              <w:ind w:left="15"/>
              <w:rPr>
                <w:rFonts w:hint="eastAsia" w:eastAsia="宋体"/>
                <w:color w:val="auto"/>
                <w:sz w:val="24"/>
                <w:highlight w:val="none"/>
                <w:lang w:eastAsia="zh-CN"/>
              </w:rPr>
            </w:pPr>
          </w:p>
        </w:tc>
      </w:tr>
      <w:tr w14:paraId="7999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5CAA1446">
            <w:pPr>
              <w:pStyle w:val="31"/>
              <w:spacing w:before="80"/>
              <w:ind w:left="40" w:right="32"/>
              <w:rPr>
                <w:rFonts w:eastAsia="宋体"/>
                <w:color w:val="auto"/>
                <w:sz w:val="24"/>
                <w:highlight w:val="none"/>
                <w:lang w:eastAsia="zh-CN"/>
              </w:rPr>
            </w:pPr>
            <w:r>
              <w:rPr>
                <w:rFonts w:hint="eastAsia" w:eastAsia="宋体"/>
                <w:color w:val="auto"/>
                <w:sz w:val="24"/>
                <w:highlight w:val="none"/>
                <w:lang w:eastAsia="zh-CN"/>
              </w:rPr>
              <w:t>14</w:t>
            </w:r>
          </w:p>
        </w:tc>
        <w:tc>
          <w:tcPr>
            <w:tcW w:w="860" w:type="dxa"/>
            <w:vMerge w:val="restart"/>
            <w:noWrap w:val="0"/>
            <w:vAlign w:val="center"/>
          </w:tcPr>
          <w:p w14:paraId="2437DC78">
            <w:pPr>
              <w:pStyle w:val="31"/>
              <w:spacing w:before="67"/>
              <w:ind w:left="7" w:right="2"/>
              <w:rPr>
                <w:rFonts w:hint="eastAsia" w:eastAsia="宋体"/>
                <w:color w:val="auto"/>
                <w:sz w:val="24"/>
                <w:highlight w:val="none"/>
                <w:shd w:val="clear" w:color="auto" w:fill="FFFFFF"/>
              </w:rPr>
            </w:pPr>
            <w:r>
              <w:rPr>
                <w:rFonts w:hint="eastAsia" w:eastAsia="宋体"/>
                <w:color w:val="auto"/>
                <w:sz w:val="24"/>
                <w:highlight w:val="none"/>
                <w:shd w:val="clear" w:color="auto" w:fill="FFFFFF"/>
              </w:rPr>
              <w:t>物业管理</w:t>
            </w:r>
          </w:p>
        </w:tc>
        <w:tc>
          <w:tcPr>
            <w:tcW w:w="2157" w:type="dxa"/>
            <w:vMerge w:val="restart"/>
            <w:noWrap w:val="0"/>
            <w:vAlign w:val="center"/>
          </w:tcPr>
          <w:p w14:paraId="3CAB9443">
            <w:pPr>
              <w:pStyle w:val="31"/>
              <w:spacing w:before="67"/>
              <w:ind w:left="7"/>
              <w:rPr>
                <w:rFonts w:hint="eastAsia" w:eastAsia="宋体"/>
                <w:color w:val="auto"/>
                <w:spacing w:val="-9"/>
                <w:sz w:val="24"/>
                <w:highlight w:val="none"/>
                <w:lang w:eastAsia="zh-CN"/>
              </w:rPr>
            </w:pPr>
            <w:r>
              <w:rPr>
                <w:rFonts w:hint="eastAsia" w:eastAsia="宋体"/>
                <w:color w:val="auto"/>
                <w:sz w:val="24"/>
                <w:highlight w:val="none"/>
                <w:shd w:val="clear" w:color="auto" w:fill="FFFFFF"/>
                <w:lang w:eastAsia="zh-CN"/>
              </w:rPr>
              <w:t>从业人员1000人以下或营业收入5000万元以下的为中小微型企业</w:t>
            </w:r>
          </w:p>
        </w:tc>
        <w:tc>
          <w:tcPr>
            <w:tcW w:w="1215" w:type="dxa"/>
            <w:noWrap w:val="0"/>
            <w:vAlign w:val="center"/>
          </w:tcPr>
          <w:p w14:paraId="36B3CCE5">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中型企业</w:t>
            </w:r>
          </w:p>
        </w:tc>
        <w:tc>
          <w:tcPr>
            <w:tcW w:w="4322" w:type="dxa"/>
            <w:noWrap w:val="0"/>
            <w:vAlign w:val="center"/>
          </w:tcPr>
          <w:p w14:paraId="728DCA8A">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从业人员300人及以上，且营业收入1000万元及以上的</w:t>
            </w:r>
          </w:p>
        </w:tc>
        <w:tc>
          <w:tcPr>
            <w:tcW w:w="1099" w:type="dxa"/>
            <w:vMerge w:val="restart"/>
            <w:noWrap w:val="0"/>
            <w:vAlign w:val="center"/>
          </w:tcPr>
          <w:p w14:paraId="0243CAA4">
            <w:pPr>
              <w:pStyle w:val="31"/>
              <w:spacing w:before="67"/>
              <w:ind w:left="15"/>
              <w:rPr>
                <w:rFonts w:hint="eastAsia" w:eastAsia="宋体"/>
                <w:color w:val="auto"/>
                <w:sz w:val="24"/>
                <w:highlight w:val="none"/>
              </w:rPr>
            </w:pPr>
            <w:r>
              <w:rPr>
                <w:rFonts w:hint="eastAsia" w:eastAsia="宋体"/>
                <w:color w:val="auto"/>
                <w:sz w:val="24"/>
                <w:highlight w:val="none"/>
              </w:rPr>
              <w:t>从业人员营业收入</w:t>
            </w:r>
          </w:p>
        </w:tc>
      </w:tr>
      <w:tr w14:paraId="4C0F6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6DD295EE">
            <w:pPr>
              <w:pStyle w:val="31"/>
              <w:spacing w:before="80"/>
              <w:ind w:left="40" w:right="32"/>
              <w:rPr>
                <w:rFonts w:hint="eastAsia" w:eastAsia="宋体"/>
                <w:color w:val="auto"/>
                <w:sz w:val="24"/>
                <w:highlight w:val="none"/>
              </w:rPr>
            </w:pPr>
          </w:p>
        </w:tc>
        <w:tc>
          <w:tcPr>
            <w:tcW w:w="860" w:type="dxa"/>
            <w:vMerge w:val="continue"/>
            <w:noWrap w:val="0"/>
            <w:vAlign w:val="center"/>
          </w:tcPr>
          <w:p w14:paraId="716D58B8">
            <w:pPr>
              <w:pStyle w:val="31"/>
              <w:spacing w:before="67"/>
              <w:ind w:left="7" w:right="2"/>
              <w:rPr>
                <w:rFonts w:hint="eastAsia" w:eastAsia="宋体"/>
                <w:color w:val="auto"/>
                <w:sz w:val="24"/>
                <w:highlight w:val="none"/>
                <w:shd w:val="clear" w:color="auto" w:fill="FFFFFF"/>
              </w:rPr>
            </w:pPr>
          </w:p>
        </w:tc>
        <w:tc>
          <w:tcPr>
            <w:tcW w:w="2157" w:type="dxa"/>
            <w:vMerge w:val="continue"/>
            <w:noWrap w:val="0"/>
            <w:vAlign w:val="center"/>
          </w:tcPr>
          <w:p w14:paraId="2C19C776">
            <w:pPr>
              <w:pStyle w:val="31"/>
              <w:spacing w:before="67"/>
              <w:ind w:left="7"/>
              <w:rPr>
                <w:rFonts w:hint="eastAsia" w:eastAsia="宋体"/>
                <w:color w:val="auto"/>
                <w:spacing w:val="-9"/>
                <w:sz w:val="24"/>
                <w:highlight w:val="none"/>
                <w:lang w:eastAsia="zh-CN"/>
              </w:rPr>
            </w:pPr>
          </w:p>
        </w:tc>
        <w:tc>
          <w:tcPr>
            <w:tcW w:w="1215" w:type="dxa"/>
            <w:noWrap w:val="0"/>
            <w:vAlign w:val="center"/>
          </w:tcPr>
          <w:p w14:paraId="19D17C6F">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小型企业</w:t>
            </w:r>
          </w:p>
        </w:tc>
        <w:tc>
          <w:tcPr>
            <w:tcW w:w="4322" w:type="dxa"/>
            <w:noWrap w:val="0"/>
            <w:vAlign w:val="center"/>
          </w:tcPr>
          <w:p w14:paraId="00246420">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从业人员100人及以上，且营业收入500万元及以上的</w:t>
            </w:r>
          </w:p>
        </w:tc>
        <w:tc>
          <w:tcPr>
            <w:tcW w:w="1099" w:type="dxa"/>
            <w:vMerge w:val="continue"/>
            <w:noWrap w:val="0"/>
            <w:vAlign w:val="center"/>
          </w:tcPr>
          <w:p w14:paraId="0197ECE1">
            <w:pPr>
              <w:pStyle w:val="31"/>
              <w:spacing w:before="67"/>
              <w:ind w:left="15"/>
              <w:rPr>
                <w:rFonts w:hint="eastAsia" w:eastAsia="宋体"/>
                <w:color w:val="auto"/>
                <w:sz w:val="24"/>
                <w:highlight w:val="none"/>
                <w:lang w:eastAsia="zh-CN"/>
              </w:rPr>
            </w:pPr>
          </w:p>
        </w:tc>
      </w:tr>
      <w:tr w14:paraId="7D453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0F9F3BE4">
            <w:pPr>
              <w:pStyle w:val="31"/>
              <w:spacing w:before="80"/>
              <w:ind w:left="40" w:right="32"/>
              <w:rPr>
                <w:rFonts w:hint="eastAsia" w:eastAsia="宋体"/>
                <w:color w:val="auto"/>
                <w:sz w:val="24"/>
                <w:highlight w:val="none"/>
                <w:lang w:eastAsia="zh-CN"/>
              </w:rPr>
            </w:pPr>
          </w:p>
        </w:tc>
        <w:tc>
          <w:tcPr>
            <w:tcW w:w="860" w:type="dxa"/>
            <w:vMerge w:val="continue"/>
            <w:noWrap w:val="0"/>
            <w:vAlign w:val="center"/>
          </w:tcPr>
          <w:p w14:paraId="6300D3EF">
            <w:pPr>
              <w:pStyle w:val="31"/>
              <w:spacing w:before="67"/>
              <w:ind w:left="7" w:right="2"/>
              <w:rPr>
                <w:rFonts w:hint="eastAsia" w:eastAsia="宋体"/>
                <w:color w:val="auto"/>
                <w:sz w:val="24"/>
                <w:highlight w:val="none"/>
                <w:shd w:val="clear" w:color="auto" w:fill="FFFFFF"/>
                <w:lang w:eastAsia="zh-CN"/>
              </w:rPr>
            </w:pPr>
          </w:p>
        </w:tc>
        <w:tc>
          <w:tcPr>
            <w:tcW w:w="2157" w:type="dxa"/>
            <w:vMerge w:val="continue"/>
            <w:noWrap w:val="0"/>
            <w:vAlign w:val="center"/>
          </w:tcPr>
          <w:p w14:paraId="06892E8E">
            <w:pPr>
              <w:pStyle w:val="31"/>
              <w:spacing w:before="67"/>
              <w:ind w:left="7"/>
              <w:rPr>
                <w:rFonts w:hint="eastAsia" w:eastAsia="宋体"/>
                <w:color w:val="auto"/>
                <w:spacing w:val="-9"/>
                <w:sz w:val="24"/>
                <w:highlight w:val="none"/>
                <w:lang w:eastAsia="zh-CN"/>
              </w:rPr>
            </w:pPr>
          </w:p>
        </w:tc>
        <w:tc>
          <w:tcPr>
            <w:tcW w:w="1215" w:type="dxa"/>
            <w:noWrap w:val="0"/>
            <w:vAlign w:val="center"/>
          </w:tcPr>
          <w:p w14:paraId="2AD42132">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微型企业</w:t>
            </w:r>
          </w:p>
        </w:tc>
        <w:tc>
          <w:tcPr>
            <w:tcW w:w="4322" w:type="dxa"/>
            <w:noWrap w:val="0"/>
            <w:vAlign w:val="center"/>
          </w:tcPr>
          <w:p w14:paraId="1884C547">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从业人员100人以下或营业收入500万元以下的为</w:t>
            </w:r>
          </w:p>
        </w:tc>
        <w:tc>
          <w:tcPr>
            <w:tcW w:w="1099" w:type="dxa"/>
            <w:vMerge w:val="continue"/>
            <w:noWrap w:val="0"/>
            <w:vAlign w:val="center"/>
          </w:tcPr>
          <w:p w14:paraId="5EB45AC4">
            <w:pPr>
              <w:pStyle w:val="31"/>
              <w:spacing w:before="67"/>
              <w:ind w:left="15"/>
              <w:rPr>
                <w:rFonts w:hint="eastAsia" w:eastAsia="宋体"/>
                <w:color w:val="auto"/>
                <w:sz w:val="24"/>
                <w:highlight w:val="none"/>
                <w:lang w:eastAsia="zh-CN"/>
              </w:rPr>
            </w:pPr>
          </w:p>
        </w:tc>
      </w:tr>
      <w:tr w14:paraId="6311B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149D0C12">
            <w:pPr>
              <w:pStyle w:val="31"/>
              <w:spacing w:before="80"/>
              <w:ind w:left="40" w:right="32"/>
              <w:rPr>
                <w:rFonts w:eastAsia="宋体"/>
                <w:color w:val="auto"/>
                <w:sz w:val="24"/>
                <w:highlight w:val="none"/>
                <w:lang w:eastAsia="zh-CN"/>
              </w:rPr>
            </w:pPr>
            <w:r>
              <w:rPr>
                <w:rFonts w:hint="eastAsia" w:eastAsia="宋体"/>
                <w:color w:val="auto"/>
                <w:sz w:val="24"/>
                <w:highlight w:val="none"/>
                <w:lang w:eastAsia="zh-CN"/>
              </w:rPr>
              <w:t>15</w:t>
            </w:r>
          </w:p>
        </w:tc>
        <w:tc>
          <w:tcPr>
            <w:tcW w:w="860" w:type="dxa"/>
            <w:vMerge w:val="restart"/>
            <w:noWrap w:val="0"/>
            <w:vAlign w:val="center"/>
          </w:tcPr>
          <w:p w14:paraId="580CD60D">
            <w:pPr>
              <w:pStyle w:val="31"/>
              <w:spacing w:before="67"/>
              <w:ind w:left="7" w:right="2"/>
              <w:rPr>
                <w:rFonts w:hint="eastAsia" w:eastAsia="宋体"/>
                <w:color w:val="auto"/>
                <w:sz w:val="24"/>
                <w:highlight w:val="none"/>
                <w:shd w:val="clear" w:color="auto" w:fill="FFFFFF"/>
              </w:rPr>
            </w:pPr>
            <w:r>
              <w:rPr>
                <w:rFonts w:hint="eastAsia" w:eastAsia="宋体"/>
                <w:color w:val="auto"/>
                <w:sz w:val="24"/>
                <w:highlight w:val="none"/>
                <w:shd w:val="clear" w:color="auto" w:fill="FFFFFF"/>
              </w:rPr>
              <w:t>租赁和商务服务业</w:t>
            </w:r>
          </w:p>
        </w:tc>
        <w:tc>
          <w:tcPr>
            <w:tcW w:w="2157" w:type="dxa"/>
            <w:vMerge w:val="restart"/>
            <w:noWrap w:val="0"/>
            <w:vAlign w:val="center"/>
          </w:tcPr>
          <w:p w14:paraId="0BE1AB61">
            <w:pPr>
              <w:pStyle w:val="31"/>
              <w:spacing w:before="67"/>
              <w:ind w:left="7"/>
              <w:rPr>
                <w:rFonts w:hint="eastAsia" w:eastAsia="宋体"/>
                <w:color w:val="auto"/>
                <w:spacing w:val="-9"/>
                <w:sz w:val="24"/>
                <w:highlight w:val="none"/>
                <w:lang w:eastAsia="zh-CN"/>
              </w:rPr>
            </w:pPr>
            <w:r>
              <w:rPr>
                <w:rFonts w:hint="eastAsia" w:eastAsia="宋体"/>
                <w:color w:val="auto"/>
                <w:sz w:val="24"/>
                <w:highlight w:val="none"/>
                <w:shd w:val="clear" w:color="auto" w:fill="FFFFFF"/>
                <w:lang w:eastAsia="zh-CN"/>
              </w:rPr>
              <w:t>从业人员300人以下或资产总额120000万元以下的为中小微型企业</w:t>
            </w:r>
          </w:p>
        </w:tc>
        <w:tc>
          <w:tcPr>
            <w:tcW w:w="1215" w:type="dxa"/>
            <w:noWrap w:val="0"/>
            <w:vAlign w:val="center"/>
          </w:tcPr>
          <w:p w14:paraId="04BE5B04">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中型企业</w:t>
            </w:r>
          </w:p>
        </w:tc>
        <w:tc>
          <w:tcPr>
            <w:tcW w:w="4322" w:type="dxa"/>
            <w:noWrap w:val="0"/>
            <w:vAlign w:val="center"/>
          </w:tcPr>
          <w:p w14:paraId="46751162">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从业人员100人及以上，且资产总额8000万元及以上的</w:t>
            </w:r>
          </w:p>
        </w:tc>
        <w:tc>
          <w:tcPr>
            <w:tcW w:w="1099" w:type="dxa"/>
            <w:vMerge w:val="restart"/>
            <w:noWrap w:val="0"/>
            <w:vAlign w:val="center"/>
          </w:tcPr>
          <w:p w14:paraId="65F665F6">
            <w:pPr>
              <w:pStyle w:val="31"/>
              <w:spacing w:before="67"/>
              <w:ind w:left="15"/>
              <w:rPr>
                <w:rFonts w:hint="eastAsia" w:eastAsia="宋体"/>
                <w:color w:val="auto"/>
                <w:sz w:val="24"/>
                <w:highlight w:val="none"/>
              </w:rPr>
            </w:pPr>
            <w:r>
              <w:rPr>
                <w:rFonts w:hint="eastAsia" w:eastAsia="宋体"/>
                <w:color w:val="auto"/>
                <w:sz w:val="24"/>
                <w:highlight w:val="none"/>
              </w:rPr>
              <w:t>从业人员营业收入</w:t>
            </w:r>
          </w:p>
        </w:tc>
      </w:tr>
      <w:tr w14:paraId="1C706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440ED84F">
            <w:pPr>
              <w:pStyle w:val="31"/>
              <w:spacing w:before="80"/>
              <w:ind w:left="40" w:right="32"/>
              <w:rPr>
                <w:rFonts w:hint="eastAsia" w:eastAsia="宋体"/>
                <w:color w:val="auto"/>
                <w:sz w:val="24"/>
                <w:highlight w:val="none"/>
              </w:rPr>
            </w:pPr>
          </w:p>
        </w:tc>
        <w:tc>
          <w:tcPr>
            <w:tcW w:w="860" w:type="dxa"/>
            <w:vMerge w:val="continue"/>
            <w:noWrap w:val="0"/>
            <w:vAlign w:val="center"/>
          </w:tcPr>
          <w:p w14:paraId="65C930B7">
            <w:pPr>
              <w:pStyle w:val="31"/>
              <w:spacing w:before="67"/>
              <w:ind w:left="7" w:right="2"/>
              <w:rPr>
                <w:rFonts w:hint="eastAsia" w:eastAsia="宋体"/>
                <w:color w:val="auto"/>
                <w:sz w:val="24"/>
                <w:highlight w:val="none"/>
                <w:shd w:val="clear" w:color="auto" w:fill="FFFFFF"/>
              </w:rPr>
            </w:pPr>
          </w:p>
        </w:tc>
        <w:tc>
          <w:tcPr>
            <w:tcW w:w="2157" w:type="dxa"/>
            <w:vMerge w:val="continue"/>
            <w:noWrap w:val="0"/>
            <w:vAlign w:val="center"/>
          </w:tcPr>
          <w:p w14:paraId="02E4EA73">
            <w:pPr>
              <w:pStyle w:val="31"/>
              <w:spacing w:before="67"/>
              <w:ind w:left="7"/>
              <w:rPr>
                <w:rFonts w:hint="eastAsia" w:eastAsia="宋体"/>
                <w:color w:val="auto"/>
                <w:spacing w:val="-9"/>
                <w:sz w:val="24"/>
                <w:highlight w:val="none"/>
                <w:lang w:eastAsia="zh-CN"/>
              </w:rPr>
            </w:pPr>
          </w:p>
        </w:tc>
        <w:tc>
          <w:tcPr>
            <w:tcW w:w="1215" w:type="dxa"/>
            <w:noWrap w:val="0"/>
            <w:vAlign w:val="center"/>
          </w:tcPr>
          <w:p w14:paraId="432B982F">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小型企业</w:t>
            </w:r>
          </w:p>
        </w:tc>
        <w:tc>
          <w:tcPr>
            <w:tcW w:w="4322" w:type="dxa"/>
            <w:noWrap w:val="0"/>
            <w:vAlign w:val="center"/>
          </w:tcPr>
          <w:p w14:paraId="00492525">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从业人员10人及以上，且资产总额100万元及以上的</w:t>
            </w:r>
          </w:p>
        </w:tc>
        <w:tc>
          <w:tcPr>
            <w:tcW w:w="1099" w:type="dxa"/>
            <w:vMerge w:val="continue"/>
            <w:noWrap w:val="0"/>
            <w:vAlign w:val="center"/>
          </w:tcPr>
          <w:p w14:paraId="3ACB2561">
            <w:pPr>
              <w:pStyle w:val="31"/>
              <w:spacing w:before="67"/>
              <w:ind w:left="15"/>
              <w:rPr>
                <w:rFonts w:hint="eastAsia" w:eastAsia="宋体"/>
                <w:color w:val="auto"/>
                <w:sz w:val="24"/>
                <w:highlight w:val="none"/>
                <w:lang w:eastAsia="zh-CN"/>
              </w:rPr>
            </w:pPr>
          </w:p>
        </w:tc>
      </w:tr>
      <w:tr w14:paraId="5C105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2FC0D759">
            <w:pPr>
              <w:pStyle w:val="31"/>
              <w:spacing w:before="80"/>
              <w:ind w:left="40" w:right="32"/>
              <w:rPr>
                <w:rFonts w:hint="eastAsia" w:eastAsia="宋体"/>
                <w:color w:val="auto"/>
                <w:sz w:val="24"/>
                <w:highlight w:val="none"/>
                <w:lang w:eastAsia="zh-CN"/>
              </w:rPr>
            </w:pPr>
          </w:p>
        </w:tc>
        <w:tc>
          <w:tcPr>
            <w:tcW w:w="860" w:type="dxa"/>
            <w:vMerge w:val="continue"/>
            <w:noWrap w:val="0"/>
            <w:vAlign w:val="center"/>
          </w:tcPr>
          <w:p w14:paraId="411E96FF">
            <w:pPr>
              <w:pStyle w:val="31"/>
              <w:spacing w:before="67"/>
              <w:ind w:left="7" w:right="2"/>
              <w:rPr>
                <w:rFonts w:hint="eastAsia" w:eastAsia="宋体"/>
                <w:color w:val="auto"/>
                <w:sz w:val="24"/>
                <w:highlight w:val="none"/>
                <w:shd w:val="clear" w:color="auto" w:fill="FFFFFF"/>
                <w:lang w:eastAsia="zh-CN"/>
              </w:rPr>
            </w:pPr>
          </w:p>
        </w:tc>
        <w:tc>
          <w:tcPr>
            <w:tcW w:w="2157" w:type="dxa"/>
            <w:vMerge w:val="continue"/>
            <w:noWrap w:val="0"/>
            <w:vAlign w:val="center"/>
          </w:tcPr>
          <w:p w14:paraId="2895F05A">
            <w:pPr>
              <w:pStyle w:val="31"/>
              <w:spacing w:before="67"/>
              <w:ind w:left="7"/>
              <w:rPr>
                <w:rFonts w:hint="eastAsia" w:eastAsia="宋体"/>
                <w:color w:val="auto"/>
                <w:spacing w:val="-9"/>
                <w:sz w:val="24"/>
                <w:highlight w:val="none"/>
                <w:lang w:eastAsia="zh-CN"/>
              </w:rPr>
            </w:pPr>
          </w:p>
        </w:tc>
        <w:tc>
          <w:tcPr>
            <w:tcW w:w="1215" w:type="dxa"/>
            <w:noWrap w:val="0"/>
            <w:vAlign w:val="center"/>
          </w:tcPr>
          <w:p w14:paraId="1B328D2C">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微型企业</w:t>
            </w:r>
          </w:p>
        </w:tc>
        <w:tc>
          <w:tcPr>
            <w:tcW w:w="4322" w:type="dxa"/>
            <w:noWrap w:val="0"/>
            <w:vAlign w:val="center"/>
          </w:tcPr>
          <w:p w14:paraId="60B43290">
            <w:pPr>
              <w:pStyle w:val="31"/>
              <w:spacing w:before="67"/>
              <w:ind w:left="15"/>
              <w:rPr>
                <w:rFonts w:hint="eastAsia" w:eastAsia="宋体"/>
                <w:color w:val="auto"/>
                <w:sz w:val="24"/>
                <w:highlight w:val="none"/>
                <w:shd w:val="clear" w:color="auto" w:fill="FFFFFF"/>
                <w:lang w:eastAsia="zh-CN"/>
              </w:rPr>
            </w:pPr>
            <w:r>
              <w:rPr>
                <w:rFonts w:hint="eastAsia" w:eastAsia="宋体"/>
                <w:color w:val="auto"/>
                <w:sz w:val="24"/>
                <w:highlight w:val="none"/>
                <w:shd w:val="clear" w:color="auto" w:fill="FFFFFF"/>
                <w:lang w:eastAsia="zh-CN"/>
              </w:rPr>
              <w:t>从业人员10人以下或资产总额100万元以下的</w:t>
            </w:r>
          </w:p>
        </w:tc>
        <w:tc>
          <w:tcPr>
            <w:tcW w:w="1099" w:type="dxa"/>
            <w:vMerge w:val="continue"/>
            <w:noWrap w:val="0"/>
            <w:vAlign w:val="center"/>
          </w:tcPr>
          <w:p w14:paraId="54A0C881">
            <w:pPr>
              <w:pStyle w:val="31"/>
              <w:spacing w:before="67"/>
              <w:ind w:left="15"/>
              <w:rPr>
                <w:rFonts w:hint="eastAsia" w:eastAsia="宋体"/>
                <w:color w:val="auto"/>
                <w:sz w:val="24"/>
                <w:highlight w:val="none"/>
                <w:lang w:eastAsia="zh-CN"/>
              </w:rPr>
            </w:pPr>
          </w:p>
        </w:tc>
      </w:tr>
      <w:tr w14:paraId="3B09F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0B9ECB7D">
            <w:pPr>
              <w:pStyle w:val="31"/>
              <w:spacing w:before="80"/>
              <w:ind w:left="40" w:right="32"/>
              <w:rPr>
                <w:rFonts w:eastAsia="宋体"/>
                <w:color w:val="auto"/>
                <w:sz w:val="24"/>
                <w:highlight w:val="none"/>
                <w:lang w:eastAsia="zh-CN"/>
              </w:rPr>
            </w:pPr>
            <w:r>
              <w:rPr>
                <w:rFonts w:hint="eastAsia" w:eastAsia="宋体"/>
                <w:color w:val="auto"/>
                <w:sz w:val="24"/>
                <w:highlight w:val="none"/>
                <w:lang w:eastAsia="zh-CN"/>
              </w:rPr>
              <w:t>16</w:t>
            </w:r>
          </w:p>
        </w:tc>
        <w:tc>
          <w:tcPr>
            <w:tcW w:w="860" w:type="dxa"/>
            <w:vMerge w:val="restart"/>
            <w:noWrap w:val="0"/>
            <w:vAlign w:val="center"/>
          </w:tcPr>
          <w:p w14:paraId="5CC7F3E0">
            <w:pPr>
              <w:pStyle w:val="31"/>
              <w:spacing w:before="67"/>
              <w:ind w:left="7" w:right="2"/>
              <w:rPr>
                <w:rFonts w:hint="eastAsia" w:eastAsia="宋体"/>
                <w:color w:val="auto"/>
                <w:sz w:val="24"/>
                <w:highlight w:val="none"/>
                <w:shd w:val="clear" w:color="auto" w:fill="FFFFFF"/>
              </w:rPr>
            </w:pPr>
            <w:r>
              <w:rPr>
                <w:rFonts w:hint="eastAsia" w:eastAsia="宋体"/>
                <w:color w:val="auto"/>
                <w:sz w:val="24"/>
                <w:highlight w:val="none"/>
                <w:shd w:val="clear" w:color="auto" w:fill="FFFFFF"/>
              </w:rPr>
              <w:t>其他未列明行业</w:t>
            </w:r>
          </w:p>
        </w:tc>
        <w:tc>
          <w:tcPr>
            <w:tcW w:w="2157" w:type="dxa"/>
            <w:vMerge w:val="restart"/>
            <w:noWrap w:val="0"/>
            <w:vAlign w:val="center"/>
          </w:tcPr>
          <w:p w14:paraId="3E80168E">
            <w:pPr>
              <w:pStyle w:val="31"/>
              <w:spacing w:before="67"/>
              <w:ind w:left="7"/>
              <w:rPr>
                <w:rFonts w:hint="eastAsia" w:eastAsia="宋体"/>
                <w:color w:val="auto"/>
                <w:spacing w:val="-9"/>
                <w:sz w:val="24"/>
                <w:highlight w:val="none"/>
                <w:lang w:eastAsia="zh-CN"/>
              </w:rPr>
            </w:pPr>
            <w:r>
              <w:rPr>
                <w:rFonts w:hint="eastAsia" w:eastAsia="宋体"/>
                <w:color w:val="auto"/>
                <w:sz w:val="24"/>
                <w:highlight w:val="none"/>
                <w:shd w:val="clear" w:color="auto" w:fill="FFFFFF"/>
                <w:lang w:eastAsia="zh-CN"/>
              </w:rPr>
              <w:t>从业人员300人以下的为中小微型企业。</w:t>
            </w:r>
          </w:p>
        </w:tc>
        <w:tc>
          <w:tcPr>
            <w:tcW w:w="1215" w:type="dxa"/>
            <w:noWrap w:val="0"/>
            <w:vAlign w:val="center"/>
          </w:tcPr>
          <w:p w14:paraId="21796FDD">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中型企业</w:t>
            </w:r>
          </w:p>
        </w:tc>
        <w:tc>
          <w:tcPr>
            <w:tcW w:w="4322" w:type="dxa"/>
            <w:noWrap w:val="0"/>
            <w:vAlign w:val="center"/>
          </w:tcPr>
          <w:p w14:paraId="60A6D6D0">
            <w:pPr>
              <w:pStyle w:val="31"/>
              <w:spacing w:before="67"/>
              <w:ind w:left="15"/>
              <w:rPr>
                <w:rFonts w:hint="eastAsia" w:eastAsia="宋体"/>
                <w:color w:val="auto"/>
                <w:sz w:val="24"/>
                <w:highlight w:val="none"/>
                <w:shd w:val="clear" w:color="auto" w:fill="FFFFFF"/>
              </w:rPr>
            </w:pPr>
            <w:r>
              <w:rPr>
                <w:rFonts w:hint="eastAsia" w:eastAsia="宋体"/>
                <w:color w:val="auto"/>
                <w:sz w:val="24"/>
                <w:highlight w:val="none"/>
                <w:shd w:val="clear" w:color="auto" w:fill="FFFFFF"/>
              </w:rPr>
              <w:t>从业人员100人及以上的</w:t>
            </w:r>
          </w:p>
        </w:tc>
        <w:tc>
          <w:tcPr>
            <w:tcW w:w="1099" w:type="dxa"/>
            <w:vMerge w:val="restart"/>
            <w:noWrap w:val="0"/>
            <w:vAlign w:val="center"/>
          </w:tcPr>
          <w:p w14:paraId="64ED97D6">
            <w:pPr>
              <w:pStyle w:val="31"/>
              <w:spacing w:before="67"/>
              <w:ind w:left="15"/>
              <w:rPr>
                <w:rFonts w:hint="eastAsia" w:eastAsia="宋体"/>
                <w:color w:val="auto"/>
                <w:sz w:val="24"/>
                <w:highlight w:val="none"/>
              </w:rPr>
            </w:pPr>
            <w:r>
              <w:rPr>
                <w:rFonts w:hint="eastAsia" w:eastAsia="宋体"/>
                <w:color w:val="auto"/>
                <w:sz w:val="24"/>
                <w:highlight w:val="none"/>
              </w:rPr>
              <w:t>从业人员营业收入</w:t>
            </w:r>
          </w:p>
        </w:tc>
      </w:tr>
      <w:tr w14:paraId="4CFD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579D14E8">
            <w:pPr>
              <w:pStyle w:val="31"/>
              <w:spacing w:before="80"/>
              <w:ind w:left="40" w:right="32"/>
              <w:rPr>
                <w:rFonts w:hint="eastAsia" w:eastAsia="宋体"/>
                <w:color w:val="auto"/>
                <w:sz w:val="24"/>
                <w:highlight w:val="none"/>
              </w:rPr>
            </w:pPr>
          </w:p>
        </w:tc>
        <w:tc>
          <w:tcPr>
            <w:tcW w:w="860" w:type="dxa"/>
            <w:vMerge w:val="continue"/>
            <w:noWrap w:val="0"/>
            <w:vAlign w:val="center"/>
          </w:tcPr>
          <w:p w14:paraId="6984CD74">
            <w:pPr>
              <w:pStyle w:val="31"/>
              <w:spacing w:before="67"/>
              <w:ind w:left="7" w:right="2"/>
              <w:rPr>
                <w:rFonts w:hint="eastAsia" w:eastAsia="宋体"/>
                <w:color w:val="auto"/>
                <w:sz w:val="24"/>
                <w:highlight w:val="none"/>
                <w:shd w:val="clear" w:color="auto" w:fill="FFFFFF"/>
              </w:rPr>
            </w:pPr>
          </w:p>
        </w:tc>
        <w:tc>
          <w:tcPr>
            <w:tcW w:w="2157" w:type="dxa"/>
            <w:vMerge w:val="continue"/>
            <w:noWrap w:val="0"/>
            <w:vAlign w:val="center"/>
          </w:tcPr>
          <w:p w14:paraId="16D0F68F">
            <w:pPr>
              <w:pStyle w:val="31"/>
              <w:spacing w:before="67"/>
              <w:ind w:left="7"/>
              <w:rPr>
                <w:rFonts w:hint="eastAsia" w:eastAsia="宋体"/>
                <w:color w:val="auto"/>
                <w:spacing w:val="-9"/>
                <w:sz w:val="24"/>
                <w:highlight w:val="none"/>
                <w:lang w:eastAsia="zh-CN"/>
              </w:rPr>
            </w:pPr>
          </w:p>
        </w:tc>
        <w:tc>
          <w:tcPr>
            <w:tcW w:w="1215" w:type="dxa"/>
            <w:noWrap w:val="0"/>
            <w:vAlign w:val="center"/>
          </w:tcPr>
          <w:p w14:paraId="368D97F6">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小型企业</w:t>
            </w:r>
          </w:p>
        </w:tc>
        <w:tc>
          <w:tcPr>
            <w:tcW w:w="4322" w:type="dxa"/>
            <w:noWrap w:val="0"/>
            <w:vAlign w:val="center"/>
          </w:tcPr>
          <w:p w14:paraId="730AF091">
            <w:pPr>
              <w:pStyle w:val="31"/>
              <w:spacing w:before="67"/>
              <w:ind w:left="15"/>
              <w:rPr>
                <w:rFonts w:hint="eastAsia" w:eastAsia="宋体"/>
                <w:color w:val="auto"/>
                <w:sz w:val="24"/>
                <w:highlight w:val="none"/>
                <w:shd w:val="clear" w:color="auto" w:fill="FFFFFF"/>
              </w:rPr>
            </w:pPr>
            <w:r>
              <w:rPr>
                <w:rFonts w:hint="eastAsia" w:eastAsia="宋体"/>
                <w:color w:val="auto"/>
                <w:sz w:val="24"/>
                <w:highlight w:val="none"/>
                <w:shd w:val="clear" w:color="auto" w:fill="FFFFFF"/>
              </w:rPr>
              <w:t>从业人员10人及以上的</w:t>
            </w:r>
          </w:p>
        </w:tc>
        <w:tc>
          <w:tcPr>
            <w:tcW w:w="1099" w:type="dxa"/>
            <w:vMerge w:val="continue"/>
            <w:noWrap w:val="0"/>
            <w:vAlign w:val="center"/>
          </w:tcPr>
          <w:p w14:paraId="6727E605">
            <w:pPr>
              <w:pStyle w:val="31"/>
              <w:spacing w:before="67"/>
              <w:ind w:left="15"/>
              <w:rPr>
                <w:rFonts w:hint="eastAsia" w:eastAsia="宋体"/>
                <w:color w:val="auto"/>
                <w:sz w:val="24"/>
                <w:highlight w:val="none"/>
              </w:rPr>
            </w:pPr>
          </w:p>
        </w:tc>
      </w:tr>
      <w:tr w14:paraId="60951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338C24C4">
            <w:pPr>
              <w:pStyle w:val="31"/>
              <w:spacing w:before="80"/>
              <w:ind w:left="40" w:right="32"/>
              <w:rPr>
                <w:rFonts w:hint="eastAsia" w:eastAsia="宋体"/>
                <w:color w:val="auto"/>
                <w:sz w:val="24"/>
                <w:highlight w:val="none"/>
              </w:rPr>
            </w:pPr>
          </w:p>
        </w:tc>
        <w:tc>
          <w:tcPr>
            <w:tcW w:w="860" w:type="dxa"/>
            <w:vMerge w:val="continue"/>
            <w:noWrap w:val="0"/>
            <w:vAlign w:val="center"/>
          </w:tcPr>
          <w:p w14:paraId="0FDFCBE2">
            <w:pPr>
              <w:pStyle w:val="31"/>
              <w:spacing w:before="67"/>
              <w:ind w:left="7" w:right="2"/>
              <w:rPr>
                <w:rFonts w:hint="eastAsia" w:eastAsia="宋体"/>
                <w:color w:val="auto"/>
                <w:sz w:val="24"/>
                <w:highlight w:val="none"/>
                <w:shd w:val="clear" w:color="auto" w:fill="FFFFFF"/>
              </w:rPr>
            </w:pPr>
          </w:p>
        </w:tc>
        <w:tc>
          <w:tcPr>
            <w:tcW w:w="2157" w:type="dxa"/>
            <w:vMerge w:val="continue"/>
            <w:noWrap w:val="0"/>
            <w:vAlign w:val="center"/>
          </w:tcPr>
          <w:p w14:paraId="64C7BDF6">
            <w:pPr>
              <w:pStyle w:val="31"/>
              <w:spacing w:before="67"/>
              <w:ind w:left="7"/>
              <w:rPr>
                <w:rFonts w:hint="eastAsia" w:eastAsia="宋体"/>
                <w:color w:val="auto"/>
                <w:spacing w:val="-9"/>
                <w:sz w:val="24"/>
                <w:highlight w:val="none"/>
                <w:lang w:eastAsia="zh-CN"/>
              </w:rPr>
            </w:pPr>
          </w:p>
        </w:tc>
        <w:tc>
          <w:tcPr>
            <w:tcW w:w="1215" w:type="dxa"/>
            <w:noWrap w:val="0"/>
            <w:vAlign w:val="center"/>
          </w:tcPr>
          <w:p w14:paraId="2D19FDAC">
            <w:pPr>
              <w:pStyle w:val="31"/>
              <w:spacing w:before="67"/>
              <w:ind w:left="13"/>
              <w:rPr>
                <w:rFonts w:hint="eastAsia" w:eastAsia="宋体"/>
                <w:color w:val="auto"/>
                <w:sz w:val="24"/>
                <w:highlight w:val="none"/>
              </w:rPr>
            </w:pPr>
            <w:r>
              <w:rPr>
                <w:rFonts w:hint="eastAsia" w:eastAsia="宋体"/>
                <w:color w:val="auto"/>
                <w:sz w:val="24"/>
                <w:highlight w:val="none"/>
                <w:shd w:val="clear" w:color="auto" w:fill="FFFFFF"/>
              </w:rPr>
              <w:t>微型企业</w:t>
            </w:r>
          </w:p>
        </w:tc>
        <w:tc>
          <w:tcPr>
            <w:tcW w:w="4322" w:type="dxa"/>
            <w:noWrap w:val="0"/>
            <w:vAlign w:val="center"/>
          </w:tcPr>
          <w:p w14:paraId="345AA6DC">
            <w:pPr>
              <w:pStyle w:val="31"/>
              <w:spacing w:before="67"/>
              <w:ind w:left="15"/>
              <w:rPr>
                <w:rFonts w:hint="eastAsia" w:eastAsia="宋体"/>
                <w:color w:val="auto"/>
                <w:sz w:val="24"/>
                <w:highlight w:val="none"/>
                <w:shd w:val="clear" w:color="auto" w:fill="FFFFFF"/>
              </w:rPr>
            </w:pPr>
            <w:r>
              <w:rPr>
                <w:rFonts w:hint="eastAsia" w:eastAsia="宋体"/>
                <w:color w:val="auto"/>
                <w:sz w:val="24"/>
                <w:highlight w:val="none"/>
                <w:shd w:val="clear" w:color="auto" w:fill="FFFFFF"/>
              </w:rPr>
              <w:t>从业人员10人以下的</w:t>
            </w:r>
          </w:p>
        </w:tc>
        <w:tc>
          <w:tcPr>
            <w:tcW w:w="1099" w:type="dxa"/>
            <w:vMerge w:val="continue"/>
            <w:noWrap w:val="0"/>
            <w:vAlign w:val="center"/>
          </w:tcPr>
          <w:p w14:paraId="0309349A">
            <w:pPr>
              <w:pStyle w:val="31"/>
              <w:spacing w:before="67"/>
              <w:ind w:left="15"/>
              <w:rPr>
                <w:rFonts w:hint="eastAsia" w:eastAsia="宋体"/>
                <w:color w:val="auto"/>
                <w:sz w:val="24"/>
                <w:highlight w:val="none"/>
              </w:rPr>
            </w:pPr>
          </w:p>
        </w:tc>
      </w:tr>
    </w:tbl>
    <w:p w14:paraId="395FC3C7">
      <w:pPr>
        <w:widowControl w:val="0"/>
        <w:adjustRightInd/>
        <w:spacing w:after="120" w:line="240" w:lineRule="auto"/>
        <w:ind w:firstLine="210" w:firstLineChars="100"/>
        <w:jc w:val="both"/>
        <w:rPr>
          <w:rFonts w:hint="eastAsia" w:ascii="Times New Roman" w:hAnsi="Times New Roman" w:eastAsia="宋体" w:cs="Times New Roman"/>
          <w:color w:val="auto"/>
          <w:kern w:val="2"/>
          <w:sz w:val="21"/>
          <w:szCs w:val="24"/>
          <w:highlight w:val="none"/>
          <w:lang w:val="en-GB" w:eastAsia="zh-CN" w:bidi="ar-SA"/>
        </w:rPr>
      </w:pPr>
    </w:p>
    <w:p w14:paraId="267DF996">
      <w:pPr>
        <w:rPr>
          <w:rFonts w:hint="eastAsia" w:ascii="Times New Roman" w:hAnsi="Times New Roman" w:eastAsia="宋体" w:cs="Times New Roman"/>
          <w:color w:val="auto"/>
          <w:highlight w:val="none"/>
          <w:lang w:val="en-GB"/>
        </w:rPr>
      </w:pPr>
    </w:p>
    <w:p w14:paraId="557C1080">
      <w:pPr>
        <w:spacing w:line="440" w:lineRule="atLeast"/>
        <w:rPr>
          <w:rFonts w:ascii="宋体" w:hAnsi="宋体" w:eastAsia="宋体" w:cs="宋体"/>
          <w:color w:val="auto"/>
          <w:sz w:val="22"/>
          <w:szCs w:val="22"/>
          <w:highlight w:val="none"/>
        </w:rPr>
      </w:pPr>
      <w:r>
        <w:rPr>
          <w:rFonts w:hint="eastAsia" w:ascii="Times New Roman" w:hAnsi="Times New Roman" w:eastAsia="宋体" w:cs="Times New Roman"/>
          <w:color w:val="auto"/>
          <w:kern w:val="2"/>
          <w:sz w:val="21"/>
          <w:szCs w:val="24"/>
          <w:highlight w:val="none"/>
          <w:lang w:val="en-GB" w:eastAsia="zh-CN" w:bidi="ar-SA"/>
        </w:rPr>
        <w:t>该附件可供投标人参考。</w:t>
      </w:r>
    </w:p>
    <w:p w14:paraId="504E9EF6">
      <w:pPr>
        <w:widowControl w:val="0"/>
        <w:spacing w:line="360" w:lineRule="exact"/>
        <w:jc w:val="both"/>
        <w:rPr>
          <w:rFonts w:hint="eastAsia" w:ascii="Times New Roman" w:hAnsi="Times New Roman" w:eastAsia="宋体" w:cs="Times New Roman"/>
          <w:color w:val="auto"/>
          <w:kern w:val="2"/>
          <w:sz w:val="24"/>
          <w:szCs w:val="24"/>
          <w:highlight w:val="none"/>
          <w:lang w:val="en-US" w:eastAsia="zh-CN" w:bidi="ar-SA"/>
        </w:rPr>
      </w:pPr>
    </w:p>
    <w:p w14:paraId="6AE40F18">
      <w:pPr>
        <w:widowControl w:val="0"/>
        <w:spacing w:line="360" w:lineRule="exact"/>
        <w:jc w:val="both"/>
        <w:rPr>
          <w:rFonts w:hint="eastAsia" w:ascii="Times New Roman" w:hAnsi="Times New Roman" w:eastAsia="宋体" w:cs="Times New Roman"/>
          <w:color w:val="auto"/>
          <w:kern w:val="2"/>
          <w:sz w:val="24"/>
          <w:szCs w:val="24"/>
          <w:highlight w:val="none"/>
          <w:lang w:val="en-US" w:eastAsia="zh-CN" w:bidi="ar-SA"/>
        </w:rPr>
      </w:pPr>
    </w:p>
    <w:p w14:paraId="6E19E72C">
      <w:pPr>
        <w:pStyle w:val="21"/>
        <w:rPr>
          <w:rFonts w:hint="eastAsia" w:ascii="Times New Roman" w:hAnsi="Times New Roman" w:eastAsia="宋体" w:cs="Times New Roman"/>
          <w:color w:val="auto"/>
          <w:kern w:val="2"/>
          <w:sz w:val="24"/>
          <w:szCs w:val="24"/>
          <w:highlight w:val="none"/>
          <w:lang w:val="en-US" w:eastAsia="zh-CN" w:bidi="ar-SA"/>
        </w:rPr>
      </w:pPr>
    </w:p>
    <w:p w14:paraId="543AD8C8">
      <w:pPr>
        <w:pStyle w:val="21"/>
        <w:rPr>
          <w:rFonts w:hint="eastAsia" w:ascii="Times New Roman" w:hAnsi="Times New Roman" w:eastAsia="宋体" w:cs="Times New Roman"/>
          <w:color w:val="auto"/>
          <w:kern w:val="2"/>
          <w:sz w:val="24"/>
          <w:szCs w:val="24"/>
          <w:highlight w:val="none"/>
          <w:lang w:val="en-US" w:eastAsia="zh-CN" w:bidi="ar-SA"/>
        </w:rPr>
      </w:pPr>
    </w:p>
    <w:p w14:paraId="27FEC047">
      <w:pPr>
        <w:pStyle w:val="21"/>
        <w:rPr>
          <w:rFonts w:hint="eastAsia" w:ascii="Times New Roman" w:hAnsi="Times New Roman" w:eastAsia="宋体" w:cs="Times New Roman"/>
          <w:color w:val="auto"/>
          <w:kern w:val="2"/>
          <w:sz w:val="24"/>
          <w:szCs w:val="24"/>
          <w:highlight w:val="none"/>
          <w:lang w:val="en-US" w:eastAsia="zh-CN" w:bidi="ar-SA"/>
        </w:rPr>
      </w:pPr>
    </w:p>
    <w:p w14:paraId="767D024A">
      <w:pPr>
        <w:pStyle w:val="21"/>
        <w:rPr>
          <w:rFonts w:hint="eastAsia" w:ascii="Times New Roman" w:hAnsi="Times New Roman" w:eastAsia="宋体" w:cs="Times New Roman"/>
          <w:color w:val="auto"/>
          <w:kern w:val="2"/>
          <w:sz w:val="24"/>
          <w:szCs w:val="24"/>
          <w:highlight w:val="none"/>
          <w:lang w:val="en-US" w:eastAsia="zh-CN" w:bidi="ar-SA"/>
        </w:rPr>
      </w:pPr>
    </w:p>
    <w:p w14:paraId="38F0E48B">
      <w:pPr>
        <w:pStyle w:val="21"/>
        <w:rPr>
          <w:rFonts w:hint="eastAsia" w:ascii="Times New Roman" w:hAnsi="Times New Roman" w:eastAsia="宋体" w:cs="Times New Roman"/>
          <w:color w:val="auto"/>
          <w:kern w:val="2"/>
          <w:sz w:val="24"/>
          <w:szCs w:val="24"/>
          <w:highlight w:val="none"/>
          <w:lang w:val="en-US" w:eastAsia="zh-CN" w:bidi="ar-SA"/>
        </w:rPr>
      </w:pPr>
    </w:p>
    <w:p w14:paraId="57BB52FC">
      <w:pPr>
        <w:pStyle w:val="21"/>
        <w:rPr>
          <w:rFonts w:hint="eastAsia" w:ascii="Times New Roman" w:hAnsi="Times New Roman" w:eastAsia="宋体" w:cs="Times New Roman"/>
          <w:color w:val="auto"/>
          <w:kern w:val="2"/>
          <w:sz w:val="24"/>
          <w:szCs w:val="24"/>
          <w:highlight w:val="none"/>
          <w:lang w:val="en-US" w:eastAsia="zh-CN" w:bidi="ar-SA"/>
        </w:rPr>
      </w:pPr>
    </w:p>
    <w:p w14:paraId="6090C1BB">
      <w:pPr>
        <w:pStyle w:val="21"/>
        <w:rPr>
          <w:rFonts w:hint="eastAsia" w:ascii="Times New Roman" w:hAnsi="Times New Roman" w:eastAsia="宋体" w:cs="Times New Roman"/>
          <w:color w:val="auto"/>
          <w:kern w:val="2"/>
          <w:sz w:val="24"/>
          <w:szCs w:val="24"/>
          <w:highlight w:val="none"/>
          <w:lang w:val="en-US" w:eastAsia="zh-CN" w:bidi="ar-SA"/>
        </w:rPr>
      </w:pPr>
    </w:p>
    <w:p w14:paraId="1EFFE994">
      <w:pPr>
        <w:pStyle w:val="21"/>
        <w:rPr>
          <w:rFonts w:hint="eastAsia" w:ascii="Times New Roman" w:hAnsi="Times New Roman" w:eastAsia="宋体" w:cs="Times New Roman"/>
          <w:color w:val="auto"/>
          <w:kern w:val="2"/>
          <w:sz w:val="24"/>
          <w:szCs w:val="24"/>
          <w:highlight w:val="none"/>
          <w:lang w:val="en-US" w:eastAsia="zh-CN" w:bidi="ar-SA"/>
        </w:rPr>
      </w:pPr>
    </w:p>
    <w:p w14:paraId="0FA91AA0">
      <w:pPr>
        <w:pStyle w:val="21"/>
        <w:rPr>
          <w:rFonts w:hint="eastAsia" w:ascii="Times New Roman" w:hAnsi="Times New Roman" w:eastAsia="宋体" w:cs="Times New Roman"/>
          <w:color w:val="auto"/>
          <w:kern w:val="2"/>
          <w:sz w:val="24"/>
          <w:szCs w:val="24"/>
          <w:highlight w:val="none"/>
          <w:lang w:val="en-US" w:eastAsia="zh-CN" w:bidi="ar-SA"/>
        </w:rPr>
      </w:pPr>
    </w:p>
    <w:p w14:paraId="55CE4C87">
      <w:pPr>
        <w:widowControl w:val="0"/>
        <w:spacing w:line="360" w:lineRule="exact"/>
        <w:jc w:val="both"/>
        <w:rPr>
          <w:rFonts w:hint="eastAsia" w:ascii="Times New Roman" w:hAnsi="Times New Roman" w:eastAsia="宋体" w:cs="Times New Roman"/>
          <w:color w:val="auto"/>
          <w:kern w:val="2"/>
          <w:sz w:val="24"/>
          <w:szCs w:val="24"/>
          <w:highlight w:val="none"/>
          <w:lang w:val="en-US" w:eastAsia="zh-CN" w:bidi="ar-SA"/>
        </w:rPr>
      </w:pPr>
    </w:p>
    <w:p w14:paraId="7C23010B">
      <w:pPr>
        <w:spacing w:line="360" w:lineRule="auto"/>
        <w:ind w:right="-11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残疾人福利性单位声明函</w:t>
      </w:r>
    </w:p>
    <w:p w14:paraId="0DE64BA3">
      <w:pPr>
        <w:spacing w:line="588" w:lineRule="exact"/>
        <w:ind w:firstLine="504"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656622E">
      <w:pPr>
        <w:spacing w:line="588" w:lineRule="exact"/>
        <w:ind w:firstLine="504" w:firstLineChars="200"/>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本单位对上述声明的真实性负责。如有虚假，将依法承担相应责任。</w:t>
      </w:r>
    </w:p>
    <w:p w14:paraId="313CB06E">
      <w:pPr>
        <w:tabs>
          <w:tab w:val="left" w:pos="4860"/>
        </w:tabs>
        <w:spacing w:line="588" w:lineRule="exact"/>
        <w:ind w:right="1560" w:firstLine="504" w:firstLineChars="200"/>
        <w:jc w:val="center"/>
        <w:rPr>
          <w:rFonts w:ascii="宋体" w:hAnsi="宋体" w:eastAsia="宋体" w:cs="Times New Roman"/>
          <w:color w:val="auto"/>
          <w:spacing w:val="6"/>
          <w:sz w:val="24"/>
          <w:highlight w:val="none"/>
        </w:rPr>
      </w:pPr>
    </w:p>
    <w:p w14:paraId="0535767D">
      <w:pPr>
        <w:tabs>
          <w:tab w:val="left" w:pos="4860"/>
        </w:tabs>
        <w:spacing w:line="588" w:lineRule="exact"/>
        <w:ind w:right="1560" w:firstLine="504" w:firstLineChars="200"/>
        <w:jc w:val="center"/>
        <w:rPr>
          <w:rFonts w:ascii="宋体" w:hAnsi="宋体" w:eastAsia="宋体" w:cs="Times New Roman"/>
          <w:color w:val="auto"/>
          <w:spacing w:val="6"/>
          <w:sz w:val="24"/>
          <w:highlight w:val="none"/>
        </w:rPr>
      </w:pPr>
      <w:r>
        <w:rPr>
          <w:rFonts w:hint="eastAsia" w:ascii="宋体" w:hAnsi="宋体" w:eastAsia="宋体" w:cs="Times New Roman"/>
          <w:color w:val="auto"/>
          <w:spacing w:val="6"/>
          <w:sz w:val="24"/>
          <w:highlight w:val="none"/>
        </w:rPr>
        <w:t xml:space="preserve">   投标人名称（盖章）：</w:t>
      </w:r>
    </w:p>
    <w:p w14:paraId="0203A0AF">
      <w:pPr>
        <w:spacing w:line="360" w:lineRule="auto"/>
        <w:rPr>
          <w:rFonts w:hint="eastAsia" w:ascii="宋体" w:hAnsi="宋体" w:eastAsia="宋体" w:cs="Times New Roman"/>
          <w:color w:val="auto"/>
          <w:spacing w:val="6"/>
          <w:sz w:val="24"/>
          <w:highlight w:val="none"/>
          <w:lang w:val="en-US" w:eastAsia="zh-CN"/>
        </w:rPr>
      </w:pPr>
      <w:r>
        <w:rPr>
          <w:rFonts w:hint="eastAsia" w:ascii="宋体" w:hAnsi="宋体" w:eastAsia="宋体" w:cs="Times New Roman"/>
          <w:color w:val="auto"/>
          <w:spacing w:val="6"/>
          <w:sz w:val="24"/>
          <w:highlight w:val="none"/>
        </w:rPr>
        <w:t xml:space="preserve">         </w:t>
      </w:r>
      <w:r>
        <w:rPr>
          <w:rFonts w:hint="eastAsia" w:ascii="宋体" w:hAnsi="宋体" w:eastAsia="宋体" w:cs="Times New Roman"/>
          <w:color w:val="auto"/>
          <w:spacing w:val="6"/>
          <w:sz w:val="24"/>
          <w:highlight w:val="none"/>
          <w:lang w:val="en-US" w:eastAsia="zh-CN"/>
        </w:rPr>
        <w:t xml:space="preserve">             </w:t>
      </w:r>
    </w:p>
    <w:p w14:paraId="3C91E790">
      <w:pPr>
        <w:pStyle w:val="21"/>
        <w:rPr>
          <w:rFonts w:hint="eastAsia"/>
          <w:color w:val="auto"/>
        </w:rPr>
      </w:pPr>
      <w:r>
        <w:rPr>
          <w:rFonts w:hint="eastAsia" w:ascii="宋体" w:hAnsi="宋体" w:eastAsia="宋体" w:cs="Times New Roman"/>
          <w:color w:val="auto"/>
          <w:spacing w:val="6"/>
          <w:sz w:val="24"/>
          <w:highlight w:val="none"/>
        </w:rPr>
        <w:t xml:space="preserve"> </w:t>
      </w:r>
      <w:r>
        <w:rPr>
          <w:rFonts w:hint="eastAsia" w:ascii="宋体" w:hAnsi="宋体" w:eastAsia="宋体" w:cs="Times New Roman"/>
          <w:color w:val="auto"/>
          <w:spacing w:val="6"/>
          <w:sz w:val="24"/>
          <w:highlight w:val="none"/>
          <w:lang w:val="en-US" w:eastAsia="zh-CN"/>
        </w:rPr>
        <w:t xml:space="preserve">                      </w:t>
      </w:r>
      <w:r>
        <w:rPr>
          <w:rFonts w:hint="eastAsia" w:ascii="宋体" w:hAnsi="宋体" w:eastAsia="宋体" w:cs="Times New Roman"/>
          <w:color w:val="auto"/>
          <w:spacing w:val="6"/>
          <w:sz w:val="24"/>
          <w:highlight w:val="none"/>
        </w:rPr>
        <w:t>日期：     年     月     日</w:t>
      </w:r>
    </w:p>
    <w:p w14:paraId="425846E3">
      <w:pPr>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7BBB">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DC2CA">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81DC2CA">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B6AA">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lang w:val="en-US" w:eastAsia="zh-CN"/>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spacing w:val="-20"/>
        <w:kern w:val="0"/>
        <w:sz w:val="18"/>
        <w:u w:val="single"/>
      </w:rPr>
      <w:t>第</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25</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共</w:t>
    </w:r>
    <w:r>
      <w:rPr>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46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abstractNum w:abstractNumId="1">
    <w:nsid w:val="0000000D"/>
    <w:multiLevelType w:val="singleLevel"/>
    <w:tmpl w:val="0000000D"/>
    <w:lvl w:ilvl="0" w:tentative="0">
      <w:start w:val="2"/>
      <w:numFmt w:val="decimal"/>
      <w:suff w:val="nothing"/>
      <w:lvlText w:val="%1、"/>
      <w:lvlJc w:val="left"/>
    </w:lvl>
  </w:abstractNum>
  <w:abstractNum w:abstractNumId="2">
    <w:nsid w:val="0000000E"/>
    <w:multiLevelType w:val="singleLevel"/>
    <w:tmpl w:val="0000000E"/>
    <w:lvl w:ilvl="0" w:tentative="0">
      <w:start w:val="1"/>
      <w:numFmt w:val="decimal"/>
      <w:suff w:val="nothing"/>
      <w:lvlText w:val="%1）"/>
      <w:lvlJc w:val="left"/>
    </w:lvl>
  </w:abstractNum>
  <w:abstractNum w:abstractNumId="3">
    <w:nsid w:val="406DE78A"/>
    <w:multiLevelType w:val="singleLevel"/>
    <w:tmpl w:val="406DE78A"/>
    <w:lvl w:ilvl="0" w:tentative="0">
      <w:start w:val="1"/>
      <w:numFmt w:val="decimal"/>
      <w:lvlText w:val="%1."/>
      <w:lvlJc w:val="left"/>
      <w:pPr>
        <w:tabs>
          <w:tab w:val="left" w:pos="312"/>
        </w:tabs>
      </w:pPr>
    </w:lvl>
  </w:abstractNum>
  <w:abstractNum w:abstractNumId="4">
    <w:nsid w:val="4A2B2E0A"/>
    <w:multiLevelType w:val="singleLevel"/>
    <w:tmpl w:val="4A2B2E0A"/>
    <w:lvl w:ilvl="0" w:tentative="0">
      <w:start w:val="11"/>
      <w:numFmt w:val="decimal"/>
      <w:lvlText w:val="%1."/>
      <w:lvlJc w:val="left"/>
      <w:pPr>
        <w:tabs>
          <w:tab w:val="left" w:pos="312"/>
        </w:tabs>
      </w:pPr>
    </w:lvl>
  </w:abstractNum>
  <w:abstractNum w:abstractNumId="5">
    <w:nsid w:val="5AB77CD7"/>
    <w:multiLevelType w:val="singleLevel"/>
    <w:tmpl w:val="5AB77CD7"/>
    <w:lvl w:ilvl="0" w:tentative="0">
      <w:start w:val="1"/>
      <w:numFmt w:val="decimal"/>
      <w:pStyle w:val="7"/>
      <w:lvlText w:val="%1."/>
      <w:lvlJc w:val="left"/>
      <w:pPr>
        <w:tabs>
          <w:tab w:val="left" w:pos="360"/>
        </w:tabs>
        <w:ind w:left="360" w:hanging="360"/>
      </w:pPr>
    </w:lvl>
  </w:abstractNum>
  <w:abstractNum w:abstractNumId="6">
    <w:nsid w:val="6BA3EF74"/>
    <w:multiLevelType w:val="singleLevel"/>
    <w:tmpl w:val="6BA3EF74"/>
    <w:lvl w:ilvl="0" w:tentative="0">
      <w:start w:val="1"/>
      <w:numFmt w:val="decimal"/>
      <w:lvlText w:val="%1."/>
      <w:lvlJc w:val="left"/>
      <w:pPr>
        <w:tabs>
          <w:tab w:val="left" w:pos="312"/>
        </w:tabs>
      </w:pPr>
    </w:lvl>
  </w:abstractNum>
  <w:abstractNum w:abstractNumId="7">
    <w:nsid w:val="6D253885"/>
    <w:multiLevelType w:val="singleLevel"/>
    <w:tmpl w:val="6D253885"/>
    <w:lvl w:ilvl="0" w:tentative="0">
      <w:start w:val="1"/>
      <w:numFmt w:val="decimal"/>
      <w:suff w:val="nothing"/>
      <w:lvlText w:val="%1、"/>
      <w:lvlJc w:val="left"/>
    </w:lvl>
  </w:abstractNum>
  <w:num w:numId="1">
    <w:abstractNumId w:val="5"/>
  </w:num>
  <w:num w:numId="2">
    <w:abstractNumId w:val="1"/>
  </w:num>
  <w:num w:numId="3">
    <w:abstractNumId w:val="2"/>
  </w:num>
  <w:num w:numId="4">
    <w:abstractNumId w:val="7"/>
  </w:num>
  <w:num w:numId="5">
    <w:abstractNumId w:val="3"/>
  </w:num>
  <w:num w:numId="6">
    <w:abstractNumId w:val="4"/>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MzM4MDhiYWYwMGU5MGRhOGE0ZjUwMjhhYTUxYTcifQ=="/>
  </w:docVars>
  <w:rsids>
    <w:rsidRoot w:val="00000000"/>
    <w:rsid w:val="042E301D"/>
    <w:rsid w:val="05646C3F"/>
    <w:rsid w:val="084F33CB"/>
    <w:rsid w:val="09774896"/>
    <w:rsid w:val="0BC92B6C"/>
    <w:rsid w:val="0F035895"/>
    <w:rsid w:val="0F4069A4"/>
    <w:rsid w:val="12174F59"/>
    <w:rsid w:val="135B2C24"/>
    <w:rsid w:val="158A5A42"/>
    <w:rsid w:val="173149A9"/>
    <w:rsid w:val="173739A8"/>
    <w:rsid w:val="183D6D9C"/>
    <w:rsid w:val="192727C6"/>
    <w:rsid w:val="1990114D"/>
    <w:rsid w:val="1A12755D"/>
    <w:rsid w:val="1A756878"/>
    <w:rsid w:val="1A7937EA"/>
    <w:rsid w:val="1D3201F7"/>
    <w:rsid w:val="1F137163"/>
    <w:rsid w:val="1F503858"/>
    <w:rsid w:val="20491554"/>
    <w:rsid w:val="215044BE"/>
    <w:rsid w:val="21C806DA"/>
    <w:rsid w:val="220F64F1"/>
    <w:rsid w:val="24B16B47"/>
    <w:rsid w:val="256367CC"/>
    <w:rsid w:val="262E67BC"/>
    <w:rsid w:val="2DC93C22"/>
    <w:rsid w:val="2F003175"/>
    <w:rsid w:val="2F0F4239"/>
    <w:rsid w:val="30EA546D"/>
    <w:rsid w:val="375068F2"/>
    <w:rsid w:val="384A7222"/>
    <w:rsid w:val="3CDF52B3"/>
    <w:rsid w:val="3FEE0178"/>
    <w:rsid w:val="3FF62BB4"/>
    <w:rsid w:val="42181B5C"/>
    <w:rsid w:val="44F763A1"/>
    <w:rsid w:val="488C6E00"/>
    <w:rsid w:val="4C252179"/>
    <w:rsid w:val="4DDF64C4"/>
    <w:rsid w:val="4F42290E"/>
    <w:rsid w:val="4FBA6948"/>
    <w:rsid w:val="51F872B4"/>
    <w:rsid w:val="54B27180"/>
    <w:rsid w:val="557176B2"/>
    <w:rsid w:val="55F83D27"/>
    <w:rsid w:val="577044C9"/>
    <w:rsid w:val="57AC301B"/>
    <w:rsid w:val="5A124512"/>
    <w:rsid w:val="62B53612"/>
    <w:rsid w:val="6BD8650F"/>
    <w:rsid w:val="70A7640E"/>
    <w:rsid w:val="748B1920"/>
    <w:rsid w:val="7ABB0CFB"/>
    <w:rsid w:val="7AFB1A3F"/>
    <w:rsid w:val="7DDB10A1"/>
    <w:rsid w:val="7DFA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beforeLines="0" w:after="260" w:afterLines="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beforeLines="0" w:after="260" w:afterLines="0" w:line="360" w:lineRule="auto"/>
      <w:ind w:firstLine="602" w:firstLineChars="200"/>
      <w:outlineLvl w:val="2"/>
    </w:pPr>
    <w:rPr>
      <w:rFonts w:ascii="仿宋_GB2312" w:eastAsia="仿宋_GB2312"/>
      <w:b/>
      <w:bCs/>
      <w:sz w:val="30"/>
      <w:szCs w:val="20"/>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Body Text First Indent"/>
    <w:basedOn w:val="4"/>
    <w:next w:val="4"/>
    <w:qFormat/>
    <w:uiPriority w:val="0"/>
    <w:pPr>
      <w:tabs>
        <w:tab w:val="left" w:pos="482"/>
        <w:tab w:val="left" w:pos="2183"/>
        <w:tab w:val="left" w:pos="3884"/>
        <w:tab w:val="left" w:pos="5585"/>
      </w:tabs>
      <w:adjustRightInd w:val="0"/>
      <w:spacing w:after="0" w:afterLines="0"/>
      <w:ind w:firstLine="482"/>
      <w:textAlignment w:val="baseline"/>
    </w:pPr>
    <w:rPr>
      <w:kern w:val="0"/>
      <w:sz w:val="24"/>
      <w:szCs w:val="20"/>
    </w:rPr>
  </w:style>
  <w:style w:type="paragraph" w:styleId="4">
    <w:name w:val="Body Text"/>
    <w:basedOn w:val="1"/>
    <w:qFormat/>
    <w:uiPriority w:val="0"/>
    <w:pPr>
      <w:spacing w:after="120" w:afterLines="0"/>
    </w:p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rPr>
      <w:kern w:val="2"/>
      <w:sz w:val="21"/>
      <w:szCs w:val="24"/>
    </w:rPr>
  </w:style>
  <w:style w:type="paragraph" w:styleId="10">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qFormat/>
    <w:uiPriority w:val="0"/>
    <w:rPr>
      <w:rFonts w:ascii="宋体" w:hAnsi="Courier New" w:eastAsia="宋体"/>
      <w:kern w:val="2"/>
      <w:sz w:val="21"/>
      <w:szCs w:val="24"/>
      <w:lang w:val="en-US" w:eastAsia="zh-CN" w:bidi="ar-SA"/>
    </w:rPr>
  </w:style>
  <w:style w:type="paragraph" w:styleId="12">
    <w:name w:val="Date"/>
    <w:basedOn w:val="1"/>
    <w:next w:val="1"/>
    <w:qFormat/>
    <w:uiPriority w:val="0"/>
    <w:pPr>
      <w:ind w:leftChars="2500"/>
    </w:pPr>
    <w:rPr>
      <w:rFonts w:eastAsia="楷体_GB2312"/>
      <w:sz w:val="32"/>
      <w:szCs w:val="20"/>
    </w:rPr>
  </w:style>
  <w:style w:type="paragraph" w:styleId="13">
    <w:name w:val="footer"/>
    <w:basedOn w:val="1"/>
    <w:qFormat/>
    <w:uiPriority w:val="0"/>
    <w:pPr>
      <w:tabs>
        <w:tab w:val="center" w:pos="4153"/>
        <w:tab w:val="right" w:pos="8306"/>
      </w:tabs>
      <w:snapToGrid w:val="0"/>
      <w:jc w:val="left"/>
    </w:pPr>
    <w:rPr>
      <w:kern w:val="2"/>
      <w:sz w:val="18"/>
      <w:szCs w:val="18"/>
    </w:rPr>
  </w:style>
  <w:style w:type="paragraph" w:styleId="14">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5">
    <w:name w:val="Normal (Web)"/>
    <w:basedOn w:val="1"/>
    <w:next w:val="1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16">
    <w:name w:val="Body Text First Indent 2"/>
    <w:basedOn w:val="10"/>
    <w:qFormat/>
    <w:uiPriority w:val="0"/>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章正文"/>
    <w:basedOn w:val="1"/>
    <w:qFormat/>
    <w:uiPriority w:val="99"/>
    <w:pPr>
      <w:spacing w:before="156" w:beforeLines="50" w:after="120" w:line="300" w:lineRule="auto"/>
      <w:ind w:firstLine="480"/>
    </w:pPr>
    <w:rPr>
      <w:rFonts w:ascii="Helvetica" w:hAnsi="Helvetica"/>
      <w:kern w:val="0"/>
      <w:sz w:val="24"/>
    </w:rPr>
  </w:style>
  <w:style w:type="paragraph" w:customStyle="1" w:styleId="22">
    <w:name w:val="p0"/>
    <w:basedOn w:val="1"/>
    <w:qFormat/>
    <w:uiPriority w:val="0"/>
    <w:pPr>
      <w:widowControl/>
    </w:pPr>
    <w:rPr>
      <w:rFonts w:ascii="Calibri" w:hAnsi="Calibri" w:cs="宋体"/>
      <w:kern w:val="0"/>
      <w:szCs w:val="21"/>
    </w:rPr>
  </w:style>
  <w:style w:type="paragraph" w:customStyle="1" w:styleId="23">
    <w:name w:val="表格文字"/>
    <w:basedOn w:val="11"/>
    <w:next w:val="4"/>
    <w:qFormat/>
    <w:uiPriority w:val="0"/>
    <w:pPr>
      <w:adjustRightInd w:val="0"/>
      <w:spacing w:line="420" w:lineRule="atLeast"/>
      <w:jc w:val="left"/>
      <w:textAlignment w:val="baseline"/>
    </w:pPr>
    <w:rPr>
      <w:kern w:val="0"/>
    </w:rPr>
  </w:style>
  <w:style w:type="paragraph" w:styleId="24">
    <w:name w:val="List Paragraph"/>
    <w:basedOn w:val="1"/>
    <w:qFormat/>
    <w:uiPriority w:val="0"/>
    <w:pPr>
      <w:ind w:firstLine="420" w:firstLineChars="200"/>
    </w:pPr>
    <w:rPr>
      <w:rFonts w:ascii="Calibri" w:hAnsi="Calibri" w:eastAsia="宋体" w:cs="Times New Roman"/>
      <w:szCs w:val="22"/>
    </w:rPr>
  </w:style>
  <w:style w:type="paragraph" w:customStyle="1" w:styleId="25">
    <w:name w:val="reader-word-laye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Table Paragraph"/>
    <w:basedOn w:val="1"/>
    <w:qFormat/>
    <w:uiPriority w:val="1"/>
    <w:rPr>
      <w:rFonts w:ascii="宋体" w:hAnsi="宋体" w:cs="宋体"/>
      <w:lang w:eastAsia="en-US" w:bidi="en-US"/>
    </w:rPr>
  </w:style>
  <w:style w:type="paragraph" w:customStyle="1" w:styleId="3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14061</Words>
  <Characters>14492</Characters>
  <Lines>1</Lines>
  <Paragraphs>1</Paragraphs>
  <TotalTime>1</TotalTime>
  <ScaleCrop>false</ScaleCrop>
  <LinksUpToDate>false</LinksUpToDate>
  <CharactersWithSpaces>14638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2024-09-05T01:50:00Z</dcterms:created>
  <dc:creator>Administrator</dc:creator>
  <cp:lastModifiedBy>Administrator</cp:lastModifiedBy>
  <dcterms:modified xsi:type="dcterms:W3CDTF">2025-07-04T03:58:08Z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33B97A0D4C8D4831AA584D1E785CE539_12</vt:lpwstr>
  </property>
  <property fmtid="{D5CDD505-2E9C-101B-9397-08002B2CF9AE}" pid="4" name="KSOTemplateDocerSaveRecord">
    <vt:lpwstr>eyJoZGlkIjoiMjMzMzM4MDhiYWYwMGU5MGRhOGE0ZjUwMjhhYTUxYTciLCJ1c2VySWQiOiI0NjU3NzAxNTUifQ==</vt:lpwstr>
  </property>
</Properties>
</file>